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0D71CE">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rsidR="0041550C">
        <w:rPr>
          <w:noProof/>
          <w:lang w:val="en-GB" w:eastAsia="en-GB"/>
        </w:rPr>
        <w:t xml:space="preserve">Barriers and facilitators </w:t>
      </w:r>
      <w:r w:rsidR="000D71CE">
        <w:rPr>
          <w:noProof/>
          <w:lang w:val="en-GB" w:eastAsia="en-GB"/>
        </w:rPr>
        <w:t>affecting</w:t>
      </w:r>
      <w:r w:rsidR="0041550C">
        <w:rPr>
          <w:noProof/>
          <w:lang w:val="en-GB" w:eastAsia="en-GB"/>
        </w:rPr>
        <w:t xml:space="preserve"> course completions </w:t>
      </w:r>
      <w:r w:rsidR="00845313">
        <w:rPr>
          <w:noProof/>
          <w:lang w:val="en-GB" w:eastAsia="en-GB"/>
        </w:rPr>
        <w:t>by</w:t>
      </w:r>
      <w:r w:rsidR="0041550C">
        <w:rPr>
          <w:noProof/>
          <w:lang w:val="en-GB" w:eastAsia="en-GB"/>
        </w:rPr>
        <w:t xml:space="preserve"> apprentices and trainees with disabilit</w:t>
      </w:r>
      <w:bookmarkEnd w:id="0"/>
      <w:bookmarkEnd w:id="1"/>
      <w:r w:rsidR="0041550C">
        <w:rPr>
          <w:noProof/>
          <w:lang w:val="en-GB" w:eastAsia="en-GB"/>
        </w:rPr>
        <w:t>ies</w:t>
      </w:r>
    </w:p>
    <w:p w:rsidR="00177827" w:rsidRDefault="004E6E06" w:rsidP="00177827">
      <w:pPr>
        <w:pStyle w:val="Authors"/>
      </w:pPr>
      <w:bookmarkStart w:id="3" w:name="_Toc296423678"/>
      <w:bookmarkStart w:id="4" w:name="_Toc296497509"/>
      <w:r>
        <w:t xml:space="preserve">Errol Cocks </w:t>
      </w:r>
    </w:p>
    <w:p w:rsidR="004E6E06" w:rsidRDefault="004E6E06" w:rsidP="00177827">
      <w:pPr>
        <w:pStyle w:val="Authors"/>
      </w:pPr>
      <w:proofErr w:type="spellStart"/>
      <w:r>
        <w:t>Stian</w:t>
      </w:r>
      <w:proofErr w:type="spellEnd"/>
      <w:r>
        <w:t xml:space="preserve"> H </w:t>
      </w:r>
      <w:proofErr w:type="spellStart"/>
      <w:r>
        <w:t>Thoresen</w:t>
      </w:r>
      <w:proofErr w:type="spellEnd"/>
    </w:p>
    <w:bookmarkEnd w:id="3"/>
    <w:bookmarkEnd w:id="4"/>
    <w:p w:rsidR="009E231A" w:rsidRDefault="004E6E06" w:rsidP="00177827">
      <w:pPr>
        <w:pStyle w:val="Organisation"/>
      </w:pPr>
      <w:r>
        <w:t>Centre for Research into Disability and Society</w:t>
      </w:r>
      <w:r w:rsidR="0092193F">
        <w:t>, Curtin Health Innovation Research Institute,</w:t>
      </w:r>
      <w:r>
        <w:t xml:space="preserve"> and School of Occupational Thera</w:t>
      </w:r>
      <w:r w:rsidR="0092193F">
        <w:t xml:space="preserve">py and Social Work, </w:t>
      </w:r>
      <w:r>
        <w:t>Curtin University</w:t>
      </w:r>
    </w:p>
    <w:p w:rsidR="00954DAA" w:rsidRDefault="00954DAA" w:rsidP="00954DAA">
      <w:pPr>
        <w:pStyle w:val="Organisation"/>
      </w:pPr>
    </w:p>
    <w:p w:rsidR="00954DAA" w:rsidRPr="006C5DA9" w:rsidRDefault="00954DAA" w:rsidP="00954DA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DB599C" w:rsidRDefault="00DB599C" w:rsidP="0048643A">
      <w:pPr>
        <w:pStyle w:val="Text"/>
      </w:pPr>
    </w:p>
    <w:p w:rsidR="00DB599C" w:rsidRDefault="00DB599C" w:rsidP="0048643A">
      <w:pPr>
        <w:pStyle w:val="Text"/>
      </w:pPr>
    </w:p>
    <w:p w:rsidR="00DB599C" w:rsidRDefault="009E2BC4" w:rsidP="0006125F">
      <w:pPr>
        <w:pStyle w:val="Heading3"/>
        <w:ind w:right="-1"/>
      </w:pPr>
      <w:r>
        <w:rPr>
          <w:noProof/>
          <w:lang w:eastAsia="en-AU"/>
        </w:rPr>
        <w:pict>
          <v:shapetype id="_x0000_t202" coordsize="21600,21600" o:spt="202" path="m,l,21600r21600,l21600,xe">
            <v:stroke joinstyle="miter"/>
            <v:path gradientshapeok="t" o:connecttype="rect"/>
          </v:shapetype>
          <v:shape id="Text Box 12" o:spid="_x0000_s1026" type="#_x0000_t202" style="position:absolute;margin-left:79.95pt;margin-top:555.35pt;width:264.8pt;height:83pt;z-index:25166028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Pptg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" filled="f" stroked="f">
            <v:textbox>
              <w:txbxContent>
                <w:p w:rsidR="00DE6764" w:rsidRDefault="00DE6764" w:rsidP="00B44D91">
                  <w:pPr>
                    <w:pStyle w:val="Heading3"/>
                    <w:rPr>
                      <w:rFonts w:ascii="Trebuchet MS" w:hAnsi="Trebuchet MS"/>
                      <w:sz w:val="20"/>
                    </w:rPr>
                  </w:pPr>
                  <w:r w:rsidRPr="003716FE">
                    <w:rPr>
                      <w:rFonts w:ascii="Trebuchet MS" w:hAnsi="Trebuchet MS"/>
                      <w:sz w:val="20"/>
                    </w:rPr>
                    <w:t xml:space="preserve">NATIONAL VOCATIONAL EDUCATION AND TRAINING RESEARCH PROGRAM </w:t>
                  </w:r>
                </w:p>
                <w:p w:rsidR="00DE6764" w:rsidRPr="003716FE" w:rsidRDefault="00DE6764" w:rsidP="00B44D91">
                  <w:pPr>
                    <w:pStyle w:val="Heading3"/>
                    <w:spacing w:before="80"/>
                    <w:rPr>
                      <w:rFonts w:ascii="Trebuchet MS" w:hAnsi="Trebuchet MS"/>
                      <w:sz w:val="20"/>
                    </w:rPr>
                  </w:pPr>
                  <w:r>
                    <w:rPr>
                      <w:rFonts w:ascii="Trebuchet MS" w:hAnsi="Trebuchet MS"/>
                      <w:b/>
                      <w:sz w:val="20"/>
                    </w:rPr>
                    <w:t>RESEARCH REPORT</w:t>
                  </w:r>
                </w:p>
                <w:p w:rsidR="00DE6764" w:rsidRDefault="00DE6764" w:rsidP="009E2F64">
                  <w:pPr>
                    <w:pStyle w:val="Heading3"/>
                  </w:pPr>
                </w:p>
              </w:txbxContent>
            </v:textbox>
            <w10:wrap anchory="margin"/>
          </v:shape>
        </w:pict>
      </w:r>
      <w:r>
        <w:rPr>
          <w:noProof/>
          <w:lang w:eastAsia="en-AU"/>
        </w:rPr>
        <w:pict>
          <v:shape id="Text Box 10" o:spid="_x0000_s1027" type="#_x0000_t202" style="position:absolute;margin-left:73.1pt;margin-top:659.7pt;width:357pt;height:83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HX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FspB17cC&#10;AADCBQAADgAAAAAAAAAAAAAAAAAuAgAAZHJzL2Uyb0RvYy54bWxQSwECLQAUAAYACAAAACEAOx0t&#10;POAAAAANAQAADwAAAAAAAAAAAAAAAAARBQAAZHJzL2Rvd25yZXYueG1sUEsFBgAAAAAEAAQA8wAA&#10;AB4GAAAAAA==&#10;" filled="f" stroked="f">
            <v:textbox>
              <w:txbxContent>
                <w:p w:rsidR="00DE6764" w:rsidRDefault="00DE6764" w:rsidP="006C5DA9">
                  <w:pPr>
                    <w:pStyle w:val="Imprint"/>
                    <w:spacing w:before="0"/>
                    <w:ind w:left="142" w:right="10"/>
                    <w:rPr>
                      <w:color w:val="000000"/>
                    </w:rPr>
                  </w:pPr>
                  <w:r w:rsidRPr="005C2FCF">
                    <w:rPr>
                      <w:color w:val="000000"/>
                    </w:rPr>
                    <w:t>The views and opinions expressed in this document are those of the author</w:t>
                  </w:r>
                  <w:r>
                    <w:rPr>
                      <w:color w:val="000000"/>
                    </w:rPr>
                    <w:t>s</w:t>
                  </w:r>
                  <w:r w:rsidRPr="005C2FCF">
                    <w:rPr>
                      <w:color w:val="000000"/>
                    </w:rPr>
                    <w:t>/project</w:t>
                  </w:r>
                  <w:r>
                    <w:rPr>
                      <w:color w:val="000000"/>
                    </w:rPr>
                    <w:t xml:space="preserve"> </w:t>
                  </w:r>
                  <w:r>
                    <w:rPr>
                      <w:color w:val="000000"/>
                    </w:rPr>
                    <w:br/>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DE6764" w:rsidRPr="005C2FCF" w:rsidRDefault="00DE6764" w:rsidP="006C5DA9">
                  <w:pPr>
                    <w:pStyle w:val="Imprint"/>
                    <w:spacing w:before="120"/>
                    <w:ind w:left="142" w:right="10"/>
                    <w:rPr>
                      <w:color w:val="000000"/>
                    </w:rPr>
                  </w:pPr>
                  <w:r w:rsidRPr="005C2FCF">
                    <w:rPr>
                      <w:color w:val="000000"/>
                    </w:rPr>
                    <w:t>Any interpretation of data is the responsibility of the author/project team.</w:t>
                  </w:r>
                </w:p>
                <w:p w:rsidR="00DE6764" w:rsidRDefault="00DE6764" w:rsidP="00DB599C">
                  <w:pPr>
                    <w:ind w:left="284" w:right="294"/>
                  </w:pPr>
                </w:p>
              </w:txbxContent>
            </v:textbox>
            <w10:wrap anchory="margin"/>
          </v:shape>
        </w:pict>
      </w:r>
      <w:r w:rsidR="00DB599C">
        <w:softHyphen/>
      </w:r>
    </w:p>
    <w:p w:rsidR="00233BFA" w:rsidRPr="00E236D0" w:rsidRDefault="00FE4A2D" w:rsidP="004A13AA">
      <w:pPr>
        <w:pStyle w:val="Heading3"/>
        <w:ind w:right="-1"/>
        <w:rPr>
          <w:b/>
          <w:sz w:val="19"/>
          <w:szCs w:val="19"/>
        </w:rPr>
      </w:pPr>
      <w:r w:rsidRPr="005C2FCF">
        <w:br w:type="page"/>
      </w:r>
    </w:p>
    <w:p w:rsidR="009E231A" w:rsidRPr="00C77DC6" w:rsidRDefault="009E2BC4" w:rsidP="0049453B">
      <w:pPr>
        <w:pStyle w:val="Abouttheresearch"/>
      </w:pPr>
      <w:r>
        <w:rPr>
          <w:noProof/>
          <w:lang w:eastAsia="en-AU"/>
        </w:rPr>
        <w:lastRenderedPageBreak/>
        <w:pict>
          <v:shape id="Text Box 14" o:spid="_x0000_s1028" type="#_x0000_t202" style="position:absolute;margin-left:0;margin-top:224.2pt;width:440.7pt;height:456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njtQIAALo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" filled="f" stroked="f">
            <v:textbox inset="0,,0">
              <w:txbxContent>
                <w:p w:rsidR="00DE6764" w:rsidRPr="00214F38" w:rsidRDefault="00DE6764" w:rsidP="00214F38">
                  <w:pPr>
                    <w:pStyle w:val="Imprint"/>
                    <w:rPr>
                      <w:b/>
                      <w:color w:val="000000"/>
                      <w:lang w:val="en-US"/>
                    </w:rPr>
                  </w:pPr>
                  <w:r w:rsidRPr="00214F38">
                    <w:rPr>
                      <w:b/>
                      <w:color w:val="000000"/>
                      <w:lang w:val="en-US"/>
                    </w:rPr>
                    <w:t xml:space="preserve">© Commonwealth of Australia, </w:t>
                  </w:r>
                  <w:r>
                    <w:rPr>
                      <w:b/>
                      <w:color w:val="000000"/>
                      <w:lang w:val="en-US"/>
                    </w:rPr>
                    <w:t>2013</w:t>
                  </w:r>
                </w:p>
                <w:p w:rsidR="00DE6764" w:rsidRPr="00214F38" w:rsidRDefault="00DE6764" w:rsidP="00214F38">
                  <w:pPr>
                    <w:pStyle w:val="Imprint"/>
                    <w:rPr>
                      <w:b/>
                      <w:color w:val="000000"/>
                      <w:lang w:val="en-US"/>
                    </w:rPr>
                  </w:pPr>
                  <w:r w:rsidRPr="00214F38">
                    <w:rPr>
                      <w:b/>
                      <w:noProof/>
                      <w:color w:val="000000"/>
                      <w:lang w:eastAsia="en-AU"/>
                    </w:rPr>
                    <w:drawing>
                      <wp:inline distT="0" distB="0" distL="0" distR="0">
                        <wp:extent cx="838200" cy="295275"/>
                        <wp:effectExtent l="19050" t="0" r="0" b="0"/>
                        <wp:docPr id="8"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9"/>
                                </pic:cNvPr>
                                <pic:cNvPicPr>
                                  <a:picLocks noChangeAspect="1" noChangeArrowheads="1"/>
                                </pic:cNvPicPr>
                              </pic:nvPicPr>
                              <pic:blipFill>
                                <a:blip r:embed="rId10"/>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DE6764" w:rsidRPr="00214F38" w:rsidRDefault="00DE6764" w:rsidP="00214F38">
                  <w:pPr>
                    <w:pStyle w:val="Imprint"/>
                    <w:rPr>
                      <w:color w:val="000000"/>
                      <w:lang w:val="en-US"/>
                    </w:rPr>
                  </w:pPr>
                  <w:r w:rsidRPr="00214F38">
                    <w:rPr>
                      <w:color w:val="000000"/>
                      <w:lang w:val="en-US"/>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w:t>
                  </w:r>
                  <w:proofErr w:type="spellStart"/>
                  <w:r w:rsidRPr="00214F38">
                    <w:rPr>
                      <w:color w:val="000000"/>
                      <w:lang w:val="en-US"/>
                    </w:rPr>
                    <w:t>licence</w:t>
                  </w:r>
                  <w:proofErr w:type="spellEnd"/>
                  <w:r w:rsidRPr="00214F38">
                    <w:rPr>
                      <w:color w:val="000000"/>
                      <w:lang w:val="en-US"/>
                    </w:rPr>
                    <w:t xml:space="preserve">. </w:t>
                  </w:r>
                </w:p>
                <w:p w:rsidR="00DE6764" w:rsidRPr="00214F38" w:rsidRDefault="00DE6764" w:rsidP="00214F38">
                  <w:pPr>
                    <w:pStyle w:val="Imprint"/>
                    <w:rPr>
                      <w:color w:val="000000"/>
                      <w:lang w:val="en-US"/>
                    </w:rPr>
                  </w:pPr>
                  <w:r w:rsidRPr="00214F38">
                    <w:rPr>
                      <w:color w:val="000000"/>
                      <w:lang w:val="en-US"/>
                    </w:rPr>
                    <w:t xml:space="preserve">The details of the relevant </w:t>
                  </w:r>
                  <w:proofErr w:type="spellStart"/>
                  <w:r w:rsidRPr="00214F38">
                    <w:rPr>
                      <w:color w:val="000000"/>
                      <w:lang w:val="en-US"/>
                    </w:rPr>
                    <w:t>licence</w:t>
                  </w:r>
                  <w:proofErr w:type="spellEnd"/>
                  <w:r w:rsidRPr="00214F38">
                    <w:rPr>
                      <w:color w:val="000000"/>
                      <w:lang w:val="en-US"/>
                    </w:rPr>
                    <w:t xml:space="preserve"> conditions are available on the Creative Commons website (accessible using the links provided) as is the full legal code for the CC BY 3.0 AU </w:t>
                  </w:r>
                  <w:proofErr w:type="spellStart"/>
                  <w:r w:rsidRPr="00214F38">
                    <w:rPr>
                      <w:color w:val="000000"/>
                      <w:lang w:val="en-US"/>
                    </w:rPr>
                    <w:t>licence</w:t>
                  </w:r>
                  <w:proofErr w:type="spellEnd"/>
                  <w:r w:rsidRPr="00214F38">
                    <w:rPr>
                      <w:color w:val="000000"/>
                      <w:lang w:val="en-US"/>
                    </w:rPr>
                    <w:t xml:space="preserve"> &lt;http://creativecommons.org/licenses/by/3.0/legalcode&gt;.</w:t>
                  </w:r>
                </w:p>
                <w:p w:rsidR="00DE6764" w:rsidRPr="00214F38" w:rsidRDefault="00DE6764" w:rsidP="00214F38">
                  <w:pPr>
                    <w:pStyle w:val="Imprint"/>
                    <w:rPr>
                      <w:color w:val="000000"/>
                      <w:lang w:val="en-US"/>
                    </w:rPr>
                  </w:pPr>
                  <w:r w:rsidRPr="00214F38">
                    <w:rPr>
                      <w:color w:val="000000"/>
                      <w:lang w:val="en-US"/>
                    </w:rPr>
                    <w:t xml:space="preserve">The Creative Commons </w:t>
                  </w:r>
                  <w:proofErr w:type="spellStart"/>
                  <w:r w:rsidRPr="00214F38">
                    <w:rPr>
                      <w:color w:val="000000"/>
                      <w:lang w:val="en-US"/>
                    </w:rPr>
                    <w:t>licence</w:t>
                  </w:r>
                  <w:proofErr w:type="spellEnd"/>
                  <w:r w:rsidRPr="00214F38">
                    <w:rPr>
                      <w:color w:val="000000"/>
                      <w:lang w:val="en-US"/>
                    </w:rPr>
                    <w:t xml:space="preserve"> conditions do not apply to all logos, graphic design, artwork and photographs. Requests and enquiries concerning other reproduction and rights should be directed to the National Centre for Vocational Education Research (NCVER).</w:t>
                  </w:r>
                </w:p>
                <w:p w:rsidR="00DE6764" w:rsidRPr="00214F38" w:rsidRDefault="00DE6764" w:rsidP="00214F38">
                  <w:pPr>
                    <w:pStyle w:val="Imprint"/>
                    <w:rPr>
                      <w:color w:val="000000"/>
                      <w:lang w:val="en-US"/>
                    </w:rPr>
                  </w:pPr>
                  <w:r w:rsidRPr="00214F38">
                    <w:rPr>
                      <w:color w:val="000000"/>
                      <w:lang w:val="en-US"/>
                    </w:rPr>
                    <w:t>This document should be attributed as Cocks</w:t>
                  </w:r>
                  <w:r>
                    <w:rPr>
                      <w:color w:val="000000"/>
                      <w:lang w:val="en-US"/>
                    </w:rPr>
                    <w:t xml:space="preserve">, E &amp; </w:t>
                  </w:r>
                  <w:proofErr w:type="spellStart"/>
                  <w:r w:rsidRPr="00214F38">
                    <w:rPr>
                      <w:color w:val="000000"/>
                      <w:lang w:val="en-US"/>
                    </w:rPr>
                    <w:t>Thoresen</w:t>
                  </w:r>
                  <w:proofErr w:type="spellEnd"/>
                  <w:r>
                    <w:rPr>
                      <w:color w:val="000000"/>
                      <w:lang w:val="en-US"/>
                    </w:rPr>
                    <w:t>, SH 2013</w:t>
                  </w:r>
                  <w:r w:rsidRPr="00214F38">
                    <w:rPr>
                      <w:color w:val="000000"/>
                      <w:lang w:val="en-US"/>
                    </w:rPr>
                    <w:t xml:space="preserve">, </w:t>
                  </w:r>
                  <w:r w:rsidRPr="00214F38">
                    <w:rPr>
                      <w:i/>
                      <w:color w:val="000000"/>
                      <w:lang w:val="en-US"/>
                    </w:rPr>
                    <w:t>Barriers and facilitators affecting course completions by apprentices and trainees with disabilities,</w:t>
                  </w:r>
                  <w:r w:rsidRPr="00214F38">
                    <w:rPr>
                      <w:color w:val="000000"/>
                      <w:lang w:val="en-US"/>
                    </w:rPr>
                    <w:t xml:space="preserve"> NCVER, Adelaide.</w:t>
                  </w:r>
                </w:p>
                <w:p w:rsidR="00DE6764" w:rsidRDefault="00DE6764" w:rsidP="00A30084">
                  <w:pPr>
                    <w:pStyle w:val="Imprint"/>
                    <w:rPr>
                      <w:color w:val="000000"/>
                    </w:rPr>
                  </w:pPr>
                  <w:r w:rsidRPr="005C2FCF">
                    <w:rPr>
                      <w:color w:val="000000"/>
                    </w:rPr>
                    <w:t>ISBN</w:t>
                  </w:r>
                  <w:r w:rsidRPr="005C2FCF">
                    <w:rPr>
                      <w:color w:val="000000"/>
                    </w:rPr>
                    <w:tab/>
                  </w:r>
                  <w:r w:rsidRPr="00AA19F8">
                    <w:rPr>
                      <w:color w:val="000000"/>
                    </w:rPr>
                    <w:t>978 1 922056 43 6</w:t>
                  </w:r>
                </w:p>
                <w:p w:rsidR="00DE6764" w:rsidRDefault="00DE6764" w:rsidP="00A30084">
                  <w:pPr>
                    <w:pStyle w:val="Imprint"/>
                    <w:rPr>
                      <w:color w:val="000000"/>
                    </w:rPr>
                  </w:pPr>
                  <w:r w:rsidRPr="005C2FCF">
                    <w:rPr>
                      <w:color w:val="000000"/>
                    </w:rPr>
                    <w:t>TD/TNC</w:t>
                  </w:r>
                  <w:r w:rsidRPr="005C2FCF">
                    <w:rPr>
                      <w:color w:val="000000"/>
                    </w:rPr>
                    <w:tab/>
                  </w:r>
                  <w:r>
                    <w:rPr>
                      <w:color w:val="000000"/>
                    </w:rPr>
                    <w:t>110.31</w:t>
                  </w:r>
                </w:p>
                <w:p w:rsidR="00DE6764" w:rsidRPr="005C2FCF" w:rsidRDefault="00DE6764" w:rsidP="00A30084">
                  <w:pPr>
                    <w:pStyle w:val="Imprint"/>
                    <w:rPr>
                      <w:color w:val="000000"/>
                    </w:rPr>
                  </w:pPr>
                  <w:r>
                    <w:rPr>
                      <w:color w:val="000000"/>
                    </w:rPr>
                    <w:t>COVER IMAGE: GETTY IMAGES/THINKSTOCK</w:t>
                  </w:r>
                </w:p>
                <w:p w:rsidR="00DE6764" w:rsidRPr="005C2FCF" w:rsidRDefault="00DE6764" w:rsidP="0067712D">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DE6764" w:rsidRPr="005C2FCF" w:rsidRDefault="00DE6764" w:rsidP="0067712D">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DE6764" w:rsidRPr="00E82850" w:rsidRDefault="00DE6764" w:rsidP="0067712D">
                  <w:pPr>
                    <w:pStyle w:val="Imprint"/>
                    <w:ind w:right="1700"/>
                    <w:rPr>
                      <w:color w:val="000000"/>
                      <w:lang w:val="pt-PT"/>
                    </w:rPr>
                  </w:pPr>
                  <w:r w:rsidRPr="00E82850">
                    <w:rPr>
                      <w:color w:val="000000"/>
                      <w:lang w:val="pt-PT"/>
                    </w:rPr>
                    <w:t xml:space="preserve">P +61 8 8230 8400   F +61 8 8212 3436   E </w:t>
                  </w:r>
                  <w:hyperlink r:id="rId11" w:history="1">
                    <w:r w:rsidRPr="00E82850">
                      <w:rPr>
                        <w:rStyle w:val="Hyperlink"/>
                        <w:sz w:val="16"/>
                        <w:lang w:val="pt-PT"/>
                      </w:rPr>
                      <w:t>ncver@ncver.edu.au</w:t>
                    </w:r>
                  </w:hyperlink>
                  <w:r w:rsidRPr="00E82850">
                    <w:rPr>
                      <w:color w:val="000000"/>
                      <w:lang w:val="pt-PT"/>
                    </w:rPr>
                    <w:t xml:space="preserve">   W &lt;http://www.ncver.edu.au&gt;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99787C" w:rsidRDefault="0099787C" w:rsidP="0099787C">
      <w:pPr>
        <w:pStyle w:val="Abouttheresearchpubtitle"/>
      </w:pPr>
      <w:bookmarkStart w:id="22" w:name="_Toc296423680"/>
      <w:bookmarkStart w:id="23" w:name="_Toc296497511"/>
      <w:bookmarkStart w:id="24" w:name="_Toc98394877"/>
      <w:r w:rsidRPr="00FB254D">
        <w:t xml:space="preserve">Barriers and facilitators </w:t>
      </w:r>
      <w:r w:rsidR="00810DA8">
        <w:t>affecting</w:t>
      </w:r>
      <w:r w:rsidRPr="00FB254D">
        <w:t xml:space="preserve"> course completions </w:t>
      </w:r>
      <w:r>
        <w:t>by</w:t>
      </w:r>
      <w:r w:rsidRPr="00FB254D">
        <w:t xml:space="preserve"> apprentices and trainees with disabilitie</w:t>
      </w:r>
      <w:bookmarkEnd w:id="22"/>
      <w:bookmarkEnd w:id="23"/>
      <w:r>
        <w:t>s</w:t>
      </w:r>
    </w:p>
    <w:p w:rsidR="0099787C" w:rsidRPr="00AA19F8" w:rsidRDefault="0099787C" w:rsidP="00AA19F8">
      <w:pPr>
        <w:pStyle w:val="Heading3"/>
      </w:pPr>
      <w:bookmarkStart w:id="25" w:name="_Toc296423681"/>
      <w:bookmarkStart w:id="26" w:name="_Toc296497512"/>
      <w:r w:rsidRPr="00AA19F8">
        <w:t xml:space="preserve">Errol Cocks </w:t>
      </w:r>
      <w:r w:rsidR="00214F38" w:rsidRPr="00AA19F8">
        <w:t xml:space="preserve">and </w:t>
      </w:r>
      <w:proofErr w:type="spellStart"/>
      <w:r w:rsidRPr="00AA19F8">
        <w:t>Stian</w:t>
      </w:r>
      <w:proofErr w:type="spellEnd"/>
      <w:r w:rsidRPr="00AA19F8">
        <w:t xml:space="preserve"> H </w:t>
      </w:r>
      <w:proofErr w:type="spellStart"/>
      <w:r w:rsidRPr="00AA19F8">
        <w:t>Thoresen</w:t>
      </w:r>
      <w:proofErr w:type="spellEnd"/>
      <w:r w:rsidR="00AA19F8" w:rsidRPr="00AA19F8">
        <w:t>, C</w:t>
      </w:r>
      <w:r w:rsidRPr="00AA19F8">
        <w:t>entre for Research into Disability and Society, Curtin Healt</w:t>
      </w:r>
      <w:r w:rsidR="00E82850" w:rsidRPr="00AA19F8">
        <w:t>h Innovation Research Institute</w:t>
      </w:r>
      <w:r w:rsidR="00F37D80">
        <w:t>,</w:t>
      </w:r>
      <w:r w:rsidRPr="00AA19F8">
        <w:t xml:space="preserve"> and School of Occupational Therapy and Social Work, Curtin University</w:t>
      </w:r>
    </w:p>
    <w:bookmarkEnd w:id="24"/>
    <w:bookmarkEnd w:id="25"/>
    <w:bookmarkEnd w:id="26"/>
    <w:p w:rsidR="0099787C" w:rsidRDefault="0099787C" w:rsidP="0099787C">
      <w:pPr>
        <w:pStyle w:val="Text"/>
      </w:pPr>
      <w:r>
        <w:t>Recent policies to address equity issues have e</w:t>
      </w:r>
      <w:r w:rsidR="00E82850">
        <w:t>ncouraged people with disabilities</w:t>
      </w:r>
      <w:r>
        <w:t xml:space="preserve"> to participate in vocational education and training</w:t>
      </w:r>
      <w:r w:rsidR="00E82850">
        <w:t xml:space="preserve"> (VET)</w:t>
      </w:r>
      <w:r>
        <w:t xml:space="preserve">. </w:t>
      </w:r>
      <w:r w:rsidR="001A546B">
        <w:t>While participation is worthwhile, it is completion that typically brings the greatest benefits.</w:t>
      </w:r>
    </w:p>
    <w:p w:rsidR="0099787C" w:rsidRPr="001A546B" w:rsidRDefault="00214F38" w:rsidP="00214F38">
      <w:pPr>
        <w:pStyle w:val="Dotpoint1"/>
        <w:numPr>
          <w:ilvl w:val="0"/>
          <w:numId w:val="0"/>
        </w:numPr>
        <w:tabs>
          <w:tab w:val="clear" w:pos="284"/>
          <w:tab w:val="left" w:pos="0"/>
        </w:tabs>
      </w:pPr>
      <w:r>
        <w:t>T</w:t>
      </w:r>
      <w:r w:rsidRPr="00214F38">
        <w:rPr>
          <w:rStyle w:val="TextChar"/>
        </w:rPr>
        <w:t xml:space="preserve">his </w:t>
      </w:r>
      <w:r w:rsidR="0099787C" w:rsidRPr="00214F38">
        <w:rPr>
          <w:rStyle w:val="TextChar"/>
        </w:rPr>
        <w:t xml:space="preserve">is the first report </w:t>
      </w:r>
      <w:r w:rsidR="00E82850" w:rsidRPr="00214F38">
        <w:rPr>
          <w:rStyle w:val="TextChar"/>
        </w:rPr>
        <w:t>from</w:t>
      </w:r>
      <w:r w:rsidR="0099787C" w:rsidRPr="00214F38">
        <w:rPr>
          <w:rStyle w:val="TextChar"/>
        </w:rPr>
        <w:t xml:space="preserve"> a program of research investigating the fi</w:t>
      </w:r>
      <w:r w:rsidR="00E82850" w:rsidRPr="00214F38">
        <w:rPr>
          <w:rStyle w:val="TextChar"/>
        </w:rPr>
        <w:t xml:space="preserve">nancial and social outcomes for </w:t>
      </w:r>
      <w:r w:rsidR="0099787C" w:rsidRPr="00214F38">
        <w:rPr>
          <w:rStyle w:val="TextChar"/>
        </w:rPr>
        <w:t xml:space="preserve">people with </w:t>
      </w:r>
      <w:r w:rsidR="00004BFD" w:rsidRPr="00214F38">
        <w:rPr>
          <w:rStyle w:val="TextChar"/>
        </w:rPr>
        <w:t>disabilities</w:t>
      </w:r>
      <w:r w:rsidR="0099787C" w:rsidRPr="00214F38">
        <w:rPr>
          <w:rStyle w:val="TextChar"/>
        </w:rPr>
        <w:t xml:space="preserve"> who have completed an apprenticeship or traineeship. This research is based on a three-year longitudinal sur</w:t>
      </w:r>
      <w:r w:rsidR="00E82850" w:rsidRPr="00214F38">
        <w:rPr>
          <w:rStyle w:val="TextChar"/>
        </w:rPr>
        <w:t>vey of graduates with disabilities</w:t>
      </w:r>
      <w:r w:rsidR="0099787C" w:rsidRPr="00214F38">
        <w:rPr>
          <w:rStyle w:val="TextChar"/>
        </w:rPr>
        <w:t xml:space="preserve">. In this first report, the emphasis is on the students’ perspectives </w:t>
      </w:r>
      <w:r w:rsidR="00E82850" w:rsidRPr="00214F38">
        <w:rPr>
          <w:rStyle w:val="TextChar"/>
        </w:rPr>
        <w:t>on</w:t>
      </w:r>
      <w:r w:rsidR="0099787C" w:rsidRPr="00214F38">
        <w:rPr>
          <w:rStyle w:val="TextChar"/>
        </w:rPr>
        <w:t xml:space="preserve"> the barriers </w:t>
      </w:r>
      <w:r w:rsidR="00004BFD" w:rsidRPr="00214F38">
        <w:rPr>
          <w:rStyle w:val="TextChar"/>
        </w:rPr>
        <w:t xml:space="preserve">to </w:t>
      </w:r>
      <w:r w:rsidR="0099787C" w:rsidRPr="00214F38">
        <w:rPr>
          <w:rStyle w:val="TextChar"/>
        </w:rPr>
        <w:t xml:space="preserve">and facilitators </w:t>
      </w:r>
      <w:r w:rsidR="00004BFD" w:rsidRPr="00214F38">
        <w:rPr>
          <w:rStyle w:val="TextChar"/>
        </w:rPr>
        <w:t>of</w:t>
      </w:r>
      <w:r w:rsidR="0099787C" w:rsidRPr="00214F38">
        <w:rPr>
          <w:rStyle w:val="TextChar"/>
        </w:rPr>
        <w:t xml:space="preserve"> course completion. </w:t>
      </w:r>
      <w:r w:rsidR="001A546B" w:rsidRPr="00214F38">
        <w:rPr>
          <w:rStyle w:val="TextChar"/>
        </w:rPr>
        <w:t xml:space="preserve">Not surprisingly, graduates with </w:t>
      </w:r>
      <w:r w:rsidR="00E82850" w:rsidRPr="00214F38">
        <w:rPr>
          <w:rStyle w:val="TextChar"/>
        </w:rPr>
        <w:t xml:space="preserve">a </w:t>
      </w:r>
      <w:r w:rsidR="001A546B" w:rsidRPr="00214F38">
        <w:rPr>
          <w:rStyle w:val="TextChar"/>
        </w:rPr>
        <w:t xml:space="preserve">disability were more likely to report barriers to completion of their apprenticeship or traineeship compared </w:t>
      </w:r>
      <w:r w:rsidR="00E82850" w:rsidRPr="00214F38">
        <w:rPr>
          <w:rStyle w:val="TextChar"/>
        </w:rPr>
        <w:t>with those without</w:t>
      </w:r>
      <w:r w:rsidR="001A546B" w:rsidRPr="00214F38">
        <w:rPr>
          <w:rStyle w:val="TextChar"/>
        </w:rPr>
        <w:t xml:space="preserve">. </w:t>
      </w:r>
    </w:p>
    <w:p w:rsidR="0099787C" w:rsidRPr="005C2FCF" w:rsidRDefault="0099787C" w:rsidP="0099787C">
      <w:pPr>
        <w:pStyle w:val="Keymessages"/>
      </w:pPr>
      <w:bookmarkStart w:id="27" w:name="_Toc98394878"/>
      <w:bookmarkStart w:id="28" w:name="_Toc296423682"/>
      <w:bookmarkStart w:id="29" w:name="_Toc296497513"/>
      <w:r w:rsidRPr="005C2FCF">
        <w:t>Key messages</w:t>
      </w:r>
      <w:bookmarkEnd w:id="27"/>
      <w:bookmarkEnd w:id="28"/>
      <w:bookmarkEnd w:id="29"/>
    </w:p>
    <w:p w:rsidR="0099787C" w:rsidRDefault="0099787C" w:rsidP="00E82850">
      <w:pPr>
        <w:pStyle w:val="Dotpoint1"/>
      </w:pPr>
      <w:r>
        <w:t>The most commonly reported barriers, across both the graduates with disabilit</w:t>
      </w:r>
      <w:r w:rsidR="00E82850">
        <w:t>ies</w:t>
      </w:r>
      <w:r>
        <w:t xml:space="preserve"> and those without, were related to </w:t>
      </w:r>
      <w:r w:rsidR="00E82850">
        <w:t xml:space="preserve">a </w:t>
      </w:r>
      <w:r>
        <w:t xml:space="preserve">lack of resources. Common challenges cited were poor training wages; the cost of equipment or tools required for training; and lack of time, often due to family commitments. For some in the disability group, these barriers were compounded by their health conditions. </w:t>
      </w:r>
    </w:p>
    <w:p w:rsidR="0099787C" w:rsidRDefault="0099787C" w:rsidP="00E82850">
      <w:pPr>
        <w:pStyle w:val="Dotpoint1"/>
      </w:pPr>
      <w:r>
        <w:t>Support was the most important factor facilitating course completion among the research participants with disabilit</w:t>
      </w:r>
      <w:r w:rsidR="00E82850">
        <w:t>ies</w:t>
      </w:r>
      <w:r>
        <w:t>.</w:t>
      </w:r>
      <w:r w:rsidRPr="005B0FC8">
        <w:t xml:space="preserve"> </w:t>
      </w:r>
      <w:r>
        <w:t>This s</w:t>
      </w:r>
      <w:r w:rsidRPr="00B9031D">
        <w:t xml:space="preserve">upport was </w:t>
      </w:r>
      <w:r>
        <w:t xml:space="preserve">often </w:t>
      </w:r>
      <w:r w:rsidRPr="00B9031D">
        <w:t xml:space="preserve">provided by individuals </w:t>
      </w:r>
      <w:r>
        <w:t xml:space="preserve">from </w:t>
      </w:r>
      <w:r w:rsidR="00CA661F">
        <w:t>d</w:t>
      </w:r>
      <w:r>
        <w:t xml:space="preserve">isability </w:t>
      </w:r>
      <w:r w:rsidR="00CA661F">
        <w:t>e</w:t>
      </w:r>
      <w:r>
        <w:t xml:space="preserve">mployment </w:t>
      </w:r>
      <w:r w:rsidR="00CA661F">
        <w:t>s</w:t>
      </w:r>
      <w:r>
        <w:t xml:space="preserve">ervice providers, </w:t>
      </w:r>
      <w:r w:rsidR="00E82850">
        <w:t>group training organisations</w:t>
      </w:r>
      <w:r>
        <w:t>, TAFE</w:t>
      </w:r>
      <w:r w:rsidR="00E82850">
        <w:t xml:space="preserve"> (technical and further education)</w:t>
      </w:r>
      <w:r w:rsidR="00004BFD">
        <w:t xml:space="preserve"> institutes</w:t>
      </w:r>
      <w:r>
        <w:t>, and the employer. Informal support</w:t>
      </w:r>
      <w:r w:rsidR="00E82850">
        <w:t xml:space="preserve"> </w:t>
      </w:r>
      <w:r>
        <w:t>—</w:t>
      </w:r>
      <w:r w:rsidR="00E82850">
        <w:t xml:space="preserve"> </w:t>
      </w:r>
      <w:r>
        <w:t>that from friends, family and co-workers</w:t>
      </w:r>
      <w:r w:rsidR="00E82850">
        <w:t xml:space="preserve"> </w:t>
      </w:r>
      <w:r>
        <w:t>—</w:t>
      </w:r>
      <w:r w:rsidR="00E82850">
        <w:t xml:space="preserve"> </w:t>
      </w:r>
      <w:r w:rsidR="001A546B">
        <w:t xml:space="preserve">was also important, particularly </w:t>
      </w:r>
      <w:r>
        <w:t xml:space="preserve">when formal supports were inadequate. </w:t>
      </w:r>
    </w:p>
    <w:p w:rsidR="008C23F6" w:rsidRDefault="0099787C" w:rsidP="00B44D91">
      <w:pPr>
        <w:pStyle w:val="Text"/>
      </w:pPr>
      <w:r w:rsidRPr="00B44D91">
        <w:t xml:space="preserve">Only a small proportion of the research participants report that they have been supported jointly by both a </w:t>
      </w:r>
      <w:r w:rsidR="00CA661F">
        <w:t>d</w:t>
      </w:r>
      <w:r w:rsidRPr="00B44D91">
        <w:t xml:space="preserve">isability </w:t>
      </w:r>
      <w:r w:rsidR="00CA661F">
        <w:t>e</w:t>
      </w:r>
      <w:r w:rsidRPr="00B44D91">
        <w:t xml:space="preserve">mployment </w:t>
      </w:r>
      <w:r w:rsidR="00CA661F">
        <w:t>s</w:t>
      </w:r>
      <w:r w:rsidRPr="00B44D91">
        <w:t xml:space="preserve">ervice provider and a training organisation. Given the previous research showing the benefits of joint support, the authors </w:t>
      </w:r>
      <w:r w:rsidR="001A546B" w:rsidRPr="00B44D91">
        <w:t>advocate the formation of</w:t>
      </w:r>
      <w:r w:rsidRPr="00B44D91">
        <w:t xml:space="preserve"> such partnerships.  </w:t>
      </w:r>
    </w:p>
    <w:p w:rsidR="008C23F6" w:rsidRDefault="008C23F6" w:rsidP="00B44D91">
      <w:pPr>
        <w:pStyle w:val="Text"/>
      </w:pPr>
    </w:p>
    <w:p w:rsidR="00342FC3" w:rsidRPr="00B44D91" w:rsidRDefault="0099787C" w:rsidP="00B44D91">
      <w:pPr>
        <w:pStyle w:val="Text"/>
      </w:pPr>
      <w:r w:rsidRPr="00B44D91">
        <w:t>Tom Karmel</w:t>
      </w:r>
      <w:r w:rsidRPr="00B44D91">
        <w:br/>
        <w:t>Managing Director, NCVER</w:t>
      </w:r>
    </w:p>
    <w:p w:rsidR="00342FC3" w:rsidRDefault="00342FC3">
      <w:pPr>
        <w:spacing w:before="0" w:line="240" w:lineRule="auto"/>
      </w:pPr>
      <w:r>
        <w:br w:type="page"/>
      </w:r>
    </w:p>
    <w:p w:rsidR="00EF4171" w:rsidRDefault="00EF4171" w:rsidP="00EF4171">
      <w:pPr>
        <w:pStyle w:val="Contents"/>
        <w:sectPr w:rsidR="00EF4171">
          <w:pgSz w:w="11907" w:h="16840" w:code="9"/>
          <w:pgMar w:top="1276" w:right="1701" w:bottom="1276" w:left="1418" w:header="709" w:footer="556" w:gutter="0"/>
          <w:cols w:space="708"/>
          <w:docGrid w:linePitch="360"/>
        </w:sectPr>
      </w:pPr>
    </w:p>
    <w:p w:rsidR="00342FC3" w:rsidRDefault="00342FC3" w:rsidP="00EF4171">
      <w:pPr>
        <w:pStyle w:val="Contents"/>
      </w:pPr>
      <w:r>
        <w:lastRenderedPageBreak/>
        <w:t>Acknowledgments</w:t>
      </w:r>
    </w:p>
    <w:p w:rsidR="00342FC3" w:rsidRDefault="00342FC3" w:rsidP="00342FC3">
      <w:pPr>
        <w:pStyle w:val="Text"/>
      </w:pPr>
      <w:r>
        <w:t>The authors acknowledge the following significant contri</w:t>
      </w:r>
      <w:r w:rsidR="00AA19F8">
        <w:t>butors to this research project:</w:t>
      </w:r>
      <w:r>
        <w:t xml:space="preserve"> </w:t>
      </w:r>
    </w:p>
    <w:p w:rsidR="00342FC3" w:rsidRDefault="00AA4B54" w:rsidP="00342FC3">
      <w:pPr>
        <w:pStyle w:val="Dotpoint1"/>
      </w:pPr>
      <w:r>
        <w:t>t</w:t>
      </w:r>
      <w:r w:rsidR="00342FC3">
        <w:t xml:space="preserve">he other consortium members: Adjunct Associate Professor Dr Greg Lewis, Executive Director, EDGE Employment Solutions; Mr Jeff </w:t>
      </w:r>
      <w:proofErr w:type="spellStart"/>
      <w:r w:rsidR="00342FC3">
        <w:t>Priday</w:t>
      </w:r>
      <w:proofErr w:type="spellEnd"/>
      <w:r w:rsidR="00342FC3">
        <w:t xml:space="preserve">, National Projects Manager, Group Training Australia; and Dr Ken Baker, Chief Executive, National Disability Services </w:t>
      </w:r>
    </w:p>
    <w:p w:rsidR="00342FC3" w:rsidRDefault="00342FC3" w:rsidP="00342FC3">
      <w:pPr>
        <w:pStyle w:val="Dotpoint1"/>
      </w:pPr>
      <w:proofErr w:type="spellStart"/>
      <w:r>
        <w:t>Sunila</w:t>
      </w:r>
      <w:proofErr w:type="spellEnd"/>
      <w:r>
        <w:t xml:space="preserve"> Peterson</w:t>
      </w:r>
      <w:r w:rsidR="00004BFD">
        <w:t>,</w:t>
      </w:r>
      <w:r>
        <w:t xml:space="preserve"> who assisted with qualitative data analysis</w:t>
      </w:r>
    </w:p>
    <w:p w:rsidR="00342FC3" w:rsidRDefault="00AA4B54" w:rsidP="00AA4B54">
      <w:pPr>
        <w:pStyle w:val="Dotpoint1"/>
      </w:pPr>
      <w:r>
        <w:t>the staff, managers</w:t>
      </w:r>
      <w:r w:rsidR="00342FC3">
        <w:t xml:space="preserve"> and executives of the organisations </w:t>
      </w:r>
      <w:r>
        <w:t xml:space="preserve">who </w:t>
      </w:r>
      <w:r w:rsidR="00342FC3">
        <w:t>assist</w:t>
      </w:r>
      <w:r>
        <w:t>ed</w:t>
      </w:r>
      <w:r w:rsidR="00342FC3">
        <w:t xml:space="preserve"> the researchers </w:t>
      </w:r>
      <w:r>
        <w:t>to identify and contact</w:t>
      </w:r>
      <w:r w:rsidR="00342FC3">
        <w:t xml:space="preserve"> potential participants: </w:t>
      </w:r>
      <w:r w:rsidR="00CA661F">
        <w:t>disability employment services</w:t>
      </w:r>
      <w:r w:rsidR="00342FC3">
        <w:t>, group training organisations, re</w:t>
      </w:r>
      <w:r w:rsidR="00004BFD">
        <w:t>gistered training organisations</w:t>
      </w:r>
      <w:r w:rsidR="00342FC3">
        <w:t xml:space="preserve"> and </w:t>
      </w:r>
      <w:r>
        <w:t>state training authorities</w:t>
      </w:r>
    </w:p>
    <w:p w:rsidR="00342FC3" w:rsidRPr="006205F8" w:rsidRDefault="00AA4B54" w:rsidP="00342FC3">
      <w:pPr>
        <w:pStyle w:val="Dotpoint1"/>
      </w:pPr>
      <w:r>
        <w:t>e</w:t>
      </w:r>
      <w:r w:rsidR="00342FC3">
        <w:t>veryone else who assisted the research, particularly the participants, their family and support</w:t>
      </w:r>
      <w:r w:rsidR="00004BFD">
        <w:t>er</w:t>
      </w:r>
      <w:r w:rsidR="00342FC3">
        <w:t>s who contributed to the research, volunteered</w:t>
      </w:r>
      <w:r w:rsidR="00004BFD">
        <w:t xml:space="preserve"> information to the researchers</w:t>
      </w:r>
      <w:r w:rsidR="00342FC3">
        <w:t xml:space="preserve"> and assisted participants who required support to participate in the research</w:t>
      </w:r>
      <w:r>
        <w:t>.</w:t>
      </w:r>
    </w:p>
    <w:p w:rsidR="00342FC3" w:rsidRDefault="00342FC3" w:rsidP="00342FC3">
      <w:pPr>
        <w:pStyle w:val="Text"/>
      </w:pPr>
    </w:p>
    <w:p w:rsidR="00342FC3" w:rsidRDefault="00342FC3" w:rsidP="00342FC3">
      <w:pPr>
        <w:spacing w:before="0" w:line="240" w:lineRule="auto"/>
      </w:pPr>
      <w:r>
        <w:br w:type="page"/>
      </w:r>
    </w:p>
    <w:p w:rsidR="009E231A" w:rsidRPr="00DC5F5C" w:rsidRDefault="00FE4A2D" w:rsidP="00874DA5">
      <w:pPr>
        <w:pStyle w:val="Contents"/>
      </w:pPr>
      <w:bookmarkStart w:id="30" w:name="_Toc98394880"/>
      <w:bookmarkStart w:id="31" w:name="_Toc296423683"/>
      <w:bookmarkStart w:id="32" w:name="_Toc296497514"/>
      <w:r w:rsidRPr="00DC5F5C">
        <w:lastRenderedPageBreak/>
        <w:t>Contents</w:t>
      </w:r>
      <w:bookmarkEnd w:id="30"/>
      <w:bookmarkEnd w:id="31"/>
      <w:bookmarkEnd w:id="32"/>
    </w:p>
    <w:p w:rsidR="004C4603" w:rsidRDefault="009E2BC4">
      <w:pPr>
        <w:pStyle w:val="TOC1"/>
        <w:rPr>
          <w:rFonts w:asciiTheme="minorHAnsi" w:eastAsiaTheme="minorEastAsia" w:hAnsiTheme="minorHAnsi" w:cstheme="minorBidi"/>
          <w:color w:val="auto"/>
          <w:sz w:val="22"/>
          <w:szCs w:val="22"/>
          <w:lang w:eastAsia="en-AU"/>
        </w:rPr>
      </w:pPr>
      <w:r w:rsidRPr="009E2BC4">
        <w:rPr>
          <w:rFonts w:ascii="Avant Garde" w:hAnsi="Avant Garde"/>
        </w:rPr>
        <w:fldChar w:fldCharType="begin"/>
      </w:r>
      <w:r w:rsidR="00FE4A2D" w:rsidRPr="009775C7">
        <w:rPr>
          <w:rFonts w:ascii="Avant Garde" w:hAnsi="Avant Garde"/>
        </w:rPr>
        <w:instrText xml:space="preserve"> TOC \o "1-2" </w:instrText>
      </w:r>
      <w:r w:rsidRPr="009E2BC4">
        <w:rPr>
          <w:rFonts w:ascii="Avant Garde" w:hAnsi="Avant Garde"/>
        </w:rPr>
        <w:fldChar w:fldCharType="separate"/>
      </w:r>
      <w:r w:rsidR="004C4603">
        <w:t>Tables</w:t>
      </w:r>
      <w:r w:rsidR="004C4603">
        <w:tab/>
      </w:r>
      <w:r>
        <w:fldChar w:fldCharType="begin"/>
      </w:r>
      <w:r w:rsidR="004C4603">
        <w:instrText xml:space="preserve"> PAGEREF _Toc350259298 \h </w:instrText>
      </w:r>
      <w:r>
        <w:fldChar w:fldCharType="separate"/>
      </w:r>
      <w:r w:rsidR="0060201A">
        <w:t>6</w:t>
      </w:r>
      <w:r>
        <w:fldChar w:fldCharType="end"/>
      </w:r>
    </w:p>
    <w:p w:rsidR="004C4603" w:rsidRDefault="004C4603">
      <w:pPr>
        <w:pStyle w:val="TOC1"/>
        <w:rPr>
          <w:rFonts w:asciiTheme="minorHAnsi" w:eastAsiaTheme="minorEastAsia" w:hAnsiTheme="minorHAnsi" w:cstheme="minorBidi"/>
          <w:color w:val="auto"/>
          <w:sz w:val="22"/>
          <w:szCs w:val="22"/>
          <w:lang w:eastAsia="en-AU"/>
        </w:rPr>
      </w:pPr>
      <w:r>
        <w:t>Executive summary</w:t>
      </w:r>
      <w:r>
        <w:tab/>
      </w:r>
      <w:r w:rsidR="009E2BC4">
        <w:fldChar w:fldCharType="begin"/>
      </w:r>
      <w:r>
        <w:instrText xml:space="preserve"> PAGEREF _Toc350259299 \h </w:instrText>
      </w:r>
      <w:r w:rsidR="009E2BC4">
        <w:fldChar w:fldCharType="separate"/>
      </w:r>
      <w:r w:rsidR="0060201A">
        <w:t>7</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Introduction</w:t>
      </w:r>
      <w:r>
        <w:tab/>
      </w:r>
      <w:r w:rsidR="009E2BC4">
        <w:fldChar w:fldCharType="begin"/>
      </w:r>
      <w:r>
        <w:instrText xml:space="preserve"> PAGEREF _Toc350259300 \h </w:instrText>
      </w:r>
      <w:r w:rsidR="009E2BC4">
        <w:fldChar w:fldCharType="separate"/>
      </w:r>
      <w:r w:rsidR="0060201A">
        <w:t>10</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Background</w:t>
      </w:r>
      <w:r>
        <w:tab/>
      </w:r>
      <w:r w:rsidR="009E2BC4">
        <w:fldChar w:fldCharType="begin"/>
      </w:r>
      <w:r>
        <w:instrText xml:space="preserve"> PAGEREF _Toc350259301 \h </w:instrText>
      </w:r>
      <w:r w:rsidR="009E2BC4">
        <w:fldChar w:fldCharType="separate"/>
      </w:r>
      <w:r w:rsidR="0060201A">
        <w:t>11</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Methodology</w:t>
      </w:r>
      <w:r>
        <w:tab/>
      </w:r>
      <w:r w:rsidR="009E2BC4">
        <w:fldChar w:fldCharType="begin"/>
      </w:r>
      <w:r>
        <w:instrText xml:space="preserve"> PAGEREF _Toc350259302 \h </w:instrText>
      </w:r>
      <w:r w:rsidR="009E2BC4">
        <w:fldChar w:fldCharType="separate"/>
      </w:r>
      <w:r w:rsidR="0060201A">
        <w:t>14</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Participants and information gathering</w:t>
      </w:r>
      <w:r>
        <w:tab/>
      </w:r>
      <w:r w:rsidR="009E2BC4">
        <w:fldChar w:fldCharType="begin"/>
      </w:r>
      <w:r>
        <w:instrText xml:space="preserve"> PAGEREF _Toc350259303 \h </w:instrText>
      </w:r>
      <w:r w:rsidR="009E2BC4">
        <w:fldChar w:fldCharType="separate"/>
      </w:r>
      <w:r w:rsidR="0060201A">
        <w:t>14</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Data analysis</w:t>
      </w:r>
      <w:r>
        <w:tab/>
      </w:r>
      <w:r w:rsidR="009E2BC4">
        <w:fldChar w:fldCharType="begin"/>
      </w:r>
      <w:r>
        <w:instrText xml:space="preserve"> PAGEREF _Toc350259304 \h </w:instrText>
      </w:r>
      <w:r w:rsidR="009E2BC4">
        <w:fldChar w:fldCharType="separate"/>
      </w:r>
      <w:r w:rsidR="0060201A">
        <w:t>15</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Representativeness of participants</w:t>
      </w:r>
      <w:r>
        <w:tab/>
      </w:r>
      <w:r w:rsidR="009E2BC4">
        <w:fldChar w:fldCharType="begin"/>
      </w:r>
      <w:r>
        <w:instrText xml:space="preserve"> PAGEREF _Toc350259305 \h </w:instrText>
      </w:r>
      <w:r w:rsidR="009E2BC4">
        <w:fldChar w:fldCharType="separate"/>
      </w:r>
      <w:r w:rsidR="0060201A">
        <w:t>16</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Apprenticeships and traineeships</w:t>
      </w:r>
      <w:r>
        <w:tab/>
      </w:r>
      <w:r w:rsidR="009E2BC4">
        <w:fldChar w:fldCharType="begin"/>
      </w:r>
      <w:r>
        <w:instrText xml:space="preserve"> PAGEREF _Toc350259306 \h </w:instrText>
      </w:r>
      <w:r w:rsidR="009E2BC4">
        <w:fldChar w:fldCharType="separate"/>
      </w:r>
      <w:r w:rsidR="0060201A">
        <w:t>19</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Educational and training background</w:t>
      </w:r>
      <w:r>
        <w:tab/>
      </w:r>
      <w:r w:rsidR="009E2BC4">
        <w:fldChar w:fldCharType="begin"/>
      </w:r>
      <w:r>
        <w:instrText xml:space="preserve"> PAGEREF _Toc350259307 \h </w:instrText>
      </w:r>
      <w:r w:rsidR="009E2BC4">
        <w:fldChar w:fldCharType="separate"/>
      </w:r>
      <w:r w:rsidR="0060201A">
        <w:t>19</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Motives for undertaking an apprenticeship or traineeship</w:t>
      </w:r>
      <w:r>
        <w:tab/>
      </w:r>
      <w:r w:rsidR="009E2BC4">
        <w:fldChar w:fldCharType="begin"/>
      </w:r>
      <w:r>
        <w:instrText xml:space="preserve"> PAGEREF _Toc350259308 \h </w:instrText>
      </w:r>
      <w:r w:rsidR="009E2BC4">
        <w:fldChar w:fldCharType="separate"/>
      </w:r>
      <w:r w:rsidR="0060201A">
        <w:t>20</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Barriers and facilitators</w:t>
      </w:r>
      <w:r>
        <w:tab/>
      </w:r>
      <w:r w:rsidR="009E2BC4">
        <w:fldChar w:fldCharType="begin"/>
      </w:r>
      <w:r>
        <w:instrText xml:space="preserve"> PAGEREF _Toc350259309 \h </w:instrText>
      </w:r>
      <w:r w:rsidR="009E2BC4">
        <w:fldChar w:fldCharType="separate"/>
      </w:r>
      <w:r w:rsidR="0060201A">
        <w:t>22</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Overview</w:t>
      </w:r>
      <w:r>
        <w:tab/>
      </w:r>
      <w:r w:rsidR="009E2BC4">
        <w:fldChar w:fldCharType="begin"/>
      </w:r>
      <w:r>
        <w:instrText xml:space="preserve"> PAGEREF _Toc350259310 \h </w:instrText>
      </w:r>
      <w:r w:rsidR="009E2BC4">
        <w:fldChar w:fldCharType="separate"/>
      </w:r>
      <w:r w:rsidR="0060201A">
        <w:t>22</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Resources</w:t>
      </w:r>
      <w:r>
        <w:tab/>
      </w:r>
      <w:r w:rsidR="009E2BC4">
        <w:fldChar w:fldCharType="begin"/>
      </w:r>
      <w:r>
        <w:instrText xml:space="preserve"> PAGEREF _Toc350259311 \h </w:instrText>
      </w:r>
      <w:r w:rsidR="009E2BC4">
        <w:fldChar w:fldCharType="separate"/>
      </w:r>
      <w:r w:rsidR="0060201A">
        <w:t>24</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Disability, health and injury</w:t>
      </w:r>
      <w:r>
        <w:tab/>
      </w:r>
      <w:r w:rsidR="009E2BC4">
        <w:fldChar w:fldCharType="begin"/>
      </w:r>
      <w:r>
        <w:instrText xml:space="preserve"> PAGEREF _Toc350259312 \h </w:instrText>
      </w:r>
      <w:r w:rsidR="009E2BC4">
        <w:fldChar w:fldCharType="separate"/>
      </w:r>
      <w:r w:rsidR="0060201A">
        <w:t>24</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Employment factors</w:t>
      </w:r>
      <w:r>
        <w:tab/>
      </w:r>
      <w:r w:rsidR="009E2BC4">
        <w:fldChar w:fldCharType="begin"/>
      </w:r>
      <w:r>
        <w:instrText xml:space="preserve"> PAGEREF _Toc350259313 \h </w:instrText>
      </w:r>
      <w:r w:rsidR="009E2BC4">
        <w:fldChar w:fldCharType="separate"/>
      </w:r>
      <w:r w:rsidR="0060201A">
        <w:t>25</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Training and educational factors</w:t>
      </w:r>
      <w:r>
        <w:tab/>
      </w:r>
      <w:r w:rsidR="009E2BC4">
        <w:fldChar w:fldCharType="begin"/>
      </w:r>
      <w:r>
        <w:instrText xml:space="preserve"> PAGEREF _Toc350259314 \h </w:instrText>
      </w:r>
      <w:r w:rsidR="009E2BC4">
        <w:fldChar w:fldCharType="separate"/>
      </w:r>
      <w:r w:rsidR="0060201A">
        <w:t>27</w:t>
      </w:r>
      <w:r w:rsidR="009E2BC4">
        <w:fldChar w:fldCharType="end"/>
      </w:r>
    </w:p>
    <w:p w:rsidR="004C4603" w:rsidRDefault="004C4603">
      <w:pPr>
        <w:pStyle w:val="TOC2"/>
        <w:rPr>
          <w:rFonts w:asciiTheme="minorHAnsi" w:eastAsiaTheme="minorEastAsia" w:hAnsiTheme="minorHAnsi" w:cstheme="minorBidi"/>
          <w:color w:val="auto"/>
          <w:sz w:val="22"/>
          <w:szCs w:val="22"/>
          <w:lang w:eastAsia="en-AU"/>
        </w:rPr>
      </w:pPr>
      <w:r>
        <w:t>Motivations, experience and networks</w:t>
      </w:r>
      <w:r>
        <w:tab/>
      </w:r>
      <w:r w:rsidR="009E2BC4">
        <w:fldChar w:fldCharType="begin"/>
      </w:r>
      <w:r>
        <w:instrText xml:space="preserve"> PAGEREF _Toc350259315 \h </w:instrText>
      </w:r>
      <w:r w:rsidR="009E2BC4">
        <w:fldChar w:fldCharType="separate"/>
      </w:r>
      <w:r w:rsidR="0060201A">
        <w:t>28</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Enhancing support structures</w:t>
      </w:r>
      <w:r>
        <w:tab/>
      </w:r>
      <w:r w:rsidR="009E2BC4">
        <w:fldChar w:fldCharType="begin"/>
      </w:r>
      <w:r>
        <w:instrText xml:space="preserve"> PAGEREF _Toc350259316 \h </w:instrText>
      </w:r>
      <w:r w:rsidR="009E2BC4">
        <w:fldChar w:fldCharType="separate"/>
      </w:r>
      <w:r w:rsidR="0060201A">
        <w:t>30</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Conclusions</w:t>
      </w:r>
      <w:r>
        <w:tab/>
      </w:r>
      <w:r w:rsidR="009E2BC4">
        <w:fldChar w:fldCharType="begin"/>
      </w:r>
      <w:r>
        <w:instrText xml:space="preserve"> PAGEREF _Toc350259317 \h </w:instrText>
      </w:r>
      <w:r w:rsidR="009E2BC4">
        <w:fldChar w:fldCharType="separate"/>
      </w:r>
      <w:r w:rsidR="0060201A">
        <w:t>32</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References</w:t>
      </w:r>
      <w:r>
        <w:tab/>
      </w:r>
      <w:r w:rsidR="009E2BC4">
        <w:fldChar w:fldCharType="begin"/>
      </w:r>
      <w:r>
        <w:instrText xml:space="preserve"> PAGEREF _Toc350259318 \h </w:instrText>
      </w:r>
      <w:r w:rsidR="009E2BC4">
        <w:fldChar w:fldCharType="separate"/>
      </w:r>
      <w:r w:rsidR="0060201A">
        <w:t>34</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Appendix A</w:t>
      </w:r>
      <w:r>
        <w:tab/>
      </w:r>
      <w:r w:rsidR="009E2BC4">
        <w:fldChar w:fldCharType="begin"/>
      </w:r>
      <w:r>
        <w:instrText xml:space="preserve"> PAGEREF _Toc350259319 \h </w:instrText>
      </w:r>
      <w:r w:rsidR="009E2BC4">
        <w:fldChar w:fldCharType="separate"/>
      </w:r>
      <w:r w:rsidR="0060201A">
        <w:t>36</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Appendix B</w:t>
      </w:r>
      <w:r>
        <w:tab/>
      </w:r>
      <w:r w:rsidR="009E2BC4">
        <w:fldChar w:fldCharType="begin"/>
      </w:r>
      <w:r>
        <w:instrText xml:space="preserve"> PAGEREF _Toc350259320 \h </w:instrText>
      </w:r>
      <w:r w:rsidR="009E2BC4">
        <w:fldChar w:fldCharType="separate"/>
      </w:r>
      <w:r w:rsidR="0060201A">
        <w:t>37</w:t>
      </w:r>
      <w:r w:rsidR="009E2BC4">
        <w:fldChar w:fldCharType="end"/>
      </w:r>
    </w:p>
    <w:p w:rsidR="004C4603" w:rsidRDefault="004C4603">
      <w:pPr>
        <w:pStyle w:val="TOC1"/>
        <w:rPr>
          <w:rFonts w:asciiTheme="minorHAnsi" w:eastAsiaTheme="minorEastAsia" w:hAnsiTheme="minorHAnsi" w:cstheme="minorBidi"/>
          <w:color w:val="auto"/>
          <w:sz w:val="22"/>
          <w:szCs w:val="22"/>
          <w:lang w:eastAsia="en-AU"/>
        </w:rPr>
      </w:pPr>
      <w:r>
        <w:t>NVETR Program funding</w:t>
      </w:r>
      <w:r>
        <w:tab/>
      </w:r>
      <w:r w:rsidR="009E2BC4">
        <w:fldChar w:fldCharType="begin"/>
      </w:r>
      <w:r>
        <w:instrText xml:space="preserve"> PAGEREF _Toc350259321 \h </w:instrText>
      </w:r>
      <w:r w:rsidR="009E2BC4">
        <w:fldChar w:fldCharType="separate"/>
      </w:r>
      <w:r w:rsidR="0060201A">
        <w:t>38</w:t>
      </w:r>
      <w:r w:rsidR="009E2BC4">
        <w:fldChar w:fldCharType="end"/>
      </w:r>
    </w:p>
    <w:p w:rsidR="004E7227" w:rsidRDefault="009E2BC4"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33" w:name="_Toc345667779"/>
      <w:bookmarkStart w:id="34" w:name="_Toc350259298"/>
      <w:r>
        <w:lastRenderedPageBreak/>
        <w:t>Tables</w:t>
      </w:r>
      <w:bookmarkEnd w:id="33"/>
      <w:bookmarkEnd w:id="34"/>
    </w:p>
    <w:p w:rsidR="000B4049" w:rsidRDefault="009E2BC4">
      <w:pPr>
        <w:pStyle w:val="TableofFigures"/>
        <w:tabs>
          <w:tab w:val="left" w:pos="880"/>
        </w:tabs>
        <w:rPr>
          <w:rFonts w:asciiTheme="minorHAnsi" w:eastAsiaTheme="minorEastAsia" w:hAnsiTheme="minorHAnsi" w:cstheme="minorBidi"/>
          <w:color w:val="auto"/>
          <w:sz w:val="22"/>
          <w:szCs w:val="22"/>
          <w:lang w:eastAsia="en-AU"/>
        </w:rPr>
      </w:pPr>
      <w:r w:rsidRPr="009E2BC4">
        <w:fldChar w:fldCharType="begin"/>
      </w:r>
      <w:r w:rsidR="004E7227">
        <w:instrText xml:space="preserve"> TOC \f F \t "tabletitle" \c </w:instrText>
      </w:r>
      <w:r w:rsidRPr="009E2BC4">
        <w:fldChar w:fldCharType="separate"/>
      </w:r>
      <w:r w:rsidR="000B4049">
        <w:t>1</w:t>
      </w:r>
      <w:r w:rsidR="000B4049">
        <w:rPr>
          <w:rFonts w:asciiTheme="minorHAnsi" w:eastAsiaTheme="minorEastAsia" w:hAnsiTheme="minorHAnsi" w:cstheme="minorBidi"/>
          <w:color w:val="auto"/>
          <w:sz w:val="22"/>
          <w:szCs w:val="22"/>
          <w:lang w:eastAsia="en-AU"/>
        </w:rPr>
        <w:tab/>
      </w:r>
      <w:r w:rsidR="000B4049">
        <w:t>Participant recruitment</w:t>
      </w:r>
      <w:r w:rsidR="000B4049">
        <w:tab/>
      </w:r>
      <w:r>
        <w:fldChar w:fldCharType="begin"/>
      </w:r>
      <w:r w:rsidR="000B4049">
        <w:instrText xml:space="preserve"> PAGEREF _Toc350259525 \h </w:instrText>
      </w:r>
      <w:r>
        <w:fldChar w:fldCharType="separate"/>
      </w:r>
      <w:r w:rsidR="0060201A">
        <w:t>15</w:t>
      </w:r>
      <w:r>
        <w:fldChar w:fldCharType="end"/>
      </w:r>
    </w:p>
    <w:p w:rsidR="000B4049" w:rsidRDefault="000B4049">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Gender, age and state/territory of residence</w:t>
      </w:r>
      <w:r>
        <w:tab/>
      </w:r>
      <w:r w:rsidR="009E2BC4">
        <w:fldChar w:fldCharType="begin"/>
      </w:r>
      <w:r>
        <w:instrText xml:space="preserve"> PAGEREF _Toc350259526 \h </w:instrText>
      </w:r>
      <w:r w:rsidR="009E2BC4">
        <w:fldChar w:fldCharType="separate"/>
      </w:r>
      <w:r w:rsidR="0060201A">
        <w:t>17</w:t>
      </w:r>
      <w:r w:rsidR="009E2BC4">
        <w:fldChar w:fldCharType="end"/>
      </w:r>
    </w:p>
    <w:p w:rsidR="000B4049" w:rsidRDefault="000B4049">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Main and additional disabilities</w:t>
      </w:r>
      <w:r>
        <w:tab/>
      </w:r>
      <w:r w:rsidR="009E2BC4">
        <w:fldChar w:fldCharType="begin"/>
      </w:r>
      <w:r>
        <w:instrText xml:space="preserve"> PAGEREF _Toc350259527 \h </w:instrText>
      </w:r>
      <w:r w:rsidR="009E2BC4">
        <w:fldChar w:fldCharType="separate"/>
      </w:r>
      <w:r w:rsidR="0060201A">
        <w:t>18</w:t>
      </w:r>
      <w:r w:rsidR="009E2BC4">
        <w:fldChar w:fldCharType="end"/>
      </w:r>
    </w:p>
    <w:p w:rsidR="000B4049" w:rsidRDefault="000B4049">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High school, certificate level, full-time status and VET in Schools</w:t>
      </w:r>
      <w:r>
        <w:tab/>
      </w:r>
      <w:r w:rsidR="009E2BC4">
        <w:fldChar w:fldCharType="begin"/>
      </w:r>
      <w:r>
        <w:instrText xml:space="preserve"> PAGEREF _Toc350259528 \h </w:instrText>
      </w:r>
      <w:r w:rsidR="009E2BC4">
        <w:fldChar w:fldCharType="separate"/>
      </w:r>
      <w:r w:rsidR="0060201A">
        <w:t>19</w:t>
      </w:r>
      <w:r w:rsidR="009E2BC4">
        <w:fldChar w:fldCharType="end"/>
      </w:r>
    </w:p>
    <w:p w:rsidR="000B4049" w:rsidRDefault="000B4049">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Apprenticeship and traineeship areas</w:t>
      </w:r>
      <w:r>
        <w:tab/>
      </w:r>
      <w:r w:rsidR="009E2BC4">
        <w:fldChar w:fldCharType="begin"/>
      </w:r>
      <w:r>
        <w:instrText xml:space="preserve"> PAGEREF _Toc350259529 \h </w:instrText>
      </w:r>
      <w:r w:rsidR="009E2BC4">
        <w:fldChar w:fldCharType="separate"/>
      </w:r>
      <w:r w:rsidR="0060201A">
        <w:t>21</w:t>
      </w:r>
      <w:r w:rsidR="009E2BC4">
        <w:fldChar w:fldCharType="end"/>
      </w:r>
    </w:p>
    <w:p w:rsidR="000B4049" w:rsidRDefault="000B4049">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Motives for doing the apprenticeship or traineeship</w:t>
      </w:r>
      <w:r>
        <w:tab/>
      </w:r>
      <w:r w:rsidR="009E2BC4">
        <w:fldChar w:fldCharType="begin"/>
      </w:r>
      <w:r>
        <w:instrText xml:space="preserve"> PAGEREF _Toc350259530 \h </w:instrText>
      </w:r>
      <w:r w:rsidR="009E2BC4">
        <w:fldChar w:fldCharType="separate"/>
      </w:r>
      <w:r w:rsidR="0060201A">
        <w:t>21</w:t>
      </w:r>
      <w:r w:rsidR="009E2BC4">
        <w:fldChar w:fldCharType="end"/>
      </w:r>
    </w:p>
    <w:p w:rsidR="000B4049" w:rsidRDefault="000B4049">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Barriers to course completion</w:t>
      </w:r>
      <w:r>
        <w:tab/>
      </w:r>
      <w:r w:rsidR="009E2BC4">
        <w:fldChar w:fldCharType="begin"/>
      </w:r>
      <w:r>
        <w:instrText xml:space="preserve"> PAGEREF _Toc350259531 \h </w:instrText>
      </w:r>
      <w:r w:rsidR="009E2BC4">
        <w:fldChar w:fldCharType="separate"/>
      </w:r>
      <w:r w:rsidR="0060201A">
        <w:t>22</w:t>
      </w:r>
      <w:r w:rsidR="009E2BC4">
        <w:fldChar w:fldCharType="end"/>
      </w:r>
    </w:p>
    <w:p w:rsidR="000B4049" w:rsidRDefault="000B4049">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Facilitators for course completion</w:t>
      </w:r>
      <w:r>
        <w:tab/>
      </w:r>
      <w:r w:rsidR="009E2BC4">
        <w:fldChar w:fldCharType="begin"/>
      </w:r>
      <w:r>
        <w:instrText xml:space="preserve"> PAGEREF _Toc350259532 \h </w:instrText>
      </w:r>
      <w:r w:rsidR="009E2BC4">
        <w:fldChar w:fldCharType="separate"/>
      </w:r>
      <w:r w:rsidR="0060201A">
        <w:t>23</w:t>
      </w:r>
      <w:r w:rsidR="009E2BC4">
        <w:fldChar w:fldCharType="end"/>
      </w:r>
    </w:p>
    <w:p w:rsidR="000B4049" w:rsidRDefault="000B4049">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Sources of supports</w:t>
      </w:r>
      <w:r>
        <w:tab/>
      </w:r>
      <w:r w:rsidR="009E2BC4">
        <w:fldChar w:fldCharType="begin"/>
      </w:r>
      <w:r>
        <w:instrText xml:space="preserve"> PAGEREF _Toc350259533 \h </w:instrText>
      </w:r>
      <w:r w:rsidR="009E2BC4">
        <w:fldChar w:fldCharType="separate"/>
      </w:r>
      <w:r w:rsidR="0060201A">
        <w:t>23</w:t>
      </w:r>
      <w:r w:rsidR="009E2BC4">
        <w:fldChar w:fldCharType="end"/>
      </w:r>
    </w:p>
    <w:p w:rsidR="000B4049" w:rsidRDefault="000B4049">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Subthemes in the barriers to course completion</w:t>
      </w:r>
      <w:r>
        <w:tab/>
      </w:r>
      <w:r w:rsidR="009E2BC4">
        <w:fldChar w:fldCharType="begin"/>
      </w:r>
      <w:r>
        <w:instrText xml:space="preserve"> PAGEREF _Toc350259534 \h </w:instrText>
      </w:r>
      <w:r w:rsidR="009E2BC4">
        <w:fldChar w:fldCharType="separate"/>
      </w:r>
      <w:r w:rsidR="0060201A">
        <w:t>36</w:t>
      </w:r>
      <w:r w:rsidR="009E2BC4">
        <w:fldChar w:fldCharType="end"/>
      </w:r>
    </w:p>
    <w:p w:rsidR="000B4049" w:rsidRDefault="000B4049">
      <w:pPr>
        <w:pStyle w:val="TableofFigures"/>
        <w:tabs>
          <w:tab w:val="left" w:pos="1100"/>
        </w:tabs>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t>Subthemes in the facilitators to course completion</w:t>
      </w:r>
      <w:r>
        <w:tab/>
      </w:r>
      <w:r w:rsidR="009E2BC4">
        <w:fldChar w:fldCharType="begin"/>
      </w:r>
      <w:r>
        <w:instrText xml:space="preserve"> PAGEREF _Toc350259535 \h </w:instrText>
      </w:r>
      <w:r w:rsidR="009E2BC4">
        <w:fldChar w:fldCharType="separate"/>
      </w:r>
      <w:r w:rsidR="0060201A">
        <w:t>37</w:t>
      </w:r>
      <w:r w:rsidR="009E2BC4">
        <w:fldChar w:fldCharType="end"/>
      </w:r>
    </w:p>
    <w:p w:rsidR="004E7227" w:rsidRDefault="009E2BC4" w:rsidP="00696EED">
      <w:pPr>
        <w:pStyle w:val="Heading2"/>
      </w:pPr>
      <w:r>
        <w:fldChar w:fldCharType="end"/>
      </w:r>
      <w:r w:rsidR="00696EED">
        <w:t xml:space="preserve"> </w:t>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Pr="00FA045D" w:rsidRDefault="00087E28" w:rsidP="008C0A74">
      <w:pPr>
        <w:pStyle w:val="Heading1"/>
      </w:pPr>
      <w:bookmarkStart w:id="35" w:name="_Toc350259299"/>
      <w:r w:rsidRPr="00FA045D">
        <w:lastRenderedPageBreak/>
        <w:t>Executive summary</w:t>
      </w:r>
      <w:bookmarkEnd w:id="35"/>
    </w:p>
    <w:p w:rsidR="004139F5" w:rsidRDefault="00F44608" w:rsidP="00004BFD">
      <w:pPr>
        <w:pStyle w:val="Text"/>
      </w:pPr>
      <w:bookmarkStart w:id="36" w:name="_Toc296423685"/>
      <w:bookmarkStart w:id="37" w:name="_Toc296497519"/>
      <w:bookmarkStart w:id="38" w:name="_Toc298162804"/>
      <w:r>
        <w:t xml:space="preserve">People with disabilities </w:t>
      </w:r>
      <w:r w:rsidR="00266651">
        <w:t xml:space="preserve">can </w:t>
      </w:r>
      <w:r>
        <w:t xml:space="preserve">experience social and economic exclusion (Australian Government 2009; </w:t>
      </w:r>
      <w:r w:rsidR="00240831">
        <w:t>Department of Families, Housing, Community Services and Indigenous Affairs</w:t>
      </w:r>
      <w:r w:rsidR="00004BFD">
        <w:t xml:space="preserve"> 2011). Moreover t</w:t>
      </w:r>
      <w:r w:rsidR="0029309E">
        <w:t>here is low participation in the labour market by peop</w:t>
      </w:r>
      <w:r w:rsidR="00685CD6">
        <w:t>le with disabilities</w:t>
      </w:r>
      <w:r w:rsidR="00004BFD">
        <w:t>,</w:t>
      </w:r>
      <w:r w:rsidR="00685CD6">
        <w:t xml:space="preserve"> despite </w:t>
      </w:r>
      <w:r w:rsidR="00240831">
        <w:t xml:space="preserve">recognition of the role of employment in reducing </w:t>
      </w:r>
      <w:r w:rsidR="0029309E">
        <w:t>social exclusion</w:t>
      </w:r>
      <w:r w:rsidR="00240831">
        <w:t xml:space="preserve"> </w:t>
      </w:r>
      <w:r w:rsidR="0029309E">
        <w:t>(ABS 2009, 2010b, 2</w:t>
      </w:r>
      <w:r w:rsidR="00A5244B">
        <w:t>011; Australian Government 2009</w:t>
      </w:r>
      <w:r w:rsidR="0029309E">
        <w:t xml:space="preserve">; OECD 2003, 2007, 2010, 2012). </w:t>
      </w:r>
      <w:r>
        <w:t xml:space="preserve">Apprenticeships and traineeships </w:t>
      </w:r>
      <w:r w:rsidR="00266651">
        <w:t xml:space="preserve">have been shown to be </w:t>
      </w:r>
      <w:r>
        <w:t>beneficial pathways for people with disabilities</w:t>
      </w:r>
      <w:r w:rsidR="00240831">
        <w:t>,</w:t>
      </w:r>
      <w:r>
        <w:t xml:space="preserve"> </w:t>
      </w:r>
      <w:r w:rsidR="00240831">
        <w:t xml:space="preserve">particularly for people with intellectual and learning disabilities (Lewis, </w:t>
      </w:r>
      <w:proofErr w:type="spellStart"/>
      <w:r w:rsidR="00240831">
        <w:t>Thoresen</w:t>
      </w:r>
      <w:proofErr w:type="spellEnd"/>
      <w:r w:rsidR="00240831">
        <w:t xml:space="preserve"> &amp; Cocks 2011a, 2011b)</w:t>
      </w:r>
      <w:r w:rsidR="00004BFD">
        <w:t>,</w:t>
      </w:r>
      <w:r w:rsidR="00240831">
        <w:t xml:space="preserve"> </w:t>
      </w:r>
      <w:r w:rsidR="00004BFD">
        <w:t>for</w:t>
      </w:r>
      <w:r>
        <w:t xml:space="preserve"> obtain</w:t>
      </w:r>
      <w:r w:rsidR="00004BFD">
        <w:t>ing</w:t>
      </w:r>
      <w:r>
        <w:t xml:space="preserve"> qualifications and employment as they combine training and education with practical </w:t>
      </w:r>
      <w:r w:rsidR="00004BFD">
        <w:t>work</w:t>
      </w:r>
      <w:r>
        <w:t>.</w:t>
      </w:r>
      <w:r w:rsidR="0027002E">
        <w:t xml:space="preserve"> Although </w:t>
      </w:r>
      <w:r w:rsidR="00004BFD">
        <w:t xml:space="preserve">the </w:t>
      </w:r>
      <w:r w:rsidR="0027002E">
        <w:t>outcomes among apprenticeship and traineeship graduates with disabilities are similar to graduates without disabilit</w:t>
      </w:r>
      <w:r w:rsidR="00240831">
        <w:t>ies</w:t>
      </w:r>
      <w:r w:rsidR="0027002E">
        <w:t xml:space="preserve"> (Ball &amp; John 2005)</w:t>
      </w:r>
      <w:r w:rsidR="00004BFD">
        <w:t>,</w:t>
      </w:r>
      <w:r w:rsidR="0027002E">
        <w:t xml:space="preserve"> people with disabilities are less likely to underta</w:t>
      </w:r>
      <w:r w:rsidR="00770429">
        <w:t>ke</w:t>
      </w:r>
      <w:r w:rsidR="0027002E">
        <w:t xml:space="preserve"> and complete apprenticeship</w:t>
      </w:r>
      <w:r w:rsidR="00F37D80">
        <w:t>s</w:t>
      </w:r>
      <w:r w:rsidR="0027002E">
        <w:t xml:space="preserve"> and traineeship</w:t>
      </w:r>
      <w:r w:rsidR="00F37D80">
        <w:t>s</w:t>
      </w:r>
      <w:r w:rsidR="0027002E">
        <w:t xml:space="preserve"> than their peers without disabilit</w:t>
      </w:r>
      <w:r w:rsidR="00240831">
        <w:t>ies</w:t>
      </w:r>
      <w:r w:rsidR="0027002E">
        <w:t xml:space="preserve"> (ANTA 2000; </w:t>
      </w:r>
      <w:proofErr w:type="spellStart"/>
      <w:r w:rsidR="0027002E">
        <w:t>Bagshaw</w:t>
      </w:r>
      <w:proofErr w:type="spellEnd"/>
      <w:r w:rsidR="0027002E">
        <w:t xml:space="preserve"> &amp; Fowler; Cavallaro et al 2005; Griffin &amp; Beddie 2011; NCVER 2011c; </w:t>
      </w:r>
      <w:r w:rsidR="007E610B">
        <w:t>National VET Equity Advisory Council</w:t>
      </w:r>
      <w:r w:rsidR="0027002E">
        <w:t xml:space="preserve"> 2011). </w:t>
      </w:r>
      <w:r w:rsidR="006F34B9">
        <w:t xml:space="preserve">This research report </w:t>
      </w:r>
      <w:r w:rsidR="00770429">
        <w:t xml:space="preserve">identifies </w:t>
      </w:r>
      <w:r w:rsidR="00004BFD">
        <w:t xml:space="preserve">the </w:t>
      </w:r>
      <w:r w:rsidR="00770429">
        <w:t>barriers</w:t>
      </w:r>
      <w:r w:rsidR="008358AD">
        <w:t xml:space="preserve"> </w:t>
      </w:r>
      <w:r w:rsidR="00004BFD">
        <w:t xml:space="preserve">to </w:t>
      </w:r>
      <w:r w:rsidR="008358AD">
        <w:t xml:space="preserve">and facilitators </w:t>
      </w:r>
      <w:r w:rsidR="00004BFD">
        <w:t>of</w:t>
      </w:r>
      <w:r w:rsidR="008358AD">
        <w:t xml:space="preserve"> course completion</w:t>
      </w:r>
      <w:r w:rsidR="00004BFD">
        <w:t>,</w:t>
      </w:r>
      <w:r w:rsidR="00226207">
        <w:t xml:space="preserve"> as reported</w:t>
      </w:r>
      <w:r w:rsidR="006F34B9">
        <w:t xml:space="preserve"> by apprentice</w:t>
      </w:r>
      <w:r w:rsidR="000C5BFE">
        <w:t>ship</w:t>
      </w:r>
      <w:r w:rsidR="006F34B9">
        <w:t xml:space="preserve"> and traineeship graduates.</w:t>
      </w:r>
    </w:p>
    <w:p w:rsidR="00E23304" w:rsidRDefault="006F34B9" w:rsidP="007E610B">
      <w:pPr>
        <w:pStyle w:val="Text"/>
      </w:pPr>
      <w:r>
        <w:t xml:space="preserve">The report is drawn </w:t>
      </w:r>
      <w:r w:rsidR="007E610B">
        <w:t>from the first-year survey of a three-</w:t>
      </w:r>
      <w:r w:rsidR="00FA045D" w:rsidRPr="00FA045D">
        <w:t xml:space="preserve">year longitudinal study into </w:t>
      </w:r>
      <w:r w:rsidR="007E610B">
        <w:t xml:space="preserve">the </w:t>
      </w:r>
      <w:r w:rsidR="00FA045D" w:rsidRPr="00FA045D">
        <w:t xml:space="preserve">social and economic outcomes of apprenticeship and traineeship graduates with disabilities. A total of 404 graduates with disabilities completed the survey. Face-to-face interviews were also carried out with 30 volunteers </w:t>
      </w:r>
      <w:r>
        <w:t>from</w:t>
      </w:r>
      <w:r w:rsidR="00FA045D" w:rsidRPr="00FA045D">
        <w:t xml:space="preserve"> the survey participants. A smaller group of </w:t>
      </w:r>
      <w:r>
        <w:t xml:space="preserve">85 </w:t>
      </w:r>
      <w:r w:rsidR="00FA045D" w:rsidRPr="00FA045D">
        <w:t>apprenticeship and traineeship graduates without disabilit</w:t>
      </w:r>
      <w:r w:rsidR="007E610B">
        <w:t>ies</w:t>
      </w:r>
      <w:r w:rsidR="00FA045D" w:rsidRPr="00FA045D">
        <w:t xml:space="preserve"> was also surveyed as a comparison group. </w:t>
      </w:r>
      <w:r w:rsidR="00E23304">
        <w:t>Participants were recruited in two stages. Apprentices and trainees with disab</w:t>
      </w:r>
      <w:r w:rsidR="007E610B">
        <w:t>ilities who graduated in 2009—</w:t>
      </w:r>
      <w:r w:rsidR="00E23304">
        <w:t xml:space="preserve">11 were recruited </w:t>
      </w:r>
      <w:r w:rsidR="007E610B">
        <w:t xml:space="preserve">during the second half of 2011 </w:t>
      </w:r>
      <w:r w:rsidR="00E23304">
        <w:t xml:space="preserve">through </w:t>
      </w:r>
      <w:r w:rsidR="00CA661F">
        <w:t>disability employment services</w:t>
      </w:r>
      <w:r w:rsidR="00E23304">
        <w:t xml:space="preserve"> (DES), </w:t>
      </w:r>
      <w:r w:rsidR="007E610B">
        <w:t xml:space="preserve">group training organisations </w:t>
      </w:r>
      <w:r w:rsidR="00E23304">
        <w:t xml:space="preserve">(GTOs), </w:t>
      </w:r>
      <w:r w:rsidR="007E610B">
        <w:t>registered training organisations</w:t>
      </w:r>
      <w:r w:rsidR="00E23304">
        <w:t xml:space="preserve"> (RTOs) such as TAFE</w:t>
      </w:r>
      <w:r w:rsidR="007E610B">
        <w:t xml:space="preserve"> institute</w:t>
      </w:r>
      <w:r w:rsidR="00E23304">
        <w:t xml:space="preserve">s, </w:t>
      </w:r>
      <w:r w:rsidR="000D410B">
        <w:t xml:space="preserve">and </w:t>
      </w:r>
      <w:r w:rsidR="007E610B">
        <w:t>state training authorities</w:t>
      </w:r>
      <w:r w:rsidR="000D410B">
        <w:t>. Graduates without disabilit</w:t>
      </w:r>
      <w:r w:rsidR="007E610B">
        <w:t>ies</w:t>
      </w:r>
      <w:r w:rsidR="000D410B">
        <w:t xml:space="preserve"> were recruited for the comparison group in early 2012 through </w:t>
      </w:r>
      <w:r w:rsidR="007E610B">
        <w:t>group training organisations</w:t>
      </w:r>
      <w:r w:rsidR="000D410B">
        <w:t>. The two</w:t>
      </w:r>
      <w:r>
        <w:t>-</w:t>
      </w:r>
      <w:r w:rsidR="000D410B">
        <w:t>staged participant recruitment approach enabled the researchers to stratify potential participants in the comparison group according to gender, age, and apprenticeship or traineeship</w:t>
      </w:r>
      <w:r w:rsidR="00CD0D65">
        <w:t xml:space="preserve"> completion </w:t>
      </w:r>
      <w:r w:rsidR="002F6436">
        <w:t xml:space="preserve">to the proportions among participants in </w:t>
      </w:r>
      <w:r w:rsidR="00CD0D65">
        <w:t xml:space="preserve">the disability </w:t>
      </w:r>
      <w:r w:rsidR="002F6436">
        <w:t>group</w:t>
      </w:r>
      <w:r w:rsidR="000D410B">
        <w:t xml:space="preserve">. </w:t>
      </w:r>
      <w:r w:rsidR="00C058BB">
        <w:t>Satisfactory matches across these variables were reach</w:t>
      </w:r>
      <w:r w:rsidR="00F90093">
        <w:t>ed</w:t>
      </w:r>
      <w:r w:rsidR="00C058BB">
        <w:t xml:space="preserve"> between the </w:t>
      </w:r>
      <w:r w:rsidR="002F6436">
        <w:t>two</w:t>
      </w:r>
      <w:r w:rsidR="00C058BB">
        <w:t xml:space="preserve"> group</w:t>
      </w:r>
      <w:r w:rsidR="00CD0D65">
        <w:t>s</w:t>
      </w:r>
      <w:r w:rsidR="00C058BB">
        <w:t>.</w:t>
      </w:r>
    </w:p>
    <w:p w:rsidR="00096EB1" w:rsidRDefault="00096EB1" w:rsidP="00004BFD">
      <w:pPr>
        <w:pStyle w:val="Text"/>
      </w:pPr>
      <w:r>
        <w:t xml:space="preserve">The research participants </w:t>
      </w:r>
      <w:r w:rsidR="00685CD6">
        <w:t>were</w:t>
      </w:r>
      <w:r>
        <w:t xml:space="preserve"> not entirely representative of the broader population of all apprenticeship and traineeship graduates</w:t>
      </w:r>
      <w:r w:rsidR="007E610B">
        <w:t>,</w:t>
      </w:r>
      <w:r>
        <w:t xml:space="preserve"> which limits how broadly the findings of this research can be generalised. There is a significant underrepresentation of</w:t>
      </w:r>
      <w:r w:rsidR="007E610B">
        <w:t xml:space="preserve"> participants from Victoria </w:t>
      </w:r>
      <w:r>
        <w:t>in the cohort of research participants</w:t>
      </w:r>
      <w:r w:rsidR="00F91592">
        <w:t xml:space="preserve"> due to a bias in the recruitment strategy</w:t>
      </w:r>
      <w:r>
        <w:t>. The proportion of graduates with disabilities declaring an intellectual or learning disability among research participants is also higher than the proportion reported for all vocational education and training (VET) graduates. Despite</w:t>
      </w:r>
      <w:r w:rsidR="005B5290">
        <w:t xml:space="preserve"> the</w:t>
      </w:r>
      <w:r w:rsidR="007E610B">
        <w:t xml:space="preserve"> survey</w:t>
      </w:r>
      <w:r w:rsidR="005B5290">
        <w:t>’s</w:t>
      </w:r>
      <w:r w:rsidR="007E610B">
        <w:t xml:space="preserve"> limitations</w:t>
      </w:r>
      <w:r>
        <w:t xml:space="preserve">, this is one of the largest cohort studies of its kind and provides valuable insight into the barriers </w:t>
      </w:r>
      <w:r w:rsidR="00004BFD">
        <w:t xml:space="preserve">to </w:t>
      </w:r>
      <w:r>
        <w:t xml:space="preserve">and facilitators </w:t>
      </w:r>
      <w:r w:rsidR="00004BFD">
        <w:t>of</w:t>
      </w:r>
      <w:r>
        <w:t xml:space="preserve"> course completions as reported by participants. </w:t>
      </w:r>
    </w:p>
    <w:p w:rsidR="00134296" w:rsidRDefault="00B8791E" w:rsidP="00004BFD">
      <w:pPr>
        <w:pStyle w:val="Text"/>
      </w:pPr>
      <w:r>
        <w:t>The survey p</w:t>
      </w:r>
      <w:r w:rsidR="009F4420">
        <w:t xml:space="preserve">articipants were asked to specify three barriers </w:t>
      </w:r>
      <w:r w:rsidR="00004BFD">
        <w:t xml:space="preserve">to </w:t>
      </w:r>
      <w:r w:rsidR="009F4420">
        <w:t xml:space="preserve">and three facilitators </w:t>
      </w:r>
      <w:r w:rsidR="00004BFD">
        <w:t>of</w:t>
      </w:r>
      <w:r w:rsidR="009F4420">
        <w:t xml:space="preserve"> course completion</w:t>
      </w:r>
      <w:r>
        <w:t xml:space="preserve">, and responses were coded thematically across the disability and comparison groups. </w:t>
      </w:r>
      <w:r w:rsidR="00134296">
        <w:t xml:space="preserve">Five major themes were identified across the reported barriers and facilitators: </w:t>
      </w:r>
      <w:r w:rsidR="000C5BFE">
        <w:t>resources</w:t>
      </w:r>
      <w:r w:rsidR="00FF06A4">
        <w:t>;</w:t>
      </w:r>
      <w:r w:rsidR="000C5BFE">
        <w:t xml:space="preserve"> </w:t>
      </w:r>
      <w:r w:rsidR="00134296">
        <w:t>disability, health, and injury; employment factors; training and</w:t>
      </w:r>
      <w:r w:rsidR="00685280">
        <w:t xml:space="preserve"> educational factors;</w:t>
      </w:r>
      <w:r w:rsidR="00134296">
        <w:t xml:space="preserve"> and motivations, experiences and networks. </w:t>
      </w:r>
      <w:r w:rsidR="001E5B51">
        <w:t>Although the proportion of participants specif</w:t>
      </w:r>
      <w:r w:rsidR="00CD0D65">
        <w:t>ying</w:t>
      </w:r>
      <w:r w:rsidR="001E5B51">
        <w:t xml:space="preserve"> no barriers for course completion was low, the proportion</w:t>
      </w:r>
      <w:r w:rsidR="005B5290">
        <w:t xml:space="preserve"> of graduates without disabilities</w:t>
      </w:r>
      <w:r w:rsidR="001E5B51">
        <w:t xml:space="preserve"> reporting no barriers was double that of graduates with disabilities</w:t>
      </w:r>
      <w:r w:rsidR="00CD4E24">
        <w:t xml:space="preserve">; </w:t>
      </w:r>
      <w:r w:rsidR="001E5B51">
        <w:t xml:space="preserve">17.1% compared </w:t>
      </w:r>
      <w:r w:rsidR="005B5290">
        <w:t>with</w:t>
      </w:r>
      <w:r w:rsidR="001E5B51">
        <w:t xml:space="preserve"> 8.9% respectively</w:t>
      </w:r>
      <w:r w:rsidR="00E463B0" w:rsidRPr="00FA045D">
        <w:t>.</w:t>
      </w:r>
    </w:p>
    <w:p w:rsidR="00FF06A4" w:rsidRDefault="00FF06A4" w:rsidP="005B5290">
      <w:pPr>
        <w:pStyle w:val="Text"/>
      </w:pPr>
      <w:r w:rsidRPr="00EF1EE1">
        <w:lastRenderedPageBreak/>
        <w:t>The lack of resources</w:t>
      </w:r>
      <w:r>
        <w:t xml:space="preserve"> </w:t>
      </w:r>
      <w:r w:rsidRPr="00EF1EE1">
        <w:t xml:space="preserve">was the most commonly cited barrier </w:t>
      </w:r>
      <w:r>
        <w:t>by</w:t>
      </w:r>
      <w:r w:rsidRPr="00EF1EE1">
        <w:t xml:space="preserve"> participants in the comparison group, reported by almost two-thirds of graduates without disabilit</w:t>
      </w:r>
      <w:r w:rsidR="005B5290">
        <w:t>ies</w:t>
      </w:r>
      <w:r w:rsidRPr="00EF1EE1">
        <w:t xml:space="preserve"> compared with just under half of participants in the comparison group. Low training wages was specified as a major challenge. </w:t>
      </w:r>
    </w:p>
    <w:p w:rsidR="00E463B0" w:rsidRDefault="001E5B51" w:rsidP="002101FD">
      <w:pPr>
        <w:pStyle w:val="Text"/>
      </w:pPr>
      <w:r>
        <w:t>Barrier</w:t>
      </w:r>
      <w:r w:rsidR="00004BFD">
        <w:t>s related to disability, health</w:t>
      </w:r>
      <w:r>
        <w:t xml:space="preserve"> and injury </w:t>
      </w:r>
      <w:r w:rsidR="006770B4">
        <w:t>were mainly reported by</w:t>
      </w:r>
      <w:r>
        <w:t xml:space="preserve"> participants in the disability </w:t>
      </w:r>
      <w:r w:rsidR="00CD0D65">
        <w:t>group</w:t>
      </w:r>
      <w:r w:rsidR="00004BFD">
        <w:t>,</w:t>
      </w:r>
      <w:r w:rsidR="00CD0D65">
        <w:t xml:space="preserve"> </w:t>
      </w:r>
      <w:r>
        <w:t xml:space="preserve">although a small proportion of participants in the comparison group also had challenges with course completion due to injury. </w:t>
      </w:r>
      <w:r w:rsidR="00CD4E24">
        <w:t xml:space="preserve">Common challenges </w:t>
      </w:r>
      <w:r w:rsidR="000E393F">
        <w:t xml:space="preserve">among the graduates with disabilities </w:t>
      </w:r>
      <w:r w:rsidR="00CD4E24">
        <w:t>included poor literacy and numeracy; barriers due to the built environment; lack of assistive technology; pain, discomfort, and health problems; and senso</w:t>
      </w:r>
      <w:r w:rsidR="00004BFD">
        <w:t>ry and communication barriers. The f</w:t>
      </w:r>
      <w:r w:rsidR="00CD4E24">
        <w:t xml:space="preserve">acilitators </w:t>
      </w:r>
      <w:r w:rsidR="00CD4E24" w:rsidRPr="00004BFD">
        <w:t>mitigating</w:t>
      </w:r>
      <w:r w:rsidR="00CD4E24">
        <w:t xml:space="preserve"> the impact of disability were specific to employment as well as training and educ</w:t>
      </w:r>
      <w:r w:rsidR="00004BFD">
        <w:t>ational factors</w:t>
      </w:r>
      <w:r w:rsidR="00CD4E24">
        <w:t xml:space="preserve"> and are therefore </w:t>
      </w:r>
      <w:r w:rsidR="002101FD">
        <w:t xml:space="preserve">encompassed by </w:t>
      </w:r>
      <w:r w:rsidR="00CD4E24">
        <w:t xml:space="preserve">those themes. </w:t>
      </w:r>
    </w:p>
    <w:p w:rsidR="001E5B51" w:rsidRDefault="00CD4E24" w:rsidP="002101FD">
      <w:pPr>
        <w:pStyle w:val="Text"/>
      </w:pPr>
      <w:r>
        <w:t>A larger proportion of participants in the disability group</w:t>
      </w:r>
      <w:r w:rsidR="00CD0D65">
        <w:t xml:space="preserve"> (31</w:t>
      </w:r>
      <w:r w:rsidR="00483444">
        <w:t>.7</w:t>
      </w:r>
      <w:r w:rsidR="00CD0D65">
        <w:t>%)</w:t>
      </w:r>
      <w:r>
        <w:t xml:space="preserve"> reported barriers </w:t>
      </w:r>
      <w:r w:rsidR="002101FD">
        <w:t>in</w:t>
      </w:r>
      <w:r>
        <w:t xml:space="preserve"> </w:t>
      </w:r>
      <w:r w:rsidR="006673A6">
        <w:t xml:space="preserve">the </w:t>
      </w:r>
      <w:r w:rsidR="002101FD">
        <w:t>‘</w:t>
      </w:r>
      <w:r>
        <w:t>employment factors</w:t>
      </w:r>
      <w:r w:rsidR="002101FD">
        <w:t>’</w:t>
      </w:r>
      <w:r>
        <w:t xml:space="preserve"> </w:t>
      </w:r>
      <w:r w:rsidR="006673A6">
        <w:t xml:space="preserve">theme </w:t>
      </w:r>
      <w:r>
        <w:t xml:space="preserve">than </w:t>
      </w:r>
      <w:r w:rsidR="002101FD">
        <w:t xml:space="preserve">did </w:t>
      </w:r>
      <w:r>
        <w:t>participants in the comparison grou</w:t>
      </w:r>
      <w:r w:rsidR="00483444">
        <w:t>p</w:t>
      </w:r>
      <w:r w:rsidR="00CD0D65">
        <w:t xml:space="preserve"> (17.1%)</w:t>
      </w:r>
      <w:r>
        <w:t xml:space="preserve">. </w:t>
      </w:r>
      <w:r w:rsidR="002101FD">
        <w:t>Here</w:t>
      </w:r>
      <w:r w:rsidR="006673A6">
        <w:t xml:space="preserve"> g</w:t>
      </w:r>
      <w:r w:rsidR="00986BBB">
        <w:t xml:space="preserve">raduates with disabilities cited work demands most frequently as </w:t>
      </w:r>
      <w:r w:rsidR="00685CD6">
        <w:t xml:space="preserve">a </w:t>
      </w:r>
      <w:r w:rsidR="00986BBB">
        <w:t>barrier</w:t>
      </w:r>
      <w:r w:rsidR="00685CD6">
        <w:t>,</w:t>
      </w:r>
      <w:r w:rsidR="00986BBB">
        <w:t xml:space="preserve"> while graduates wit</w:t>
      </w:r>
      <w:r w:rsidR="00791EA1">
        <w:t>hout disabilities</w:t>
      </w:r>
      <w:r w:rsidR="00986BBB">
        <w:t xml:space="preserve"> </w:t>
      </w:r>
      <w:r w:rsidR="0032090C">
        <w:t xml:space="preserve">specified the loss of employment opportunities as the most common barrier. In addition, poor experiences </w:t>
      </w:r>
      <w:r w:rsidR="00CD0D65">
        <w:t>at work</w:t>
      </w:r>
      <w:r w:rsidR="008347BC">
        <w:t xml:space="preserve">, </w:t>
      </w:r>
      <w:r w:rsidR="0032090C">
        <w:t>often characterised as harassment or bullying</w:t>
      </w:r>
      <w:r w:rsidR="008347BC">
        <w:t>,</w:t>
      </w:r>
      <w:r w:rsidR="0032090C">
        <w:t xml:space="preserve"> were reported as a barrier. In total, 10.4% of all apprenticeship and traineeship graduates with disabilities reported experiences which could be interpreted as harassment or bullying compared </w:t>
      </w:r>
      <w:r w:rsidR="00791EA1">
        <w:t>with</w:t>
      </w:r>
      <w:r w:rsidR="0032090C">
        <w:t xml:space="preserve"> 5.9% o</w:t>
      </w:r>
      <w:r w:rsidR="00791EA1">
        <w:t>f graduates without disabilities</w:t>
      </w:r>
      <w:r w:rsidR="009F6C7D">
        <w:t>. About one-third of first year apprentices in two Victorian studies reported being bullied</w:t>
      </w:r>
      <w:r w:rsidR="00791EA1">
        <w:t>,</w:t>
      </w:r>
      <w:r w:rsidR="009F6C7D">
        <w:t xml:space="preserve"> </w:t>
      </w:r>
      <w:r w:rsidR="00CD0D65">
        <w:t xml:space="preserve">which can </w:t>
      </w:r>
      <w:r w:rsidR="009F6C7D">
        <w:t xml:space="preserve">negatively affect the attrition of apprentices </w:t>
      </w:r>
      <w:r w:rsidR="00CD0D65">
        <w:t xml:space="preserve">(du </w:t>
      </w:r>
      <w:proofErr w:type="spellStart"/>
      <w:r w:rsidR="00CD0D65">
        <w:t>Plessis</w:t>
      </w:r>
      <w:proofErr w:type="spellEnd"/>
      <w:r w:rsidR="00CD0D65">
        <w:t xml:space="preserve"> &amp; </w:t>
      </w:r>
      <w:proofErr w:type="spellStart"/>
      <w:r w:rsidR="00CD0D65">
        <w:t>Corney</w:t>
      </w:r>
      <w:proofErr w:type="spellEnd"/>
      <w:r w:rsidR="00CD0D65">
        <w:t xml:space="preserve"> 2011)</w:t>
      </w:r>
      <w:r w:rsidR="009F6C7D">
        <w:t>. While the proportion of participants in the current study report</w:t>
      </w:r>
      <w:r w:rsidR="00586C17">
        <w:t>ing</w:t>
      </w:r>
      <w:r w:rsidR="009F6C7D">
        <w:t xml:space="preserve"> harassment and bullying while undertaking their training</w:t>
      </w:r>
      <w:r w:rsidR="002050FB">
        <w:t xml:space="preserve"> was significantly lower than that reported in the Victorian studies</w:t>
      </w:r>
      <w:r w:rsidR="009F6C7D">
        <w:t xml:space="preserve">, it should be noted that participants were not specifically asked whether they had experienced harassment or bullying during their training. </w:t>
      </w:r>
    </w:p>
    <w:p w:rsidR="001E5B51" w:rsidRDefault="002050FB" w:rsidP="0092164C">
      <w:pPr>
        <w:pStyle w:val="Text"/>
      </w:pPr>
      <w:r>
        <w:t xml:space="preserve">Research participants also identified </w:t>
      </w:r>
      <w:r w:rsidR="00A421FA">
        <w:t>significant facilitators linked to employment factors</w:t>
      </w:r>
      <w:r>
        <w:t xml:space="preserve">. More than half </w:t>
      </w:r>
      <w:r w:rsidR="00791EA1">
        <w:t>of the graduates with disabilities</w:t>
      </w:r>
      <w:r>
        <w:t xml:space="preserve"> and more than two-thirds of participants without </w:t>
      </w:r>
      <w:r w:rsidR="002101FD">
        <w:t xml:space="preserve">disabilities </w:t>
      </w:r>
      <w:r>
        <w:t xml:space="preserve">identified facilitators </w:t>
      </w:r>
      <w:r w:rsidR="002101FD">
        <w:t>in the ‘employment factors’</w:t>
      </w:r>
      <w:r>
        <w:t xml:space="preserve"> theme. Th</w:t>
      </w:r>
      <w:r w:rsidR="006673A6">
        <w:t>ese</w:t>
      </w:r>
      <w:r>
        <w:t xml:space="preserve"> included supportive managers and colleagues, </w:t>
      </w:r>
      <w:r w:rsidR="002101FD">
        <w:t xml:space="preserve">the </w:t>
      </w:r>
      <w:r>
        <w:t xml:space="preserve">provision of assistive technology and other supports for graduates with disabilities, and motivating and rewarding </w:t>
      </w:r>
      <w:r w:rsidR="00586C17">
        <w:t>outcomes</w:t>
      </w:r>
      <w:r w:rsidR="002101FD">
        <w:t xml:space="preserve"> from achievement</w:t>
      </w:r>
      <w:r w:rsidR="00293E72">
        <w:t xml:space="preserve">. There were additional supports for the apprenticeship and traineeship graduates with disabilities across employment factors, specifically </w:t>
      </w:r>
      <w:r w:rsidR="00CA661F">
        <w:t>disability employment services</w:t>
      </w:r>
      <w:r w:rsidR="00791EA1">
        <w:t xml:space="preserve"> </w:t>
      </w:r>
      <w:r w:rsidR="00293E72">
        <w:t>support</w:t>
      </w:r>
      <w:r w:rsidR="002101FD">
        <w:t>,</w:t>
      </w:r>
      <w:r w:rsidR="00293E72">
        <w:t xml:space="preserve"> which one-third of participants in the disability group reported receiving. Although previous research </w:t>
      </w:r>
      <w:r w:rsidR="00483444">
        <w:t>had identified</w:t>
      </w:r>
      <w:r w:rsidR="00293E72">
        <w:t xml:space="preserve"> </w:t>
      </w:r>
      <w:r w:rsidR="002101FD">
        <w:t xml:space="preserve">the positive role that </w:t>
      </w:r>
      <w:r w:rsidR="00293E72">
        <w:t xml:space="preserve">collaborative support from both </w:t>
      </w:r>
      <w:r w:rsidR="00CA661F">
        <w:t>disability employment services</w:t>
      </w:r>
      <w:r w:rsidR="00791EA1">
        <w:t xml:space="preserve"> </w:t>
      </w:r>
      <w:r w:rsidR="00293E72">
        <w:t xml:space="preserve">and </w:t>
      </w:r>
      <w:r w:rsidR="00791EA1">
        <w:t>group training organisation</w:t>
      </w:r>
      <w:r w:rsidR="00293E72">
        <w:t xml:space="preserve">s </w:t>
      </w:r>
      <w:r w:rsidR="002101FD">
        <w:t xml:space="preserve">played in successful </w:t>
      </w:r>
      <w:r w:rsidR="00293E72">
        <w:t>course completions</w:t>
      </w:r>
      <w:r w:rsidR="00B90125">
        <w:t xml:space="preserve"> </w:t>
      </w:r>
      <w:r w:rsidR="002101FD">
        <w:t xml:space="preserve">for apprentices and trainees with disabilities </w:t>
      </w:r>
      <w:r w:rsidR="00B90125">
        <w:t xml:space="preserve">(Lewis, </w:t>
      </w:r>
      <w:proofErr w:type="spellStart"/>
      <w:r w:rsidR="00B90125">
        <w:t>Thoresen</w:t>
      </w:r>
      <w:proofErr w:type="spellEnd"/>
      <w:r w:rsidR="00B90125">
        <w:t xml:space="preserve"> &amp; Cocks 2011a)</w:t>
      </w:r>
      <w:r w:rsidR="00293E72">
        <w:t xml:space="preserve">, </w:t>
      </w:r>
      <w:r w:rsidR="0092164C">
        <w:t xml:space="preserve">only </w:t>
      </w:r>
      <w:r w:rsidR="00293E72">
        <w:t>a very small proportion of participants</w:t>
      </w:r>
      <w:r w:rsidR="00D21CA4">
        <w:t xml:space="preserve"> (</w:t>
      </w:r>
      <w:r w:rsidR="00293E72">
        <w:t>5.2%</w:t>
      </w:r>
      <w:r w:rsidR="00D21CA4">
        <w:t>)</w:t>
      </w:r>
      <w:r w:rsidR="00293E72">
        <w:t xml:space="preserve"> reported being supported by both </w:t>
      </w:r>
      <w:r w:rsidR="00CA661F">
        <w:t>disability employment services</w:t>
      </w:r>
      <w:r w:rsidR="00791EA1">
        <w:t xml:space="preserve"> </w:t>
      </w:r>
      <w:r w:rsidR="00293E72">
        <w:t xml:space="preserve">and a </w:t>
      </w:r>
      <w:r w:rsidR="00791EA1">
        <w:t>group training organisation</w:t>
      </w:r>
      <w:r w:rsidR="00293E72">
        <w:t>.</w:t>
      </w:r>
    </w:p>
    <w:p w:rsidR="00F44608" w:rsidRPr="00FA045D" w:rsidRDefault="00F33A22" w:rsidP="0092164C">
      <w:pPr>
        <w:pStyle w:val="Text"/>
      </w:pPr>
      <w:r>
        <w:t xml:space="preserve">Just </w:t>
      </w:r>
      <w:r w:rsidR="00586C17">
        <w:t>under</w:t>
      </w:r>
      <w:r>
        <w:t xml:space="preserve"> one-third of participants in both the disability and comparison groups reported barriers </w:t>
      </w:r>
      <w:r w:rsidR="00586C17">
        <w:t>associated with</w:t>
      </w:r>
      <w:r>
        <w:t xml:space="preserve"> training and education factors. </w:t>
      </w:r>
      <w:r w:rsidR="0005027B">
        <w:t xml:space="preserve">These </w:t>
      </w:r>
      <w:r w:rsidR="00586C17">
        <w:t>included</w:t>
      </w:r>
      <w:r w:rsidR="0005027B">
        <w:t xml:space="preserve"> limited access to lecturers and</w:t>
      </w:r>
      <w:r w:rsidR="0092164C">
        <w:t xml:space="preserve"> tutors, course content factors</w:t>
      </w:r>
      <w:r w:rsidR="0005027B">
        <w:t xml:space="preserve"> and issues a</w:t>
      </w:r>
      <w:r w:rsidR="0092164C">
        <w:t>ssociated with</w:t>
      </w:r>
      <w:r w:rsidR="0005027B">
        <w:t xml:space="preserve"> numeracy and literacy. </w:t>
      </w:r>
      <w:r w:rsidR="00586C17">
        <w:t>T</w:t>
      </w:r>
      <w:r w:rsidR="0067311A">
        <w:t xml:space="preserve">he high proportion of research participants </w:t>
      </w:r>
      <w:r w:rsidR="00586C17">
        <w:t xml:space="preserve">who </w:t>
      </w:r>
      <w:r w:rsidR="00483444">
        <w:t>specified</w:t>
      </w:r>
      <w:r w:rsidR="0067311A">
        <w:t xml:space="preserve"> an intellectual or learning disability</w:t>
      </w:r>
      <w:r w:rsidR="00586C17">
        <w:t xml:space="preserve"> mean</w:t>
      </w:r>
      <w:r w:rsidR="006673A6">
        <w:t>t</w:t>
      </w:r>
      <w:r w:rsidR="00586C17">
        <w:t xml:space="preserve"> a high likelihood of</w:t>
      </w:r>
      <w:r w:rsidR="0067311A">
        <w:t xml:space="preserve"> numeracy and literacy </w:t>
      </w:r>
      <w:r w:rsidR="00586C17">
        <w:t>barriers</w:t>
      </w:r>
      <w:r w:rsidR="00AD6B2F">
        <w:t xml:space="preserve">. </w:t>
      </w:r>
      <w:r w:rsidR="00F37D80">
        <w:t>The a</w:t>
      </w:r>
      <w:r w:rsidR="00586C17">
        <w:t>vailability of</w:t>
      </w:r>
      <w:r w:rsidR="00AD6B2F">
        <w:t xml:space="preserve"> tutoring</w:t>
      </w:r>
      <w:r w:rsidR="00483444">
        <w:t xml:space="preserve"> </w:t>
      </w:r>
      <w:r w:rsidR="00586C17">
        <w:t>support</w:t>
      </w:r>
      <w:r w:rsidR="0067311A">
        <w:t xml:space="preserve"> </w:t>
      </w:r>
      <w:r w:rsidR="00AD6B2F">
        <w:t>was</w:t>
      </w:r>
      <w:r w:rsidR="00586C17">
        <w:t xml:space="preserve"> identified as</w:t>
      </w:r>
      <w:r w:rsidR="00AD6B2F">
        <w:t xml:space="preserve"> a major facilitator </w:t>
      </w:r>
      <w:r w:rsidR="00586C17">
        <w:t xml:space="preserve">of </w:t>
      </w:r>
      <w:r w:rsidR="00AD6B2F">
        <w:t>course completion</w:t>
      </w:r>
      <w:r w:rsidR="00586C17">
        <w:t xml:space="preserve"> by</w:t>
      </w:r>
      <w:r w:rsidR="00AD6B2F">
        <w:t xml:space="preserve"> participants in the disability group. Additional c</w:t>
      </w:r>
      <w:r w:rsidR="00854570">
        <w:t xml:space="preserve">hallenges included discrepancies between content and </w:t>
      </w:r>
      <w:r w:rsidR="0092164C">
        <w:t xml:space="preserve">the </w:t>
      </w:r>
      <w:r w:rsidR="00854570">
        <w:t xml:space="preserve">approaches emphasised in the workplace </w:t>
      </w:r>
      <w:r w:rsidR="0092164C">
        <w:t>and</w:t>
      </w:r>
      <w:r w:rsidR="00854570">
        <w:t xml:space="preserve"> t</w:t>
      </w:r>
      <w:r w:rsidR="00D21CA4">
        <w:t>hose emphasised in t</w:t>
      </w:r>
      <w:r w:rsidR="00854570">
        <w:t xml:space="preserve">he training and educational environment. </w:t>
      </w:r>
      <w:r w:rsidR="0005027B">
        <w:t xml:space="preserve">The proportion of participants reporting facilitators related to training and educational factors was higher among participants in the disability </w:t>
      </w:r>
      <w:r w:rsidR="0005027B">
        <w:lastRenderedPageBreak/>
        <w:t>group</w:t>
      </w:r>
      <w:r w:rsidR="00483444">
        <w:t xml:space="preserve"> </w:t>
      </w:r>
      <w:r w:rsidR="00586C17">
        <w:t>(</w:t>
      </w:r>
      <w:r w:rsidR="0005027B">
        <w:t>50.8% compared with 41.8% respectively</w:t>
      </w:r>
      <w:r w:rsidR="00586C17">
        <w:t>)</w:t>
      </w:r>
      <w:r w:rsidR="0092164C">
        <w:t>,</w:t>
      </w:r>
      <w:r w:rsidR="0005027B">
        <w:t xml:space="preserve"> as was the proportion of participants specifying receiving support from TAFE </w:t>
      </w:r>
      <w:r w:rsidR="00586C17">
        <w:t>(</w:t>
      </w:r>
      <w:r w:rsidR="0005027B">
        <w:t>41.5% compared with 31.0%</w:t>
      </w:r>
      <w:r w:rsidR="00586C17">
        <w:t>)</w:t>
      </w:r>
      <w:r w:rsidR="0005027B">
        <w:t>.</w:t>
      </w:r>
      <w:r w:rsidR="0067311A">
        <w:t xml:space="preserve"> </w:t>
      </w:r>
    </w:p>
    <w:p w:rsidR="000D5D10" w:rsidRDefault="000D5D10" w:rsidP="0092164C">
      <w:pPr>
        <w:pStyle w:val="Text"/>
      </w:pPr>
      <w:r w:rsidRPr="00EF1EE1">
        <w:t xml:space="preserve">Individuals, in both formal </w:t>
      </w:r>
      <w:r>
        <w:t xml:space="preserve">(employers, support workers from agencies such as </w:t>
      </w:r>
      <w:r w:rsidR="00CA661F">
        <w:t>disability employment services</w:t>
      </w:r>
      <w:r>
        <w:t xml:space="preserve">, </w:t>
      </w:r>
      <w:r w:rsidR="00791EA1">
        <w:t>group training organisations</w:t>
      </w:r>
      <w:r>
        <w:t xml:space="preserve"> and </w:t>
      </w:r>
      <w:r w:rsidR="00791EA1">
        <w:t>registered training organisation</w:t>
      </w:r>
      <w:r>
        <w:t xml:space="preserve">s) </w:t>
      </w:r>
      <w:r w:rsidRPr="00EF1EE1">
        <w:t xml:space="preserve">and informal </w:t>
      </w:r>
      <w:r w:rsidR="0092164C">
        <w:t>contexts (family members, friends</w:t>
      </w:r>
      <w:r>
        <w:t xml:space="preserve"> and colleagues) </w:t>
      </w:r>
      <w:r w:rsidRPr="00EF1EE1">
        <w:t xml:space="preserve">played significant facilitating roles </w:t>
      </w:r>
      <w:r w:rsidR="0092164C">
        <w:t>in</w:t>
      </w:r>
      <w:r w:rsidRPr="00EF1EE1">
        <w:t xml:space="preserve"> </w:t>
      </w:r>
      <w:r w:rsidR="0092164C">
        <w:t xml:space="preserve">the graduation of </w:t>
      </w:r>
      <w:r w:rsidRPr="00EF1EE1">
        <w:t>apprentices and trainees with</w:t>
      </w:r>
      <w:r>
        <w:t xml:space="preserve"> disabilities. Over 70% of graduates with disabilities identified positive motivations, experi</w:t>
      </w:r>
      <w:r w:rsidR="00304BD2">
        <w:t>ences</w:t>
      </w:r>
      <w:r>
        <w:t xml:space="preserve"> and networks as facilitating their course completions compared with just below 60% for the comparison group.</w:t>
      </w:r>
    </w:p>
    <w:p w:rsidR="008059EB" w:rsidRDefault="008059EB" w:rsidP="000E6BEE">
      <w:pPr>
        <w:pStyle w:val="Text"/>
      </w:pPr>
      <w:r>
        <w:t>The barriers and facilitators reported by research participants suggest</w:t>
      </w:r>
      <w:r w:rsidR="00586C17">
        <w:t>ed</w:t>
      </w:r>
      <w:r>
        <w:t xml:space="preserve"> that there </w:t>
      </w:r>
      <w:r w:rsidR="00397291">
        <w:t>are a number of areas that can be addressed. Providing additional support for employer</w:t>
      </w:r>
      <w:r w:rsidR="00586C17">
        <w:t>s</w:t>
      </w:r>
      <w:r w:rsidR="00397291">
        <w:t xml:space="preserve"> may enhance outcomes for apprentices and trainees with disabilities. </w:t>
      </w:r>
      <w:r w:rsidR="0092164C">
        <w:t xml:space="preserve">Disability </w:t>
      </w:r>
      <w:r w:rsidR="00CA661F">
        <w:t>e</w:t>
      </w:r>
      <w:r w:rsidR="0092164C">
        <w:t xml:space="preserve">mployment </w:t>
      </w:r>
      <w:r w:rsidR="00CA661F">
        <w:t>s</w:t>
      </w:r>
      <w:r w:rsidR="0092164C">
        <w:t>ervices</w:t>
      </w:r>
      <w:r w:rsidR="00397291">
        <w:t xml:space="preserve"> provide</w:t>
      </w:r>
      <w:r w:rsidR="00304BD2">
        <w:t xml:space="preserve"> on-the-</w:t>
      </w:r>
      <w:r w:rsidR="00397291">
        <w:t>job support for workers with disabilities, including apprentices and trainees, and can also assist employers to identify the forms of supports and adjustments that will benefit apprentices and trainees with disabilities. This is particularly import</w:t>
      </w:r>
      <w:r w:rsidR="00586C17">
        <w:t>ant</w:t>
      </w:r>
      <w:r w:rsidR="00397291">
        <w:t xml:space="preserve"> for apprentices and trainees with complex disabilities (such as multiple disabilities).</w:t>
      </w:r>
    </w:p>
    <w:p w:rsidR="00B9031D" w:rsidRDefault="00C00996" w:rsidP="0092164C">
      <w:pPr>
        <w:pStyle w:val="Text"/>
      </w:pPr>
      <w:r>
        <w:t xml:space="preserve">The infrequency of </w:t>
      </w:r>
      <w:r w:rsidR="0092164C">
        <w:t>support for graduates with disabilities from both</w:t>
      </w:r>
      <w:r>
        <w:t xml:space="preserve"> </w:t>
      </w:r>
      <w:r w:rsidR="00CA661F">
        <w:t>disability employment services</w:t>
      </w:r>
      <w:r w:rsidR="00791EA1">
        <w:t xml:space="preserve"> </w:t>
      </w:r>
      <w:r>
        <w:t>an</w:t>
      </w:r>
      <w:r w:rsidR="00B90125">
        <w:t xml:space="preserve">d a </w:t>
      </w:r>
      <w:r w:rsidR="00791EA1">
        <w:t>group training organisation</w:t>
      </w:r>
      <w:r w:rsidR="00B90125">
        <w:t xml:space="preserve"> suggest</w:t>
      </w:r>
      <w:r w:rsidR="006673A6">
        <w:t>ed</w:t>
      </w:r>
      <w:r w:rsidR="00B90125">
        <w:t xml:space="preserve"> that increased collaboration within the sector may be warranted. </w:t>
      </w:r>
      <w:r w:rsidR="0092164C">
        <w:t>The establishment of</w:t>
      </w:r>
      <w:r w:rsidR="00B90125">
        <w:t xml:space="preserve"> formal partnerships between </w:t>
      </w:r>
      <w:r w:rsidR="00CA661F">
        <w:t>disability employment services</w:t>
      </w:r>
      <w:r w:rsidR="00791EA1">
        <w:t xml:space="preserve"> </w:t>
      </w:r>
      <w:r w:rsidR="00B90125">
        <w:t xml:space="preserve">and </w:t>
      </w:r>
      <w:r w:rsidR="00791EA1">
        <w:t>training organisation</w:t>
      </w:r>
      <w:r w:rsidR="00B90125">
        <w:t xml:space="preserve">s </w:t>
      </w:r>
      <w:r w:rsidR="0092164C">
        <w:t>has the potential to</w:t>
      </w:r>
      <w:r w:rsidR="00F37D80">
        <w:t xml:space="preserve"> improve outcomes for</w:t>
      </w:r>
      <w:r w:rsidR="0092164C">
        <w:t xml:space="preserve"> </w:t>
      </w:r>
      <w:r w:rsidR="00B90125">
        <w:t>apprentices and trainees with disabilities</w:t>
      </w:r>
      <w:r w:rsidR="00304BD2">
        <w:t>,</w:t>
      </w:r>
      <w:r w:rsidR="00B90125">
        <w:t xml:space="preserve"> as these organisations have complementary </w:t>
      </w:r>
      <w:r w:rsidR="0092164C">
        <w:t>expertise</w:t>
      </w:r>
      <w:r w:rsidR="00B90125">
        <w:t xml:space="preserve">. </w:t>
      </w:r>
      <w:bookmarkEnd w:id="36"/>
      <w:bookmarkEnd w:id="37"/>
      <w:bookmarkEnd w:id="38"/>
      <w:r w:rsidR="00B31792">
        <w:t xml:space="preserve">The National VET Equity Advisory Council (2011) has proposed that </w:t>
      </w:r>
      <w:r w:rsidR="00791EA1">
        <w:t>registered training organisation</w:t>
      </w:r>
      <w:r w:rsidR="00B31792">
        <w:t>s should prov</w:t>
      </w:r>
      <w:r w:rsidR="002433E1">
        <w:t>i</w:t>
      </w:r>
      <w:r w:rsidR="00B31792">
        <w:t>de ‘holistic</w:t>
      </w:r>
      <w:r w:rsidR="002433E1">
        <w:t xml:space="preserve"> case management’ to support people from equity groups to undertake and complete VET. There are clear benefits </w:t>
      </w:r>
      <w:r w:rsidR="0092164C">
        <w:t xml:space="preserve">to be realised </w:t>
      </w:r>
      <w:r w:rsidR="002433E1">
        <w:t xml:space="preserve">from increasing </w:t>
      </w:r>
      <w:r w:rsidR="00F37D80">
        <w:t xml:space="preserve">the </w:t>
      </w:r>
      <w:r w:rsidR="002433E1">
        <w:t>networks of support for apprentices and trainees with disabilities across stakeholder groups and for these efforts to be well coordinated.</w:t>
      </w:r>
      <w:r w:rsidR="00B31792">
        <w:t xml:space="preserve"> </w:t>
      </w:r>
    </w:p>
    <w:p w:rsidR="00EF1EE1" w:rsidRDefault="009A34D8" w:rsidP="00304BD2">
      <w:pPr>
        <w:pStyle w:val="Text"/>
      </w:pPr>
      <w:r>
        <w:t>The role of individuals in formal or informal support for participants in both the disability and comparison groups in facilitating course completions suggest</w:t>
      </w:r>
      <w:r w:rsidR="006673A6">
        <w:t>ed</w:t>
      </w:r>
      <w:r>
        <w:t xml:space="preserve"> that social capital or personal networks played a major facilitating role. </w:t>
      </w:r>
      <w:r w:rsidR="002433E1">
        <w:t>It was clear that</w:t>
      </w:r>
      <w:r w:rsidR="00304BD2">
        <w:t xml:space="preserve"> the support of family, friends</w:t>
      </w:r>
      <w:r w:rsidR="002433E1">
        <w:t xml:space="preserve"> and </w:t>
      </w:r>
      <w:r w:rsidR="0060201A">
        <w:br/>
      </w:r>
      <w:r w:rsidR="002433E1">
        <w:t xml:space="preserve">co-workers was </w:t>
      </w:r>
      <w:r w:rsidR="00304BD2">
        <w:t>critical</w:t>
      </w:r>
      <w:r w:rsidR="002433E1">
        <w:t xml:space="preserve"> for graduation for a large proportion of the apprentices and trainees with disabilities participating in this study. </w:t>
      </w:r>
      <w:r w:rsidR="000B1159">
        <w:t>Further investigation into the social and economic outcomes, as well as their interrelationship, will take place over the next waves of the study.</w:t>
      </w:r>
      <w:r>
        <w:t xml:space="preserve"> </w:t>
      </w:r>
    </w:p>
    <w:p w:rsidR="009E231A" w:rsidRDefault="00FE4A2D" w:rsidP="00EF1EE1">
      <w:pPr>
        <w:pStyle w:val="Heading1"/>
      </w:pPr>
      <w:r w:rsidRPr="005C2FCF">
        <w:br w:type="page"/>
      </w:r>
      <w:bookmarkStart w:id="39" w:name="_Toc350259300"/>
      <w:r w:rsidR="00B92123">
        <w:lastRenderedPageBreak/>
        <w:t>Introduction</w:t>
      </w:r>
      <w:bookmarkEnd w:id="39"/>
      <w:r w:rsidR="00B92123">
        <w:t xml:space="preserve"> </w:t>
      </w:r>
    </w:p>
    <w:p w:rsidR="000E4A80" w:rsidRDefault="000E4A80" w:rsidP="00787D91">
      <w:pPr>
        <w:pStyle w:val="Text"/>
      </w:pPr>
      <w:r>
        <w:t xml:space="preserve">This research report </w:t>
      </w:r>
      <w:r w:rsidR="00787D91">
        <w:t>investigates</w:t>
      </w:r>
      <w:r>
        <w:t xml:space="preserve"> </w:t>
      </w:r>
      <w:r w:rsidR="00E3741E">
        <w:t xml:space="preserve">the </w:t>
      </w:r>
      <w:r>
        <w:t xml:space="preserve">facilitators </w:t>
      </w:r>
      <w:r w:rsidR="00787D91">
        <w:t xml:space="preserve">to </w:t>
      </w:r>
      <w:r>
        <w:t xml:space="preserve">and barriers </w:t>
      </w:r>
      <w:r w:rsidR="00787D91">
        <w:t>of</w:t>
      </w:r>
      <w:r>
        <w:t xml:space="preserve"> course completions </w:t>
      </w:r>
      <w:r w:rsidR="00787D91">
        <w:t xml:space="preserve">experienced by </w:t>
      </w:r>
      <w:r w:rsidR="00400658">
        <w:t xml:space="preserve">a group of </w:t>
      </w:r>
      <w:r>
        <w:t>apprenticeship and traineeship graduates with disab</w:t>
      </w:r>
      <w:r w:rsidR="0058786E">
        <w:t>ilities</w:t>
      </w:r>
      <w:r w:rsidR="00400658" w:rsidRPr="00400658">
        <w:t xml:space="preserve"> </w:t>
      </w:r>
      <w:r w:rsidR="00400658">
        <w:t>and a comparison group</w:t>
      </w:r>
      <w:r w:rsidR="00E3741E">
        <w:t xml:space="preserve"> of graduates without disabilities</w:t>
      </w:r>
      <w:r w:rsidR="0058786E">
        <w:t>. Th</w:t>
      </w:r>
      <w:r w:rsidR="00D16515">
        <w:t>ese</w:t>
      </w:r>
      <w:r w:rsidR="0058786E">
        <w:t xml:space="preserve"> ha</w:t>
      </w:r>
      <w:r w:rsidR="00D16515">
        <w:t>ve</w:t>
      </w:r>
      <w:r w:rsidR="0058786E">
        <w:t xml:space="preserve"> been elicited from the first y</w:t>
      </w:r>
      <w:r w:rsidR="00845313">
        <w:t>ear</w:t>
      </w:r>
      <w:r w:rsidR="0058786E">
        <w:t xml:space="preserve"> </w:t>
      </w:r>
      <w:r w:rsidR="003A4638">
        <w:t>of</w:t>
      </w:r>
      <w:r w:rsidR="0058786E">
        <w:t xml:space="preserve"> a</w:t>
      </w:r>
      <w:r w:rsidR="00733939">
        <w:t xml:space="preserve"> </w:t>
      </w:r>
      <w:r w:rsidR="00E3741E">
        <w:t>three-</w:t>
      </w:r>
      <w:r w:rsidR="0058786E">
        <w:t xml:space="preserve">year longitudinal study into </w:t>
      </w:r>
      <w:r w:rsidR="00787D91">
        <w:t xml:space="preserve">the </w:t>
      </w:r>
      <w:r w:rsidR="0058786E">
        <w:t>social and economic outcomes for apprenticeship and traineeship graduates with disabilit</w:t>
      </w:r>
      <w:r w:rsidR="00FF06A4">
        <w:t>ies</w:t>
      </w:r>
      <w:r w:rsidR="0058786E">
        <w:t>.</w:t>
      </w:r>
      <w:r w:rsidR="00400658">
        <w:t xml:space="preserve"> Work-based training, such as apprenticeships and traineeships, ha</w:t>
      </w:r>
      <w:r w:rsidR="00845313">
        <w:t>s</w:t>
      </w:r>
      <w:r w:rsidR="00400658">
        <w:t xml:space="preserve"> been identified as </w:t>
      </w:r>
      <w:r w:rsidR="00E3741E">
        <w:t>a useful employment pathway</w:t>
      </w:r>
      <w:r w:rsidR="00400658">
        <w:t xml:space="preserve"> for people with disabilities</w:t>
      </w:r>
      <w:r w:rsidR="00956C80">
        <w:t>. This includes</w:t>
      </w:r>
      <w:r w:rsidR="00400658">
        <w:t xml:space="preserve"> people with intellectual and learning disabilities </w:t>
      </w:r>
      <w:proofErr w:type="gramStart"/>
      <w:r w:rsidR="00400658">
        <w:t>who</w:t>
      </w:r>
      <w:proofErr w:type="gramEnd"/>
      <w:r w:rsidR="00400658">
        <w:t xml:space="preserve"> may have difficulties in transferring skills obtained in one setting to another</w:t>
      </w:r>
      <w:r w:rsidR="00845313">
        <w:t>,</w:t>
      </w:r>
      <w:r w:rsidR="00400658">
        <w:t xml:space="preserve"> such as from the classroom to the </w:t>
      </w:r>
      <w:r w:rsidR="00400658" w:rsidRPr="00F80DB0">
        <w:t>workplace</w:t>
      </w:r>
      <w:r w:rsidR="00F80DB0" w:rsidRPr="00F80DB0">
        <w:t xml:space="preserve"> (Lewis, </w:t>
      </w:r>
      <w:proofErr w:type="spellStart"/>
      <w:r w:rsidR="00F80DB0" w:rsidRPr="00F80DB0">
        <w:t>Thoresen</w:t>
      </w:r>
      <w:proofErr w:type="spellEnd"/>
      <w:r w:rsidR="00F80DB0" w:rsidRPr="00F80DB0">
        <w:t xml:space="preserve"> &amp; Cocks 2011a, 2011b)</w:t>
      </w:r>
      <w:r w:rsidR="00400658" w:rsidRPr="00F80DB0">
        <w:t>.</w:t>
      </w:r>
      <w:r w:rsidR="00D16515" w:rsidRPr="00F80DB0">
        <w:t xml:space="preserve"> </w:t>
      </w:r>
      <w:r w:rsidR="00CE0FE3" w:rsidRPr="00F80DB0">
        <w:t>Apprentices</w:t>
      </w:r>
      <w:r w:rsidR="00845313" w:rsidRPr="00F80DB0">
        <w:t>hip</w:t>
      </w:r>
      <w:r w:rsidR="00CE0FE3">
        <w:t xml:space="preserve"> and trainees</w:t>
      </w:r>
      <w:r w:rsidR="00845313">
        <w:t>hip</w:t>
      </w:r>
      <w:r w:rsidR="00CE0FE3">
        <w:t xml:space="preserve"> training contract</w:t>
      </w:r>
      <w:r w:rsidR="00845313">
        <w:t>s</w:t>
      </w:r>
      <w:r w:rsidR="00CE0FE3">
        <w:t xml:space="preserve"> usually include a work contract with an employer/host employer. Prior work experience is advantageous</w:t>
      </w:r>
      <w:r w:rsidR="00F37D80">
        <w:t xml:space="preserve"> for obtaining</w:t>
      </w:r>
      <w:r w:rsidR="00CE0FE3">
        <w:t xml:space="preserve"> work. Combined with the</w:t>
      </w:r>
      <w:r w:rsidR="00D16515">
        <w:t xml:space="preserve"> nationally </w:t>
      </w:r>
      <w:r w:rsidR="00CE0FE3">
        <w:t>recognised qualifications apprenticeship and traineeship graduates obtain, this pathway address</w:t>
      </w:r>
      <w:r w:rsidR="00BE6567">
        <w:t>es</w:t>
      </w:r>
      <w:r w:rsidR="00CE0FE3">
        <w:t xml:space="preserve"> the concerns employers may have regarding employing people with disabilities</w:t>
      </w:r>
      <w:r w:rsidR="00976DC0">
        <w:t xml:space="preserve"> by</w:t>
      </w:r>
      <w:r w:rsidR="00BE6567">
        <w:t xml:space="preserve"> providing</w:t>
      </w:r>
      <w:r w:rsidR="00CE0FE3">
        <w:t xml:space="preserve"> a formal qualification</w:t>
      </w:r>
      <w:r w:rsidR="00CE0FE3" w:rsidRPr="00CE0FE3">
        <w:t xml:space="preserve"> </w:t>
      </w:r>
      <w:r w:rsidR="00E3741E">
        <w:t xml:space="preserve">and a track </w:t>
      </w:r>
      <w:r w:rsidR="00CE0FE3">
        <w:t xml:space="preserve">record of </w:t>
      </w:r>
      <w:r w:rsidR="00733939">
        <w:t>prior employment</w:t>
      </w:r>
      <w:r w:rsidR="00CE0FE3">
        <w:t xml:space="preserve">. </w:t>
      </w:r>
    </w:p>
    <w:p w:rsidR="006770B4" w:rsidRDefault="00CB7B06" w:rsidP="00CB7B06">
      <w:pPr>
        <w:pStyle w:val="Text"/>
      </w:pPr>
      <w:r>
        <w:t>People with disabilit</w:t>
      </w:r>
      <w:r w:rsidR="00FF06A4">
        <w:t>ies</w:t>
      </w:r>
      <w:r>
        <w:t xml:space="preserve"> a</w:t>
      </w:r>
      <w:r w:rsidR="00787D91">
        <w:t>re particularly disadvantaged, with</w:t>
      </w:r>
      <w:r>
        <w:t xml:space="preserve"> low </w:t>
      </w:r>
      <w:r w:rsidR="004C3C35">
        <w:t xml:space="preserve">workforce </w:t>
      </w:r>
      <w:r>
        <w:t xml:space="preserve">participation </w:t>
      </w:r>
      <w:r w:rsidR="00DD7BFB">
        <w:t>and high unemployment rates</w:t>
      </w:r>
      <w:r>
        <w:t xml:space="preserve"> (</w:t>
      </w:r>
      <w:r w:rsidR="00DD7BFB">
        <w:t xml:space="preserve">ABS 2009; </w:t>
      </w:r>
      <w:r w:rsidR="00E3741E">
        <w:t>Australian Institute of Health and Welfare</w:t>
      </w:r>
      <w:r w:rsidR="00DD7BFB">
        <w:t xml:space="preserve"> 2009; OECD 2003, 2007</w:t>
      </w:r>
      <w:r w:rsidR="00F80DB0">
        <w:t>, 2010</w:t>
      </w:r>
      <w:r w:rsidR="00862A73">
        <w:t>, 2012</w:t>
      </w:r>
      <w:r w:rsidR="00AF591F">
        <w:t>; Productivity Commission 2011</w:t>
      </w:r>
      <w:r>
        <w:t>)</w:t>
      </w:r>
      <w:r w:rsidR="00787D91">
        <w:t>;</w:t>
      </w:r>
      <w:r w:rsidR="00442FB3">
        <w:t xml:space="preserve"> low participation and completion rates</w:t>
      </w:r>
      <w:r>
        <w:t xml:space="preserve"> in </w:t>
      </w:r>
      <w:r w:rsidR="00F37D80">
        <w:t>VET</w:t>
      </w:r>
      <w:r>
        <w:t xml:space="preserve"> </w:t>
      </w:r>
      <w:r w:rsidR="00B93DBD">
        <w:t xml:space="preserve">and apprenticeships and traineeships </w:t>
      </w:r>
      <w:r>
        <w:t>(</w:t>
      </w:r>
      <w:r w:rsidR="00B93DBD">
        <w:t xml:space="preserve">ANTA 2000; Ball 2004; Ball &amp; John 2005; </w:t>
      </w:r>
      <w:proofErr w:type="spellStart"/>
      <w:r w:rsidR="006062B9">
        <w:t>Bagshaw</w:t>
      </w:r>
      <w:proofErr w:type="spellEnd"/>
      <w:r w:rsidR="006062B9">
        <w:t xml:space="preserve"> &amp; Fowler 2008; </w:t>
      </w:r>
      <w:r w:rsidR="00B93DBD">
        <w:t xml:space="preserve">NCVER 2011; Cavallaro et al. 2005; Griffin &amp; Beddie 2011; </w:t>
      </w:r>
      <w:r w:rsidR="00B93DBD" w:rsidRPr="00A62770">
        <w:t xml:space="preserve">Lewis, </w:t>
      </w:r>
      <w:proofErr w:type="spellStart"/>
      <w:r w:rsidR="00B93DBD" w:rsidRPr="00A62770">
        <w:t>Thoresen</w:t>
      </w:r>
      <w:proofErr w:type="spellEnd"/>
      <w:r w:rsidR="00B93DBD" w:rsidRPr="00A62770">
        <w:t xml:space="preserve"> &amp; Cocks 2011</w:t>
      </w:r>
      <w:r w:rsidR="00B93DBD">
        <w:t>a, 2011b; NCVER 2011c</w:t>
      </w:r>
      <w:r w:rsidR="00787D91">
        <w:t>);</w:t>
      </w:r>
      <w:r>
        <w:t xml:space="preserve"> as well as low school retention rates (</w:t>
      </w:r>
      <w:r w:rsidR="00F80DB0">
        <w:t>ABS 2010</w:t>
      </w:r>
      <w:r w:rsidR="00840F32">
        <w:t>b</w:t>
      </w:r>
      <w:r>
        <w:t>). Employment is one important counter to social exclusion (</w:t>
      </w:r>
      <w:r w:rsidR="006C32C9">
        <w:t>Australian Government 2009</w:t>
      </w:r>
      <w:r w:rsidR="003D06F8">
        <w:t>;</w:t>
      </w:r>
      <w:r w:rsidR="00EB7E6E">
        <w:t xml:space="preserve"> </w:t>
      </w:r>
      <w:r w:rsidR="00240831">
        <w:t>Department of Families, Housing, Community Services and Indigenous Affairs</w:t>
      </w:r>
      <w:r w:rsidR="00EB7E6E">
        <w:t xml:space="preserve"> 2011</w:t>
      </w:r>
      <w:r>
        <w:t>). For people with disabilities, having a norm</w:t>
      </w:r>
      <w:r w:rsidR="003D06F8">
        <w:t>al job improves quality of life</w:t>
      </w:r>
      <w:r w:rsidR="00E3741E">
        <w:t>, provides income</w:t>
      </w:r>
      <w:r>
        <w:t xml:space="preserve"> </w:t>
      </w:r>
      <w:r w:rsidR="00976DC0">
        <w:t xml:space="preserve">and </w:t>
      </w:r>
      <w:r>
        <w:t xml:space="preserve">fosters independence, </w:t>
      </w:r>
      <w:r w:rsidR="00787D91">
        <w:t>self-esteem, social connections</w:t>
      </w:r>
      <w:r>
        <w:t xml:space="preserve"> and wellbeing</w:t>
      </w:r>
      <w:r w:rsidR="003D06F8">
        <w:t xml:space="preserve"> (</w:t>
      </w:r>
      <w:proofErr w:type="spellStart"/>
      <w:r w:rsidR="003D06F8">
        <w:t>Corbiere</w:t>
      </w:r>
      <w:proofErr w:type="spellEnd"/>
      <w:r w:rsidR="003D06F8">
        <w:t xml:space="preserve"> &amp; </w:t>
      </w:r>
      <w:proofErr w:type="spellStart"/>
      <w:r w:rsidR="003D06F8">
        <w:t>Lecomte</w:t>
      </w:r>
      <w:proofErr w:type="spellEnd"/>
      <w:r w:rsidR="003D06F8">
        <w:t xml:space="preserve"> 2009; </w:t>
      </w:r>
      <w:proofErr w:type="spellStart"/>
      <w:r w:rsidR="003D06F8">
        <w:t>Eggleton</w:t>
      </w:r>
      <w:proofErr w:type="spellEnd"/>
      <w:r w:rsidR="003D06F8">
        <w:t xml:space="preserve"> et al</w:t>
      </w:r>
      <w:r w:rsidR="004A13AA">
        <w:t>.</w:t>
      </w:r>
      <w:r w:rsidR="003D06F8">
        <w:t xml:space="preserve"> 1999; </w:t>
      </w:r>
      <w:r w:rsidR="00240831">
        <w:t xml:space="preserve">Department of Families, Housing, Community Services and Indigenous </w:t>
      </w:r>
      <w:proofErr w:type="gramStart"/>
      <w:r w:rsidR="00240831">
        <w:t xml:space="preserve">Affairs </w:t>
      </w:r>
      <w:r w:rsidR="003D06F8" w:rsidRPr="003D06F8">
        <w:t xml:space="preserve"> 2011</w:t>
      </w:r>
      <w:proofErr w:type="gramEnd"/>
      <w:r w:rsidR="003D06F8">
        <w:t xml:space="preserve">; </w:t>
      </w:r>
      <w:proofErr w:type="spellStart"/>
      <w:r w:rsidR="003D06F8">
        <w:t>Jiranek</w:t>
      </w:r>
      <w:proofErr w:type="spellEnd"/>
      <w:r w:rsidR="003D06F8">
        <w:t xml:space="preserve"> &amp; Ki</w:t>
      </w:r>
      <w:r w:rsidR="00F37D80">
        <w:t xml:space="preserve">rby 1990; </w:t>
      </w:r>
      <w:proofErr w:type="spellStart"/>
      <w:r w:rsidR="00F37D80">
        <w:t>Kober</w:t>
      </w:r>
      <w:proofErr w:type="spellEnd"/>
      <w:r w:rsidR="00F37D80">
        <w:t xml:space="preserve"> &amp; </w:t>
      </w:r>
      <w:proofErr w:type="spellStart"/>
      <w:r w:rsidR="00F37D80">
        <w:t>Eggleton</w:t>
      </w:r>
      <w:proofErr w:type="spellEnd"/>
      <w:r w:rsidR="00F37D80">
        <w:t xml:space="preserve"> 2005</w:t>
      </w:r>
      <w:r w:rsidR="003D06F8">
        <w:t>)</w:t>
      </w:r>
      <w:r>
        <w:t xml:space="preserve">. </w:t>
      </w:r>
    </w:p>
    <w:p w:rsidR="006770B4" w:rsidRDefault="006770B4" w:rsidP="00787D91">
      <w:pPr>
        <w:pStyle w:val="Text"/>
      </w:pPr>
      <w:r>
        <w:t xml:space="preserve">Apprenticeships and traineeships provide strong and particularly appropriate pathways to employment for adults with disabilities. For younger people with disabilities, apprenticeships and traineeships can </w:t>
      </w:r>
      <w:r w:rsidR="00787D91">
        <w:t>be</w:t>
      </w:r>
      <w:r>
        <w:t xml:space="preserve"> important in the challenging transition from school to adult life. Understanding these pathways and the barriers and facilitators along the way is essential</w:t>
      </w:r>
      <w:r w:rsidR="00F37D80">
        <w:t xml:space="preserve"> to</w:t>
      </w:r>
      <w:r>
        <w:t xml:space="preserve"> </w:t>
      </w:r>
      <w:r w:rsidR="00E3741E">
        <w:t>improving</w:t>
      </w:r>
      <w:r>
        <w:t xml:space="preserve"> outcomes. Addressing </w:t>
      </w:r>
      <w:r w:rsidR="00787D91">
        <w:t xml:space="preserve">the </w:t>
      </w:r>
      <w:r>
        <w:t xml:space="preserve">barriers and fostering facilitators for </w:t>
      </w:r>
      <w:r w:rsidR="00787D91">
        <w:t>completions</w:t>
      </w:r>
      <w:r>
        <w:t xml:space="preserve"> </w:t>
      </w:r>
      <w:r w:rsidR="00787D91">
        <w:t xml:space="preserve">in apprenticeships and traineeships for people with disabilities </w:t>
      </w:r>
      <w:r>
        <w:t>can increase</w:t>
      </w:r>
      <w:r w:rsidR="00787D91">
        <w:t xml:space="preserve"> completion rates as well as</w:t>
      </w:r>
      <w:r>
        <w:t xml:space="preserve"> provide </w:t>
      </w:r>
      <w:r w:rsidR="00E3741E">
        <w:t xml:space="preserve">the </w:t>
      </w:r>
      <w:r>
        <w:t xml:space="preserve">impetus for </w:t>
      </w:r>
      <w:r w:rsidR="00787D91">
        <w:t xml:space="preserve">their </w:t>
      </w:r>
      <w:r>
        <w:t>increased participation</w:t>
      </w:r>
      <w:r w:rsidR="00787D91">
        <w:t>.</w:t>
      </w:r>
      <w:r>
        <w:t xml:space="preserve"> </w:t>
      </w:r>
    </w:p>
    <w:p w:rsidR="00426262" w:rsidRDefault="00CB7B06" w:rsidP="00787D91">
      <w:pPr>
        <w:pStyle w:val="Text"/>
      </w:pPr>
      <w:r>
        <w:t xml:space="preserve">This research report describes </w:t>
      </w:r>
      <w:r w:rsidR="00787D91">
        <w:t xml:space="preserve">the </w:t>
      </w:r>
      <w:r>
        <w:t xml:space="preserve">barriers </w:t>
      </w:r>
      <w:r w:rsidR="00787D91">
        <w:t xml:space="preserve">to </w:t>
      </w:r>
      <w:r>
        <w:t xml:space="preserve">and facilitators </w:t>
      </w:r>
      <w:r w:rsidR="00787D91">
        <w:t>of</w:t>
      </w:r>
      <w:r>
        <w:t xml:space="preserve"> course completion by </w:t>
      </w:r>
      <w:r w:rsidR="00E3741E">
        <w:t xml:space="preserve">404 </w:t>
      </w:r>
      <w:r>
        <w:t xml:space="preserve">apprenticeship and traineeship graduates with disabilities and a comparison group of </w:t>
      </w:r>
      <w:r w:rsidR="00E3741E">
        <w:t>85 graduates without disabilities</w:t>
      </w:r>
      <w:r>
        <w:t>. Data are drawn from the first year of a three-year study into</w:t>
      </w:r>
      <w:r w:rsidR="00F37D80">
        <w:t xml:space="preserve"> the</w:t>
      </w:r>
      <w:r>
        <w:t xml:space="preserve"> social and economic outcomes for graduates with disabilit</w:t>
      </w:r>
      <w:r w:rsidR="00B93DBD">
        <w:t>ies</w:t>
      </w:r>
      <w:r>
        <w:t xml:space="preserve">. The study incorporates a wide range of outcomes. </w:t>
      </w:r>
    </w:p>
    <w:p w:rsidR="00056F2A" w:rsidRDefault="00056F2A" w:rsidP="008001F8">
      <w:pPr>
        <w:pStyle w:val="Text"/>
      </w:pPr>
      <w:r>
        <w:br w:type="page"/>
      </w:r>
    </w:p>
    <w:p w:rsidR="00056F2A" w:rsidRPr="00734FB5" w:rsidRDefault="00056F2A" w:rsidP="00056F2A">
      <w:pPr>
        <w:pStyle w:val="Heading1"/>
      </w:pPr>
      <w:bookmarkStart w:id="40" w:name="_Toc350259301"/>
      <w:r w:rsidRPr="00734FB5">
        <w:lastRenderedPageBreak/>
        <w:t>Background</w:t>
      </w:r>
      <w:bookmarkEnd w:id="40"/>
    </w:p>
    <w:p w:rsidR="002D7F21" w:rsidRPr="002D7F21" w:rsidRDefault="002D7F21" w:rsidP="00F716D2">
      <w:pPr>
        <w:pStyle w:val="Text"/>
      </w:pPr>
      <w:r w:rsidRPr="002D7F21">
        <w:t xml:space="preserve">People with disabilities are significantly underrepresented in VET </w:t>
      </w:r>
      <w:r w:rsidR="002C3DAB">
        <w:t xml:space="preserve">generally, </w:t>
      </w:r>
      <w:r w:rsidRPr="002D7F21">
        <w:t xml:space="preserve">and </w:t>
      </w:r>
      <w:r w:rsidR="00E3741E">
        <w:t xml:space="preserve">specifically in </w:t>
      </w:r>
      <w:r w:rsidRPr="002D7F21">
        <w:t>apprenticeships and traineeships. While 14.8% of working-age Australians (</w:t>
      </w:r>
      <w:r w:rsidR="00E3741E">
        <w:t>aged 15—</w:t>
      </w:r>
      <w:r w:rsidRPr="002D7F21">
        <w:t xml:space="preserve">64) have disabilities (ABS 2010b), only 6.1% of VET students self-identified as having disabilities in 2010 and only 1.4% of apprentices and trainees in 2010 identified as having a disability (NCVER 2011c). In addition, students with disabilities are less likely to graduate from VET and apprenticeships and traineeships </w:t>
      </w:r>
      <w:r w:rsidR="00F716D2" w:rsidRPr="002D7F21">
        <w:t>(NCVER 2011c).</w:t>
      </w:r>
    </w:p>
    <w:p w:rsidR="00D505EF" w:rsidRPr="000170D0" w:rsidRDefault="00790550" w:rsidP="00F716D2">
      <w:pPr>
        <w:pStyle w:val="Text"/>
      </w:pPr>
      <w:r>
        <w:t>Increased participation in VET by people with disabilities</w:t>
      </w:r>
      <w:r w:rsidRPr="000170D0">
        <w:t xml:space="preserve"> </w:t>
      </w:r>
      <w:r>
        <w:t>will benefit individuals through increased economic participation and has the potential to improve the gross domestic product of the country (</w:t>
      </w:r>
      <w:r w:rsidR="00F716D2">
        <w:t>National VET Equity Advisory Council</w:t>
      </w:r>
      <w:r>
        <w:t xml:space="preserve"> 2011). </w:t>
      </w:r>
      <w:r w:rsidR="00D505EF" w:rsidRPr="000170D0">
        <w:t>VET has the potential to facilitate the transition of people with disabilities ‘from a life of social exclusion to the experience that most people accept as the norm, but few people with a disability encounter, of social inclusion’ (</w:t>
      </w:r>
      <w:proofErr w:type="spellStart"/>
      <w:r w:rsidR="00D505EF" w:rsidRPr="000170D0">
        <w:t>Bagshaw</w:t>
      </w:r>
      <w:proofErr w:type="spellEnd"/>
      <w:r w:rsidR="00D505EF" w:rsidRPr="000170D0">
        <w:t xml:space="preserve"> &amp; Fowler 2008, p.13). However, VET graduates with disabilities are less likely to be employed than their peers without disabilit</w:t>
      </w:r>
      <w:r w:rsidR="00F716D2">
        <w:t>ies</w:t>
      </w:r>
      <w:r w:rsidR="00D505EF" w:rsidRPr="000170D0">
        <w:t xml:space="preserve"> (NCVER 2011b). This may reflect the fact that </w:t>
      </w:r>
      <w:r w:rsidR="006770B4">
        <w:t>many</w:t>
      </w:r>
      <w:r w:rsidR="00D505EF" w:rsidRPr="000170D0">
        <w:t xml:space="preserve"> people with disabilities undertaking VET engage in lower-level qualifications</w:t>
      </w:r>
      <w:r w:rsidR="00F716D2">
        <w:t>, which</w:t>
      </w:r>
      <w:r w:rsidR="00D505EF" w:rsidRPr="000170D0">
        <w:t xml:space="preserve"> provide lower prospects of post-training employment (Cocks &amp; Harvey 2008; Griffin &amp; Beddie 2011; </w:t>
      </w:r>
      <w:r w:rsidR="00F716D2">
        <w:t>National VET Equity Advisory Council</w:t>
      </w:r>
      <w:r w:rsidR="00D505EF" w:rsidRPr="000170D0">
        <w:t xml:space="preserve"> 2011).</w:t>
      </w:r>
      <w:r>
        <w:t xml:space="preserve"> </w:t>
      </w:r>
      <w:r w:rsidR="00D505EF" w:rsidRPr="000170D0">
        <w:t xml:space="preserve"> </w:t>
      </w:r>
    </w:p>
    <w:p w:rsidR="00212C97" w:rsidRDefault="00212C97" w:rsidP="00F716D2">
      <w:pPr>
        <w:pStyle w:val="Text"/>
      </w:pPr>
      <w:r w:rsidRPr="00291E38">
        <w:t>A disproportionately large segment of VET students with disabilities complete courses at certificate I or II level</w:t>
      </w:r>
      <w:r w:rsidR="00F716D2">
        <w:t>:</w:t>
      </w:r>
      <w:r w:rsidRPr="00291E38">
        <w:t xml:space="preserve"> 43.3% </w:t>
      </w:r>
      <w:r>
        <w:t xml:space="preserve">compared </w:t>
      </w:r>
      <w:r w:rsidR="00F716D2">
        <w:t>with</w:t>
      </w:r>
      <w:r w:rsidRPr="00291E38">
        <w:t xml:space="preserve"> 26.7%</w:t>
      </w:r>
      <w:r>
        <w:t xml:space="preserve"> am</w:t>
      </w:r>
      <w:r w:rsidR="00F716D2">
        <w:t>ong graduates without disabilities</w:t>
      </w:r>
      <w:r>
        <w:t xml:space="preserve">. A proportion of the lower certificate level VET courses </w:t>
      </w:r>
      <w:r w:rsidR="00F716D2">
        <w:t xml:space="preserve">that </w:t>
      </w:r>
      <w:r>
        <w:t>people with disabilities undertake are enabling courses (ANTA 2000; Cavallaro et al</w:t>
      </w:r>
      <w:r w:rsidR="004A13AA">
        <w:t>.</w:t>
      </w:r>
      <w:r>
        <w:t xml:space="preserve"> 2005; Lewis, </w:t>
      </w:r>
      <w:proofErr w:type="spellStart"/>
      <w:r>
        <w:t>Thoresen</w:t>
      </w:r>
      <w:proofErr w:type="spellEnd"/>
      <w:r>
        <w:t xml:space="preserve"> &amp; Cocks 2011a</w:t>
      </w:r>
      <w:r w:rsidR="00F025CC">
        <w:t xml:space="preserve">; </w:t>
      </w:r>
      <w:r w:rsidR="00F716D2">
        <w:t>National VET Equity Advisory Council</w:t>
      </w:r>
      <w:r w:rsidR="00F025CC">
        <w:t xml:space="preserve"> 2011</w:t>
      </w:r>
      <w:r>
        <w:t>)</w:t>
      </w:r>
      <w:r w:rsidR="00787D91">
        <w:t>, which</w:t>
      </w:r>
      <w:r>
        <w:t xml:space="preserve"> may contribute to the poorer</w:t>
      </w:r>
      <w:r w:rsidRPr="00291E38">
        <w:t xml:space="preserve"> employment outcomes</w:t>
      </w:r>
      <w:r>
        <w:t xml:space="preserve"> for VET graduates with disabilities</w:t>
      </w:r>
      <w:r w:rsidRPr="00291E38">
        <w:t xml:space="preserve"> compared </w:t>
      </w:r>
      <w:r w:rsidR="00F716D2">
        <w:t>with</w:t>
      </w:r>
      <w:r w:rsidRPr="00291E38">
        <w:t xml:space="preserve"> students without disabilit</w:t>
      </w:r>
      <w:r w:rsidR="00F716D2">
        <w:t>ies</w:t>
      </w:r>
      <w:r>
        <w:t xml:space="preserve">. It may also reflect an emphasis on ‘workplace readiness’ (Cocks &amp; Harvey 2008) compared </w:t>
      </w:r>
      <w:r w:rsidR="00F716D2">
        <w:t>with</w:t>
      </w:r>
      <w:r>
        <w:t xml:space="preserve"> the ‘place-then-train’ model (Lewis, </w:t>
      </w:r>
      <w:proofErr w:type="spellStart"/>
      <w:r>
        <w:t>Thoresen</w:t>
      </w:r>
      <w:proofErr w:type="spellEnd"/>
      <w:r>
        <w:t xml:space="preserve"> &amp; Cocks 2011a). The workplace readiness, or readiness model, implies that people with disabilities have to prove their ability, or readiness, for employment. This may include proven competency and productivity within the sheltered workshop environment (or Australian Disability Enterprises as they are currently labelled). The readiness model may include many small sequential levels of pre-qualifications such</w:t>
      </w:r>
      <w:r w:rsidR="00827C46">
        <w:t xml:space="preserve"> as</w:t>
      </w:r>
      <w:r>
        <w:t xml:space="preserve"> pre-VET before lower certificate level VET, before higher certificate VET. </w:t>
      </w:r>
      <w:r w:rsidR="00F716D2">
        <w:t>By</w:t>
      </w:r>
      <w:r>
        <w:t xml:space="preserve"> comparison, the place-then-train approach emphasise</w:t>
      </w:r>
      <w:r w:rsidR="00976DC0">
        <w:t>s</w:t>
      </w:r>
      <w:r>
        <w:t xml:space="preserve"> matching a job to the </w:t>
      </w:r>
      <w:r w:rsidR="00976DC0">
        <w:t xml:space="preserve">interests of the </w:t>
      </w:r>
      <w:r>
        <w:t>person with disabilit</w:t>
      </w:r>
      <w:r w:rsidR="00827C46">
        <w:t>ies</w:t>
      </w:r>
      <w:r>
        <w:t xml:space="preserve">. Intensive on-the-job training and support </w:t>
      </w:r>
      <w:r w:rsidR="00F716D2">
        <w:t>are</w:t>
      </w:r>
      <w:r w:rsidR="00A67A12">
        <w:t xml:space="preserve"> provided. Identifying an appropriate employer is crucial for this model.</w:t>
      </w:r>
    </w:p>
    <w:p w:rsidR="00D505EF" w:rsidRPr="000170D0" w:rsidRDefault="00A67A12" w:rsidP="00787D91">
      <w:pPr>
        <w:pStyle w:val="Text"/>
      </w:pPr>
      <w:r>
        <w:t xml:space="preserve">An advantage of the place-then-train model is the work-based training approach. Apprenticeships and traineeships are also usually work-based. </w:t>
      </w:r>
      <w:r w:rsidR="00446A60">
        <w:t>For people with disabilities, particularly intellectual and learning disabilities, v</w:t>
      </w:r>
      <w:r>
        <w:t xml:space="preserve">ocational development within the workplace </w:t>
      </w:r>
      <w:r w:rsidR="00446A60">
        <w:t>is beneficial</w:t>
      </w:r>
      <w:r w:rsidR="00F716D2">
        <w:t>,</w:t>
      </w:r>
      <w:r w:rsidR="00446A60">
        <w:t xml:space="preserve"> as there is </w:t>
      </w:r>
      <w:r w:rsidR="00976DC0">
        <w:t>less</w:t>
      </w:r>
      <w:r w:rsidR="00446A60">
        <w:t xml:space="preserve"> need to generalise skills obtained in one setting (such as the education or training setting) to another (such as the workplace). </w:t>
      </w:r>
      <w:r w:rsidR="00D505EF" w:rsidRPr="00734FB5">
        <w:t>For many, exposure to the workforce as an apprentice or trainee</w:t>
      </w:r>
      <w:r w:rsidR="00D505EF">
        <w:t xml:space="preserve"> is</w:t>
      </w:r>
      <w:r w:rsidR="00D505EF" w:rsidRPr="00734FB5">
        <w:t xml:space="preserve"> </w:t>
      </w:r>
      <w:r w:rsidR="00D505EF">
        <w:t>intrinsically valuable</w:t>
      </w:r>
      <w:r w:rsidR="00D505EF" w:rsidRPr="00734FB5">
        <w:t xml:space="preserve"> and arguably provides both a means and an end to sustainable employment (Lewis, </w:t>
      </w:r>
      <w:proofErr w:type="spellStart"/>
      <w:r w:rsidR="00D505EF" w:rsidRPr="00734FB5">
        <w:t>Thoresen</w:t>
      </w:r>
      <w:proofErr w:type="spellEnd"/>
      <w:r w:rsidR="00D505EF" w:rsidRPr="00734FB5">
        <w:t xml:space="preserve"> &amp; Cocks 2011b). Ball </w:t>
      </w:r>
      <w:r w:rsidR="00787D91">
        <w:t>and</w:t>
      </w:r>
      <w:r w:rsidR="00D505EF" w:rsidRPr="00734FB5">
        <w:t xml:space="preserve"> </w:t>
      </w:r>
      <w:r w:rsidR="000D5D10">
        <w:t>John</w:t>
      </w:r>
      <w:r w:rsidR="00D505EF" w:rsidRPr="00734FB5">
        <w:t xml:space="preserve"> (2005) found </w:t>
      </w:r>
      <w:r w:rsidR="00D505EF" w:rsidRPr="000170D0">
        <w:t xml:space="preserve">apprenticeship and traineeship graduates with disabilities are as likely to be employed as their peers without disabilities. </w:t>
      </w:r>
    </w:p>
    <w:p w:rsidR="0058786E" w:rsidRPr="00734FB5" w:rsidRDefault="00F716D2" w:rsidP="004A4B26">
      <w:pPr>
        <w:pStyle w:val="Text"/>
      </w:pPr>
      <w:r>
        <w:t>A r</w:t>
      </w:r>
      <w:r w:rsidR="0058786E" w:rsidRPr="000170D0">
        <w:t xml:space="preserve">ange of complexities in estimating </w:t>
      </w:r>
      <w:r w:rsidR="004A4B26">
        <w:t xml:space="preserve">the </w:t>
      </w:r>
      <w:r w:rsidR="0058786E" w:rsidRPr="000170D0">
        <w:t>completion rates of apprentices and trainees</w:t>
      </w:r>
      <w:r>
        <w:t xml:space="preserve"> confronts researchers</w:t>
      </w:r>
      <w:r w:rsidR="0058786E" w:rsidRPr="000170D0">
        <w:t xml:space="preserve">. </w:t>
      </w:r>
      <w:r w:rsidR="004A4B26">
        <w:t>D</w:t>
      </w:r>
      <w:r w:rsidR="004A4B26" w:rsidRPr="000170D0">
        <w:t xml:space="preserve">elays </w:t>
      </w:r>
      <w:r w:rsidR="004A4B26">
        <w:t xml:space="preserve">are experienced </w:t>
      </w:r>
      <w:r w:rsidR="004A4B26" w:rsidRPr="000170D0">
        <w:t xml:space="preserve">in obtaining information </w:t>
      </w:r>
      <w:r w:rsidR="004A4B26">
        <w:t>on</w:t>
      </w:r>
      <w:r w:rsidR="0058786E" w:rsidRPr="000170D0">
        <w:t xml:space="preserve"> completion rates for students commencing courses within a specific school year, particularly given the varying course durations. </w:t>
      </w:r>
      <w:r w:rsidR="0058786E" w:rsidRPr="000170D0">
        <w:lastRenderedPageBreak/>
        <w:t>There are</w:t>
      </w:r>
      <w:r w:rsidR="0058786E" w:rsidRPr="00734FB5">
        <w:t xml:space="preserve"> also difficulties in ascertaining the percentage of </w:t>
      </w:r>
      <w:r w:rsidR="004A4B26" w:rsidRPr="00734FB5">
        <w:t xml:space="preserve">completed </w:t>
      </w:r>
      <w:r w:rsidR="0058786E" w:rsidRPr="00734FB5">
        <w:t xml:space="preserve">training contracts because if an apprentice or trainee changes employer, the contract is coded as incomplete. Change of employer is more common in certain industries, with differences between trade and non-trade courses especially notable (Bednarz 2012). </w:t>
      </w:r>
      <w:r w:rsidR="004A4B26">
        <w:t>Contract completion</w:t>
      </w:r>
      <w:r w:rsidR="00CF242F">
        <w:t xml:space="preserve"> rates for all apprenticeship and traineeship contracts from 2004</w:t>
      </w:r>
      <w:r>
        <w:t xml:space="preserve"> to </w:t>
      </w:r>
      <w:r w:rsidR="00BE6567">
        <w:t>2006</w:t>
      </w:r>
      <w:r w:rsidR="00483444">
        <w:t xml:space="preserve"> </w:t>
      </w:r>
      <w:r w:rsidR="00BE6567">
        <w:t>averaged just over 50%</w:t>
      </w:r>
      <w:r>
        <w:t>,</w:t>
      </w:r>
      <w:r w:rsidR="00CF242F">
        <w:t xml:space="preserve"> </w:t>
      </w:r>
      <w:r w:rsidR="00D73B3C">
        <w:t xml:space="preserve">with completion rates for following cohorts estimated to increase </w:t>
      </w:r>
      <w:r w:rsidR="00CF242F">
        <w:t xml:space="preserve">(NCVER 2011a). </w:t>
      </w:r>
      <w:r w:rsidR="009F698A">
        <w:t xml:space="preserve">The researchers have not been able to identify </w:t>
      </w:r>
      <w:r w:rsidR="00133A87">
        <w:t>recent</w:t>
      </w:r>
      <w:r w:rsidR="009F698A">
        <w:t xml:space="preserve"> contract completion rates for apprentices and trainees according to disability status. </w:t>
      </w:r>
      <w:r w:rsidR="00133A87">
        <w:t>Estimates from the 1999 cohort suggest</w:t>
      </w:r>
      <w:r w:rsidR="00BE6567">
        <w:t>ed</w:t>
      </w:r>
      <w:r w:rsidR="00133A87">
        <w:t xml:space="preserve"> </w:t>
      </w:r>
      <w:r w:rsidR="004A4B26">
        <w:t>a 45.9% completion rate</w:t>
      </w:r>
      <w:r w:rsidR="00133A87">
        <w:t xml:space="preserve"> for apprenti</w:t>
      </w:r>
      <w:r w:rsidR="004A4B26">
        <w:t>ces and trainees with disabilities</w:t>
      </w:r>
      <w:r w:rsidR="00133A87">
        <w:t xml:space="preserve"> compared with 51.4% for apprentice</w:t>
      </w:r>
      <w:r>
        <w:t>s and trainee without disabilities</w:t>
      </w:r>
      <w:r w:rsidR="009F698A">
        <w:t xml:space="preserve"> (Ball </w:t>
      </w:r>
      <w:r w:rsidR="00133A87">
        <w:t xml:space="preserve">&amp; John </w:t>
      </w:r>
      <w:r w:rsidR="009F698A">
        <w:t>200</w:t>
      </w:r>
      <w:r w:rsidR="00133A87">
        <w:t>5</w:t>
      </w:r>
      <w:r w:rsidR="009F698A">
        <w:t>)</w:t>
      </w:r>
      <w:r w:rsidR="00D145CA">
        <w:t xml:space="preserve">. </w:t>
      </w:r>
      <w:r w:rsidR="008C7A74">
        <w:t xml:space="preserve">A persistent </w:t>
      </w:r>
      <w:r w:rsidR="00BE6567">
        <w:t>lower</w:t>
      </w:r>
      <w:r w:rsidR="008C7A74">
        <w:t xml:space="preserve"> completion trend is evident by reviewing the proportion of apprentices and trainees </w:t>
      </w:r>
      <w:r w:rsidR="003D2DE6">
        <w:t>who complete their courses compared with new commencements for apprentices and trainees with and without disabilities</w:t>
      </w:r>
      <w:r w:rsidR="0058786E" w:rsidRPr="00734FB5">
        <w:t xml:space="preserve"> (NCVER 2011c</w:t>
      </w:r>
      <w:r w:rsidR="0058786E" w:rsidRPr="00A62770">
        <w:t xml:space="preserve">). </w:t>
      </w:r>
      <w:r w:rsidR="00C12104">
        <w:t>The majority of studies identif</w:t>
      </w:r>
      <w:r w:rsidR="00976DC0">
        <w:t>ied</w:t>
      </w:r>
      <w:r w:rsidR="00C12104">
        <w:t xml:space="preserve"> </w:t>
      </w:r>
      <w:r w:rsidR="00BE6567">
        <w:t>lower</w:t>
      </w:r>
      <w:r w:rsidR="00C12104">
        <w:t xml:space="preserve"> completion rates in both VET and apprenticeships and trainee</w:t>
      </w:r>
      <w:r>
        <w:t>ships for people with disabilities</w:t>
      </w:r>
      <w:r w:rsidR="0058786E" w:rsidRPr="00A62770">
        <w:t xml:space="preserve"> (</w:t>
      </w:r>
      <w:r w:rsidR="00A13CB4">
        <w:t>ANTA</w:t>
      </w:r>
      <w:r w:rsidR="00133A87">
        <w:t xml:space="preserve"> 2000; Ball 2004; Ball &amp; John 2005; </w:t>
      </w:r>
      <w:proofErr w:type="spellStart"/>
      <w:r w:rsidR="0086322C">
        <w:t>Bagshaw</w:t>
      </w:r>
      <w:proofErr w:type="spellEnd"/>
      <w:r w:rsidR="0086322C">
        <w:t xml:space="preserve"> &amp; Fowler 2008; </w:t>
      </w:r>
      <w:r w:rsidR="00A13CB4">
        <w:t xml:space="preserve">Cavallaro et al. 2005; </w:t>
      </w:r>
      <w:r w:rsidR="00C12104">
        <w:t xml:space="preserve">Griffin &amp; Beddie 2011; </w:t>
      </w:r>
      <w:r w:rsidR="00C12104" w:rsidRPr="00A62770">
        <w:t xml:space="preserve">Lewis, </w:t>
      </w:r>
      <w:proofErr w:type="spellStart"/>
      <w:r w:rsidR="00C12104" w:rsidRPr="00A62770">
        <w:t>Thoresen</w:t>
      </w:r>
      <w:proofErr w:type="spellEnd"/>
      <w:r w:rsidR="00C12104" w:rsidRPr="00A62770">
        <w:t xml:space="preserve"> &amp; Cocks 2011</w:t>
      </w:r>
      <w:r w:rsidR="00F37D80">
        <w:t>a, 2011b;</w:t>
      </w:r>
      <w:r w:rsidR="00C12104">
        <w:t xml:space="preserve"> </w:t>
      </w:r>
      <w:r w:rsidR="00B93DBD">
        <w:t>NCVER 2011c</w:t>
      </w:r>
      <w:r w:rsidR="0058786E" w:rsidRPr="00A62770">
        <w:t>).</w:t>
      </w:r>
      <w:r w:rsidR="00397566">
        <w:t xml:space="preserve"> </w:t>
      </w:r>
      <w:r w:rsidR="004D02B7">
        <w:t>However, a</w:t>
      </w:r>
      <w:r w:rsidR="0086322C">
        <w:t xml:space="preserve"> recent study using the Household, Income and Labour</w:t>
      </w:r>
      <w:r>
        <w:t xml:space="preserve"> Dynamics in Australia (HILDA) S</w:t>
      </w:r>
      <w:r w:rsidR="0086322C">
        <w:t xml:space="preserve">urvey concluded that there were </w:t>
      </w:r>
      <w:r w:rsidR="00BE447E">
        <w:t xml:space="preserve">no </w:t>
      </w:r>
      <w:r w:rsidR="0086322C">
        <w:t>significant differences in participation or completion rates in VET for people with disabilities (</w:t>
      </w:r>
      <w:proofErr w:type="spellStart"/>
      <w:r w:rsidR="0086322C">
        <w:t>Polidano</w:t>
      </w:r>
      <w:proofErr w:type="spellEnd"/>
      <w:r w:rsidR="0086322C">
        <w:t xml:space="preserve"> &amp; </w:t>
      </w:r>
      <w:proofErr w:type="spellStart"/>
      <w:r w:rsidR="0086322C">
        <w:t>Mavromaras</w:t>
      </w:r>
      <w:proofErr w:type="spellEnd"/>
      <w:r w:rsidR="0086322C">
        <w:t xml:space="preserve"> 2010)</w:t>
      </w:r>
      <w:r w:rsidR="00E837B1">
        <w:t>, although the timing of disability onset, the severity of disability and the support conditions did have an effect</w:t>
      </w:r>
      <w:r w:rsidR="0086322C">
        <w:t xml:space="preserve">. </w:t>
      </w:r>
      <w:r w:rsidR="00790550">
        <w:t>F</w:t>
      </w:r>
      <w:r w:rsidR="00A0428E">
        <w:t>urther</w:t>
      </w:r>
      <w:r w:rsidR="00BE447E">
        <w:t xml:space="preserve"> investigation into</w:t>
      </w:r>
      <w:r>
        <w:t xml:space="preserve"> these findings from the HILDA S</w:t>
      </w:r>
      <w:r w:rsidR="00BE447E">
        <w:t>urvey may be warranted.</w:t>
      </w:r>
    </w:p>
    <w:p w:rsidR="0058786E" w:rsidRPr="00291E38" w:rsidRDefault="0058786E" w:rsidP="00556AB1">
      <w:pPr>
        <w:pStyle w:val="Text"/>
      </w:pPr>
      <w:r w:rsidRPr="00291E38">
        <w:t xml:space="preserve">While there are clear benefits from completing an apprenticeship or traineeship, these vary substantially. A review of wages during the last week of training compared </w:t>
      </w:r>
      <w:r w:rsidR="00556AB1">
        <w:t>with</w:t>
      </w:r>
      <w:r w:rsidRPr="00291E38">
        <w:t xml:space="preserve"> post-apprenticeship wages in trade occupations in 2010 identified an increase of $15 900 per annum. In non-trade occupa</w:t>
      </w:r>
      <w:r w:rsidR="00556AB1">
        <w:t>tions, the increase was only $5</w:t>
      </w:r>
      <w:r w:rsidRPr="00291E38">
        <w:t>200. There were clear differences between courses, includi</w:t>
      </w:r>
      <w:r w:rsidR="00556AB1">
        <w:t>ng a substantial decrease of $4000—$5</w:t>
      </w:r>
      <w:r w:rsidRPr="00291E38">
        <w:t>000 for sales workers (Karmel &amp; Mlotkowski</w:t>
      </w:r>
      <w:r w:rsidR="006F5F5D" w:rsidRPr="00291E38">
        <w:t xml:space="preserve"> 2010</w:t>
      </w:r>
      <w:r w:rsidRPr="00291E38">
        <w:t>). It is therefore important to identify the benefits of apprenticeship and traineeship completions for people with disabilities. A match</w:t>
      </w:r>
      <w:r w:rsidR="00291E38">
        <w:t xml:space="preserve">ed </w:t>
      </w:r>
      <w:proofErr w:type="gramStart"/>
      <w:r w:rsidR="00291E38">
        <w:t>pairs</w:t>
      </w:r>
      <w:proofErr w:type="gramEnd"/>
      <w:r w:rsidR="00291E38">
        <w:t xml:space="preserve"> comparative analysis reviewed outcomes among</w:t>
      </w:r>
      <w:r w:rsidRPr="00291E38">
        <w:t xml:space="preserve"> apprenticeship and traineeship graduates</w:t>
      </w:r>
      <w:r w:rsidR="00291E38">
        <w:t>,</w:t>
      </w:r>
      <w:r w:rsidRPr="00291E38">
        <w:t xml:space="preserve"> non-completers</w:t>
      </w:r>
      <w:r w:rsidR="00291E38">
        <w:t xml:space="preserve"> and</w:t>
      </w:r>
      <w:r w:rsidRPr="00291E38">
        <w:t xml:space="preserve"> registrants who never commenced an apprenticeship or traineeship</w:t>
      </w:r>
      <w:r w:rsidR="00291E38">
        <w:t xml:space="preserve"> within the same </w:t>
      </w:r>
      <w:r w:rsidR="00D16D0C">
        <w:t>disability employment service</w:t>
      </w:r>
      <w:r w:rsidR="00745B4E">
        <w:t xml:space="preserve"> </w:t>
      </w:r>
      <w:r w:rsidR="00745B4E" w:rsidRPr="00291E38">
        <w:t xml:space="preserve">(Lewis, </w:t>
      </w:r>
      <w:proofErr w:type="spellStart"/>
      <w:r w:rsidR="00745B4E" w:rsidRPr="00291E38">
        <w:t>Thoresen</w:t>
      </w:r>
      <w:proofErr w:type="spellEnd"/>
      <w:r w:rsidR="00745B4E" w:rsidRPr="00291E38">
        <w:t xml:space="preserve"> &amp; Cocks 2011b)</w:t>
      </w:r>
      <w:r w:rsidR="00291E38">
        <w:t>. B</w:t>
      </w:r>
      <w:r w:rsidRPr="00291E38">
        <w:t xml:space="preserve">etter post-training outcomes </w:t>
      </w:r>
      <w:r w:rsidR="00291E38">
        <w:t xml:space="preserve">were documented </w:t>
      </w:r>
      <w:r w:rsidRPr="00291E38">
        <w:t xml:space="preserve">among apprenticeship and traineeship completers </w:t>
      </w:r>
      <w:r w:rsidR="00291E38">
        <w:t>as well as</w:t>
      </w:r>
      <w:r w:rsidRPr="00291E38">
        <w:t xml:space="preserve"> apprenticeship non-completers </w:t>
      </w:r>
      <w:r w:rsidR="00291E38">
        <w:t xml:space="preserve">compared </w:t>
      </w:r>
      <w:r w:rsidR="00556AB1">
        <w:t>with</w:t>
      </w:r>
      <w:r w:rsidRPr="00291E38">
        <w:t xml:space="preserve"> their matched pairs. Outcome measures included </w:t>
      </w:r>
      <w:r w:rsidR="00556AB1">
        <w:t xml:space="preserve">the </w:t>
      </w:r>
      <w:r w:rsidR="000170D0">
        <w:t xml:space="preserve">percentage of their time registered with the </w:t>
      </w:r>
      <w:r w:rsidR="00CA661F">
        <w:t>disability employment services</w:t>
      </w:r>
      <w:r w:rsidR="00791EA1">
        <w:t xml:space="preserve"> </w:t>
      </w:r>
      <w:r w:rsidR="000170D0">
        <w:t xml:space="preserve">in paid employment, </w:t>
      </w:r>
      <w:r w:rsidR="004A4B26">
        <w:t>wages</w:t>
      </w:r>
      <w:r w:rsidR="000170D0">
        <w:t xml:space="preserve"> and</w:t>
      </w:r>
      <w:r w:rsidRPr="00291E38">
        <w:t xml:space="preserve"> hours worked</w:t>
      </w:r>
      <w:r w:rsidR="000170D0">
        <w:t>.</w:t>
      </w:r>
      <w:r w:rsidRPr="00291E38">
        <w:t xml:space="preserve"> The outcomes for the trainees who did not complete their courses </w:t>
      </w:r>
      <w:r w:rsidR="00291E38">
        <w:t>were not statistically significantly different</w:t>
      </w:r>
      <w:r w:rsidRPr="00291E38">
        <w:t xml:space="preserve"> from their matched pairs. While the study did not find outcomes to match those of apprentices and trainees without disabilities, it was clear that course completion, as well as participation in an apprenticeship without completing, was an equalising factor.</w:t>
      </w:r>
    </w:p>
    <w:p w:rsidR="00E837B1" w:rsidRDefault="00E837B1" w:rsidP="0058798F">
      <w:pPr>
        <w:pStyle w:val="Text"/>
      </w:pPr>
      <w:r w:rsidRPr="00036315">
        <w:t xml:space="preserve">There is increasing evidence of successful strategies to support people with disabilities to undertake and complete apprenticeships and traineeships. Emphasis is placed on providing sufficient and appropriate support to adjust </w:t>
      </w:r>
      <w:r w:rsidR="003F09C8">
        <w:t xml:space="preserve">the inhibiting </w:t>
      </w:r>
      <w:r w:rsidRPr="00036315">
        <w:t xml:space="preserve">structures in the physical and social environment. Strategies may involve forming partnerships between </w:t>
      </w:r>
      <w:r w:rsidR="00CA661F">
        <w:t>disability employment services</w:t>
      </w:r>
      <w:r w:rsidR="0058798F">
        <w:t>, which</w:t>
      </w:r>
      <w:r w:rsidR="00791EA1">
        <w:t xml:space="preserve"> </w:t>
      </w:r>
      <w:r w:rsidRPr="00036315">
        <w:t>specialise in providing on-the-job suppor</w:t>
      </w:r>
      <w:r w:rsidR="00556AB1">
        <w:t>t for workers with disabilities</w:t>
      </w:r>
      <w:r w:rsidR="0058798F">
        <w:t>,</w:t>
      </w:r>
      <w:r w:rsidRPr="00036315">
        <w:t xml:space="preserve"> and </w:t>
      </w:r>
      <w:r w:rsidR="0058798F">
        <w:t>group training organisations, which</w:t>
      </w:r>
      <w:r w:rsidRPr="00036315">
        <w:t xml:space="preserve"> specialise in employing apprentices and trainees through host employers (L</w:t>
      </w:r>
      <w:r>
        <w:t xml:space="preserve">ewis, </w:t>
      </w:r>
      <w:proofErr w:type="spellStart"/>
      <w:r>
        <w:t>Thoresen</w:t>
      </w:r>
      <w:proofErr w:type="spellEnd"/>
      <w:r>
        <w:t xml:space="preserve"> &amp; Cocks 2011a). </w:t>
      </w:r>
    </w:p>
    <w:p w:rsidR="005B4F11" w:rsidRDefault="0058786E" w:rsidP="000D5D10">
      <w:pPr>
        <w:pStyle w:val="Text"/>
      </w:pPr>
      <w:r w:rsidRPr="00291E38">
        <w:t>Pathways to apprenticeships and traineeships are of particular importance for young people with disabilities in the transition from school to adult life. These pathways rely heavily on the interface between key stakeholders</w:t>
      </w:r>
      <w:r w:rsidR="00F37D80">
        <w:t>,</w:t>
      </w:r>
      <w:r w:rsidRPr="00291E38">
        <w:t xml:space="preserve"> including schools, employers, specialist employment agencies, VET </w:t>
      </w:r>
      <w:r w:rsidR="00556AB1">
        <w:t>providers</w:t>
      </w:r>
      <w:r w:rsidRPr="00291E38">
        <w:t xml:space="preserve"> and the young people themselves and their families.</w:t>
      </w:r>
      <w:r w:rsidR="004D02B7">
        <w:t xml:space="preserve"> T</w:t>
      </w:r>
      <w:r w:rsidRPr="00291E38">
        <w:t xml:space="preserve">here is a significant challenge in </w:t>
      </w:r>
      <w:r w:rsidRPr="00291E38">
        <w:lastRenderedPageBreak/>
        <w:t xml:space="preserve">supporting families to make the decision to encourage their son or </w:t>
      </w:r>
      <w:r w:rsidR="00556AB1">
        <w:t xml:space="preserve">daughter towards a vocationally </w:t>
      </w:r>
      <w:r w:rsidRPr="00291E38">
        <w:t xml:space="preserve">oriented pathway rather than choosing the more conservative option of alternatives to employment. The alternatives pathway may deny the young person vocational possibilities and lead to a lifelong reliance on the </w:t>
      </w:r>
      <w:r w:rsidR="000D410B">
        <w:t>disability support pension or other government allowances</w:t>
      </w:r>
      <w:r w:rsidRPr="00291E38">
        <w:t xml:space="preserve"> (Cocks &amp; Harvey 2009).</w:t>
      </w:r>
      <w:r w:rsidR="005B4F11">
        <w:br w:type="page"/>
      </w:r>
    </w:p>
    <w:p w:rsidR="00431C3E" w:rsidRPr="00431C3E" w:rsidRDefault="006332BB" w:rsidP="006332BB">
      <w:pPr>
        <w:pStyle w:val="Heading1"/>
      </w:pPr>
      <w:bookmarkStart w:id="41" w:name="_Toc350259302"/>
      <w:r>
        <w:lastRenderedPageBreak/>
        <w:t>Methodology</w:t>
      </w:r>
      <w:bookmarkEnd w:id="41"/>
    </w:p>
    <w:p w:rsidR="00A54848" w:rsidRDefault="00A62770" w:rsidP="0058798F">
      <w:pPr>
        <w:pStyle w:val="Text"/>
      </w:pPr>
      <w:r w:rsidRPr="007908A0">
        <w:t xml:space="preserve">This </w:t>
      </w:r>
      <w:r w:rsidR="001326AA">
        <w:t xml:space="preserve">research </w:t>
      </w:r>
      <w:r w:rsidRPr="007908A0">
        <w:t>report presents findings</w:t>
      </w:r>
      <w:r w:rsidR="007908A0" w:rsidRPr="007908A0">
        <w:t xml:space="preserve"> related to barriers </w:t>
      </w:r>
      <w:r w:rsidR="0058798F">
        <w:t xml:space="preserve">to </w:t>
      </w:r>
      <w:r w:rsidR="007908A0" w:rsidRPr="007908A0">
        <w:t xml:space="preserve">and facilitators </w:t>
      </w:r>
      <w:r w:rsidR="0058798F">
        <w:t>of</w:t>
      </w:r>
      <w:r w:rsidR="007908A0" w:rsidRPr="007908A0">
        <w:t xml:space="preserve"> course completions among apprenticeship and traineesh</w:t>
      </w:r>
      <w:r w:rsidR="0058798F">
        <w:t>ip graduates with disabilities and</w:t>
      </w:r>
      <w:r w:rsidR="002313E4">
        <w:t xml:space="preserve"> is the first report from </w:t>
      </w:r>
      <w:r w:rsidR="001326AA">
        <w:t>a</w:t>
      </w:r>
      <w:r w:rsidR="007908A0" w:rsidRPr="007908A0">
        <w:t xml:space="preserve"> </w:t>
      </w:r>
      <w:r w:rsidR="00556AB1">
        <w:t>three-</w:t>
      </w:r>
      <w:r w:rsidR="007908A0">
        <w:t xml:space="preserve">year </w:t>
      </w:r>
      <w:r w:rsidR="004A2F12" w:rsidRPr="007908A0">
        <w:t xml:space="preserve">longitudinal </w:t>
      </w:r>
      <w:r w:rsidRPr="007908A0">
        <w:t>study</w:t>
      </w:r>
      <w:r w:rsidR="007908A0" w:rsidRPr="007908A0">
        <w:t xml:space="preserve"> into </w:t>
      </w:r>
      <w:r w:rsidR="0058798F">
        <w:t xml:space="preserve">the </w:t>
      </w:r>
      <w:r w:rsidR="007908A0" w:rsidRPr="007908A0">
        <w:t xml:space="preserve">social and economic outcomes </w:t>
      </w:r>
      <w:r w:rsidR="0058798F">
        <w:t>of</w:t>
      </w:r>
      <w:r w:rsidR="00483444">
        <w:t xml:space="preserve"> a</w:t>
      </w:r>
      <w:r w:rsidR="007908A0" w:rsidRPr="007908A0">
        <w:t>pprenticeship and traineeship graduates</w:t>
      </w:r>
      <w:r w:rsidR="007908A0">
        <w:t xml:space="preserve"> with disabilities</w:t>
      </w:r>
      <w:r w:rsidRPr="007908A0">
        <w:t xml:space="preserve">. </w:t>
      </w:r>
      <w:r w:rsidR="007908A0">
        <w:t xml:space="preserve">To contextualise the findings, a smaller group of graduates without </w:t>
      </w:r>
      <w:r w:rsidR="00094D56">
        <w:t xml:space="preserve">a </w:t>
      </w:r>
      <w:r w:rsidR="007908A0">
        <w:t xml:space="preserve">disability has also been included. This report relies on research participants’ responses </w:t>
      </w:r>
      <w:r w:rsidR="007908A0" w:rsidRPr="002313E4">
        <w:t>from the first year of the study.</w:t>
      </w:r>
      <w:r w:rsidR="002313E4" w:rsidRPr="002313E4">
        <w:t xml:space="preserve"> </w:t>
      </w:r>
      <w:r w:rsidR="00A54848">
        <w:t>The research project was granted e</w:t>
      </w:r>
      <w:r w:rsidR="00A54848" w:rsidRPr="002313E4">
        <w:t>thics approval from Curtin University Human Research Ethics Committee in March 2011.</w:t>
      </w:r>
    </w:p>
    <w:p w:rsidR="009F0052" w:rsidRDefault="009F0052" w:rsidP="00D24309">
      <w:pPr>
        <w:pStyle w:val="Heading2"/>
        <w:spacing w:before="300"/>
      </w:pPr>
      <w:bookmarkStart w:id="42" w:name="_Toc350259303"/>
      <w:r>
        <w:t>Participants and information gathering</w:t>
      </w:r>
      <w:bookmarkEnd w:id="42"/>
    </w:p>
    <w:p w:rsidR="007908A0" w:rsidRDefault="002313E4" w:rsidP="00556AB1">
      <w:pPr>
        <w:pStyle w:val="Text"/>
      </w:pPr>
      <w:r w:rsidRPr="002313E4">
        <w:t>A postal survey was administered to apprenticeship and traineeship graduates who self-identified as having a disability and a smaller comparison group of graduates w</w:t>
      </w:r>
      <w:r w:rsidR="00556AB1">
        <w:t>ithout</w:t>
      </w:r>
      <w:r w:rsidR="00094D56">
        <w:t xml:space="preserve"> a</w:t>
      </w:r>
      <w:r w:rsidR="00556AB1">
        <w:t xml:space="preserve"> disability. A total of 2</w:t>
      </w:r>
      <w:r w:rsidRPr="002313E4">
        <w:t>860 surveys were disseminated</w:t>
      </w:r>
      <w:r>
        <w:t>.</w:t>
      </w:r>
      <w:r w:rsidRPr="002313E4">
        <w:t xml:space="preserve"> People choosing to participate in the research returned the completed survey by mail.</w:t>
      </w:r>
      <w:r>
        <w:t xml:space="preserve"> </w:t>
      </w:r>
      <w:r w:rsidR="005B6BE0" w:rsidRPr="005B6BE0">
        <w:t>A total of 50</w:t>
      </w:r>
      <w:r w:rsidR="001326AA">
        <w:t>2</w:t>
      </w:r>
      <w:r w:rsidR="005B6BE0" w:rsidRPr="005B6BE0">
        <w:t xml:space="preserve"> individuals returned a completed survey to the researchers. </w:t>
      </w:r>
      <w:r w:rsidR="00AB01E9">
        <w:t>Participants in the disability</w:t>
      </w:r>
      <w:r w:rsidR="00A85807">
        <w:t xml:space="preserve"> group</w:t>
      </w:r>
      <w:r w:rsidR="00AB01E9">
        <w:t xml:space="preserve"> had to</w:t>
      </w:r>
      <w:r w:rsidR="00556AB1">
        <w:t xml:space="preserve"> meet two inclusion criteria:</w:t>
      </w:r>
      <w:r w:rsidR="00AB01E9">
        <w:t xml:space="preserve"> having self-identified disabilities and having completed an apprenticeship or a traineeship between 2009 and 2011. Participants in the comparison group had to meet the criteria of completing their apprenticeship or traineeship between 2009 and 2011. </w:t>
      </w:r>
      <w:r w:rsidR="005B6BE0" w:rsidRPr="005B6BE0">
        <w:t xml:space="preserve">Thirteen survey participants were </w:t>
      </w:r>
      <w:r w:rsidR="00A54848">
        <w:t xml:space="preserve">deemed ineligible and were </w:t>
      </w:r>
      <w:r w:rsidR="005B6BE0" w:rsidRPr="005B6BE0">
        <w:t>subse</w:t>
      </w:r>
      <w:r w:rsidR="00A54848">
        <w:t>quently excluded</w:t>
      </w:r>
      <w:r w:rsidR="005B6BE0" w:rsidRPr="005B6BE0">
        <w:t xml:space="preserve">. Of the 489 survey participants included, 404 individuals were classified in the disability group and 85 reported no disability and were classified in the comparison group. </w:t>
      </w:r>
      <w:r w:rsidRPr="002313E4">
        <w:t>Face-to-face interviews with a small sub-sample of 30 survey participants with disabilities</w:t>
      </w:r>
      <w:r w:rsidR="00556AB1">
        <w:t xml:space="preserve"> were also carried out. These</w:t>
      </w:r>
      <w:r w:rsidRPr="002313E4">
        <w:t xml:space="preserve"> provided deeper consideration of some of the issues and a significant qualitative dimension to the study. </w:t>
      </w:r>
    </w:p>
    <w:p w:rsidR="00B005DC" w:rsidRPr="00B005DC" w:rsidRDefault="0085725F" w:rsidP="00B44D91">
      <w:pPr>
        <w:pStyle w:val="Text"/>
      </w:pPr>
      <w:r w:rsidRPr="00F27FAF">
        <w:t>Three</w:t>
      </w:r>
      <w:r w:rsidR="00C62BD5" w:rsidRPr="00F27FAF">
        <w:t xml:space="preserve"> </w:t>
      </w:r>
      <w:r w:rsidR="001F7977" w:rsidRPr="00F27FAF">
        <w:t>recruitment sources</w:t>
      </w:r>
      <w:r w:rsidR="00C62BD5" w:rsidRPr="00F27FAF">
        <w:t xml:space="preserve"> were </w:t>
      </w:r>
      <w:r w:rsidR="001F7977" w:rsidRPr="00F27FAF">
        <w:t>engaged</w:t>
      </w:r>
      <w:r w:rsidRPr="00F27FAF">
        <w:t xml:space="preserve">. </w:t>
      </w:r>
      <w:r w:rsidR="006B0002" w:rsidRPr="00F27FAF">
        <w:t xml:space="preserve">First, </w:t>
      </w:r>
      <w:r w:rsidRPr="00F27FAF">
        <w:t>a</w:t>
      </w:r>
      <w:r w:rsidR="00C62BD5" w:rsidRPr="00F27FAF">
        <w:t xml:space="preserve">ll </w:t>
      </w:r>
      <w:r w:rsidR="00CA661F">
        <w:t>disability employment services</w:t>
      </w:r>
      <w:r w:rsidR="00791EA1">
        <w:t xml:space="preserve"> </w:t>
      </w:r>
      <w:r w:rsidR="00C62BD5" w:rsidRPr="00F27FAF">
        <w:t xml:space="preserve">and </w:t>
      </w:r>
      <w:r w:rsidR="00791EA1">
        <w:t>group training organisation</w:t>
      </w:r>
      <w:r w:rsidR="00DE245F" w:rsidRPr="00F27FAF">
        <w:t>s</w:t>
      </w:r>
      <w:r w:rsidRPr="00F27FAF">
        <w:t xml:space="preserve"> were approached</w:t>
      </w:r>
      <w:r w:rsidR="00C62BD5" w:rsidRPr="00F27FAF">
        <w:t xml:space="preserve"> </w:t>
      </w:r>
      <w:r w:rsidRPr="00F27FAF">
        <w:t>th</w:t>
      </w:r>
      <w:r w:rsidR="00882E54" w:rsidRPr="00F27FAF">
        <w:t>r</w:t>
      </w:r>
      <w:r w:rsidRPr="00F27FAF">
        <w:t>ough newsletters and</w:t>
      </w:r>
      <w:r w:rsidR="00556AB1">
        <w:t xml:space="preserve"> emails</w:t>
      </w:r>
      <w:r w:rsidR="00F83A0F" w:rsidRPr="00F27FAF">
        <w:t xml:space="preserve"> and a conference presentation at t</w:t>
      </w:r>
      <w:r w:rsidR="0058798F">
        <w:t>he National Disability Services</w:t>
      </w:r>
      <w:r w:rsidR="00F83A0F" w:rsidRPr="00F27FAF">
        <w:t xml:space="preserve"> 2011 </w:t>
      </w:r>
      <w:r w:rsidRPr="00F27FAF">
        <w:t>Employment Forum</w:t>
      </w:r>
      <w:r w:rsidR="001852B6">
        <w:t xml:space="preserve"> to identify graduates with disabilities</w:t>
      </w:r>
      <w:r w:rsidRPr="00F27FAF">
        <w:t>.</w:t>
      </w:r>
      <w:r w:rsidR="009973D6">
        <w:t xml:space="preserve"> This was </w:t>
      </w:r>
      <w:r w:rsidR="0058798F">
        <w:t>undertaken</w:t>
      </w:r>
      <w:r w:rsidR="009973D6">
        <w:t xml:space="preserve"> with assistance from Group Training Australia and National Disability Services. Group Training Australia is the national peak body for all </w:t>
      </w:r>
      <w:r w:rsidR="00791EA1">
        <w:t>group training organisation</w:t>
      </w:r>
      <w:r w:rsidR="00556AB1">
        <w:t>s</w:t>
      </w:r>
      <w:r w:rsidR="0058798F">
        <w:t>,</w:t>
      </w:r>
      <w:r w:rsidR="00791EA1">
        <w:t xml:space="preserve"> </w:t>
      </w:r>
      <w:r w:rsidR="009973D6">
        <w:t>collectively the largest employer of apprentices and trainees in Australia. Over the past decade, Group Training Australia has had an active commitment to support apprentices and trainees with disabilities and</w:t>
      </w:r>
      <w:r w:rsidR="0058798F">
        <w:t xml:space="preserve"> has</w:t>
      </w:r>
      <w:r w:rsidR="009973D6">
        <w:t xml:space="preserve"> participated in two national studies to facilitate this (Lewis, </w:t>
      </w:r>
      <w:proofErr w:type="spellStart"/>
      <w:r w:rsidR="009973D6">
        <w:t>Thoresen</w:t>
      </w:r>
      <w:proofErr w:type="spellEnd"/>
      <w:r w:rsidR="009973D6">
        <w:t xml:space="preserve"> &amp; Cocks 2011a).</w:t>
      </w:r>
      <w:r w:rsidR="00F83A0F" w:rsidRPr="00F27FAF">
        <w:t xml:space="preserve"> </w:t>
      </w:r>
      <w:r w:rsidR="009973D6">
        <w:t xml:space="preserve">National Disability Services is the </w:t>
      </w:r>
      <w:r w:rsidR="001C2E0B">
        <w:t>Australian</w:t>
      </w:r>
      <w:r w:rsidR="009973D6">
        <w:t xml:space="preserve"> peak umbrella organisation for all non-government disability services</w:t>
      </w:r>
      <w:r w:rsidR="00556AB1">
        <w:t>,</w:t>
      </w:r>
      <w:r w:rsidR="009973D6">
        <w:t xml:space="preserve"> with more than 700 member organisations </w:t>
      </w:r>
      <w:r w:rsidR="0096308D">
        <w:t>(National Disability Services 2009)</w:t>
      </w:r>
      <w:r w:rsidR="00556AB1">
        <w:t>.</w:t>
      </w:r>
      <w:r w:rsidR="009973D6">
        <w:t xml:space="preserve"> </w:t>
      </w:r>
      <w:r w:rsidR="00F27FAF">
        <w:t xml:space="preserve">Targeted follow-up with </w:t>
      </w:r>
      <w:r w:rsidR="00CA661F">
        <w:t>disability employment services</w:t>
      </w:r>
      <w:r w:rsidR="00791EA1">
        <w:t xml:space="preserve"> </w:t>
      </w:r>
      <w:r w:rsidR="00F27FAF" w:rsidRPr="00B82740">
        <w:t>and</w:t>
      </w:r>
      <w:r w:rsidR="00F83A0F" w:rsidRPr="00B82740">
        <w:t xml:space="preserve"> </w:t>
      </w:r>
      <w:r w:rsidR="00791EA1">
        <w:t>group training organisation</w:t>
      </w:r>
      <w:r w:rsidR="00F83A0F" w:rsidRPr="00B82740">
        <w:t>s</w:t>
      </w:r>
      <w:r w:rsidR="00F27FAF" w:rsidRPr="00B82740">
        <w:t xml:space="preserve"> known to have supported apprentices and trainees </w:t>
      </w:r>
      <w:r w:rsidR="005B6BE0">
        <w:t xml:space="preserve">with disabilities </w:t>
      </w:r>
      <w:r w:rsidR="00F27FAF" w:rsidRPr="00B82740">
        <w:t>in the past was carried out.</w:t>
      </w:r>
      <w:r w:rsidR="00F83A0F" w:rsidRPr="00B82740">
        <w:t xml:space="preserve"> </w:t>
      </w:r>
      <w:r w:rsidR="006B0002" w:rsidRPr="00B82740">
        <w:t xml:space="preserve">Second, all disability liaison officers who were members of the disability networks established by </w:t>
      </w:r>
      <w:r w:rsidR="00791EA1">
        <w:t>registered training organisation</w:t>
      </w:r>
      <w:r w:rsidR="001C4912" w:rsidRPr="00B82740">
        <w:t>s</w:t>
      </w:r>
      <w:r w:rsidR="006B0002" w:rsidRPr="00B82740">
        <w:t xml:space="preserve"> in</w:t>
      </w:r>
      <w:r w:rsidR="006E4507" w:rsidRPr="00B82740">
        <w:t xml:space="preserve"> Victoria a</w:t>
      </w:r>
      <w:r w:rsidR="006B0002" w:rsidRPr="00B82740">
        <w:t xml:space="preserve">nd Western Australia were contacted to </w:t>
      </w:r>
      <w:r w:rsidR="006F51B5" w:rsidRPr="00B82740">
        <w:t xml:space="preserve">identify potential participants. </w:t>
      </w:r>
      <w:r w:rsidR="00A85807">
        <w:t>A t</w:t>
      </w:r>
      <w:r w:rsidR="00882E54" w:rsidRPr="00B82740">
        <w:t>hird</w:t>
      </w:r>
      <w:r w:rsidR="00E056D5" w:rsidRPr="00B82740">
        <w:t xml:space="preserve"> strategy </w:t>
      </w:r>
      <w:r w:rsidR="007850E4">
        <w:t xml:space="preserve">was </w:t>
      </w:r>
      <w:r w:rsidR="00E056D5" w:rsidRPr="00B82740">
        <w:t>to</w:t>
      </w:r>
      <w:r w:rsidR="00882E54" w:rsidRPr="00B82740">
        <w:t xml:space="preserve"> contac</w:t>
      </w:r>
      <w:r w:rsidR="00E056D5" w:rsidRPr="00B82740">
        <w:t>t</w:t>
      </w:r>
      <w:r w:rsidR="00882E54" w:rsidRPr="00B82740">
        <w:t xml:space="preserve"> </w:t>
      </w:r>
      <w:r w:rsidR="00556AB1">
        <w:t>state training authorities</w:t>
      </w:r>
      <w:r w:rsidR="00882E54" w:rsidRPr="00B82740">
        <w:t>. F</w:t>
      </w:r>
      <w:r w:rsidR="004E6F27" w:rsidRPr="00B82740">
        <w:t xml:space="preserve">our were contacted and all </w:t>
      </w:r>
      <w:r w:rsidR="004E6F27" w:rsidRPr="00B005DC">
        <w:t>agreed to assist the researchers, although the</w:t>
      </w:r>
      <w:r w:rsidR="00B82740" w:rsidRPr="00B005DC">
        <w:t>ir recruitment</w:t>
      </w:r>
      <w:r w:rsidR="00882E54" w:rsidRPr="00B005DC">
        <w:t xml:space="preserve"> methods </w:t>
      </w:r>
      <w:r w:rsidR="00B82740" w:rsidRPr="00B005DC">
        <w:t>differed</w:t>
      </w:r>
      <w:r w:rsidR="00882E54" w:rsidRPr="00B005DC">
        <w:t xml:space="preserve">. </w:t>
      </w:r>
    </w:p>
    <w:p w:rsidR="00B005DC" w:rsidRPr="00B005DC" w:rsidRDefault="00B005DC" w:rsidP="0058798F">
      <w:pPr>
        <w:pStyle w:val="Text"/>
      </w:pPr>
      <w:r w:rsidRPr="00B005DC">
        <w:t xml:space="preserve">The comparison group of </w:t>
      </w:r>
      <w:r w:rsidR="00556AB1">
        <w:t>graduates without disabilities</w:t>
      </w:r>
      <w:r w:rsidRPr="00B005DC">
        <w:t xml:space="preserve"> was recruited </w:t>
      </w:r>
      <w:r w:rsidR="00A85807">
        <w:t>to match the distribution of</w:t>
      </w:r>
      <w:r w:rsidR="00483444">
        <w:t xml:space="preserve"> </w:t>
      </w:r>
      <w:r w:rsidRPr="00B005DC">
        <w:t>the disability cohort</w:t>
      </w:r>
      <w:r w:rsidR="00A85807">
        <w:t>’s</w:t>
      </w:r>
      <w:r w:rsidR="00556AB1">
        <w:t xml:space="preserve"> characteristics by gender, age</w:t>
      </w:r>
      <w:r w:rsidRPr="00B005DC">
        <w:t xml:space="preserve"> and apprenticeship/traineeship type. </w:t>
      </w:r>
      <w:r w:rsidR="00080A20">
        <w:t>G</w:t>
      </w:r>
      <w:r w:rsidR="00791EA1">
        <w:t>roup training organisation</w:t>
      </w:r>
      <w:r w:rsidRPr="00B005DC">
        <w:t>s in the four states from which the majority of part</w:t>
      </w:r>
      <w:r w:rsidR="00080A20">
        <w:t>icipants were recruited (New South Wales, Queensland, South Australia and Western Australia) were convenience-</w:t>
      </w:r>
      <w:r w:rsidRPr="00B005DC">
        <w:t>sampled and asked to randomly approach potential</w:t>
      </w:r>
      <w:r w:rsidR="00080A20">
        <w:t xml:space="preserve"> participants without disabilities</w:t>
      </w:r>
      <w:r w:rsidRPr="00B005DC">
        <w:t xml:space="preserve">, </w:t>
      </w:r>
      <w:r w:rsidR="00A85807">
        <w:t xml:space="preserve">based as closely as possible on the </w:t>
      </w:r>
      <w:r w:rsidR="00A85807">
        <w:lastRenderedPageBreak/>
        <w:t>three variable</w:t>
      </w:r>
      <w:r w:rsidR="0096308D">
        <w:t>s</w:t>
      </w:r>
      <w:r w:rsidRPr="00B005DC">
        <w:t xml:space="preserve"> as a guide. There was a satisfactory match between the two groups</w:t>
      </w:r>
      <w:r w:rsidR="001852B6">
        <w:t xml:space="preserve">. </w:t>
      </w:r>
      <w:r w:rsidRPr="00B005DC">
        <w:t xml:space="preserve">Overall, the strategies successfully recruited participants in the first wave to allow for statistical rigour </w:t>
      </w:r>
      <w:r w:rsidR="0058798F">
        <w:t>in</w:t>
      </w:r>
      <w:r w:rsidRPr="00B005DC">
        <w:t xml:space="preserve"> regression analysis at completion of the third and final wave</w:t>
      </w:r>
      <w:r w:rsidR="00080A20">
        <w:t>,</w:t>
      </w:r>
      <w:r w:rsidRPr="00B005DC">
        <w:t xml:space="preserve"> assuming a reasonable attrition rate</w:t>
      </w:r>
      <w:r w:rsidR="00080A20">
        <w:t>.</w:t>
      </w:r>
      <w:r w:rsidRPr="00B005DC">
        <w:rPr>
          <w:rStyle w:val="FootnoteReference"/>
        </w:rPr>
        <w:footnoteReference w:id="1"/>
      </w:r>
      <w:r w:rsidR="0058798F">
        <w:t xml:space="preserve"> The o</w:t>
      </w:r>
      <w:r w:rsidRPr="00B005DC">
        <w:t xml:space="preserve">rganisations, </w:t>
      </w:r>
      <w:r w:rsidR="0058798F">
        <w:t xml:space="preserve">the </w:t>
      </w:r>
      <w:r w:rsidRPr="00B005DC">
        <w:t>po</w:t>
      </w:r>
      <w:r w:rsidR="0058798F">
        <w:t>tential participants identified</w:t>
      </w:r>
      <w:r w:rsidRPr="00B005DC">
        <w:t xml:space="preserve"> and </w:t>
      </w:r>
      <w:r w:rsidR="0058798F">
        <w:t xml:space="preserve">the </w:t>
      </w:r>
      <w:r w:rsidRPr="00B005DC">
        <w:t xml:space="preserve">actual survey </w:t>
      </w:r>
      <w:r w:rsidR="00080A20">
        <w:t>participants are summarised in t</w:t>
      </w:r>
      <w:r w:rsidRPr="00B005DC">
        <w:t>able 1.</w:t>
      </w:r>
    </w:p>
    <w:p w:rsidR="00FA03FC" w:rsidRPr="00B005DC" w:rsidRDefault="00FA03FC" w:rsidP="00D24309">
      <w:pPr>
        <w:pStyle w:val="tabletitle"/>
        <w:spacing w:before="200"/>
      </w:pPr>
      <w:bookmarkStart w:id="43" w:name="_Toc350259525"/>
      <w:r w:rsidRPr="00B005DC">
        <w:t>Table 1</w:t>
      </w:r>
      <w:r w:rsidR="00FD28DB" w:rsidRPr="00B005DC">
        <w:tab/>
      </w:r>
      <w:r w:rsidR="00823A06" w:rsidRPr="00B005DC">
        <w:t>P</w:t>
      </w:r>
      <w:r w:rsidRPr="00B005DC">
        <w:t>articipant recruitment</w:t>
      </w:r>
      <w:bookmarkEnd w:id="43"/>
    </w:p>
    <w:tbl>
      <w:tblPr>
        <w:tblStyle w:val="TableGrid"/>
        <w:tblW w:w="0" w:type="auto"/>
        <w:tblLook w:val="04A0"/>
      </w:tblPr>
      <w:tblGrid>
        <w:gridCol w:w="1809"/>
        <w:gridCol w:w="2552"/>
        <w:gridCol w:w="2392"/>
        <w:gridCol w:w="2251"/>
      </w:tblGrid>
      <w:tr w:rsidR="00FA03FC" w:rsidRPr="00B005DC" w:rsidTr="00810DA8">
        <w:tc>
          <w:tcPr>
            <w:tcW w:w="1809" w:type="dxa"/>
            <w:tcBorders>
              <w:left w:val="nil"/>
              <w:right w:val="nil"/>
            </w:tcBorders>
          </w:tcPr>
          <w:p w:rsidR="00FA03FC" w:rsidRPr="00B005DC" w:rsidRDefault="00FA03FC" w:rsidP="00FD28DB">
            <w:pPr>
              <w:pStyle w:val="Tablehead1"/>
            </w:pPr>
            <w:r w:rsidRPr="00B005DC">
              <w:t xml:space="preserve">Recruitment </w:t>
            </w:r>
            <w:r w:rsidR="00FD28DB" w:rsidRPr="00B005DC">
              <w:t>s</w:t>
            </w:r>
            <w:r w:rsidRPr="00B005DC">
              <w:t>ource</w:t>
            </w:r>
          </w:p>
        </w:tc>
        <w:tc>
          <w:tcPr>
            <w:tcW w:w="2552" w:type="dxa"/>
            <w:tcBorders>
              <w:left w:val="nil"/>
              <w:right w:val="nil"/>
            </w:tcBorders>
            <w:tcMar>
              <w:right w:w="125" w:type="dxa"/>
            </w:tcMar>
          </w:tcPr>
          <w:p w:rsidR="00FA03FC" w:rsidRPr="00B005DC" w:rsidRDefault="008C23F6" w:rsidP="00810DA8">
            <w:pPr>
              <w:pStyle w:val="Tablehead1"/>
              <w:ind w:right="227"/>
              <w:jc w:val="right"/>
              <w:rPr>
                <w:bCs/>
              </w:rPr>
            </w:pPr>
            <w:r>
              <w:rPr>
                <w:bCs/>
              </w:rPr>
              <w:t xml:space="preserve">Organisations </w:t>
            </w:r>
            <w:r w:rsidR="00810DA8">
              <w:rPr>
                <w:bCs/>
              </w:rPr>
              <w:t>r</w:t>
            </w:r>
            <w:r w:rsidR="00FA03FC" w:rsidRPr="00B005DC">
              <w:rPr>
                <w:bCs/>
              </w:rPr>
              <w:t>esponded</w:t>
            </w:r>
            <w:r w:rsidR="00570117" w:rsidRPr="00B005DC">
              <w:rPr>
                <w:bCs/>
              </w:rPr>
              <w:t xml:space="preserve"> n </w:t>
            </w:r>
            <w:r>
              <w:rPr>
                <w:bCs/>
              </w:rPr>
              <w:t xml:space="preserve">         </w:t>
            </w:r>
            <w:r w:rsidR="00570117" w:rsidRPr="00B005DC">
              <w:rPr>
                <w:bCs/>
              </w:rPr>
              <w:t>(%)</w:t>
            </w:r>
            <w:r>
              <w:rPr>
                <w:bCs/>
              </w:rPr>
              <w:t xml:space="preserve"> </w:t>
            </w:r>
          </w:p>
        </w:tc>
        <w:tc>
          <w:tcPr>
            <w:tcW w:w="2392" w:type="dxa"/>
            <w:tcBorders>
              <w:left w:val="nil"/>
              <w:right w:val="nil"/>
            </w:tcBorders>
          </w:tcPr>
          <w:p w:rsidR="00FA03FC" w:rsidRPr="008C23F6" w:rsidRDefault="00FA03FC" w:rsidP="00DE6764">
            <w:pPr>
              <w:pStyle w:val="Tablehead1"/>
              <w:ind w:right="158"/>
              <w:jc w:val="right"/>
              <w:rPr>
                <w:bCs/>
                <w:vertAlign w:val="superscript"/>
              </w:rPr>
            </w:pPr>
            <w:r w:rsidRPr="00B005DC">
              <w:rPr>
                <w:bCs/>
              </w:rPr>
              <w:t xml:space="preserve">Potential </w:t>
            </w:r>
            <w:proofErr w:type="gramStart"/>
            <w:r w:rsidR="00FD28DB" w:rsidRPr="00B005DC">
              <w:rPr>
                <w:bCs/>
              </w:rPr>
              <w:t>p</w:t>
            </w:r>
            <w:r w:rsidRPr="00B005DC">
              <w:rPr>
                <w:bCs/>
              </w:rPr>
              <w:t>articipants</w:t>
            </w:r>
            <w:r w:rsidR="00021193" w:rsidRPr="00B005DC">
              <w:rPr>
                <w:bCs/>
                <w:vertAlign w:val="superscript"/>
              </w:rPr>
              <w:t>(</w:t>
            </w:r>
            <w:proofErr w:type="gramEnd"/>
            <w:r w:rsidR="00021193" w:rsidRPr="00B005DC">
              <w:rPr>
                <w:bCs/>
                <w:vertAlign w:val="superscript"/>
              </w:rPr>
              <w:t>a)</w:t>
            </w:r>
            <w:r w:rsidR="00570117" w:rsidRPr="00B005DC">
              <w:rPr>
                <w:bCs/>
                <w:vertAlign w:val="superscript"/>
              </w:rPr>
              <w:t xml:space="preserve"> </w:t>
            </w:r>
            <w:r w:rsidR="00D853B6" w:rsidRPr="00B005DC">
              <w:rPr>
                <w:bCs/>
                <w:vertAlign w:val="superscript"/>
              </w:rPr>
              <w:t xml:space="preserve">         </w:t>
            </w:r>
            <w:r w:rsidR="00570117" w:rsidRPr="00B005DC">
              <w:rPr>
                <w:bCs/>
              </w:rPr>
              <w:t xml:space="preserve">n </w:t>
            </w:r>
            <w:r w:rsidR="008C23F6">
              <w:rPr>
                <w:bCs/>
              </w:rPr>
              <w:t xml:space="preserve">             </w:t>
            </w:r>
            <w:r w:rsidR="00570117" w:rsidRPr="00B005DC">
              <w:rPr>
                <w:bCs/>
              </w:rPr>
              <w:t>(%)</w:t>
            </w:r>
          </w:p>
        </w:tc>
        <w:tc>
          <w:tcPr>
            <w:tcW w:w="2251" w:type="dxa"/>
            <w:tcBorders>
              <w:left w:val="nil"/>
              <w:right w:val="nil"/>
            </w:tcBorders>
          </w:tcPr>
          <w:p w:rsidR="00570117" w:rsidRPr="00B005DC" w:rsidRDefault="00D853B6" w:rsidP="00B44D91">
            <w:pPr>
              <w:pStyle w:val="Tablehead1"/>
              <w:jc w:val="right"/>
              <w:rPr>
                <w:bCs/>
                <w:vertAlign w:val="superscript"/>
              </w:rPr>
            </w:pPr>
            <w:proofErr w:type="gramStart"/>
            <w:r w:rsidRPr="00B005DC">
              <w:rPr>
                <w:bCs/>
              </w:rPr>
              <w:t>P</w:t>
            </w:r>
            <w:r w:rsidR="00FA03FC" w:rsidRPr="00B005DC">
              <w:rPr>
                <w:bCs/>
              </w:rPr>
              <w:t>articipants</w:t>
            </w:r>
            <w:r w:rsidR="005D3514" w:rsidRPr="00B005DC">
              <w:rPr>
                <w:bCs/>
                <w:vertAlign w:val="superscript"/>
              </w:rPr>
              <w:t>(</w:t>
            </w:r>
            <w:proofErr w:type="gramEnd"/>
            <w:r w:rsidR="005D3514" w:rsidRPr="00B005DC">
              <w:rPr>
                <w:bCs/>
                <w:vertAlign w:val="superscript"/>
              </w:rPr>
              <w:t>b)</w:t>
            </w:r>
            <w:r w:rsidR="00570117" w:rsidRPr="00B005DC">
              <w:rPr>
                <w:bCs/>
                <w:vertAlign w:val="superscript"/>
              </w:rPr>
              <w:t xml:space="preserve"> </w:t>
            </w:r>
            <w:r w:rsidR="00BA5920" w:rsidRPr="00B005DC">
              <w:rPr>
                <w:bCs/>
                <w:vertAlign w:val="superscript"/>
              </w:rPr>
              <w:t xml:space="preserve">   </w:t>
            </w:r>
            <w:r w:rsidRPr="00B005DC">
              <w:rPr>
                <w:bCs/>
                <w:vertAlign w:val="superscript"/>
              </w:rPr>
              <w:t xml:space="preserve">                     </w:t>
            </w:r>
            <w:r w:rsidR="00570117" w:rsidRPr="00B005DC">
              <w:rPr>
                <w:bCs/>
              </w:rPr>
              <w:t xml:space="preserve">  n</w:t>
            </w:r>
            <w:r w:rsidR="008C23F6">
              <w:rPr>
                <w:bCs/>
              </w:rPr>
              <w:t xml:space="preserve">      </w:t>
            </w:r>
            <w:r w:rsidR="00570117" w:rsidRPr="00B005DC">
              <w:rPr>
                <w:bCs/>
              </w:rPr>
              <w:t xml:space="preserve"> (%)</w:t>
            </w:r>
          </w:p>
        </w:tc>
      </w:tr>
      <w:tr w:rsidR="00FA03FC" w:rsidRPr="00B005DC" w:rsidTr="00810DA8">
        <w:trPr>
          <w:trHeight w:val="312"/>
        </w:trPr>
        <w:tc>
          <w:tcPr>
            <w:tcW w:w="1809" w:type="dxa"/>
            <w:tcBorders>
              <w:left w:val="nil"/>
              <w:bottom w:val="nil"/>
              <w:right w:val="nil"/>
            </w:tcBorders>
          </w:tcPr>
          <w:p w:rsidR="00FA03FC" w:rsidRPr="00B005DC" w:rsidRDefault="00FA03FC" w:rsidP="00625582">
            <w:pPr>
              <w:pStyle w:val="Tabletext"/>
            </w:pPr>
            <w:r w:rsidRPr="00B005DC">
              <w:t>DES</w:t>
            </w:r>
          </w:p>
        </w:tc>
        <w:tc>
          <w:tcPr>
            <w:tcW w:w="2552" w:type="dxa"/>
            <w:tcBorders>
              <w:left w:val="nil"/>
              <w:bottom w:val="nil"/>
              <w:right w:val="nil"/>
            </w:tcBorders>
          </w:tcPr>
          <w:p w:rsidR="00FA03FC" w:rsidRPr="00B44D91" w:rsidRDefault="009B0D5E" w:rsidP="00810DA8">
            <w:pPr>
              <w:pStyle w:val="Tabletext"/>
              <w:tabs>
                <w:tab w:val="right" w:pos="1435"/>
                <w:tab w:val="right" w:pos="2076"/>
              </w:tabs>
            </w:pPr>
            <w:r>
              <w:tab/>
            </w:r>
            <w:r w:rsidR="00FA03FC" w:rsidRPr="00B44D91">
              <w:t>14</w:t>
            </w:r>
            <w:r>
              <w:tab/>
            </w:r>
            <w:r w:rsidR="00570117" w:rsidRPr="00B44D91">
              <w:t>(35.0)</w:t>
            </w:r>
          </w:p>
        </w:tc>
        <w:tc>
          <w:tcPr>
            <w:tcW w:w="2392" w:type="dxa"/>
            <w:tcBorders>
              <w:left w:val="nil"/>
              <w:bottom w:val="nil"/>
              <w:right w:val="nil"/>
            </w:tcBorders>
          </w:tcPr>
          <w:p w:rsidR="00FA03FC" w:rsidRPr="00B44D91" w:rsidRDefault="00081BFB" w:rsidP="00081BFB">
            <w:pPr>
              <w:pStyle w:val="Tabletext"/>
              <w:tabs>
                <w:tab w:val="right" w:pos="1310"/>
                <w:tab w:val="right" w:pos="2019"/>
              </w:tabs>
            </w:pPr>
            <w:r>
              <w:tab/>
            </w:r>
            <w:r w:rsidR="00FA03FC" w:rsidRPr="00B44D91">
              <w:t>183</w:t>
            </w:r>
            <w:r w:rsidR="009B0D5E">
              <w:tab/>
            </w:r>
            <w:r w:rsidR="00570117" w:rsidRPr="00B44D91">
              <w:t xml:space="preserve"> (6.4)</w:t>
            </w:r>
          </w:p>
        </w:tc>
        <w:tc>
          <w:tcPr>
            <w:tcW w:w="2251" w:type="dxa"/>
            <w:tcBorders>
              <w:left w:val="nil"/>
              <w:bottom w:val="nil"/>
              <w:right w:val="nil"/>
            </w:tcBorders>
          </w:tcPr>
          <w:p w:rsidR="00FA03FC" w:rsidRPr="00B44D91" w:rsidRDefault="00081BFB" w:rsidP="00081BFB">
            <w:pPr>
              <w:pStyle w:val="Tabletext"/>
              <w:tabs>
                <w:tab w:val="right" w:pos="1469"/>
                <w:tab w:val="right" w:pos="2035"/>
              </w:tabs>
            </w:pPr>
            <w:r>
              <w:tab/>
            </w:r>
            <w:r w:rsidR="005D3514" w:rsidRPr="00B44D91">
              <w:t>49</w:t>
            </w:r>
            <w:r w:rsidR="009B0D5E">
              <w:tab/>
            </w:r>
            <w:r w:rsidR="00570117" w:rsidRPr="00B44D91">
              <w:t>(10.0)</w:t>
            </w:r>
          </w:p>
        </w:tc>
      </w:tr>
      <w:tr w:rsidR="00FA03FC" w:rsidRPr="00B005DC" w:rsidTr="00810DA8">
        <w:trPr>
          <w:trHeight w:val="344"/>
        </w:trPr>
        <w:tc>
          <w:tcPr>
            <w:tcW w:w="1809" w:type="dxa"/>
            <w:tcBorders>
              <w:top w:val="nil"/>
              <w:left w:val="nil"/>
              <w:bottom w:val="nil"/>
              <w:right w:val="nil"/>
            </w:tcBorders>
          </w:tcPr>
          <w:p w:rsidR="00FA03FC" w:rsidRPr="00B005DC" w:rsidRDefault="00FA03FC" w:rsidP="00570117">
            <w:pPr>
              <w:pStyle w:val="Tabletext"/>
            </w:pPr>
            <w:r w:rsidRPr="00B005DC">
              <w:t>GTOs</w:t>
            </w:r>
            <w:r w:rsidR="00021193" w:rsidRPr="00B005DC">
              <w:rPr>
                <w:vertAlign w:val="superscript"/>
              </w:rPr>
              <w:t>(</w:t>
            </w:r>
            <w:r w:rsidR="00570117" w:rsidRPr="00B005DC">
              <w:rPr>
                <w:vertAlign w:val="superscript"/>
              </w:rPr>
              <w:t>c</w:t>
            </w:r>
            <w:r w:rsidR="00021193" w:rsidRPr="00B005DC">
              <w:rPr>
                <w:vertAlign w:val="superscript"/>
              </w:rPr>
              <w:t>)</w:t>
            </w:r>
          </w:p>
        </w:tc>
        <w:tc>
          <w:tcPr>
            <w:tcW w:w="2552" w:type="dxa"/>
            <w:tcBorders>
              <w:top w:val="nil"/>
              <w:left w:val="nil"/>
              <w:bottom w:val="nil"/>
              <w:right w:val="nil"/>
            </w:tcBorders>
          </w:tcPr>
          <w:p w:rsidR="00FA03FC" w:rsidRPr="00B44D91" w:rsidRDefault="009B0D5E" w:rsidP="00810DA8">
            <w:pPr>
              <w:pStyle w:val="Tabletext"/>
              <w:tabs>
                <w:tab w:val="right" w:pos="1435"/>
                <w:tab w:val="right" w:pos="2076"/>
              </w:tabs>
            </w:pPr>
            <w:r>
              <w:tab/>
            </w:r>
            <w:r w:rsidR="00FA03FC" w:rsidRPr="00B44D91">
              <w:t>1</w:t>
            </w:r>
            <w:r w:rsidR="00E15FAE" w:rsidRPr="00B44D91">
              <w:t>7</w:t>
            </w:r>
            <w:r>
              <w:tab/>
            </w:r>
            <w:r w:rsidR="00570117" w:rsidRPr="00B44D91">
              <w:t>(42.5)</w:t>
            </w:r>
          </w:p>
        </w:tc>
        <w:tc>
          <w:tcPr>
            <w:tcW w:w="2392" w:type="dxa"/>
            <w:tcBorders>
              <w:top w:val="nil"/>
              <w:left w:val="nil"/>
              <w:bottom w:val="nil"/>
              <w:right w:val="nil"/>
            </w:tcBorders>
          </w:tcPr>
          <w:p w:rsidR="00FA03FC" w:rsidRPr="00B44D91" w:rsidRDefault="00081BFB" w:rsidP="00081BFB">
            <w:pPr>
              <w:pStyle w:val="Tabletext"/>
              <w:tabs>
                <w:tab w:val="right" w:pos="1310"/>
                <w:tab w:val="right" w:pos="2019"/>
              </w:tabs>
            </w:pPr>
            <w:r>
              <w:tab/>
            </w:r>
            <w:r w:rsidR="00EF71DA" w:rsidRPr="00B44D91">
              <w:t>30</w:t>
            </w:r>
            <w:r w:rsidR="00FA03FC" w:rsidRPr="00B44D91">
              <w:t>5</w:t>
            </w:r>
            <w:r w:rsidR="009B0D5E">
              <w:tab/>
            </w:r>
            <w:r w:rsidR="00570117" w:rsidRPr="00B44D91">
              <w:t xml:space="preserve"> (10.7)</w:t>
            </w:r>
          </w:p>
        </w:tc>
        <w:tc>
          <w:tcPr>
            <w:tcW w:w="2251" w:type="dxa"/>
            <w:tcBorders>
              <w:top w:val="nil"/>
              <w:left w:val="nil"/>
              <w:bottom w:val="nil"/>
              <w:right w:val="nil"/>
            </w:tcBorders>
          </w:tcPr>
          <w:p w:rsidR="00FA03FC" w:rsidRPr="00B44D91" w:rsidRDefault="00081BFB" w:rsidP="00081BFB">
            <w:pPr>
              <w:pStyle w:val="Tabletext"/>
              <w:tabs>
                <w:tab w:val="right" w:pos="1469"/>
                <w:tab w:val="right" w:pos="2035"/>
              </w:tabs>
            </w:pPr>
            <w:r>
              <w:tab/>
            </w:r>
            <w:r w:rsidR="005D3514" w:rsidRPr="00B44D91">
              <w:t>74</w:t>
            </w:r>
            <w:r w:rsidR="009B0D5E">
              <w:tab/>
            </w:r>
            <w:r w:rsidR="00570117" w:rsidRPr="00B44D91">
              <w:t>(15.1)</w:t>
            </w:r>
          </w:p>
        </w:tc>
      </w:tr>
      <w:tr w:rsidR="00FA03FC" w:rsidRPr="00B005DC" w:rsidTr="00810DA8">
        <w:tc>
          <w:tcPr>
            <w:tcW w:w="1809" w:type="dxa"/>
            <w:tcBorders>
              <w:top w:val="nil"/>
              <w:left w:val="nil"/>
              <w:bottom w:val="nil"/>
              <w:right w:val="nil"/>
            </w:tcBorders>
          </w:tcPr>
          <w:p w:rsidR="00FA03FC" w:rsidRPr="00B005DC" w:rsidRDefault="00080A20" w:rsidP="00625582">
            <w:pPr>
              <w:pStyle w:val="Tabletext"/>
            </w:pPr>
            <w:r>
              <w:t>RTOs/o</w:t>
            </w:r>
            <w:r w:rsidR="00FA03FC" w:rsidRPr="00B005DC">
              <w:t>thers</w:t>
            </w:r>
          </w:p>
        </w:tc>
        <w:tc>
          <w:tcPr>
            <w:tcW w:w="2552" w:type="dxa"/>
            <w:tcBorders>
              <w:top w:val="nil"/>
              <w:left w:val="nil"/>
              <w:bottom w:val="nil"/>
              <w:right w:val="nil"/>
            </w:tcBorders>
          </w:tcPr>
          <w:p w:rsidR="00FA03FC" w:rsidRPr="00B44D91" w:rsidRDefault="009B0D5E" w:rsidP="00810DA8">
            <w:pPr>
              <w:pStyle w:val="Tabletext"/>
              <w:tabs>
                <w:tab w:val="right" w:pos="1435"/>
                <w:tab w:val="right" w:pos="2076"/>
              </w:tabs>
            </w:pPr>
            <w:r>
              <w:tab/>
            </w:r>
            <w:r w:rsidR="00FA03FC" w:rsidRPr="00B44D91">
              <w:t>5</w:t>
            </w:r>
            <w:r>
              <w:tab/>
            </w:r>
            <w:r w:rsidR="00570117" w:rsidRPr="00B44D91">
              <w:t>(12.5)</w:t>
            </w:r>
          </w:p>
        </w:tc>
        <w:tc>
          <w:tcPr>
            <w:tcW w:w="2392" w:type="dxa"/>
            <w:tcBorders>
              <w:top w:val="nil"/>
              <w:left w:val="nil"/>
              <w:bottom w:val="nil"/>
              <w:right w:val="nil"/>
            </w:tcBorders>
          </w:tcPr>
          <w:p w:rsidR="00FA03FC" w:rsidRPr="00B44D91" w:rsidRDefault="00081BFB" w:rsidP="00081BFB">
            <w:pPr>
              <w:pStyle w:val="Tabletext"/>
              <w:tabs>
                <w:tab w:val="right" w:pos="1310"/>
                <w:tab w:val="right" w:pos="2019"/>
              </w:tabs>
            </w:pPr>
            <w:r>
              <w:tab/>
            </w:r>
            <w:r w:rsidR="00FA03FC" w:rsidRPr="00B44D91">
              <w:t>38</w:t>
            </w:r>
            <w:r w:rsidR="00570117" w:rsidRPr="00B44D91">
              <w:t xml:space="preserve"> </w:t>
            </w:r>
            <w:r w:rsidR="009B0D5E">
              <w:tab/>
            </w:r>
            <w:r w:rsidR="00570117" w:rsidRPr="00B44D91">
              <w:t>(1.3)</w:t>
            </w:r>
          </w:p>
        </w:tc>
        <w:tc>
          <w:tcPr>
            <w:tcW w:w="2251" w:type="dxa"/>
            <w:tcBorders>
              <w:top w:val="nil"/>
              <w:left w:val="nil"/>
              <w:bottom w:val="nil"/>
              <w:right w:val="nil"/>
            </w:tcBorders>
          </w:tcPr>
          <w:p w:rsidR="00FA03FC" w:rsidRPr="00B44D91" w:rsidRDefault="00081BFB" w:rsidP="00081BFB">
            <w:pPr>
              <w:pStyle w:val="Tabletext"/>
              <w:tabs>
                <w:tab w:val="right" w:pos="1469"/>
                <w:tab w:val="right" w:pos="2035"/>
              </w:tabs>
            </w:pPr>
            <w:r>
              <w:tab/>
            </w:r>
            <w:r w:rsidR="005D3514" w:rsidRPr="00B44D91">
              <w:t>18</w:t>
            </w:r>
            <w:r w:rsidR="009B0D5E">
              <w:tab/>
            </w:r>
            <w:r w:rsidR="00570117" w:rsidRPr="00B44D91">
              <w:t>(3.7)</w:t>
            </w:r>
          </w:p>
        </w:tc>
      </w:tr>
      <w:tr w:rsidR="00FA03FC" w:rsidRPr="00B005DC" w:rsidTr="00810DA8">
        <w:tc>
          <w:tcPr>
            <w:tcW w:w="1809" w:type="dxa"/>
            <w:tcBorders>
              <w:top w:val="nil"/>
              <w:left w:val="nil"/>
              <w:bottom w:val="nil"/>
              <w:right w:val="nil"/>
            </w:tcBorders>
          </w:tcPr>
          <w:p w:rsidR="00FA03FC" w:rsidRPr="00B005DC" w:rsidRDefault="00FA03FC" w:rsidP="00625582">
            <w:pPr>
              <w:pStyle w:val="Tabletext"/>
            </w:pPr>
            <w:r w:rsidRPr="00B005DC">
              <w:t>STAs</w:t>
            </w:r>
          </w:p>
        </w:tc>
        <w:tc>
          <w:tcPr>
            <w:tcW w:w="2552" w:type="dxa"/>
            <w:tcBorders>
              <w:top w:val="nil"/>
              <w:left w:val="nil"/>
              <w:bottom w:val="nil"/>
              <w:right w:val="nil"/>
            </w:tcBorders>
          </w:tcPr>
          <w:p w:rsidR="00FA03FC" w:rsidRPr="00B44D91" w:rsidRDefault="009B0D5E" w:rsidP="00810DA8">
            <w:pPr>
              <w:pStyle w:val="Tabletext"/>
              <w:tabs>
                <w:tab w:val="right" w:pos="1435"/>
                <w:tab w:val="right" w:pos="2076"/>
              </w:tabs>
            </w:pPr>
            <w:r>
              <w:tab/>
            </w:r>
            <w:r w:rsidR="00FA03FC" w:rsidRPr="00B44D91">
              <w:t>4</w:t>
            </w:r>
            <w:r>
              <w:tab/>
            </w:r>
            <w:r w:rsidR="00570117" w:rsidRPr="00B44D91">
              <w:t>(10.0)</w:t>
            </w:r>
          </w:p>
        </w:tc>
        <w:tc>
          <w:tcPr>
            <w:tcW w:w="2392" w:type="dxa"/>
            <w:tcBorders>
              <w:top w:val="nil"/>
              <w:left w:val="nil"/>
              <w:bottom w:val="nil"/>
              <w:right w:val="nil"/>
            </w:tcBorders>
          </w:tcPr>
          <w:p w:rsidR="00FA03FC" w:rsidRPr="00B44D91" w:rsidRDefault="00081BFB" w:rsidP="00081BFB">
            <w:pPr>
              <w:pStyle w:val="Tabletext"/>
              <w:tabs>
                <w:tab w:val="right" w:pos="1452"/>
                <w:tab w:val="right" w:pos="2019"/>
              </w:tabs>
            </w:pPr>
            <w:r>
              <w:tab/>
            </w:r>
            <w:r w:rsidR="005D3514" w:rsidRPr="00B44D91">
              <w:t>2</w:t>
            </w:r>
            <w:r w:rsidR="00FA03FC" w:rsidRPr="00B44D91">
              <w:t>334</w:t>
            </w:r>
            <w:r w:rsidR="00021193" w:rsidRPr="00B44D91">
              <w:rPr>
                <w:vertAlign w:val="superscript"/>
              </w:rPr>
              <w:t>(</w:t>
            </w:r>
            <w:r w:rsidR="00570117" w:rsidRPr="00B44D91">
              <w:rPr>
                <w:vertAlign w:val="superscript"/>
              </w:rPr>
              <w:t>d</w:t>
            </w:r>
            <w:r w:rsidR="00021193" w:rsidRPr="00B44D91">
              <w:rPr>
                <w:vertAlign w:val="superscript"/>
              </w:rPr>
              <w:t>)</w:t>
            </w:r>
            <w:r w:rsidR="00570117" w:rsidRPr="00B44D91">
              <w:t xml:space="preserve"> </w:t>
            </w:r>
            <w:r w:rsidR="009B0D5E">
              <w:tab/>
            </w:r>
            <w:r w:rsidR="00570117" w:rsidRPr="00B44D91">
              <w:t>(81.6)</w:t>
            </w:r>
          </w:p>
        </w:tc>
        <w:tc>
          <w:tcPr>
            <w:tcW w:w="2251" w:type="dxa"/>
            <w:tcBorders>
              <w:top w:val="nil"/>
              <w:left w:val="nil"/>
              <w:bottom w:val="nil"/>
              <w:right w:val="nil"/>
            </w:tcBorders>
          </w:tcPr>
          <w:p w:rsidR="00FA03FC" w:rsidRPr="00B44D91" w:rsidRDefault="00081BFB" w:rsidP="00081BFB">
            <w:pPr>
              <w:pStyle w:val="Tabletext"/>
              <w:tabs>
                <w:tab w:val="right" w:pos="1469"/>
                <w:tab w:val="right" w:pos="2035"/>
              </w:tabs>
            </w:pPr>
            <w:r>
              <w:tab/>
            </w:r>
            <w:r w:rsidR="005D3514" w:rsidRPr="00B44D91">
              <w:t>348</w:t>
            </w:r>
            <w:r w:rsidR="009B0D5E">
              <w:tab/>
            </w:r>
            <w:r w:rsidR="00570117" w:rsidRPr="00B44D91">
              <w:t>(71.2)</w:t>
            </w:r>
          </w:p>
        </w:tc>
      </w:tr>
      <w:tr w:rsidR="00FA03FC" w:rsidRPr="00B005DC" w:rsidTr="00810DA8">
        <w:tc>
          <w:tcPr>
            <w:tcW w:w="1809" w:type="dxa"/>
            <w:tcBorders>
              <w:top w:val="nil"/>
              <w:left w:val="nil"/>
              <w:right w:val="nil"/>
            </w:tcBorders>
          </w:tcPr>
          <w:p w:rsidR="00FA03FC" w:rsidRPr="00B005DC" w:rsidRDefault="00FA03FC" w:rsidP="00625582">
            <w:pPr>
              <w:pStyle w:val="Tabletext"/>
            </w:pPr>
            <w:r w:rsidRPr="00B005DC">
              <w:t>Sum</w:t>
            </w:r>
          </w:p>
        </w:tc>
        <w:tc>
          <w:tcPr>
            <w:tcW w:w="2552" w:type="dxa"/>
            <w:tcBorders>
              <w:top w:val="nil"/>
              <w:left w:val="nil"/>
              <w:right w:val="nil"/>
            </w:tcBorders>
          </w:tcPr>
          <w:p w:rsidR="00FA03FC" w:rsidRPr="00B44D91" w:rsidRDefault="009B0D5E" w:rsidP="00810DA8">
            <w:pPr>
              <w:pStyle w:val="Tabletext"/>
              <w:tabs>
                <w:tab w:val="right" w:pos="1435"/>
                <w:tab w:val="right" w:pos="2076"/>
              </w:tabs>
            </w:pPr>
            <w:r>
              <w:tab/>
            </w:r>
            <w:r w:rsidR="00E15FAE" w:rsidRPr="00B44D91">
              <w:t>40</w:t>
            </w:r>
            <w:r>
              <w:tab/>
            </w:r>
            <w:r w:rsidR="00570117" w:rsidRPr="00B44D91">
              <w:t>(100.0)</w:t>
            </w:r>
          </w:p>
        </w:tc>
        <w:tc>
          <w:tcPr>
            <w:tcW w:w="2392" w:type="dxa"/>
            <w:tcBorders>
              <w:top w:val="nil"/>
              <w:left w:val="nil"/>
              <w:right w:val="nil"/>
            </w:tcBorders>
          </w:tcPr>
          <w:p w:rsidR="00FA03FC" w:rsidRPr="00B44D91" w:rsidRDefault="00081BFB" w:rsidP="00081BFB">
            <w:pPr>
              <w:pStyle w:val="Tabletext"/>
              <w:tabs>
                <w:tab w:val="right" w:pos="1310"/>
                <w:tab w:val="right" w:pos="2019"/>
              </w:tabs>
            </w:pPr>
            <w:r>
              <w:tab/>
            </w:r>
            <w:r w:rsidR="00FA03FC" w:rsidRPr="00B44D91">
              <w:t>2</w:t>
            </w:r>
            <w:r w:rsidR="00EF71DA" w:rsidRPr="00B44D91">
              <w:t>860</w:t>
            </w:r>
            <w:r w:rsidR="009B0D5E">
              <w:tab/>
            </w:r>
            <w:r w:rsidR="00570117" w:rsidRPr="00B44D91">
              <w:t>(100.0)</w:t>
            </w:r>
          </w:p>
        </w:tc>
        <w:tc>
          <w:tcPr>
            <w:tcW w:w="2251" w:type="dxa"/>
            <w:tcBorders>
              <w:top w:val="nil"/>
              <w:left w:val="nil"/>
              <w:right w:val="nil"/>
            </w:tcBorders>
          </w:tcPr>
          <w:p w:rsidR="00FA03FC" w:rsidRPr="00B44D91" w:rsidRDefault="00081BFB" w:rsidP="00081BFB">
            <w:pPr>
              <w:pStyle w:val="Tabletext"/>
              <w:tabs>
                <w:tab w:val="right" w:pos="1469"/>
                <w:tab w:val="right" w:pos="2035"/>
              </w:tabs>
            </w:pPr>
            <w:r>
              <w:tab/>
            </w:r>
            <w:r w:rsidR="005D3514" w:rsidRPr="00B44D91">
              <w:t>489</w:t>
            </w:r>
            <w:r w:rsidR="009B0D5E">
              <w:tab/>
            </w:r>
            <w:r w:rsidR="00570117" w:rsidRPr="00B44D91">
              <w:t>(100.0)</w:t>
            </w:r>
          </w:p>
        </w:tc>
      </w:tr>
    </w:tbl>
    <w:p w:rsidR="00021193" w:rsidRPr="00B44D91" w:rsidRDefault="00FA03FC" w:rsidP="00081BFB">
      <w:pPr>
        <w:pStyle w:val="Source"/>
        <w:tabs>
          <w:tab w:val="left" w:pos="567"/>
        </w:tabs>
        <w:ind w:left="798" w:hanging="798"/>
      </w:pPr>
      <w:r w:rsidRPr="00B44D91">
        <w:t>Note</w:t>
      </w:r>
      <w:r w:rsidR="00021193" w:rsidRPr="00B44D91">
        <w:t>s</w:t>
      </w:r>
      <w:r w:rsidRPr="00B44D91">
        <w:t xml:space="preserve">: </w:t>
      </w:r>
      <w:r w:rsidR="00475619" w:rsidRPr="00B44D91">
        <w:tab/>
      </w:r>
      <w:r w:rsidR="00081BFB">
        <w:t>(a)</w:t>
      </w:r>
      <w:r w:rsidR="00081BFB">
        <w:tab/>
      </w:r>
      <w:r w:rsidR="00021193" w:rsidRPr="00B44D91">
        <w:t>Potential participants may have been identified in more than one recruitment source. Surveys distributed through the STAs should duplicate all potential participants identified through other organisations within that jurisdiction. An indication of participants approached multiple times were participants returning multiple surveys related to the same course. The sum of potential participants should be interpreted as an indicator rather than a total.</w:t>
      </w:r>
    </w:p>
    <w:p w:rsidR="005D3514" w:rsidRPr="00B44D91" w:rsidRDefault="00B44D91" w:rsidP="00081BFB">
      <w:pPr>
        <w:pStyle w:val="Source"/>
        <w:tabs>
          <w:tab w:val="left" w:pos="567"/>
        </w:tabs>
        <w:ind w:left="798" w:hanging="798"/>
      </w:pPr>
      <w:r>
        <w:tab/>
      </w:r>
      <w:r w:rsidR="00021193" w:rsidRPr="00B44D91">
        <w:t>(b)</w:t>
      </w:r>
      <w:r w:rsidR="00081BFB">
        <w:tab/>
      </w:r>
      <w:r w:rsidR="005D3514" w:rsidRPr="00B44D91">
        <w:t>Numbers do not reflect excluded participants</w:t>
      </w:r>
      <w:r w:rsidR="002859DF" w:rsidRPr="00B44D91">
        <w:t>. A</w:t>
      </w:r>
      <w:r w:rsidR="005D3514" w:rsidRPr="00B44D91">
        <w:t xml:space="preserve"> total of 13 returned surveys were excluded as the graduate</w:t>
      </w:r>
      <w:r w:rsidR="00A85807" w:rsidRPr="00B44D91">
        <w:t>s</w:t>
      </w:r>
      <w:r w:rsidR="00094D56">
        <w:t xml:space="preserve"> had</w:t>
      </w:r>
      <w:r w:rsidR="00483444" w:rsidRPr="00B44D91">
        <w:t xml:space="preserve"> </w:t>
      </w:r>
      <w:r w:rsidR="00A85807" w:rsidRPr="00B44D91">
        <w:t>completed</w:t>
      </w:r>
      <w:r w:rsidR="00080A20" w:rsidRPr="00B44D91">
        <w:t xml:space="preserve"> outside the 2009−</w:t>
      </w:r>
      <w:r w:rsidR="005D3514" w:rsidRPr="00B44D91">
        <w:t>11 inclu</w:t>
      </w:r>
      <w:r w:rsidR="00AC1A2D" w:rsidRPr="00B44D91">
        <w:t>sion period.</w:t>
      </w:r>
    </w:p>
    <w:p w:rsidR="00475619" w:rsidRPr="00B44D91" w:rsidRDefault="00B44D91" w:rsidP="00081BFB">
      <w:pPr>
        <w:pStyle w:val="Source"/>
        <w:tabs>
          <w:tab w:val="left" w:pos="567"/>
        </w:tabs>
        <w:ind w:left="798" w:hanging="798"/>
      </w:pPr>
      <w:r>
        <w:tab/>
      </w:r>
      <w:r w:rsidR="00081BFB">
        <w:t>(c)</w:t>
      </w:r>
      <w:r w:rsidR="00081BFB">
        <w:tab/>
      </w:r>
      <w:r w:rsidR="00E42580" w:rsidRPr="00B44D91">
        <w:t xml:space="preserve">Includes participants recruited for the comparison group. </w:t>
      </w:r>
    </w:p>
    <w:p w:rsidR="00FA03FC" w:rsidRPr="00B44D91" w:rsidRDefault="00B44D91" w:rsidP="00081BFB">
      <w:pPr>
        <w:pStyle w:val="Source"/>
        <w:tabs>
          <w:tab w:val="left" w:pos="567"/>
        </w:tabs>
        <w:ind w:left="798" w:hanging="798"/>
      </w:pPr>
      <w:r>
        <w:tab/>
      </w:r>
      <w:r w:rsidR="00021193" w:rsidRPr="00B44D91">
        <w:t>(</w:t>
      </w:r>
      <w:r w:rsidR="00570117" w:rsidRPr="00B44D91">
        <w:t>d</w:t>
      </w:r>
      <w:r w:rsidR="00081BFB">
        <w:t>)</w:t>
      </w:r>
      <w:r w:rsidR="00081BFB">
        <w:tab/>
      </w:r>
      <w:r w:rsidR="00365887" w:rsidRPr="00B44D91">
        <w:t>P</w:t>
      </w:r>
      <w:r w:rsidR="00C55E00" w:rsidRPr="00B44D91">
        <w:t>eople who completed more than one apprenticeship or traineeship may have been counted more than once. An indication of the latter was a participant approached through a</w:t>
      </w:r>
      <w:r w:rsidR="00365887" w:rsidRPr="00B44D91">
        <w:t>n</w:t>
      </w:r>
      <w:r w:rsidR="00C55E00" w:rsidRPr="00B44D91">
        <w:t xml:space="preserve"> STA returning two surveys relating to different courses.</w:t>
      </w:r>
    </w:p>
    <w:p w:rsidR="0021480F" w:rsidRPr="00845313" w:rsidRDefault="009F0052" w:rsidP="00080A20">
      <w:pPr>
        <w:pStyle w:val="Text"/>
        <w:rPr>
          <w:highlight w:val="yellow"/>
        </w:rPr>
      </w:pPr>
      <w:r w:rsidRPr="009F0052">
        <w:t xml:space="preserve">Participants received </w:t>
      </w:r>
      <w:r w:rsidR="00BB10AD">
        <w:t xml:space="preserve">an honorarium to encourage participation and </w:t>
      </w:r>
      <w:r w:rsidR="00080A20">
        <w:t>reduce</w:t>
      </w:r>
      <w:r w:rsidR="00BB10AD">
        <w:t xml:space="preserve"> attrition</w:t>
      </w:r>
      <w:r w:rsidR="00080A20">
        <w:t>.</w:t>
      </w:r>
      <w:r w:rsidRPr="009F0052">
        <w:rPr>
          <w:rStyle w:val="FootnoteReference"/>
        </w:rPr>
        <w:footnoteReference w:id="2"/>
      </w:r>
      <w:r w:rsidRPr="009F0052">
        <w:t xml:space="preserve"> </w:t>
      </w:r>
      <w:r w:rsidR="00BB10AD">
        <w:t>I</w:t>
      </w:r>
      <w:r w:rsidR="0021480F" w:rsidRPr="00B005DC">
        <w:t>t is not possible to determine an exact response rate to this survey</w:t>
      </w:r>
      <w:r w:rsidR="00A54848">
        <w:t>. The proportion of ineligible participants contacted is unknown. S</w:t>
      </w:r>
      <w:r w:rsidR="0021480F" w:rsidRPr="00B005DC">
        <w:t xml:space="preserve">ome identified potential participants </w:t>
      </w:r>
      <w:r w:rsidR="00B005DC" w:rsidRPr="00A54848">
        <w:t>indicated to</w:t>
      </w:r>
      <w:r w:rsidR="0021480F" w:rsidRPr="00A54848">
        <w:t xml:space="preserve"> the </w:t>
      </w:r>
      <w:r w:rsidR="00A85807">
        <w:t xml:space="preserve">recruiting </w:t>
      </w:r>
      <w:r w:rsidR="0021480F" w:rsidRPr="00A54848">
        <w:t xml:space="preserve">organisations that they did not meet the inclusion criteria </w:t>
      </w:r>
      <w:r w:rsidR="00A85807">
        <w:t xml:space="preserve">because they </w:t>
      </w:r>
      <w:r w:rsidR="00080A20">
        <w:t xml:space="preserve">had </w:t>
      </w:r>
      <w:r w:rsidR="00A85807">
        <w:t xml:space="preserve">graduated </w:t>
      </w:r>
      <w:r w:rsidR="00B005DC" w:rsidRPr="00A54848">
        <w:t>outside</w:t>
      </w:r>
      <w:r w:rsidR="0021480F" w:rsidRPr="00A54848">
        <w:t xml:space="preserve"> the specified time period, or </w:t>
      </w:r>
      <w:r w:rsidR="00A85807">
        <w:t xml:space="preserve">did </w:t>
      </w:r>
      <w:r w:rsidR="0021480F" w:rsidRPr="00A54848">
        <w:t>not hav</w:t>
      </w:r>
      <w:r w:rsidR="00A85807">
        <w:t>e</w:t>
      </w:r>
      <w:r w:rsidR="0021480F" w:rsidRPr="00A54848">
        <w:t xml:space="preserve"> a disability. </w:t>
      </w:r>
      <w:r w:rsidR="00E032D2">
        <w:t>The proportion of potential participants who had move</w:t>
      </w:r>
      <w:r w:rsidR="00745B4E">
        <w:t>d</w:t>
      </w:r>
      <w:r w:rsidR="00E032D2">
        <w:t xml:space="preserve"> house and</w:t>
      </w:r>
      <w:r w:rsidR="000D71CE">
        <w:t xml:space="preserve"> were therefore not contactable</w:t>
      </w:r>
      <w:r w:rsidR="00E032D2">
        <w:t xml:space="preserve"> is also unknown</w:t>
      </w:r>
      <w:r w:rsidR="00080A20">
        <w:t>.</w:t>
      </w:r>
      <w:r w:rsidR="00E032D2">
        <w:rPr>
          <w:rStyle w:val="FootnoteReference"/>
        </w:rPr>
        <w:footnoteReference w:id="3"/>
      </w:r>
      <w:r w:rsidR="00A54848" w:rsidRPr="00A54848">
        <w:t xml:space="preserve"> </w:t>
      </w:r>
      <w:r w:rsidR="0021480F" w:rsidRPr="00A54848">
        <w:t>A</w:t>
      </w:r>
      <w:r w:rsidR="00A54848" w:rsidRPr="00A54848">
        <w:t>n</w:t>
      </w:r>
      <w:r w:rsidR="0021480F" w:rsidRPr="00A54848">
        <w:t xml:space="preserve"> estimate</w:t>
      </w:r>
      <w:r w:rsidR="00A85807">
        <w:t>d</w:t>
      </w:r>
      <w:r w:rsidR="0021480F" w:rsidRPr="00A54848">
        <w:t xml:space="preserve"> 17.6% </w:t>
      </w:r>
      <w:r w:rsidR="00A85807">
        <w:t>to</w:t>
      </w:r>
      <w:r w:rsidR="0021480F" w:rsidRPr="00A54848">
        <w:t xml:space="preserve"> 19.8% of potential participants identified returned a survey</w:t>
      </w:r>
      <w:r w:rsidR="00080A20">
        <w:t>,</w:t>
      </w:r>
      <w:r w:rsidR="0021480F" w:rsidRPr="00A54848">
        <w:rPr>
          <w:rStyle w:val="FootnoteReference"/>
        </w:rPr>
        <w:footnoteReference w:id="4"/>
      </w:r>
      <w:r>
        <w:t xml:space="preserve"> which is low compared with the</w:t>
      </w:r>
      <w:r w:rsidR="00F92A93" w:rsidRPr="00B005DC">
        <w:t xml:space="preserve"> proposed 31.5% </w:t>
      </w:r>
      <w:r>
        <w:t>response rate deemed</w:t>
      </w:r>
      <w:r w:rsidR="00F92A93" w:rsidRPr="00B005DC">
        <w:t xml:space="preserve"> reasonable for postal surveys (</w:t>
      </w:r>
      <w:proofErr w:type="spellStart"/>
      <w:r w:rsidR="00F92A93" w:rsidRPr="00B005DC">
        <w:t>Kaplowitz</w:t>
      </w:r>
      <w:proofErr w:type="spellEnd"/>
      <w:r w:rsidR="00F92A93" w:rsidRPr="00B005DC">
        <w:t xml:space="preserve">, </w:t>
      </w:r>
      <w:proofErr w:type="spellStart"/>
      <w:r w:rsidR="00F92A93" w:rsidRPr="00B005DC">
        <w:t>Hadlock</w:t>
      </w:r>
      <w:proofErr w:type="spellEnd"/>
      <w:r w:rsidR="00F92A93" w:rsidRPr="00B005DC">
        <w:t xml:space="preserve"> &amp; Levine 2004).</w:t>
      </w:r>
      <w:r>
        <w:t xml:space="preserve"> </w:t>
      </w:r>
    </w:p>
    <w:p w:rsidR="009F0052" w:rsidRPr="00AC3D15" w:rsidRDefault="009F0052" w:rsidP="00D24309">
      <w:pPr>
        <w:pStyle w:val="Heading2"/>
        <w:spacing w:before="300"/>
      </w:pPr>
      <w:bookmarkStart w:id="44" w:name="_Toc350259304"/>
      <w:r w:rsidRPr="00AC3D15">
        <w:t>Data analysis</w:t>
      </w:r>
      <w:bookmarkEnd w:id="44"/>
    </w:p>
    <w:p w:rsidR="000D71CE" w:rsidRDefault="00925F4F" w:rsidP="000D71CE">
      <w:pPr>
        <w:pStyle w:val="Text"/>
      </w:pPr>
      <w:r w:rsidRPr="00AC3D15">
        <w:t xml:space="preserve">The findings presented in this report are a combination of qualitative and quantitative information from the </w:t>
      </w:r>
      <w:r w:rsidR="004D02B7">
        <w:t xml:space="preserve">first wave of the three-year </w:t>
      </w:r>
      <w:r w:rsidRPr="00AC3D15">
        <w:t>survey</w:t>
      </w:r>
      <w:r w:rsidR="004D02B7">
        <w:t>,</w:t>
      </w:r>
      <w:r w:rsidRPr="00AC3D15">
        <w:t xml:space="preserve"> </w:t>
      </w:r>
      <w:r w:rsidR="00B31C2F" w:rsidRPr="00AC3D15">
        <w:t>distributed in 2011</w:t>
      </w:r>
      <w:r w:rsidR="004D02B7">
        <w:t xml:space="preserve">. The survey </w:t>
      </w:r>
      <w:r w:rsidRPr="00AC3D15">
        <w:t xml:space="preserve">consisted of closed (multiple choice) and open (free text) questions. </w:t>
      </w:r>
      <w:r w:rsidR="00BB10AD">
        <w:t xml:space="preserve">Participants were invited to identify up to three barriers and three facilitators </w:t>
      </w:r>
      <w:r w:rsidR="000D71CE">
        <w:t>affecting</w:t>
      </w:r>
      <w:r w:rsidR="00BB10AD">
        <w:t xml:space="preserve"> their course completion, and this information was </w:t>
      </w:r>
      <w:r w:rsidR="003F3272">
        <w:t xml:space="preserve">coded into themes and subthemes. </w:t>
      </w:r>
      <w:r w:rsidR="00496473" w:rsidRPr="005D0C86">
        <w:t xml:space="preserve">It should be noted that information </w:t>
      </w:r>
      <w:r w:rsidR="000D71CE">
        <w:t>was</w:t>
      </w:r>
      <w:r w:rsidR="00496473" w:rsidRPr="005D0C86">
        <w:t xml:space="preserve"> coded to more than one theme and/or subtheme </w:t>
      </w:r>
      <w:r w:rsidR="00BB10AD">
        <w:t>where appropriate</w:t>
      </w:r>
      <w:r w:rsidR="00496473" w:rsidRPr="005D0C86">
        <w:t xml:space="preserve">. </w:t>
      </w:r>
    </w:p>
    <w:p w:rsidR="000D71CE" w:rsidRPr="000D71CE" w:rsidRDefault="00D7500E" w:rsidP="000D71CE">
      <w:pPr>
        <w:pStyle w:val="Heading2"/>
      </w:pPr>
      <w:bookmarkStart w:id="45" w:name="_Toc350259305"/>
      <w:r>
        <w:lastRenderedPageBreak/>
        <w:t>Representativeness of participants</w:t>
      </w:r>
      <w:bookmarkEnd w:id="45"/>
    </w:p>
    <w:p w:rsidR="005750D7" w:rsidRDefault="00D853B6" w:rsidP="00734FB5">
      <w:pPr>
        <w:pStyle w:val="Text"/>
      </w:pPr>
      <w:r w:rsidRPr="000D71CE">
        <w:rPr>
          <w:lang w:val="fr-FR"/>
        </w:rPr>
        <w:t>P</w:t>
      </w:r>
      <w:r w:rsidR="00BB2D8A" w:rsidRPr="000D71CE">
        <w:rPr>
          <w:lang w:val="fr-FR"/>
        </w:rPr>
        <w:t>articipants a</w:t>
      </w:r>
      <w:r w:rsidR="00080A20" w:rsidRPr="000D71CE">
        <w:rPr>
          <w:lang w:val="fr-FR"/>
        </w:rPr>
        <w:t>re non-</w:t>
      </w:r>
      <w:r w:rsidR="00080A20" w:rsidRPr="00B44D91">
        <w:t>representative</w:t>
      </w:r>
      <w:r w:rsidR="00080A20" w:rsidRPr="000D71CE">
        <w:rPr>
          <w:lang w:val="fr-FR"/>
        </w:rPr>
        <w:t xml:space="preserve"> </w:t>
      </w:r>
      <w:r w:rsidR="00080A20" w:rsidRPr="00B44D91">
        <w:t>samples</w:t>
      </w:r>
      <w:r w:rsidR="00080A20" w:rsidRPr="000D71CE">
        <w:rPr>
          <w:lang w:val="fr-FR"/>
        </w:rPr>
        <w:t xml:space="preserve">. </w:t>
      </w:r>
      <w:r w:rsidR="00080A20">
        <w:t>In r</w:t>
      </w:r>
      <w:r w:rsidR="00BB2D8A" w:rsidRPr="00734FB5">
        <w:t xml:space="preserve">eviewing the characteristics of research participants and administrative data for all apprentices and trainees with or without disabilities, several caveats must be noted. First, the comparison group </w:t>
      </w:r>
      <w:r w:rsidR="00E17A73">
        <w:t>was</w:t>
      </w:r>
      <w:r w:rsidR="00BB2D8A" w:rsidRPr="00734FB5">
        <w:t xml:space="preserve"> drawn to mirror the main characteristics of apprenticeship and traineeship graduates with disabilities participating in this study, not</w:t>
      </w:r>
      <w:r w:rsidR="00E17A73">
        <w:t xml:space="preserve"> those of</w:t>
      </w:r>
      <w:r w:rsidR="00BB2D8A" w:rsidRPr="00734FB5">
        <w:t xml:space="preserve"> all apprenticeship and traineeship graduates. Second, the recruitment strategy biased the sampling of some participants</w:t>
      </w:r>
      <w:r w:rsidR="00E17A73">
        <w:t xml:space="preserve">. Most notably, there </w:t>
      </w:r>
      <w:proofErr w:type="gramStart"/>
      <w:r w:rsidR="00E17A73">
        <w:t>was</w:t>
      </w:r>
      <w:proofErr w:type="gramEnd"/>
      <w:r w:rsidR="00E17A73">
        <w:t xml:space="preserve"> a</w:t>
      </w:r>
      <w:r w:rsidR="00BB2D8A" w:rsidRPr="00734FB5">
        <w:t xml:space="preserve"> low proportion of participants from Victoria. </w:t>
      </w:r>
      <w:r>
        <w:t>Th</w:t>
      </w:r>
      <w:r w:rsidR="00BC4618">
        <w:t>ere may be both selection bias and other compounding factors which contributed to this</w:t>
      </w:r>
      <w:r w:rsidR="00080A20">
        <w:t>,</w:t>
      </w:r>
      <w:r w:rsidR="00BC4618">
        <w:t xml:space="preserve"> which </w:t>
      </w:r>
      <w:r w:rsidR="00E17A73">
        <w:t>are</w:t>
      </w:r>
      <w:r w:rsidR="00BC4618">
        <w:t xml:space="preserve"> reviewed below.</w:t>
      </w:r>
      <w:r>
        <w:t xml:space="preserve"> While </w:t>
      </w:r>
      <w:r w:rsidR="00E17A73">
        <w:t>acknowledging some</w:t>
      </w:r>
      <w:r>
        <w:t xml:space="preserve"> caveats, </w:t>
      </w:r>
      <w:r w:rsidR="00BC4618">
        <w:t>the findings of this report are reflective of the experienc</w:t>
      </w:r>
      <w:r w:rsidR="00966586">
        <w:t>es of the research participants in the study,</w:t>
      </w:r>
      <w:r w:rsidR="00BC4618">
        <w:t xml:space="preserve"> which is one of the largest cohort studies of its kind</w:t>
      </w:r>
      <w:r w:rsidR="00E17A73">
        <w:t>.</w:t>
      </w:r>
      <w:r w:rsidR="00966586">
        <w:t xml:space="preserve"> </w:t>
      </w:r>
      <w:r w:rsidR="009C275C">
        <w:t xml:space="preserve">With the exception of </w:t>
      </w:r>
      <w:r w:rsidR="00E17A73">
        <w:t xml:space="preserve">the </w:t>
      </w:r>
      <w:r w:rsidR="009C275C">
        <w:t>low proportion of participants from Victoria and the overrepresentation of some disabilities, demographic characteristics broadly match that of the general apprenticeship and traineeship population with disabilities.</w:t>
      </w:r>
    </w:p>
    <w:p w:rsidR="007850E4" w:rsidRDefault="002B18EC" w:rsidP="007850E4">
      <w:pPr>
        <w:pStyle w:val="Text"/>
      </w:pPr>
      <w:r w:rsidRPr="004C5C55">
        <w:t xml:space="preserve">Table 2 </w:t>
      </w:r>
      <w:r>
        <w:t>describes</w:t>
      </w:r>
      <w:r w:rsidRPr="004C5C55">
        <w:t xml:space="preserve"> the gender, age and state/territory of residence of survey participants</w:t>
      </w:r>
      <w:r w:rsidR="003B5334">
        <w:t>,</w:t>
      </w:r>
      <w:r w:rsidRPr="004C5C55">
        <w:t xml:space="preserve"> according to apprenticeship or traineeship completion. </w:t>
      </w:r>
      <w:r>
        <w:t xml:space="preserve">This is contextualised with proportions across the same variables for of all apprenticeship and traineeship commencements in 2010 </w:t>
      </w:r>
      <w:r w:rsidRPr="004C5C55">
        <w:t>(NCVER 2011a)</w:t>
      </w:r>
      <w:r>
        <w:t xml:space="preserve">. </w:t>
      </w:r>
    </w:p>
    <w:p w:rsidR="002B18EC" w:rsidRDefault="002B18EC" w:rsidP="00CB0F5D">
      <w:pPr>
        <w:pStyle w:val="Text"/>
      </w:pPr>
      <w:r>
        <w:t>The gender composition of research participants is similar to the general population. The slightly higher proportion of older graduates among research participants compared with the NCVER data</w:t>
      </w:r>
      <w:r w:rsidR="00CB0F5D">
        <w:t>,</w:t>
      </w:r>
      <w:r>
        <w:t xml:space="preserve"> which reflect age when commencing</w:t>
      </w:r>
      <w:r w:rsidR="00CB0F5D">
        <w:t>,</w:t>
      </w:r>
      <w:r>
        <w:t xml:space="preserve"> is likely to reflect similar proportions across age groups upon graduation. </w:t>
      </w:r>
      <w:r w:rsidRPr="004C5C55">
        <w:t xml:space="preserve">The distribution of state/territory of residence of research participants reported </w:t>
      </w:r>
      <w:r>
        <w:t>is not reflective of the distribution of apprentices and trainees with disabilit</w:t>
      </w:r>
      <w:r w:rsidR="00CB0F5D">
        <w:t>ies</w:t>
      </w:r>
      <w:r>
        <w:t xml:space="preserve"> across Australia. The major discrepancy in geographical distribution of research participant</w:t>
      </w:r>
      <w:r w:rsidR="00CB0F5D">
        <w:t>s</w:t>
      </w:r>
      <w:r>
        <w:t xml:space="preserve"> is the underrepresentation of participants from Victoria</w:t>
      </w:r>
      <w:r w:rsidR="007850E4">
        <w:t>, due to the recruitment strategies employed</w:t>
      </w:r>
      <w:r w:rsidR="00CB0F5D">
        <w:t>. (R</w:t>
      </w:r>
      <w:r>
        <w:t xml:space="preserve">esearch participants from Victoria were only approached through </w:t>
      </w:r>
      <w:r w:rsidR="00CA661F">
        <w:t>disability employment services</w:t>
      </w:r>
      <w:r>
        <w:t xml:space="preserve">, </w:t>
      </w:r>
      <w:r w:rsidR="00791EA1">
        <w:t>group training organisation</w:t>
      </w:r>
      <w:r>
        <w:t>s</w:t>
      </w:r>
      <w:r w:rsidR="001C2E0B">
        <w:t>,</w:t>
      </w:r>
      <w:r>
        <w:t xml:space="preserve"> and the disability liaison officers of the </w:t>
      </w:r>
      <w:r w:rsidR="00791EA1">
        <w:t>registered training organisation</w:t>
      </w:r>
      <w:r>
        <w:t>s</w:t>
      </w:r>
      <w:r w:rsidR="007850E4">
        <w:t>; the Vic</w:t>
      </w:r>
      <w:r w:rsidRPr="004C5C55">
        <w:t>torian S</w:t>
      </w:r>
      <w:r w:rsidR="00CB0F5D">
        <w:t>tate Training Authority</w:t>
      </w:r>
      <w:r w:rsidRPr="004C5C55">
        <w:t xml:space="preserve"> was not approached</w:t>
      </w:r>
      <w:r w:rsidR="003B5334">
        <w:t>.)</w:t>
      </w:r>
    </w:p>
    <w:p w:rsidR="00321D00" w:rsidRDefault="001663E9" w:rsidP="005B61C7">
      <w:pPr>
        <w:pStyle w:val="Text"/>
      </w:pPr>
      <w:r w:rsidRPr="005B61C7">
        <w:t xml:space="preserve">Table 3 </w:t>
      </w:r>
      <w:r w:rsidR="002B18EC">
        <w:t>describes</w:t>
      </w:r>
      <w:r w:rsidRPr="005B61C7">
        <w:t xml:space="preserve"> </w:t>
      </w:r>
      <w:r w:rsidR="000D71CE">
        <w:t xml:space="preserve">the </w:t>
      </w:r>
      <w:r w:rsidRPr="005B61C7">
        <w:t xml:space="preserve">main and additional disabilities among survey participants. These are self-reported and the distinction between main and additional disability may be highly subjective. The most prominent disability </w:t>
      </w:r>
      <w:r w:rsidR="00305A8A">
        <w:t xml:space="preserve">among research </w:t>
      </w:r>
      <w:r w:rsidRPr="005B61C7">
        <w:t>participant</w:t>
      </w:r>
      <w:r w:rsidR="00305A8A">
        <w:t>s</w:t>
      </w:r>
      <w:r w:rsidRPr="005B61C7">
        <w:t xml:space="preserve"> is intellectual</w:t>
      </w:r>
      <w:r w:rsidR="00431C3E">
        <w:t xml:space="preserve"> or learning disability, with 43</w:t>
      </w:r>
      <w:r w:rsidRPr="005B61C7">
        <w:t>.</w:t>
      </w:r>
      <w:r w:rsidR="008B08A3">
        <w:t>3</w:t>
      </w:r>
      <w:r w:rsidRPr="005B61C7">
        <w:t>% of survey respondents indicating this as either the</w:t>
      </w:r>
      <w:r w:rsidR="00431C3E">
        <w:t>ir</w:t>
      </w:r>
      <w:r w:rsidRPr="005B61C7">
        <w:t xml:space="preserve"> main or </w:t>
      </w:r>
      <w:r w:rsidR="00431C3E">
        <w:t xml:space="preserve">an </w:t>
      </w:r>
      <w:r w:rsidRPr="005B61C7">
        <w:t>additional disability. Reflecting on the proportion of int</w:t>
      </w:r>
      <w:r w:rsidR="000D71CE">
        <w:t>ellectual or learning disabilities</w:t>
      </w:r>
      <w:r w:rsidRPr="005B61C7">
        <w:t xml:space="preserve"> and other disabilities within this group from a population standpoint is complex. </w:t>
      </w:r>
      <w:r w:rsidR="002B18EC">
        <w:t>R</w:t>
      </w:r>
      <w:r w:rsidRPr="005B61C7">
        <w:t>eported population-based data in Australia</w:t>
      </w:r>
      <w:r w:rsidR="003B5334">
        <w:t>,</w:t>
      </w:r>
      <w:r w:rsidRPr="005B61C7">
        <w:t xml:space="preserve"> following the move towards the World Health Organization’s International Classification of Functioning</w:t>
      </w:r>
      <w:r w:rsidR="003B5334">
        <w:t>,</w:t>
      </w:r>
      <w:r w:rsidRPr="005B61C7">
        <w:t xml:space="preserve"> focuse</w:t>
      </w:r>
      <w:r w:rsidR="002B18EC">
        <w:t>d</w:t>
      </w:r>
      <w:r w:rsidRPr="005B61C7">
        <w:t xml:space="preserve"> on functional levels rather than diagnostic classifications. Inte</w:t>
      </w:r>
      <w:r w:rsidR="00CB0F5D">
        <w:t>llectual and learning disabilities</w:t>
      </w:r>
      <w:r w:rsidRPr="005B61C7">
        <w:t xml:space="preserve"> are often grouped together in statistical </w:t>
      </w:r>
      <w:r w:rsidRPr="00055909">
        <w:t>compilations, although they represent quite distinct impairments (ABS 2010</w:t>
      </w:r>
      <w:r w:rsidR="00840F32">
        <w:t>b</w:t>
      </w:r>
      <w:r w:rsidR="00883C5A" w:rsidRPr="00055909">
        <w:t>,</w:t>
      </w:r>
      <w:r w:rsidRPr="00055909">
        <w:t xml:space="preserve"> 2011; Lewis, </w:t>
      </w:r>
      <w:proofErr w:type="spellStart"/>
      <w:r w:rsidRPr="00055909">
        <w:t>Thoresen</w:t>
      </w:r>
      <w:proofErr w:type="spellEnd"/>
      <w:r w:rsidRPr="00055909">
        <w:t xml:space="preserve"> &amp; Cocks </w:t>
      </w:r>
      <w:r w:rsidRPr="008B08A3">
        <w:t xml:space="preserve">2011b). </w:t>
      </w:r>
      <w:r w:rsidR="00055909" w:rsidRPr="008B08A3">
        <w:t>Other prominent disabilit</w:t>
      </w:r>
      <w:r w:rsidR="00305A8A" w:rsidRPr="008B08A3">
        <w:t>y types</w:t>
      </w:r>
      <w:r w:rsidR="00055909" w:rsidRPr="008B08A3">
        <w:t xml:space="preserve"> amongst survey participants include medical condition (23.</w:t>
      </w:r>
      <w:r w:rsidR="008B08A3" w:rsidRPr="008B08A3">
        <w:t>5</w:t>
      </w:r>
      <w:r w:rsidR="00055909" w:rsidRPr="008B08A3">
        <w:t>%), physical disability (23.</w:t>
      </w:r>
      <w:r w:rsidR="008B08A3" w:rsidRPr="008B08A3">
        <w:t>0</w:t>
      </w:r>
      <w:r w:rsidR="00055909" w:rsidRPr="008B08A3">
        <w:t>%), deaf or hearing impairment (</w:t>
      </w:r>
      <w:r w:rsidR="008B08A3" w:rsidRPr="008B08A3">
        <w:t>14.9</w:t>
      </w:r>
      <w:r w:rsidR="00055909" w:rsidRPr="008B08A3">
        <w:t>%), mental illness (11.</w:t>
      </w:r>
      <w:r w:rsidR="008B08A3" w:rsidRPr="008B08A3">
        <w:t>1</w:t>
      </w:r>
      <w:r w:rsidR="00CB0F5D">
        <w:t>%)</w:t>
      </w:r>
      <w:r w:rsidR="00055909" w:rsidRPr="008B08A3">
        <w:t xml:space="preserve"> and blind or vision impairment (9.7%). </w:t>
      </w:r>
      <w:r w:rsidR="00EE545F">
        <w:t xml:space="preserve">The proportion of research participants declaring an intellectual or learning disability is much higher than among all VET graduates </w:t>
      </w:r>
      <w:r w:rsidR="00EE545F" w:rsidRPr="00AA61A3">
        <w:t>with disabilities</w:t>
      </w:r>
      <w:r w:rsidR="00182082" w:rsidRPr="00AA61A3">
        <w:t xml:space="preserve"> as reported in</w:t>
      </w:r>
      <w:r w:rsidR="00182082">
        <w:t xml:space="preserve"> national data.</w:t>
      </w:r>
      <w:r w:rsidR="007850E4">
        <w:t xml:space="preserve"> </w:t>
      </w:r>
      <w:r w:rsidR="00305A8A" w:rsidRPr="008B08A3">
        <w:t xml:space="preserve">NCVER (2011c) </w:t>
      </w:r>
      <w:r w:rsidR="007850E4">
        <w:t>reports that</w:t>
      </w:r>
      <w:r w:rsidR="00305A8A" w:rsidRPr="008B08A3">
        <w:t xml:space="preserve"> </w:t>
      </w:r>
      <w:r w:rsidR="00305A8A" w:rsidRPr="00305A8A">
        <w:t>21.5</w:t>
      </w:r>
      <w:r w:rsidR="00055909" w:rsidRPr="00305A8A">
        <w:t xml:space="preserve">% of VET students in 2010 </w:t>
      </w:r>
      <w:r w:rsidR="00321D00">
        <w:t>disclosed</w:t>
      </w:r>
      <w:r w:rsidR="00055909" w:rsidRPr="00305A8A">
        <w:t xml:space="preserve"> an intellectual (</w:t>
      </w:r>
      <w:r w:rsidR="00305A8A" w:rsidRPr="00305A8A">
        <w:t>5.6</w:t>
      </w:r>
      <w:r w:rsidR="00055909" w:rsidRPr="00305A8A">
        <w:t>%) or learning (</w:t>
      </w:r>
      <w:r w:rsidR="00305A8A" w:rsidRPr="00305A8A">
        <w:t>15.9</w:t>
      </w:r>
      <w:r w:rsidR="00055909" w:rsidRPr="00305A8A">
        <w:t>%) disability</w:t>
      </w:r>
      <w:r w:rsidR="00CB0F5D">
        <w:t>,</w:t>
      </w:r>
      <w:r w:rsidR="008B08A3">
        <w:t xml:space="preserve"> which is much lower than the 43.3% reported among the </w:t>
      </w:r>
      <w:r w:rsidR="00491F72">
        <w:t>apprenticeship and traineeship graduates with disabilities in this study</w:t>
      </w:r>
      <w:r w:rsidR="008B08A3">
        <w:t xml:space="preserve">. </w:t>
      </w:r>
      <w:r w:rsidR="00491F72">
        <w:t xml:space="preserve">The impact of the proportion of graduates whose disability status is unknown and graduates with an unspecified disability is unknown. </w:t>
      </w:r>
    </w:p>
    <w:p w:rsidR="0001051E" w:rsidRPr="001F0F87" w:rsidRDefault="0001051E" w:rsidP="0001051E">
      <w:pPr>
        <w:pStyle w:val="tabletitle"/>
      </w:pPr>
      <w:bookmarkStart w:id="46" w:name="_Toc350259526"/>
      <w:r w:rsidRPr="001F0F87">
        <w:lastRenderedPageBreak/>
        <w:t xml:space="preserve">Table </w:t>
      </w:r>
      <w:r w:rsidRPr="004C5C55">
        <w:t>2</w:t>
      </w:r>
      <w:r w:rsidR="003B5334">
        <w:tab/>
        <w:t>Gender, age</w:t>
      </w:r>
      <w:r w:rsidRPr="001F0F87">
        <w:t xml:space="preserve"> and state/territory of residence</w:t>
      </w:r>
      <w:bookmarkEnd w:id="46"/>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865"/>
        <w:gridCol w:w="1275"/>
        <w:gridCol w:w="1134"/>
        <w:gridCol w:w="1134"/>
        <w:gridCol w:w="993"/>
        <w:gridCol w:w="992"/>
        <w:gridCol w:w="992"/>
        <w:gridCol w:w="1397"/>
      </w:tblGrid>
      <w:tr w:rsidR="0001051E" w:rsidRPr="001C32FA">
        <w:trPr>
          <w:trHeight w:val="190"/>
        </w:trPr>
        <w:tc>
          <w:tcPr>
            <w:tcW w:w="236" w:type="dxa"/>
            <w:tcBorders>
              <w:top w:val="single" w:sz="4" w:space="0" w:color="auto"/>
            </w:tcBorders>
          </w:tcPr>
          <w:p w:rsidR="0001051E" w:rsidRPr="001C32FA" w:rsidRDefault="0001051E" w:rsidP="00C365D6">
            <w:pPr>
              <w:pStyle w:val="Tablehead1"/>
              <w:jc w:val="center"/>
              <w:rPr>
                <w:bCs/>
              </w:rPr>
            </w:pPr>
          </w:p>
        </w:tc>
        <w:tc>
          <w:tcPr>
            <w:tcW w:w="865" w:type="dxa"/>
            <w:tcBorders>
              <w:top w:val="single" w:sz="4" w:space="0" w:color="auto"/>
            </w:tcBorders>
          </w:tcPr>
          <w:p w:rsidR="0001051E" w:rsidRPr="001C32FA" w:rsidRDefault="0001051E" w:rsidP="00C365D6">
            <w:pPr>
              <w:pStyle w:val="Tablehead1"/>
              <w:jc w:val="center"/>
              <w:rPr>
                <w:bCs/>
              </w:rPr>
            </w:pPr>
          </w:p>
        </w:tc>
        <w:tc>
          <w:tcPr>
            <w:tcW w:w="3543" w:type="dxa"/>
            <w:gridSpan w:val="3"/>
            <w:tcBorders>
              <w:top w:val="single" w:sz="4" w:space="0" w:color="auto"/>
            </w:tcBorders>
          </w:tcPr>
          <w:p w:rsidR="0001051E" w:rsidRPr="004D192B" w:rsidRDefault="0001051E" w:rsidP="00C365D6">
            <w:pPr>
              <w:pStyle w:val="Tablehead1"/>
              <w:jc w:val="center"/>
              <w:rPr>
                <w:bCs/>
              </w:rPr>
            </w:pPr>
            <w:r>
              <w:rPr>
                <w:bCs/>
              </w:rPr>
              <w:t>Disability group (DG)</w:t>
            </w:r>
          </w:p>
        </w:tc>
        <w:tc>
          <w:tcPr>
            <w:tcW w:w="2977" w:type="dxa"/>
            <w:gridSpan w:val="3"/>
            <w:tcBorders>
              <w:top w:val="single" w:sz="4" w:space="0" w:color="auto"/>
            </w:tcBorders>
          </w:tcPr>
          <w:p w:rsidR="0001051E" w:rsidRPr="001C32FA" w:rsidRDefault="0001051E" w:rsidP="00C365D6">
            <w:pPr>
              <w:pStyle w:val="Tablehead1"/>
              <w:jc w:val="center"/>
              <w:rPr>
                <w:bCs/>
              </w:rPr>
            </w:pPr>
            <w:r>
              <w:rPr>
                <w:bCs/>
              </w:rPr>
              <w:t>Comparison group (CG)</w:t>
            </w:r>
          </w:p>
        </w:tc>
        <w:tc>
          <w:tcPr>
            <w:tcW w:w="1397" w:type="dxa"/>
            <w:tcBorders>
              <w:top w:val="single" w:sz="4" w:space="0" w:color="auto"/>
            </w:tcBorders>
          </w:tcPr>
          <w:p w:rsidR="0001051E" w:rsidRDefault="0001051E" w:rsidP="00C365D6">
            <w:pPr>
              <w:pStyle w:val="Tablehead1"/>
              <w:jc w:val="center"/>
              <w:rPr>
                <w:bCs/>
              </w:rPr>
            </w:pPr>
            <w:r>
              <w:rPr>
                <w:bCs/>
              </w:rPr>
              <w:t>General population</w:t>
            </w:r>
            <w:r w:rsidRPr="00042865">
              <w:rPr>
                <w:vertAlign w:val="superscript"/>
              </w:rPr>
              <w:t>(b)</w:t>
            </w:r>
          </w:p>
        </w:tc>
      </w:tr>
      <w:tr w:rsidR="0001051E" w:rsidRPr="001C32FA">
        <w:trPr>
          <w:trHeight w:val="190"/>
        </w:trPr>
        <w:tc>
          <w:tcPr>
            <w:tcW w:w="236" w:type="dxa"/>
            <w:vMerge w:val="restart"/>
          </w:tcPr>
          <w:p w:rsidR="0001051E" w:rsidRPr="00E748CC" w:rsidRDefault="0001051E" w:rsidP="00C365D6">
            <w:pPr>
              <w:pStyle w:val="Tablehead1"/>
              <w:jc w:val="center"/>
              <w:rPr>
                <w:bCs/>
              </w:rPr>
            </w:pPr>
          </w:p>
        </w:tc>
        <w:tc>
          <w:tcPr>
            <w:tcW w:w="865" w:type="dxa"/>
            <w:vMerge w:val="restart"/>
          </w:tcPr>
          <w:p w:rsidR="0001051E" w:rsidRPr="00E748CC" w:rsidRDefault="0001051E" w:rsidP="00C365D6">
            <w:pPr>
              <w:pStyle w:val="Tablehead1"/>
              <w:jc w:val="center"/>
              <w:rPr>
                <w:bCs/>
              </w:rPr>
            </w:pPr>
          </w:p>
        </w:tc>
        <w:tc>
          <w:tcPr>
            <w:tcW w:w="1275" w:type="dxa"/>
          </w:tcPr>
          <w:p w:rsidR="0001051E" w:rsidRPr="00E748CC" w:rsidRDefault="0001051E" w:rsidP="00C365D6">
            <w:pPr>
              <w:pStyle w:val="Tablehead2"/>
              <w:jc w:val="right"/>
              <w:rPr>
                <w:bCs/>
              </w:rPr>
            </w:pPr>
            <w:proofErr w:type="spellStart"/>
            <w:r w:rsidRPr="00E748CC">
              <w:rPr>
                <w:bCs/>
              </w:rPr>
              <w:t>Appr</w:t>
            </w:r>
            <w:proofErr w:type="spellEnd"/>
            <w:r>
              <w:rPr>
                <w:bCs/>
              </w:rPr>
              <w:t>.</w:t>
            </w:r>
          </w:p>
        </w:tc>
        <w:tc>
          <w:tcPr>
            <w:tcW w:w="1134" w:type="dxa"/>
          </w:tcPr>
          <w:p w:rsidR="0001051E" w:rsidRPr="001C32FA" w:rsidRDefault="0001051E" w:rsidP="00C365D6">
            <w:pPr>
              <w:pStyle w:val="Tablehead2"/>
              <w:jc w:val="right"/>
              <w:rPr>
                <w:bCs/>
              </w:rPr>
            </w:pPr>
            <w:r w:rsidRPr="001C32FA">
              <w:rPr>
                <w:bCs/>
              </w:rPr>
              <w:t>Train</w:t>
            </w:r>
            <w:r>
              <w:rPr>
                <w:bCs/>
              </w:rPr>
              <w:t>.</w:t>
            </w:r>
          </w:p>
        </w:tc>
        <w:tc>
          <w:tcPr>
            <w:tcW w:w="1134" w:type="dxa"/>
          </w:tcPr>
          <w:p w:rsidR="0001051E" w:rsidRPr="001C32FA" w:rsidRDefault="0001051E" w:rsidP="00C365D6">
            <w:pPr>
              <w:pStyle w:val="Tablehead2"/>
              <w:jc w:val="right"/>
              <w:rPr>
                <w:bCs/>
              </w:rPr>
            </w:pPr>
            <w:r>
              <w:rPr>
                <w:bCs/>
              </w:rPr>
              <w:t>All DG</w:t>
            </w:r>
            <w:r w:rsidRPr="001C32FA">
              <w:rPr>
                <w:bCs/>
                <w:vertAlign w:val="superscript"/>
              </w:rPr>
              <w:t>(a)</w:t>
            </w:r>
          </w:p>
        </w:tc>
        <w:tc>
          <w:tcPr>
            <w:tcW w:w="993" w:type="dxa"/>
          </w:tcPr>
          <w:p w:rsidR="0001051E" w:rsidRPr="001C32FA" w:rsidRDefault="0001051E" w:rsidP="00C365D6">
            <w:pPr>
              <w:pStyle w:val="Tablehead2"/>
              <w:jc w:val="right"/>
              <w:rPr>
                <w:bCs/>
              </w:rPr>
            </w:pPr>
            <w:proofErr w:type="spellStart"/>
            <w:r w:rsidRPr="001C32FA">
              <w:rPr>
                <w:bCs/>
              </w:rPr>
              <w:t>Appr</w:t>
            </w:r>
            <w:proofErr w:type="spellEnd"/>
            <w:r>
              <w:rPr>
                <w:bCs/>
              </w:rPr>
              <w:t>.</w:t>
            </w:r>
          </w:p>
        </w:tc>
        <w:tc>
          <w:tcPr>
            <w:tcW w:w="992" w:type="dxa"/>
          </w:tcPr>
          <w:p w:rsidR="0001051E" w:rsidRPr="001C32FA" w:rsidRDefault="0001051E" w:rsidP="00C365D6">
            <w:pPr>
              <w:pStyle w:val="Tablehead2"/>
              <w:jc w:val="right"/>
              <w:rPr>
                <w:bCs/>
              </w:rPr>
            </w:pPr>
            <w:r w:rsidRPr="001C32FA">
              <w:rPr>
                <w:bCs/>
              </w:rPr>
              <w:t>Train</w:t>
            </w:r>
            <w:r>
              <w:rPr>
                <w:bCs/>
              </w:rPr>
              <w:t>.</w:t>
            </w:r>
          </w:p>
        </w:tc>
        <w:tc>
          <w:tcPr>
            <w:tcW w:w="992" w:type="dxa"/>
          </w:tcPr>
          <w:p w:rsidR="0001051E" w:rsidRPr="001C32FA" w:rsidRDefault="0001051E" w:rsidP="00C365D6">
            <w:pPr>
              <w:pStyle w:val="Tablehead2"/>
              <w:jc w:val="right"/>
              <w:rPr>
                <w:bCs/>
              </w:rPr>
            </w:pPr>
            <w:r>
              <w:rPr>
                <w:bCs/>
              </w:rPr>
              <w:t>Al</w:t>
            </w:r>
            <w:r w:rsidRPr="001C32FA">
              <w:rPr>
                <w:bCs/>
              </w:rPr>
              <w:t>l</w:t>
            </w:r>
            <w:r>
              <w:rPr>
                <w:bCs/>
              </w:rPr>
              <w:t xml:space="preserve"> CG</w:t>
            </w:r>
            <w:r w:rsidRPr="001C32FA">
              <w:rPr>
                <w:bCs/>
                <w:vertAlign w:val="superscript"/>
              </w:rPr>
              <w:t>(a)</w:t>
            </w:r>
          </w:p>
        </w:tc>
        <w:tc>
          <w:tcPr>
            <w:tcW w:w="1397" w:type="dxa"/>
          </w:tcPr>
          <w:p w:rsidR="0001051E" w:rsidRDefault="0001051E" w:rsidP="003B5334">
            <w:pPr>
              <w:pStyle w:val="Tablehead2"/>
              <w:jc w:val="right"/>
              <w:rPr>
                <w:bCs/>
              </w:rPr>
            </w:pPr>
            <w:proofErr w:type="spellStart"/>
            <w:r>
              <w:rPr>
                <w:bCs/>
              </w:rPr>
              <w:t>Appr</w:t>
            </w:r>
            <w:proofErr w:type="spellEnd"/>
            <w:r>
              <w:rPr>
                <w:bCs/>
              </w:rPr>
              <w:t xml:space="preserve">. </w:t>
            </w:r>
            <w:proofErr w:type="gramStart"/>
            <w:r>
              <w:rPr>
                <w:bCs/>
              </w:rPr>
              <w:t>and</w:t>
            </w:r>
            <w:proofErr w:type="gramEnd"/>
            <w:r>
              <w:rPr>
                <w:bCs/>
              </w:rPr>
              <w:t xml:space="preserve"> </w:t>
            </w:r>
            <w:r w:rsidR="003B5334">
              <w:rPr>
                <w:bCs/>
              </w:rPr>
              <w:t>t</w:t>
            </w:r>
            <w:r>
              <w:rPr>
                <w:bCs/>
              </w:rPr>
              <w:t>rain.</w:t>
            </w:r>
          </w:p>
        </w:tc>
      </w:tr>
      <w:tr w:rsidR="0001051E" w:rsidRPr="00862AF9">
        <w:trPr>
          <w:trHeight w:val="190"/>
        </w:trPr>
        <w:tc>
          <w:tcPr>
            <w:tcW w:w="236" w:type="dxa"/>
            <w:vMerge/>
            <w:tcBorders>
              <w:bottom w:val="single" w:sz="4" w:space="0" w:color="auto"/>
            </w:tcBorders>
          </w:tcPr>
          <w:p w:rsidR="0001051E" w:rsidRPr="00E748CC" w:rsidRDefault="0001051E" w:rsidP="00C365D6">
            <w:pPr>
              <w:pStyle w:val="Tablehead2"/>
            </w:pPr>
          </w:p>
        </w:tc>
        <w:tc>
          <w:tcPr>
            <w:tcW w:w="865" w:type="dxa"/>
            <w:vMerge/>
            <w:tcBorders>
              <w:bottom w:val="single" w:sz="4" w:space="0" w:color="auto"/>
            </w:tcBorders>
          </w:tcPr>
          <w:p w:rsidR="0001051E" w:rsidRPr="00E748CC" w:rsidRDefault="0001051E" w:rsidP="00C365D6">
            <w:pPr>
              <w:pStyle w:val="Tablehead2"/>
            </w:pPr>
          </w:p>
        </w:tc>
        <w:tc>
          <w:tcPr>
            <w:tcW w:w="1275" w:type="dxa"/>
            <w:tcBorders>
              <w:bottom w:val="single" w:sz="4" w:space="0" w:color="auto"/>
            </w:tcBorders>
          </w:tcPr>
          <w:p w:rsidR="0001051E" w:rsidRPr="00E748CC" w:rsidRDefault="0001051E" w:rsidP="00C365D6">
            <w:pPr>
              <w:pStyle w:val="Tablehead2"/>
              <w:jc w:val="right"/>
            </w:pPr>
            <w:proofErr w:type="gramStart"/>
            <w:r w:rsidRPr="00E748CC">
              <w:t>n</w:t>
            </w:r>
            <w:proofErr w:type="gramEnd"/>
            <w:r w:rsidRPr="00E748CC">
              <w:t xml:space="preserve"> </w:t>
            </w:r>
            <w:r w:rsidR="001E48FE">
              <w:t xml:space="preserve">      </w:t>
            </w:r>
            <w:r w:rsidRPr="00E748CC">
              <w:t>(%)</w:t>
            </w:r>
          </w:p>
        </w:tc>
        <w:tc>
          <w:tcPr>
            <w:tcW w:w="1134" w:type="dxa"/>
            <w:tcBorders>
              <w:bottom w:val="single" w:sz="4" w:space="0" w:color="auto"/>
            </w:tcBorders>
          </w:tcPr>
          <w:p w:rsidR="0001051E" w:rsidRPr="00862AF9" w:rsidRDefault="0001051E" w:rsidP="00C365D6">
            <w:pPr>
              <w:pStyle w:val="Tablehead2"/>
              <w:jc w:val="right"/>
            </w:pPr>
            <w:proofErr w:type="gramStart"/>
            <w:r>
              <w:t>n</w:t>
            </w:r>
            <w:proofErr w:type="gramEnd"/>
            <w:r>
              <w:t xml:space="preserve"> </w:t>
            </w:r>
            <w:r w:rsidR="001E48FE">
              <w:t xml:space="preserve">      </w:t>
            </w:r>
            <w:r>
              <w:t>(%)</w:t>
            </w:r>
          </w:p>
        </w:tc>
        <w:tc>
          <w:tcPr>
            <w:tcW w:w="1134" w:type="dxa"/>
            <w:tcBorders>
              <w:bottom w:val="single" w:sz="4" w:space="0" w:color="auto"/>
            </w:tcBorders>
          </w:tcPr>
          <w:p w:rsidR="0001051E" w:rsidRPr="00862AF9" w:rsidRDefault="0001051E" w:rsidP="00C365D6">
            <w:pPr>
              <w:pStyle w:val="Tablehead2"/>
              <w:jc w:val="right"/>
            </w:pPr>
            <w:proofErr w:type="gramStart"/>
            <w:r>
              <w:t>n</w:t>
            </w:r>
            <w:proofErr w:type="gramEnd"/>
            <w:r>
              <w:t xml:space="preserve"> </w:t>
            </w:r>
            <w:r w:rsidR="001E48FE">
              <w:t xml:space="preserve">      </w:t>
            </w:r>
            <w:r>
              <w:t>(%)</w:t>
            </w:r>
          </w:p>
        </w:tc>
        <w:tc>
          <w:tcPr>
            <w:tcW w:w="993" w:type="dxa"/>
            <w:tcBorders>
              <w:bottom w:val="single" w:sz="4" w:space="0" w:color="auto"/>
            </w:tcBorders>
          </w:tcPr>
          <w:p w:rsidR="0001051E" w:rsidRPr="00862AF9" w:rsidRDefault="0001051E" w:rsidP="00C365D6">
            <w:pPr>
              <w:pStyle w:val="Tablehead2"/>
              <w:jc w:val="right"/>
            </w:pPr>
            <w:proofErr w:type="gramStart"/>
            <w:r>
              <w:t>n</w:t>
            </w:r>
            <w:proofErr w:type="gramEnd"/>
            <w:r>
              <w:t xml:space="preserve"> </w:t>
            </w:r>
            <w:r w:rsidR="001E48FE">
              <w:t xml:space="preserve">      </w:t>
            </w:r>
            <w:r>
              <w:t>(%)</w:t>
            </w:r>
          </w:p>
        </w:tc>
        <w:tc>
          <w:tcPr>
            <w:tcW w:w="992" w:type="dxa"/>
            <w:tcBorders>
              <w:bottom w:val="single" w:sz="4" w:space="0" w:color="auto"/>
            </w:tcBorders>
          </w:tcPr>
          <w:p w:rsidR="0001051E" w:rsidRPr="00862AF9" w:rsidRDefault="0001051E" w:rsidP="00C365D6">
            <w:pPr>
              <w:pStyle w:val="Tablehead2"/>
              <w:jc w:val="right"/>
            </w:pPr>
            <w:proofErr w:type="gramStart"/>
            <w:r>
              <w:t>n</w:t>
            </w:r>
            <w:proofErr w:type="gramEnd"/>
            <w:r>
              <w:t xml:space="preserve"> </w:t>
            </w:r>
            <w:r w:rsidR="001E48FE">
              <w:t xml:space="preserve">      </w:t>
            </w:r>
            <w:r>
              <w:t>(%)</w:t>
            </w:r>
          </w:p>
        </w:tc>
        <w:tc>
          <w:tcPr>
            <w:tcW w:w="992" w:type="dxa"/>
            <w:tcBorders>
              <w:bottom w:val="single" w:sz="4" w:space="0" w:color="auto"/>
            </w:tcBorders>
          </w:tcPr>
          <w:p w:rsidR="0001051E" w:rsidRPr="00862AF9" w:rsidRDefault="0001051E" w:rsidP="00C365D6">
            <w:pPr>
              <w:pStyle w:val="Tablehead2"/>
              <w:jc w:val="right"/>
            </w:pPr>
            <w:proofErr w:type="gramStart"/>
            <w:r>
              <w:t>n</w:t>
            </w:r>
            <w:proofErr w:type="gramEnd"/>
            <w:r>
              <w:t xml:space="preserve"> </w:t>
            </w:r>
            <w:r w:rsidR="001E48FE">
              <w:t xml:space="preserve">      </w:t>
            </w:r>
            <w:r>
              <w:t>(%)</w:t>
            </w:r>
          </w:p>
        </w:tc>
        <w:tc>
          <w:tcPr>
            <w:tcW w:w="1397" w:type="dxa"/>
            <w:tcBorders>
              <w:bottom w:val="single" w:sz="4" w:space="0" w:color="auto"/>
            </w:tcBorders>
          </w:tcPr>
          <w:p w:rsidR="0001051E" w:rsidRDefault="0001051E" w:rsidP="00C365D6">
            <w:pPr>
              <w:pStyle w:val="Tablehead2"/>
              <w:jc w:val="right"/>
            </w:pPr>
            <w:proofErr w:type="gramStart"/>
            <w:r>
              <w:t>n</w:t>
            </w:r>
            <w:proofErr w:type="gramEnd"/>
            <w:r>
              <w:t xml:space="preserve"> </w:t>
            </w:r>
            <w:r w:rsidR="001E48FE">
              <w:t xml:space="preserve">      </w:t>
            </w:r>
            <w:r>
              <w:t>(%)</w:t>
            </w:r>
          </w:p>
        </w:tc>
      </w:tr>
      <w:tr w:rsidR="0001051E" w:rsidRPr="00862AF9">
        <w:tc>
          <w:tcPr>
            <w:tcW w:w="9018" w:type="dxa"/>
            <w:gridSpan w:val="9"/>
            <w:tcBorders>
              <w:top w:val="single" w:sz="4" w:space="0" w:color="auto"/>
            </w:tcBorders>
          </w:tcPr>
          <w:p w:rsidR="0001051E" w:rsidRPr="00862AF9" w:rsidRDefault="0001051E" w:rsidP="00C365D6">
            <w:pPr>
              <w:pStyle w:val="Tablehead3"/>
            </w:pPr>
            <w:r w:rsidRPr="00E748CC">
              <w:t>Gender</w:t>
            </w:r>
          </w:p>
        </w:tc>
      </w:tr>
      <w:tr w:rsidR="0001051E" w:rsidRPr="00862AF9">
        <w:tc>
          <w:tcPr>
            <w:tcW w:w="236" w:type="dxa"/>
          </w:tcPr>
          <w:p w:rsidR="0001051E" w:rsidRPr="00E748CC" w:rsidRDefault="0001051E" w:rsidP="00C365D6">
            <w:pPr>
              <w:pStyle w:val="Tabletext"/>
            </w:pPr>
          </w:p>
        </w:tc>
        <w:tc>
          <w:tcPr>
            <w:tcW w:w="865" w:type="dxa"/>
          </w:tcPr>
          <w:p w:rsidR="0001051E" w:rsidRPr="00E748CC" w:rsidRDefault="0001051E" w:rsidP="00C365D6">
            <w:pPr>
              <w:pStyle w:val="Tabletext"/>
            </w:pPr>
            <w:r w:rsidRPr="00E748CC">
              <w:t>Females</w:t>
            </w:r>
          </w:p>
        </w:tc>
        <w:tc>
          <w:tcPr>
            <w:tcW w:w="1275" w:type="dxa"/>
          </w:tcPr>
          <w:p w:rsidR="0001051E" w:rsidRPr="00E748CC" w:rsidRDefault="0001051E" w:rsidP="00C365D6">
            <w:pPr>
              <w:pStyle w:val="Tabletext"/>
              <w:tabs>
                <w:tab w:val="right" w:pos="459"/>
                <w:tab w:val="right" w:pos="1026"/>
              </w:tabs>
            </w:pPr>
            <w:r>
              <w:tab/>
            </w:r>
            <w:r w:rsidRPr="00E748CC">
              <w:t>15</w:t>
            </w:r>
            <w:r>
              <w:tab/>
            </w:r>
            <w:r w:rsidRPr="00E748CC">
              <w:t>(13.2)</w:t>
            </w:r>
          </w:p>
        </w:tc>
        <w:tc>
          <w:tcPr>
            <w:tcW w:w="1134" w:type="dxa"/>
          </w:tcPr>
          <w:p w:rsidR="0001051E" w:rsidRPr="00E748CC" w:rsidRDefault="0001051E" w:rsidP="00C365D6">
            <w:pPr>
              <w:pStyle w:val="Tabletext"/>
              <w:tabs>
                <w:tab w:val="right" w:pos="318"/>
                <w:tab w:val="right" w:pos="885"/>
              </w:tabs>
            </w:pPr>
            <w:r>
              <w:tab/>
            </w:r>
            <w:r w:rsidRPr="00E748CC">
              <w:t>151</w:t>
            </w:r>
            <w:r>
              <w:tab/>
            </w:r>
            <w:r w:rsidRPr="00E748CC">
              <w:t>(54.3)</w:t>
            </w:r>
          </w:p>
        </w:tc>
        <w:tc>
          <w:tcPr>
            <w:tcW w:w="1134" w:type="dxa"/>
          </w:tcPr>
          <w:p w:rsidR="0001051E" w:rsidRPr="00740F63" w:rsidRDefault="0001051E" w:rsidP="00C365D6">
            <w:pPr>
              <w:pStyle w:val="Tabletext"/>
              <w:tabs>
                <w:tab w:val="right" w:pos="318"/>
                <w:tab w:val="right" w:pos="885"/>
              </w:tabs>
            </w:pPr>
            <w:r>
              <w:tab/>
            </w:r>
            <w:r w:rsidRPr="00740F63">
              <w:t>170</w:t>
            </w:r>
            <w:r>
              <w:tab/>
            </w:r>
            <w:r w:rsidRPr="00740F63">
              <w:t>(42.1)</w:t>
            </w:r>
          </w:p>
        </w:tc>
        <w:tc>
          <w:tcPr>
            <w:tcW w:w="993" w:type="dxa"/>
          </w:tcPr>
          <w:p w:rsidR="0001051E" w:rsidRDefault="0001051E" w:rsidP="00C365D6">
            <w:pPr>
              <w:pStyle w:val="Tabletext"/>
              <w:tabs>
                <w:tab w:val="right" w:pos="176"/>
                <w:tab w:val="right" w:pos="743"/>
              </w:tabs>
            </w:pPr>
            <w:r>
              <w:tab/>
              <w:t>2</w:t>
            </w:r>
            <w:r>
              <w:tab/>
              <w:t>(7.7)</w:t>
            </w:r>
          </w:p>
        </w:tc>
        <w:tc>
          <w:tcPr>
            <w:tcW w:w="992" w:type="dxa"/>
          </w:tcPr>
          <w:p w:rsidR="0001051E" w:rsidRDefault="0001051E" w:rsidP="00C365D6">
            <w:pPr>
              <w:pStyle w:val="Tabletext"/>
              <w:tabs>
                <w:tab w:val="right" w:pos="175"/>
                <w:tab w:val="right" w:pos="742"/>
              </w:tabs>
            </w:pPr>
            <w:r>
              <w:tab/>
              <w:t>35</w:t>
            </w:r>
            <w:r>
              <w:tab/>
              <w:t>(59.3)</w:t>
            </w:r>
          </w:p>
        </w:tc>
        <w:tc>
          <w:tcPr>
            <w:tcW w:w="992" w:type="dxa"/>
          </w:tcPr>
          <w:p w:rsidR="0001051E" w:rsidRDefault="0001051E" w:rsidP="00C365D6">
            <w:pPr>
              <w:pStyle w:val="Tabletext"/>
              <w:tabs>
                <w:tab w:val="right" w:pos="175"/>
                <w:tab w:val="right" w:pos="742"/>
              </w:tabs>
            </w:pPr>
            <w:r>
              <w:tab/>
              <w:t>37</w:t>
            </w:r>
            <w:r>
              <w:tab/>
              <w:t>(43.5)</w:t>
            </w:r>
          </w:p>
        </w:tc>
        <w:tc>
          <w:tcPr>
            <w:tcW w:w="1397" w:type="dxa"/>
          </w:tcPr>
          <w:p w:rsidR="0001051E" w:rsidRDefault="0001051E" w:rsidP="00C365D6">
            <w:pPr>
              <w:pStyle w:val="Tabletext"/>
              <w:tabs>
                <w:tab w:val="right" w:pos="601"/>
                <w:tab w:val="right" w:pos="1181"/>
              </w:tabs>
            </w:pPr>
            <w:r>
              <w:tab/>
              <w:t>134 600</w:t>
            </w:r>
            <w:r>
              <w:tab/>
              <w:t>(42.9)</w:t>
            </w:r>
          </w:p>
        </w:tc>
      </w:tr>
      <w:tr w:rsidR="0001051E" w:rsidRPr="00862AF9">
        <w:tc>
          <w:tcPr>
            <w:tcW w:w="236" w:type="dxa"/>
          </w:tcPr>
          <w:p w:rsidR="0001051E" w:rsidRPr="00E748CC" w:rsidRDefault="0001051E" w:rsidP="00C365D6">
            <w:pPr>
              <w:pStyle w:val="Tabletext"/>
            </w:pPr>
          </w:p>
        </w:tc>
        <w:tc>
          <w:tcPr>
            <w:tcW w:w="865" w:type="dxa"/>
          </w:tcPr>
          <w:p w:rsidR="0001051E" w:rsidRPr="00E748CC" w:rsidRDefault="0001051E" w:rsidP="00C365D6">
            <w:pPr>
              <w:pStyle w:val="Tabletext"/>
            </w:pPr>
            <w:r w:rsidRPr="00E748CC">
              <w:t>Males</w:t>
            </w:r>
          </w:p>
        </w:tc>
        <w:tc>
          <w:tcPr>
            <w:tcW w:w="1275" w:type="dxa"/>
          </w:tcPr>
          <w:p w:rsidR="0001051E" w:rsidRPr="00E748CC" w:rsidRDefault="0001051E" w:rsidP="00C365D6">
            <w:pPr>
              <w:pStyle w:val="Tabletext"/>
              <w:tabs>
                <w:tab w:val="right" w:pos="459"/>
                <w:tab w:val="right" w:pos="1026"/>
              </w:tabs>
            </w:pPr>
            <w:r>
              <w:tab/>
            </w:r>
            <w:r w:rsidRPr="00E748CC">
              <w:t>99</w:t>
            </w:r>
            <w:r>
              <w:tab/>
            </w:r>
            <w:r w:rsidRPr="00E748CC">
              <w:t>(86.8)</w:t>
            </w:r>
          </w:p>
        </w:tc>
        <w:tc>
          <w:tcPr>
            <w:tcW w:w="1134" w:type="dxa"/>
          </w:tcPr>
          <w:p w:rsidR="0001051E" w:rsidRPr="00E748CC" w:rsidRDefault="0001051E" w:rsidP="00C365D6">
            <w:pPr>
              <w:pStyle w:val="Tabletext"/>
              <w:tabs>
                <w:tab w:val="right" w:pos="318"/>
                <w:tab w:val="right" w:pos="885"/>
              </w:tabs>
            </w:pPr>
            <w:r>
              <w:tab/>
            </w:r>
            <w:r w:rsidRPr="00E748CC">
              <w:t>127</w:t>
            </w:r>
            <w:r>
              <w:tab/>
            </w:r>
            <w:r w:rsidRPr="00E748CC">
              <w:t>(45.7)</w:t>
            </w:r>
          </w:p>
        </w:tc>
        <w:tc>
          <w:tcPr>
            <w:tcW w:w="1134" w:type="dxa"/>
          </w:tcPr>
          <w:p w:rsidR="0001051E" w:rsidRPr="00740F63" w:rsidRDefault="0001051E" w:rsidP="00C365D6">
            <w:pPr>
              <w:pStyle w:val="Tabletext"/>
              <w:tabs>
                <w:tab w:val="right" w:pos="318"/>
                <w:tab w:val="right" w:pos="885"/>
              </w:tabs>
            </w:pPr>
            <w:r>
              <w:tab/>
            </w:r>
            <w:r w:rsidRPr="00740F63">
              <w:t>232</w:t>
            </w:r>
            <w:r>
              <w:tab/>
            </w:r>
            <w:r w:rsidRPr="00740F63">
              <w:t>(57.4)</w:t>
            </w:r>
          </w:p>
        </w:tc>
        <w:tc>
          <w:tcPr>
            <w:tcW w:w="993" w:type="dxa"/>
          </w:tcPr>
          <w:p w:rsidR="0001051E" w:rsidRDefault="0001051E" w:rsidP="00C365D6">
            <w:pPr>
              <w:pStyle w:val="Tabletext"/>
              <w:tabs>
                <w:tab w:val="right" w:pos="176"/>
                <w:tab w:val="right" w:pos="743"/>
              </w:tabs>
            </w:pPr>
            <w:r>
              <w:tab/>
              <w:t>24</w:t>
            </w:r>
            <w:r>
              <w:tab/>
              <w:t>(92.3)</w:t>
            </w:r>
          </w:p>
        </w:tc>
        <w:tc>
          <w:tcPr>
            <w:tcW w:w="992" w:type="dxa"/>
          </w:tcPr>
          <w:p w:rsidR="0001051E" w:rsidRDefault="0001051E" w:rsidP="00C365D6">
            <w:pPr>
              <w:pStyle w:val="Tabletext"/>
              <w:tabs>
                <w:tab w:val="right" w:pos="175"/>
                <w:tab w:val="right" w:pos="742"/>
              </w:tabs>
            </w:pPr>
            <w:r>
              <w:tab/>
              <w:t>24</w:t>
            </w:r>
            <w:r>
              <w:tab/>
              <w:t>(40.7)</w:t>
            </w:r>
          </w:p>
        </w:tc>
        <w:tc>
          <w:tcPr>
            <w:tcW w:w="992" w:type="dxa"/>
          </w:tcPr>
          <w:p w:rsidR="0001051E" w:rsidRDefault="0001051E" w:rsidP="00C365D6">
            <w:pPr>
              <w:pStyle w:val="Tabletext"/>
              <w:tabs>
                <w:tab w:val="right" w:pos="175"/>
                <w:tab w:val="right" w:pos="742"/>
              </w:tabs>
            </w:pPr>
            <w:r>
              <w:tab/>
              <w:t>48</w:t>
            </w:r>
            <w:r>
              <w:tab/>
              <w:t>(56.5)</w:t>
            </w:r>
          </w:p>
        </w:tc>
        <w:tc>
          <w:tcPr>
            <w:tcW w:w="1397" w:type="dxa"/>
          </w:tcPr>
          <w:p w:rsidR="0001051E" w:rsidRDefault="0001051E" w:rsidP="00C365D6">
            <w:pPr>
              <w:pStyle w:val="Tabletext"/>
              <w:tabs>
                <w:tab w:val="right" w:pos="601"/>
                <w:tab w:val="right" w:pos="1181"/>
              </w:tabs>
            </w:pPr>
            <w:r>
              <w:tab/>
              <w:t>179 400</w:t>
            </w:r>
            <w:r>
              <w:tab/>
              <w:t>(57.1</w:t>
            </w:r>
          </w:p>
        </w:tc>
      </w:tr>
      <w:tr w:rsidR="0001051E" w:rsidRPr="00862AF9">
        <w:tc>
          <w:tcPr>
            <w:tcW w:w="236" w:type="dxa"/>
          </w:tcPr>
          <w:p w:rsidR="0001051E" w:rsidRPr="00E748CC" w:rsidRDefault="0001051E" w:rsidP="00C365D6">
            <w:pPr>
              <w:pStyle w:val="Tabletext"/>
            </w:pPr>
          </w:p>
        </w:tc>
        <w:tc>
          <w:tcPr>
            <w:tcW w:w="865" w:type="dxa"/>
          </w:tcPr>
          <w:p w:rsidR="0001051E" w:rsidRPr="00E748CC" w:rsidRDefault="0001051E" w:rsidP="00C365D6">
            <w:pPr>
              <w:pStyle w:val="Tabletext"/>
            </w:pPr>
            <w:r>
              <w:t>All</w:t>
            </w:r>
          </w:p>
        </w:tc>
        <w:tc>
          <w:tcPr>
            <w:tcW w:w="1275" w:type="dxa"/>
          </w:tcPr>
          <w:p w:rsidR="0001051E" w:rsidRPr="00D07A19" w:rsidRDefault="0001051E" w:rsidP="00C365D6">
            <w:pPr>
              <w:pStyle w:val="Tabletext"/>
              <w:tabs>
                <w:tab w:val="right" w:pos="459"/>
                <w:tab w:val="right" w:pos="1026"/>
              </w:tabs>
            </w:pPr>
            <w:r>
              <w:tab/>
            </w:r>
            <w:r w:rsidRPr="00D07A19">
              <w:t>114</w:t>
            </w:r>
            <w:r>
              <w:tab/>
            </w:r>
            <w:r w:rsidRPr="00D07A19">
              <w:t>(100.0)</w:t>
            </w:r>
          </w:p>
        </w:tc>
        <w:tc>
          <w:tcPr>
            <w:tcW w:w="1134" w:type="dxa"/>
          </w:tcPr>
          <w:p w:rsidR="0001051E" w:rsidRPr="00E748CC" w:rsidRDefault="0001051E" w:rsidP="00C365D6">
            <w:pPr>
              <w:pStyle w:val="Tabletext"/>
              <w:tabs>
                <w:tab w:val="right" w:pos="318"/>
                <w:tab w:val="right" w:pos="885"/>
              </w:tabs>
            </w:pPr>
            <w:r>
              <w:tab/>
            </w:r>
            <w:r w:rsidRPr="00E748CC">
              <w:t>278</w:t>
            </w:r>
            <w:r>
              <w:tab/>
            </w:r>
            <w:r w:rsidRPr="00E748CC">
              <w:t>(100.0)</w:t>
            </w:r>
          </w:p>
        </w:tc>
        <w:tc>
          <w:tcPr>
            <w:tcW w:w="1134" w:type="dxa"/>
          </w:tcPr>
          <w:p w:rsidR="0001051E" w:rsidRPr="00740F63" w:rsidRDefault="0001051E" w:rsidP="00C365D6">
            <w:pPr>
              <w:pStyle w:val="Tabletext"/>
              <w:tabs>
                <w:tab w:val="right" w:pos="318"/>
                <w:tab w:val="right" w:pos="885"/>
              </w:tabs>
            </w:pPr>
            <w:r>
              <w:tab/>
            </w:r>
            <w:r w:rsidRPr="00740F63">
              <w:t>402</w:t>
            </w:r>
            <w:r>
              <w:tab/>
            </w:r>
            <w:r w:rsidRPr="00740F63">
              <w:t>(100.0)</w:t>
            </w:r>
          </w:p>
        </w:tc>
        <w:tc>
          <w:tcPr>
            <w:tcW w:w="993" w:type="dxa"/>
          </w:tcPr>
          <w:p w:rsidR="0001051E" w:rsidRDefault="0001051E" w:rsidP="00C365D6">
            <w:pPr>
              <w:pStyle w:val="Tabletext"/>
              <w:tabs>
                <w:tab w:val="right" w:pos="176"/>
                <w:tab w:val="right" w:pos="743"/>
              </w:tabs>
            </w:pPr>
            <w:r>
              <w:tab/>
              <w:t>26</w:t>
            </w:r>
            <w:r>
              <w:tab/>
              <w:t>(100.0)</w:t>
            </w:r>
          </w:p>
        </w:tc>
        <w:tc>
          <w:tcPr>
            <w:tcW w:w="992" w:type="dxa"/>
          </w:tcPr>
          <w:p w:rsidR="0001051E" w:rsidRDefault="0001051E" w:rsidP="00C365D6">
            <w:pPr>
              <w:pStyle w:val="Tabletext"/>
              <w:tabs>
                <w:tab w:val="right" w:pos="175"/>
                <w:tab w:val="right" w:pos="742"/>
              </w:tabs>
            </w:pPr>
            <w:r>
              <w:tab/>
              <w:t>59</w:t>
            </w:r>
            <w:r>
              <w:tab/>
              <w:t>(100.0)</w:t>
            </w:r>
          </w:p>
        </w:tc>
        <w:tc>
          <w:tcPr>
            <w:tcW w:w="992" w:type="dxa"/>
          </w:tcPr>
          <w:p w:rsidR="0001051E" w:rsidRDefault="0001051E" w:rsidP="00C365D6">
            <w:pPr>
              <w:pStyle w:val="Tabletext"/>
              <w:tabs>
                <w:tab w:val="right" w:pos="175"/>
                <w:tab w:val="right" w:pos="742"/>
              </w:tabs>
            </w:pPr>
            <w:r>
              <w:tab/>
              <w:t>85</w:t>
            </w:r>
            <w:r>
              <w:tab/>
              <w:t>(100.0)</w:t>
            </w:r>
          </w:p>
        </w:tc>
        <w:tc>
          <w:tcPr>
            <w:tcW w:w="1397" w:type="dxa"/>
          </w:tcPr>
          <w:p w:rsidR="0001051E" w:rsidRDefault="0001051E" w:rsidP="00C365D6">
            <w:pPr>
              <w:pStyle w:val="Tabletext"/>
              <w:tabs>
                <w:tab w:val="right" w:pos="601"/>
                <w:tab w:val="right" w:pos="1181"/>
              </w:tabs>
            </w:pPr>
            <w:r>
              <w:tab/>
              <w:t>314 000</w:t>
            </w:r>
            <w:r>
              <w:tab/>
              <w:t>(100.0)</w:t>
            </w:r>
          </w:p>
        </w:tc>
      </w:tr>
      <w:tr w:rsidR="0001051E" w:rsidRPr="00F13C53">
        <w:tc>
          <w:tcPr>
            <w:tcW w:w="9018" w:type="dxa"/>
            <w:gridSpan w:val="9"/>
          </w:tcPr>
          <w:p w:rsidR="0001051E" w:rsidRPr="00F13C53" w:rsidRDefault="0001051E" w:rsidP="00C365D6">
            <w:pPr>
              <w:pStyle w:val="Tablehead3"/>
              <w:tabs>
                <w:tab w:val="right" w:pos="175"/>
                <w:tab w:val="right" w:pos="742"/>
                <w:tab w:val="right" w:pos="1026"/>
              </w:tabs>
            </w:pPr>
            <w:r w:rsidRPr="00F13C53">
              <w:t>Age</w:t>
            </w:r>
          </w:p>
        </w:tc>
      </w:tr>
      <w:tr w:rsidR="0001051E" w:rsidRPr="00F13C53">
        <w:tc>
          <w:tcPr>
            <w:tcW w:w="236" w:type="dxa"/>
          </w:tcPr>
          <w:p w:rsidR="0001051E" w:rsidRPr="00F13C53" w:rsidRDefault="0001051E" w:rsidP="00C365D6">
            <w:pPr>
              <w:pStyle w:val="Tabletext"/>
            </w:pPr>
          </w:p>
        </w:tc>
        <w:tc>
          <w:tcPr>
            <w:tcW w:w="865" w:type="dxa"/>
          </w:tcPr>
          <w:p w:rsidR="0001051E" w:rsidRPr="00F13C53" w:rsidRDefault="0001051E" w:rsidP="00C365D6">
            <w:pPr>
              <w:pStyle w:val="Tabletext"/>
            </w:pPr>
            <w:r w:rsidRPr="00F13C53">
              <w:t>19 or younger</w:t>
            </w:r>
          </w:p>
        </w:tc>
        <w:tc>
          <w:tcPr>
            <w:tcW w:w="1275" w:type="dxa"/>
          </w:tcPr>
          <w:p w:rsidR="0001051E" w:rsidRPr="00F13C53" w:rsidRDefault="0001051E" w:rsidP="00C365D6">
            <w:pPr>
              <w:pStyle w:val="Tabletext"/>
              <w:tabs>
                <w:tab w:val="right" w:pos="459"/>
                <w:tab w:val="right" w:pos="1026"/>
              </w:tabs>
            </w:pPr>
            <w:r>
              <w:tab/>
            </w:r>
            <w:r w:rsidRPr="00F13C53">
              <w:t>2</w:t>
            </w:r>
            <w:r>
              <w:tab/>
            </w:r>
            <w:r w:rsidRPr="00F13C53">
              <w:t>(1.8)</w:t>
            </w:r>
          </w:p>
        </w:tc>
        <w:tc>
          <w:tcPr>
            <w:tcW w:w="1134" w:type="dxa"/>
          </w:tcPr>
          <w:p w:rsidR="0001051E" w:rsidRPr="00F13C53" w:rsidRDefault="0001051E" w:rsidP="00C365D6">
            <w:pPr>
              <w:pStyle w:val="Tabletext"/>
              <w:tabs>
                <w:tab w:val="right" w:pos="318"/>
                <w:tab w:val="right" w:pos="885"/>
              </w:tabs>
            </w:pPr>
            <w:r>
              <w:tab/>
            </w:r>
            <w:r w:rsidRPr="00F13C53">
              <w:t>15</w:t>
            </w:r>
            <w:r>
              <w:tab/>
            </w:r>
            <w:r w:rsidRPr="00F13C53">
              <w:t>(5.5)</w:t>
            </w:r>
          </w:p>
        </w:tc>
        <w:tc>
          <w:tcPr>
            <w:tcW w:w="1134" w:type="dxa"/>
          </w:tcPr>
          <w:p w:rsidR="0001051E" w:rsidRPr="00F13C53" w:rsidRDefault="0001051E" w:rsidP="00C365D6">
            <w:pPr>
              <w:pStyle w:val="Tabletext"/>
              <w:tabs>
                <w:tab w:val="right" w:pos="318"/>
                <w:tab w:val="right" w:pos="885"/>
              </w:tabs>
            </w:pPr>
            <w:r>
              <w:tab/>
            </w:r>
            <w:r w:rsidRPr="00F13C53">
              <w:t>17</w:t>
            </w:r>
            <w:r>
              <w:tab/>
            </w:r>
            <w:r w:rsidRPr="00F13C53">
              <w:t>(4.3)</w:t>
            </w:r>
          </w:p>
        </w:tc>
        <w:tc>
          <w:tcPr>
            <w:tcW w:w="993" w:type="dxa"/>
          </w:tcPr>
          <w:p w:rsidR="0001051E" w:rsidRPr="00F13C53" w:rsidRDefault="0001051E" w:rsidP="00C365D6">
            <w:pPr>
              <w:pStyle w:val="Tabletext"/>
              <w:tabs>
                <w:tab w:val="right" w:pos="176"/>
                <w:tab w:val="right" w:pos="743"/>
              </w:tabs>
            </w:pPr>
            <w:r>
              <w:tab/>
            </w:r>
            <w:r w:rsidRPr="00F13C53">
              <w:t>-</w:t>
            </w:r>
          </w:p>
        </w:tc>
        <w:tc>
          <w:tcPr>
            <w:tcW w:w="992" w:type="dxa"/>
          </w:tcPr>
          <w:p w:rsidR="0001051E" w:rsidRPr="00F13C53" w:rsidRDefault="0001051E" w:rsidP="00C365D6">
            <w:pPr>
              <w:pStyle w:val="Tabletext"/>
              <w:tabs>
                <w:tab w:val="right" w:pos="175"/>
                <w:tab w:val="right" w:pos="742"/>
              </w:tabs>
            </w:pPr>
            <w:r>
              <w:tab/>
            </w:r>
            <w:r w:rsidRPr="00F13C53">
              <w:t>6</w:t>
            </w:r>
            <w:r>
              <w:tab/>
            </w:r>
            <w:r w:rsidRPr="00F13C53">
              <w:t>(10.5)</w:t>
            </w:r>
          </w:p>
        </w:tc>
        <w:tc>
          <w:tcPr>
            <w:tcW w:w="992" w:type="dxa"/>
          </w:tcPr>
          <w:p w:rsidR="0001051E" w:rsidRPr="00F13C53" w:rsidRDefault="0001051E" w:rsidP="00C365D6">
            <w:pPr>
              <w:pStyle w:val="Tabletext"/>
              <w:tabs>
                <w:tab w:val="right" w:pos="175"/>
                <w:tab w:val="right" w:pos="742"/>
              </w:tabs>
            </w:pPr>
            <w:r>
              <w:tab/>
            </w:r>
            <w:r w:rsidRPr="00F13C53">
              <w:t>6</w:t>
            </w:r>
            <w:r>
              <w:tab/>
            </w:r>
            <w:r w:rsidRPr="00F13C53">
              <w:t>(7.4)</w:t>
            </w:r>
          </w:p>
        </w:tc>
        <w:tc>
          <w:tcPr>
            <w:tcW w:w="1397" w:type="dxa"/>
          </w:tcPr>
          <w:p w:rsidR="0001051E" w:rsidRPr="00F13C53" w:rsidRDefault="0001051E" w:rsidP="00C365D6">
            <w:pPr>
              <w:pStyle w:val="Tabletext"/>
              <w:tabs>
                <w:tab w:val="right" w:pos="601"/>
                <w:tab w:val="right" w:pos="1181"/>
              </w:tabs>
            </w:pPr>
            <w:r>
              <w:tab/>
            </w:r>
            <w:r w:rsidRPr="00F13C53">
              <w:t>115</w:t>
            </w:r>
            <w:r>
              <w:t xml:space="preserve"> </w:t>
            </w:r>
            <w:r w:rsidRPr="00F13C53">
              <w:t>100</w:t>
            </w:r>
            <w:r>
              <w:tab/>
            </w:r>
            <w:r w:rsidRPr="00F13C53">
              <w:t>(36.</w:t>
            </w:r>
            <w:r>
              <w:t>7</w:t>
            </w:r>
            <w:r w:rsidRPr="00F13C53">
              <w:t>)</w:t>
            </w:r>
          </w:p>
        </w:tc>
      </w:tr>
      <w:tr w:rsidR="0001051E" w:rsidRPr="00F13C53">
        <w:tc>
          <w:tcPr>
            <w:tcW w:w="236" w:type="dxa"/>
          </w:tcPr>
          <w:p w:rsidR="0001051E" w:rsidRPr="00F13C53" w:rsidRDefault="0001051E" w:rsidP="00C365D6">
            <w:pPr>
              <w:pStyle w:val="Tabletext"/>
            </w:pPr>
          </w:p>
        </w:tc>
        <w:tc>
          <w:tcPr>
            <w:tcW w:w="865" w:type="dxa"/>
          </w:tcPr>
          <w:p w:rsidR="0001051E" w:rsidRPr="00F13C53" w:rsidRDefault="0001051E" w:rsidP="00C365D6">
            <w:pPr>
              <w:pStyle w:val="Tabletext"/>
            </w:pPr>
            <w:r w:rsidRPr="00F13C53">
              <w:t>20</w:t>
            </w:r>
            <w:r>
              <w:rPr>
                <w:rFonts w:cs="Arial"/>
              </w:rPr>
              <w:t>−</w:t>
            </w:r>
            <w:r w:rsidRPr="00F13C53">
              <w:t>24</w:t>
            </w:r>
          </w:p>
        </w:tc>
        <w:tc>
          <w:tcPr>
            <w:tcW w:w="1275" w:type="dxa"/>
          </w:tcPr>
          <w:p w:rsidR="0001051E" w:rsidRPr="00F13C53" w:rsidRDefault="0001051E" w:rsidP="00C365D6">
            <w:pPr>
              <w:pStyle w:val="Tabletext"/>
              <w:tabs>
                <w:tab w:val="right" w:pos="459"/>
                <w:tab w:val="right" w:pos="1026"/>
              </w:tabs>
            </w:pPr>
            <w:r>
              <w:tab/>
            </w:r>
            <w:r w:rsidRPr="00F13C53">
              <w:t>53</w:t>
            </w:r>
            <w:r>
              <w:tab/>
            </w:r>
            <w:r w:rsidRPr="00F13C53">
              <w:t>(47.7)</w:t>
            </w:r>
          </w:p>
        </w:tc>
        <w:tc>
          <w:tcPr>
            <w:tcW w:w="1134" w:type="dxa"/>
          </w:tcPr>
          <w:p w:rsidR="0001051E" w:rsidRPr="00F13C53" w:rsidRDefault="0001051E" w:rsidP="00C365D6">
            <w:pPr>
              <w:pStyle w:val="Tabletext"/>
              <w:tabs>
                <w:tab w:val="right" w:pos="318"/>
                <w:tab w:val="right" w:pos="885"/>
              </w:tabs>
            </w:pPr>
            <w:r>
              <w:tab/>
            </w:r>
            <w:r w:rsidRPr="00F13C53">
              <w:t>96</w:t>
            </w:r>
            <w:r>
              <w:tab/>
            </w:r>
            <w:r w:rsidRPr="00F13C53">
              <w:t>(35.0)</w:t>
            </w:r>
          </w:p>
        </w:tc>
        <w:tc>
          <w:tcPr>
            <w:tcW w:w="1134" w:type="dxa"/>
          </w:tcPr>
          <w:p w:rsidR="0001051E" w:rsidRPr="00F13C53" w:rsidRDefault="0001051E" w:rsidP="00C365D6">
            <w:pPr>
              <w:pStyle w:val="Tabletext"/>
              <w:tabs>
                <w:tab w:val="right" w:pos="318"/>
                <w:tab w:val="right" w:pos="885"/>
              </w:tabs>
            </w:pPr>
            <w:r>
              <w:tab/>
            </w:r>
            <w:r w:rsidRPr="00F13C53">
              <w:t>152</w:t>
            </w:r>
            <w:r>
              <w:tab/>
            </w:r>
            <w:r w:rsidRPr="00F13C53">
              <w:t>(38.5)</w:t>
            </w:r>
          </w:p>
        </w:tc>
        <w:tc>
          <w:tcPr>
            <w:tcW w:w="993" w:type="dxa"/>
          </w:tcPr>
          <w:p w:rsidR="0001051E" w:rsidRPr="00F13C53" w:rsidRDefault="0001051E" w:rsidP="00C365D6">
            <w:pPr>
              <w:pStyle w:val="Tabletext"/>
              <w:tabs>
                <w:tab w:val="right" w:pos="176"/>
                <w:tab w:val="right" w:pos="743"/>
              </w:tabs>
            </w:pPr>
            <w:r>
              <w:tab/>
            </w:r>
            <w:r w:rsidRPr="00F13C53">
              <w:t>7</w:t>
            </w:r>
            <w:r>
              <w:tab/>
            </w:r>
            <w:r w:rsidRPr="00F13C53">
              <w:t>(29.2)</w:t>
            </w:r>
          </w:p>
        </w:tc>
        <w:tc>
          <w:tcPr>
            <w:tcW w:w="992" w:type="dxa"/>
          </w:tcPr>
          <w:p w:rsidR="0001051E" w:rsidRPr="00F13C53" w:rsidRDefault="0001051E" w:rsidP="00C365D6">
            <w:pPr>
              <w:pStyle w:val="Tabletext"/>
              <w:tabs>
                <w:tab w:val="right" w:pos="175"/>
                <w:tab w:val="right" w:pos="742"/>
              </w:tabs>
            </w:pPr>
            <w:r>
              <w:tab/>
            </w:r>
            <w:r w:rsidRPr="00F13C53">
              <w:t>22</w:t>
            </w:r>
            <w:r>
              <w:tab/>
            </w:r>
            <w:r w:rsidRPr="00F13C53">
              <w:t>(38.6)</w:t>
            </w:r>
          </w:p>
        </w:tc>
        <w:tc>
          <w:tcPr>
            <w:tcW w:w="992" w:type="dxa"/>
          </w:tcPr>
          <w:p w:rsidR="0001051E" w:rsidRPr="00F13C53" w:rsidRDefault="0001051E" w:rsidP="00C365D6">
            <w:pPr>
              <w:pStyle w:val="Tabletext"/>
              <w:tabs>
                <w:tab w:val="right" w:pos="175"/>
                <w:tab w:val="right" w:pos="742"/>
              </w:tabs>
            </w:pPr>
            <w:r>
              <w:tab/>
            </w:r>
            <w:r w:rsidRPr="00F13C53">
              <w:t>29</w:t>
            </w:r>
            <w:r>
              <w:tab/>
            </w:r>
            <w:r w:rsidRPr="00F13C53">
              <w:t>(35.8)</w:t>
            </w:r>
          </w:p>
        </w:tc>
        <w:tc>
          <w:tcPr>
            <w:tcW w:w="1397" w:type="dxa"/>
          </w:tcPr>
          <w:p w:rsidR="0001051E" w:rsidRPr="00F13C53" w:rsidRDefault="0001051E" w:rsidP="00C365D6">
            <w:pPr>
              <w:pStyle w:val="Tabletext"/>
              <w:tabs>
                <w:tab w:val="right" w:pos="601"/>
                <w:tab w:val="right" w:pos="1181"/>
              </w:tabs>
            </w:pPr>
            <w:r>
              <w:tab/>
            </w:r>
            <w:r w:rsidRPr="00F13C53">
              <w:t>54</w:t>
            </w:r>
            <w:r>
              <w:t xml:space="preserve"> </w:t>
            </w:r>
            <w:r w:rsidRPr="00F13C53">
              <w:t>100</w:t>
            </w:r>
            <w:r>
              <w:tab/>
            </w:r>
            <w:r w:rsidRPr="00F13C53">
              <w:t>(17.2)</w:t>
            </w:r>
          </w:p>
        </w:tc>
      </w:tr>
      <w:tr w:rsidR="0001051E" w:rsidRPr="008001F8">
        <w:tc>
          <w:tcPr>
            <w:tcW w:w="236" w:type="dxa"/>
          </w:tcPr>
          <w:p w:rsidR="0001051E" w:rsidRPr="00F13C53" w:rsidRDefault="0001051E" w:rsidP="00C365D6">
            <w:pPr>
              <w:pStyle w:val="Tabletext"/>
            </w:pPr>
          </w:p>
        </w:tc>
        <w:tc>
          <w:tcPr>
            <w:tcW w:w="865" w:type="dxa"/>
          </w:tcPr>
          <w:p w:rsidR="0001051E" w:rsidRPr="00F13C53" w:rsidRDefault="0001051E" w:rsidP="00C365D6">
            <w:pPr>
              <w:pStyle w:val="Tabletext"/>
            </w:pPr>
            <w:r>
              <w:t>25</w:t>
            </w:r>
            <w:r>
              <w:rPr>
                <w:rFonts w:cs="Arial"/>
              </w:rPr>
              <w:t>−</w:t>
            </w:r>
            <w:r w:rsidRPr="00F13C53">
              <w:t>44</w:t>
            </w:r>
          </w:p>
        </w:tc>
        <w:tc>
          <w:tcPr>
            <w:tcW w:w="1275" w:type="dxa"/>
          </w:tcPr>
          <w:p w:rsidR="0001051E" w:rsidRPr="00F13C53" w:rsidRDefault="0001051E" w:rsidP="00C365D6">
            <w:pPr>
              <w:pStyle w:val="Tabletext"/>
              <w:tabs>
                <w:tab w:val="right" w:pos="459"/>
                <w:tab w:val="right" w:pos="1026"/>
              </w:tabs>
            </w:pPr>
            <w:r>
              <w:tab/>
            </w:r>
            <w:r w:rsidRPr="00F13C53">
              <w:t>50</w:t>
            </w:r>
            <w:r>
              <w:tab/>
            </w:r>
            <w:r w:rsidRPr="00F13C53">
              <w:t>(45.0)</w:t>
            </w:r>
          </w:p>
        </w:tc>
        <w:tc>
          <w:tcPr>
            <w:tcW w:w="1134" w:type="dxa"/>
          </w:tcPr>
          <w:p w:rsidR="0001051E" w:rsidRPr="00F13C53" w:rsidRDefault="0001051E" w:rsidP="00C365D6">
            <w:pPr>
              <w:pStyle w:val="Tabletext"/>
              <w:tabs>
                <w:tab w:val="right" w:pos="318"/>
                <w:tab w:val="right" w:pos="885"/>
              </w:tabs>
            </w:pPr>
            <w:r>
              <w:tab/>
            </w:r>
            <w:r w:rsidRPr="00F13C53">
              <w:t>103</w:t>
            </w:r>
            <w:r>
              <w:tab/>
            </w:r>
            <w:r w:rsidRPr="00F13C53">
              <w:t>(37.65)</w:t>
            </w:r>
          </w:p>
        </w:tc>
        <w:tc>
          <w:tcPr>
            <w:tcW w:w="1134" w:type="dxa"/>
          </w:tcPr>
          <w:p w:rsidR="0001051E" w:rsidRPr="00F13C53" w:rsidRDefault="0001051E" w:rsidP="00C365D6">
            <w:pPr>
              <w:pStyle w:val="Tabletext"/>
              <w:tabs>
                <w:tab w:val="right" w:pos="318"/>
                <w:tab w:val="right" w:pos="885"/>
              </w:tabs>
            </w:pPr>
            <w:r>
              <w:tab/>
            </w:r>
            <w:r w:rsidRPr="00F13C53">
              <w:t>155</w:t>
            </w:r>
            <w:r>
              <w:tab/>
            </w:r>
            <w:r w:rsidRPr="00F13C53">
              <w:t>(39.2)</w:t>
            </w:r>
          </w:p>
        </w:tc>
        <w:tc>
          <w:tcPr>
            <w:tcW w:w="993" w:type="dxa"/>
          </w:tcPr>
          <w:p w:rsidR="0001051E" w:rsidRPr="00F13C53" w:rsidRDefault="0001051E" w:rsidP="00C365D6">
            <w:pPr>
              <w:pStyle w:val="Tabletext"/>
              <w:tabs>
                <w:tab w:val="right" w:pos="176"/>
                <w:tab w:val="right" w:pos="743"/>
              </w:tabs>
            </w:pPr>
            <w:r>
              <w:tab/>
            </w:r>
            <w:r w:rsidRPr="00F13C53">
              <w:t>16</w:t>
            </w:r>
            <w:r>
              <w:tab/>
            </w:r>
            <w:r w:rsidRPr="00F13C53">
              <w:t>(37.5)</w:t>
            </w:r>
          </w:p>
        </w:tc>
        <w:tc>
          <w:tcPr>
            <w:tcW w:w="992" w:type="dxa"/>
          </w:tcPr>
          <w:p w:rsidR="0001051E" w:rsidRPr="00F13C53" w:rsidRDefault="0001051E" w:rsidP="00C365D6">
            <w:pPr>
              <w:pStyle w:val="Tabletext"/>
              <w:tabs>
                <w:tab w:val="right" w:pos="175"/>
                <w:tab w:val="right" w:pos="742"/>
              </w:tabs>
            </w:pPr>
            <w:r>
              <w:tab/>
            </w:r>
            <w:r w:rsidRPr="00F13C53">
              <w:t>15</w:t>
            </w:r>
            <w:r>
              <w:tab/>
            </w:r>
            <w:r w:rsidRPr="00F13C53">
              <w:t>(22.8)</w:t>
            </w:r>
          </w:p>
        </w:tc>
        <w:tc>
          <w:tcPr>
            <w:tcW w:w="992" w:type="dxa"/>
          </w:tcPr>
          <w:p w:rsidR="0001051E" w:rsidRPr="00F13C53" w:rsidRDefault="0001051E" w:rsidP="00C365D6">
            <w:pPr>
              <w:pStyle w:val="Tabletext"/>
              <w:tabs>
                <w:tab w:val="right" w:pos="175"/>
                <w:tab w:val="right" w:pos="742"/>
              </w:tabs>
            </w:pPr>
            <w:r>
              <w:tab/>
            </w:r>
            <w:r w:rsidRPr="00F13C53">
              <w:t>31</w:t>
            </w:r>
            <w:r>
              <w:tab/>
            </w:r>
            <w:r w:rsidRPr="00F13C53">
              <w:t>(38.3)</w:t>
            </w:r>
          </w:p>
        </w:tc>
        <w:tc>
          <w:tcPr>
            <w:tcW w:w="1397" w:type="dxa"/>
            <w:vAlign w:val="center"/>
          </w:tcPr>
          <w:p w:rsidR="0001051E" w:rsidRPr="00127B39" w:rsidRDefault="0001051E" w:rsidP="00C365D6">
            <w:pPr>
              <w:pStyle w:val="Tabletext"/>
              <w:tabs>
                <w:tab w:val="right" w:pos="601"/>
                <w:tab w:val="right" w:pos="1181"/>
              </w:tabs>
            </w:pPr>
            <w:r>
              <w:tab/>
            </w:r>
            <w:r w:rsidRPr="00F13C53">
              <w:t>100</w:t>
            </w:r>
            <w:r>
              <w:t xml:space="preserve"> </w:t>
            </w:r>
            <w:proofErr w:type="spellStart"/>
            <w:r w:rsidRPr="00F13C53">
              <w:t>100</w:t>
            </w:r>
            <w:proofErr w:type="spellEnd"/>
            <w:r>
              <w:tab/>
            </w:r>
            <w:r w:rsidRPr="00F13C53">
              <w:t>(31.9)</w:t>
            </w:r>
          </w:p>
        </w:tc>
      </w:tr>
      <w:tr w:rsidR="0001051E" w:rsidRPr="008001F8">
        <w:tc>
          <w:tcPr>
            <w:tcW w:w="236" w:type="dxa"/>
          </w:tcPr>
          <w:p w:rsidR="0001051E" w:rsidRPr="00127B39" w:rsidRDefault="0001051E" w:rsidP="00C365D6">
            <w:pPr>
              <w:pStyle w:val="Tabletext"/>
            </w:pPr>
          </w:p>
        </w:tc>
        <w:tc>
          <w:tcPr>
            <w:tcW w:w="865" w:type="dxa"/>
          </w:tcPr>
          <w:p w:rsidR="0001051E" w:rsidRPr="00127B39" w:rsidRDefault="0001051E" w:rsidP="00C365D6">
            <w:pPr>
              <w:pStyle w:val="Tabletext"/>
            </w:pPr>
            <w:r w:rsidRPr="00127B39">
              <w:t>45 or older</w:t>
            </w:r>
          </w:p>
        </w:tc>
        <w:tc>
          <w:tcPr>
            <w:tcW w:w="1275" w:type="dxa"/>
          </w:tcPr>
          <w:p w:rsidR="0001051E" w:rsidRPr="00D07A19" w:rsidRDefault="0001051E" w:rsidP="00C365D6">
            <w:pPr>
              <w:pStyle w:val="Tabletext"/>
              <w:tabs>
                <w:tab w:val="right" w:pos="459"/>
                <w:tab w:val="right" w:pos="1026"/>
              </w:tabs>
            </w:pPr>
            <w:r>
              <w:tab/>
            </w:r>
            <w:r w:rsidRPr="00D07A19">
              <w:t>6</w:t>
            </w:r>
            <w:r>
              <w:tab/>
            </w:r>
            <w:r w:rsidRPr="00D07A19">
              <w:t>(5.4)</w:t>
            </w:r>
          </w:p>
        </w:tc>
        <w:tc>
          <w:tcPr>
            <w:tcW w:w="1134" w:type="dxa"/>
          </w:tcPr>
          <w:p w:rsidR="0001051E" w:rsidRPr="00127B39" w:rsidRDefault="0001051E" w:rsidP="00C365D6">
            <w:pPr>
              <w:pStyle w:val="Tabletext"/>
              <w:tabs>
                <w:tab w:val="right" w:pos="318"/>
                <w:tab w:val="right" w:pos="885"/>
              </w:tabs>
            </w:pPr>
            <w:r>
              <w:tab/>
            </w:r>
            <w:r w:rsidRPr="00127B39">
              <w:t>60</w:t>
            </w:r>
            <w:r>
              <w:tab/>
              <w:t>(21.9)</w:t>
            </w:r>
          </w:p>
        </w:tc>
        <w:tc>
          <w:tcPr>
            <w:tcW w:w="1134" w:type="dxa"/>
          </w:tcPr>
          <w:p w:rsidR="0001051E" w:rsidRPr="00127B39" w:rsidRDefault="0001051E" w:rsidP="00C365D6">
            <w:pPr>
              <w:pStyle w:val="Tabletext"/>
              <w:tabs>
                <w:tab w:val="right" w:pos="318"/>
                <w:tab w:val="right" w:pos="885"/>
              </w:tabs>
            </w:pPr>
            <w:r>
              <w:tab/>
            </w:r>
            <w:r w:rsidRPr="00127B39">
              <w:t>71</w:t>
            </w:r>
            <w:r>
              <w:tab/>
              <w:t>(18.9)</w:t>
            </w:r>
          </w:p>
        </w:tc>
        <w:tc>
          <w:tcPr>
            <w:tcW w:w="993" w:type="dxa"/>
          </w:tcPr>
          <w:p w:rsidR="0001051E" w:rsidRPr="00127B39" w:rsidRDefault="0001051E" w:rsidP="00C365D6">
            <w:pPr>
              <w:pStyle w:val="Tabletext"/>
              <w:tabs>
                <w:tab w:val="right" w:pos="176"/>
                <w:tab w:val="right" w:pos="743"/>
              </w:tabs>
            </w:pPr>
            <w:r>
              <w:tab/>
            </w:r>
            <w:r w:rsidRPr="00127B39">
              <w:t>1</w:t>
            </w:r>
            <w:r>
              <w:tab/>
              <w:t>(4.2)</w:t>
            </w:r>
          </w:p>
        </w:tc>
        <w:tc>
          <w:tcPr>
            <w:tcW w:w="992" w:type="dxa"/>
          </w:tcPr>
          <w:p w:rsidR="0001051E" w:rsidRPr="00127B39" w:rsidRDefault="0001051E" w:rsidP="00C365D6">
            <w:pPr>
              <w:pStyle w:val="Tabletext"/>
              <w:tabs>
                <w:tab w:val="right" w:pos="175"/>
                <w:tab w:val="right" w:pos="742"/>
              </w:tabs>
            </w:pPr>
            <w:r>
              <w:tab/>
            </w:r>
            <w:r w:rsidRPr="00127B39">
              <w:t>14</w:t>
            </w:r>
            <w:r>
              <w:tab/>
              <w:t>(24.6)</w:t>
            </w:r>
          </w:p>
        </w:tc>
        <w:tc>
          <w:tcPr>
            <w:tcW w:w="992" w:type="dxa"/>
          </w:tcPr>
          <w:p w:rsidR="0001051E" w:rsidRPr="00127B39" w:rsidRDefault="0001051E" w:rsidP="00C365D6">
            <w:pPr>
              <w:pStyle w:val="Tabletext"/>
              <w:tabs>
                <w:tab w:val="right" w:pos="175"/>
                <w:tab w:val="right" w:pos="742"/>
              </w:tabs>
            </w:pPr>
            <w:r>
              <w:tab/>
            </w:r>
            <w:r w:rsidRPr="00127B39">
              <w:t>15</w:t>
            </w:r>
            <w:r>
              <w:tab/>
              <w:t>(18.5)</w:t>
            </w:r>
          </w:p>
        </w:tc>
        <w:tc>
          <w:tcPr>
            <w:tcW w:w="1397" w:type="dxa"/>
          </w:tcPr>
          <w:p w:rsidR="0001051E" w:rsidRPr="00127B39" w:rsidRDefault="0001051E" w:rsidP="00C365D6">
            <w:pPr>
              <w:pStyle w:val="Tabletext"/>
              <w:tabs>
                <w:tab w:val="right" w:pos="601"/>
                <w:tab w:val="right" w:pos="1181"/>
              </w:tabs>
            </w:pPr>
            <w:r>
              <w:tab/>
            </w:r>
            <w:r w:rsidRPr="00127B39">
              <w:t>44</w:t>
            </w:r>
            <w:r>
              <w:t xml:space="preserve"> </w:t>
            </w:r>
            <w:r w:rsidRPr="00127B39">
              <w:t>800</w:t>
            </w:r>
            <w:r>
              <w:tab/>
            </w:r>
            <w:r w:rsidRPr="00127B39">
              <w:t>(14.3)</w:t>
            </w:r>
          </w:p>
        </w:tc>
      </w:tr>
      <w:tr w:rsidR="0001051E" w:rsidRPr="00E53DE9">
        <w:tc>
          <w:tcPr>
            <w:tcW w:w="236" w:type="dxa"/>
          </w:tcPr>
          <w:p w:rsidR="0001051E" w:rsidRPr="008001F8" w:rsidRDefault="0001051E" w:rsidP="00C365D6">
            <w:pPr>
              <w:pStyle w:val="Tabletext"/>
              <w:rPr>
                <w:highlight w:val="yellow"/>
              </w:rPr>
            </w:pPr>
          </w:p>
        </w:tc>
        <w:tc>
          <w:tcPr>
            <w:tcW w:w="865" w:type="dxa"/>
          </w:tcPr>
          <w:p w:rsidR="0001051E" w:rsidRPr="00127B39" w:rsidRDefault="0001051E" w:rsidP="00C365D6">
            <w:pPr>
              <w:pStyle w:val="Tabletext"/>
            </w:pPr>
            <w:r>
              <w:t>All</w:t>
            </w:r>
          </w:p>
        </w:tc>
        <w:tc>
          <w:tcPr>
            <w:tcW w:w="1275" w:type="dxa"/>
          </w:tcPr>
          <w:p w:rsidR="0001051E" w:rsidRPr="00D07A19" w:rsidRDefault="0001051E" w:rsidP="00C365D6">
            <w:pPr>
              <w:pStyle w:val="Tabletext"/>
              <w:tabs>
                <w:tab w:val="right" w:pos="459"/>
                <w:tab w:val="right" w:pos="1026"/>
              </w:tabs>
            </w:pPr>
            <w:r>
              <w:tab/>
            </w:r>
            <w:r w:rsidRPr="00D07A19">
              <w:t>111</w:t>
            </w:r>
            <w:r>
              <w:tab/>
            </w:r>
            <w:r w:rsidRPr="00D07A19">
              <w:t>(100.0)</w:t>
            </w:r>
          </w:p>
        </w:tc>
        <w:tc>
          <w:tcPr>
            <w:tcW w:w="1134" w:type="dxa"/>
          </w:tcPr>
          <w:p w:rsidR="0001051E" w:rsidRPr="00127B39" w:rsidRDefault="0001051E" w:rsidP="00C365D6">
            <w:pPr>
              <w:pStyle w:val="Tabletext"/>
              <w:tabs>
                <w:tab w:val="right" w:pos="318"/>
                <w:tab w:val="right" w:pos="885"/>
              </w:tabs>
            </w:pPr>
            <w:r>
              <w:tab/>
            </w:r>
            <w:r w:rsidRPr="00127B39">
              <w:t>274</w:t>
            </w:r>
            <w:r>
              <w:tab/>
            </w:r>
            <w:r w:rsidRPr="00127B39">
              <w:t>(100.0)</w:t>
            </w:r>
          </w:p>
        </w:tc>
        <w:tc>
          <w:tcPr>
            <w:tcW w:w="1134" w:type="dxa"/>
          </w:tcPr>
          <w:p w:rsidR="0001051E" w:rsidRPr="00127B39" w:rsidRDefault="0001051E" w:rsidP="00C365D6">
            <w:pPr>
              <w:pStyle w:val="Tabletext"/>
              <w:tabs>
                <w:tab w:val="right" w:pos="318"/>
                <w:tab w:val="right" w:pos="885"/>
              </w:tabs>
            </w:pPr>
            <w:r>
              <w:tab/>
            </w:r>
            <w:r w:rsidRPr="00127B39">
              <w:t>395(100.0)</w:t>
            </w:r>
          </w:p>
        </w:tc>
        <w:tc>
          <w:tcPr>
            <w:tcW w:w="993" w:type="dxa"/>
          </w:tcPr>
          <w:p w:rsidR="0001051E" w:rsidRPr="00127B39" w:rsidRDefault="0001051E" w:rsidP="00C365D6">
            <w:pPr>
              <w:pStyle w:val="Tabletext"/>
              <w:tabs>
                <w:tab w:val="right" w:pos="176"/>
                <w:tab w:val="right" w:pos="743"/>
              </w:tabs>
            </w:pPr>
            <w:r>
              <w:tab/>
            </w:r>
            <w:r w:rsidRPr="00127B39">
              <w:t>24</w:t>
            </w:r>
            <w:r>
              <w:tab/>
            </w:r>
            <w:r w:rsidRPr="00127B39">
              <w:t>(100.0)</w:t>
            </w:r>
          </w:p>
        </w:tc>
        <w:tc>
          <w:tcPr>
            <w:tcW w:w="992" w:type="dxa"/>
          </w:tcPr>
          <w:p w:rsidR="0001051E" w:rsidRPr="00127B39" w:rsidRDefault="0001051E" w:rsidP="00C365D6">
            <w:pPr>
              <w:pStyle w:val="Tabletext"/>
              <w:tabs>
                <w:tab w:val="right" w:pos="175"/>
                <w:tab w:val="right" w:pos="742"/>
              </w:tabs>
            </w:pPr>
            <w:r>
              <w:tab/>
            </w:r>
            <w:r w:rsidRPr="00127B39">
              <w:t>57</w:t>
            </w:r>
            <w:r>
              <w:tab/>
            </w:r>
            <w:r w:rsidRPr="00127B39">
              <w:t>(100.0)</w:t>
            </w:r>
          </w:p>
        </w:tc>
        <w:tc>
          <w:tcPr>
            <w:tcW w:w="992" w:type="dxa"/>
          </w:tcPr>
          <w:p w:rsidR="0001051E" w:rsidRPr="00127B39" w:rsidRDefault="0001051E" w:rsidP="00C365D6">
            <w:pPr>
              <w:pStyle w:val="Tabletext"/>
              <w:tabs>
                <w:tab w:val="right" w:pos="175"/>
                <w:tab w:val="right" w:pos="742"/>
              </w:tabs>
            </w:pPr>
            <w:r>
              <w:tab/>
            </w:r>
            <w:r w:rsidRPr="00127B39">
              <w:t>81</w:t>
            </w:r>
            <w:r>
              <w:tab/>
            </w:r>
            <w:r w:rsidRPr="00127B39">
              <w:t>(100)</w:t>
            </w:r>
          </w:p>
        </w:tc>
        <w:tc>
          <w:tcPr>
            <w:tcW w:w="1397" w:type="dxa"/>
          </w:tcPr>
          <w:p w:rsidR="0001051E" w:rsidRPr="00127B39" w:rsidRDefault="0001051E" w:rsidP="00C365D6">
            <w:pPr>
              <w:pStyle w:val="Tabletext"/>
              <w:tabs>
                <w:tab w:val="right" w:pos="601"/>
                <w:tab w:val="right" w:pos="1181"/>
              </w:tabs>
            </w:pPr>
            <w:r>
              <w:tab/>
            </w:r>
            <w:r w:rsidRPr="00127B39">
              <w:t>314</w:t>
            </w:r>
            <w:r>
              <w:t xml:space="preserve"> 1</w:t>
            </w:r>
            <w:r w:rsidRPr="00127B39">
              <w:t>00</w:t>
            </w:r>
            <w:r>
              <w:tab/>
            </w:r>
            <w:r w:rsidRPr="00127B39">
              <w:t>(100)</w:t>
            </w:r>
          </w:p>
        </w:tc>
      </w:tr>
      <w:tr w:rsidR="0001051E" w:rsidRPr="000538CC">
        <w:trPr>
          <w:trHeight w:val="277"/>
        </w:trPr>
        <w:tc>
          <w:tcPr>
            <w:tcW w:w="9018" w:type="dxa"/>
            <w:gridSpan w:val="9"/>
          </w:tcPr>
          <w:p w:rsidR="0001051E" w:rsidRPr="000538CC" w:rsidRDefault="0001051E" w:rsidP="00C365D6">
            <w:pPr>
              <w:pStyle w:val="Tablehead3"/>
              <w:tabs>
                <w:tab w:val="right" w:pos="175"/>
                <w:tab w:val="right" w:pos="742"/>
                <w:tab w:val="right" w:pos="1026"/>
              </w:tabs>
            </w:pPr>
            <w:r>
              <w:t>State/territory</w:t>
            </w:r>
          </w:p>
        </w:tc>
      </w:tr>
      <w:tr w:rsidR="0001051E" w:rsidRPr="000538CC">
        <w:tc>
          <w:tcPr>
            <w:tcW w:w="236" w:type="dxa"/>
          </w:tcPr>
          <w:p w:rsidR="0001051E" w:rsidRPr="00264215" w:rsidRDefault="0001051E" w:rsidP="00C365D6">
            <w:pPr>
              <w:pStyle w:val="Tabletext"/>
            </w:pPr>
          </w:p>
        </w:tc>
        <w:tc>
          <w:tcPr>
            <w:tcW w:w="865" w:type="dxa"/>
          </w:tcPr>
          <w:p w:rsidR="0001051E" w:rsidRPr="00264215" w:rsidRDefault="0001051E" w:rsidP="00C365D6">
            <w:pPr>
              <w:pStyle w:val="Tabletext"/>
            </w:pPr>
            <w:r w:rsidRPr="00264215">
              <w:t>ACT</w:t>
            </w:r>
          </w:p>
        </w:tc>
        <w:tc>
          <w:tcPr>
            <w:tcW w:w="1275" w:type="dxa"/>
          </w:tcPr>
          <w:p w:rsidR="0001051E" w:rsidRPr="00264215" w:rsidRDefault="0001051E" w:rsidP="00C365D6">
            <w:pPr>
              <w:pStyle w:val="Tabletext"/>
              <w:tabs>
                <w:tab w:val="right" w:pos="459"/>
                <w:tab w:val="right" w:pos="1026"/>
              </w:tabs>
            </w:pPr>
            <w:r>
              <w:tab/>
            </w:r>
            <w:r w:rsidRPr="00264215">
              <w:t>-</w:t>
            </w:r>
          </w:p>
        </w:tc>
        <w:tc>
          <w:tcPr>
            <w:tcW w:w="1134" w:type="dxa"/>
          </w:tcPr>
          <w:p w:rsidR="0001051E" w:rsidRPr="00264215" w:rsidRDefault="0001051E" w:rsidP="00C365D6">
            <w:pPr>
              <w:pStyle w:val="Tabletext"/>
              <w:tabs>
                <w:tab w:val="right" w:pos="318"/>
                <w:tab w:val="right" w:pos="885"/>
              </w:tabs>
            </w:pPr>
            <w:r>
              <w:tab/>
            </w:r>
            <w:r w:rsidRPr="00264215">
              <w:t>3</w:t>
            </w:r>
            <w:r>
              <w:tab/>
            </w:r>
            <w:r w:rsidRPr="00264215">
              <w:t>(1.1)</w:t>
            </w:r>
          </w:p>
        </w:tc>
        <w:tc>
          <w:tcPr>
            <w:tcW w:w="1134" w:type="dxa"/>
          </w:tcPr>
          <w:p w:rsidR="0001051E" w:rsidRPr="00740F63" w:rsidRDefault="0001051E" w:rsidP="00C365D6">
            <w:pPr>
              <w:pStyle w:val="Tabletext"/>
              <w:tabs>
                <w:tab w:val="right" w:pos="318"/>
                <w:tab w:val="right" w:pos="885"/>
              </w:tabs>
            </w:pPr>
            <w:r>
              <w:tab/>
            </w:r>
            <w:r w:rsidRPr="00740F63">
              <w:t>3</w:t>
            </w:r>
            <w:r>
              <w:tab/>
            </w:r>
            <w:r w:rsidRPr="00740F63">
              <w:t>(0.7)</w:t>
            </w:r>
          </w:p>
        </w:tc>
        <w:tc>
          <w:tcPr>
            <w:tcW w:w="993" w:type="dxa"/>
          </w:tcPr>
          <w:p w:rsidR="0001051E" w:rsidRPr="000538CC" w:rsidRDefault="0001051E" w:rsidP="00C365D6">
            <w:pPr>
              <w:pStyle w:val="Tabletext"/>
              <w:tabs>
                <w:tab w:val="right" w:pos="176"/>
                <w:tab w:val="right" w:pos="743"/>
              </w:tabs>
            </w:pPr>
            <w:r>
              <w:tab/>
              <w:t>-</w:t>
            </w:r>
          </w:p>
        </w:tc>
        <w:tc>
          <w:tcPr>
            <w:tcW w:w="992" w:type="dxa"/>
          </w:tcPr>
          <w:p w:rsidR="0001051E" w:rsidRPr="000538CC" w:rsidRDefault="0001051E" w:rsidP="00C365D6">
            <w:pPr>
              <w:pStyle w:val="Tabletext"/>
              <w:tabs>
                <w:tab w:val="right" w:pos="175"/>
                <w:tab w:val="right" w:pos="742"/>
              </w:tabs>
            </w:pPr>
            <w:r>
              <w:tab/>
              <w:t>-</w:t>
            </w:r>
          </w:p>
        </w:tc>
        <w:tc>
          <w:tcPr>
            <w:tcW w:w="992" w:type="dxa"/>
          </w:tcPr>
          <w:p w:rsidR="0001051E" w:rsidRPr="000538CC" w:rsidRDefault="0001051E" w:rsidP="00C365D6">
            <w:pPr>
              <w:pStyle w:val="Tabletext"/>
              <w:tabs>
                <w:tab w:val="right" w:pos="175"/>
                <w:tab w:val="right" w:pos="742"/>
              </w:tabs>
            </w:pPr>
            <w:r>
              <w:tab/>
              <w:t>-</w:t>
            </w:r>
          </w:p>
        </w:tc>
        <w:tc>
          <w:tcPr>
            <w:tcW w:w="1397" w:type="dxa"/>
          </w:tcPr>
          <w:p w:rsidR="0001051E" w:rsidRDefault="0001051E" w:rsidP="00C365D6">
            <w:pPr>
              <w:pStyle w:val="Tabletext"/>
              <w:tabs>
                <w:tab w:val="right" w:pos="601"/>
                <w:tab w:val="right" w:pos="1181"/>
              </w:tabs>
            </w:pPr>
            <w:r>
              <w:tab/>
              <w:t>4 900</w:t>
            </w:r>
            <w:r>
              <w:tab/>
              <w:t>(1.6)</w:t>
            </w:r>
          </w:p>
        </w:tc>
      </w:tr>
      <w:tr w:rsidR="0001051E" w:rsidRPr="000538CC">
        <w:tc>
          <w:tcPr>
            <w:tcW w:w="236" w:type="dxa"/>
          </w:tcPr>
          <w:p w:rsidR="0001051E" w:rsidRPr="00264215" w:rsidRDefault="0001051E" w:rsidP="00C365D6">
            <w:pPr>
              <w:pStyle w:val="Tabletext"/>
            </w:pPr>
          </w:p>
        </w:tc>
        <w:tc>
          <w:tcPr>
            <w:tcW w:w="865" w:type="dxa"/>
          </w:tcPr>
          <w:p w:rsidR="0001051E" w:rsidRPr="00264215" w:rsidRDefault="0001051E" w:rsidP="00C365D6">
            <w:pPr>
              <w:pStyle w:val="Tabletext"/>
            </w:pPr>
            <w:r w:rsidRPr="00264215">
              <w:t>NSW</w:t>
            </w:r>
          </w:p>
        </w:tc>
        <w:tc>
          <w:tcPr>
            <w:tcW w:w="1275" w:type="dxa"/>
          </w:tcPr>
          <w:p w:rsidR="0001051E" w:rsidRPr="00264215" w:rsidRDefault="0001051E" w:rsidP="00C365D6">
            <w:pPr>
              <w:pStyle w:val="Tabletext"/>
              <w:tabs>
                <w:tab w:val="right" w:pos="459"/>
                <w:tab w:val="right" w:pos="1026"/>
              </w:tabs>
            </w:pPr>
            <w:r>
              <w:tab/>
            </w:r>
            <w:r w:rsidRPr="00264215">
              <w:t>53</w:t>
            </w:r>
            <w:r>
              <w:tab/>
            </w:r>
            <w:r w:rsidRPr="00264215">
              <w:t>(46.1)</w:t>
            </w:r>
          </w:p>
        </w:tc>
        <w:tc>
          <w:tcPr>
            <w:tcW w:w="1134" w:type="dxa"/>
          </w:tcPr>
          <w:p w:rsidR="0001051E" w:rsidRPr="00264215" w:rsidRDefault="0001051E" w:rsidP="00C365D6">
            <w:pPr>
              <w:pStyle w:val="Tabletext"/>
              <w:tabs>
                <w:tab w:val="right" w:pos="318"/>
                <w:tab w:val="right" w:pos="885"/>
              </w:tabs>
            </w:pPr>
            <w:r>
              <w:tab/>
            </w:r>
            <w:r w:rsidRPr="00264215">
              <w:t>116</w:t>
            </w:r>
            <w:r>
              <w:tab/>
            </w:r>
            <w:r w:rsidRPr="00264215">
              <w:t>(41.6)</w:t>
            </w:r>
          </w:p>
        </w:tc>
        <w:tc>
          <w:tcPr>
            <w:tcW w:w="1134" w:type="dxa"/>
          </w:tcPr>
          <w:p w:rsidR="0001051E" w:rsidRPr="00740F63" w:rsidRDefault="0001051E" w:rsidP="00C365D6">
            <w:pPr>
              <w:pStyle w:val="Tabletext"/>
              <w:tabs>
                <w:tab w:val="right" w:pos="318"/>
                <w:tab w:val="right" w:pos="885"/>
              </w:tabs>
            </w:pPr>
            <w:r>
              <w:tab/>
            </w:r>
            <w:r w:rsidRPr="00740F63">
              <w:t>172</w:t>
            </w:r>
            <w:r>
              <w:tab/>
            </w:r>
            <w:r w:rsidRPr="00740F63">
              <w:t>(42.6)</w:t>
            </w:r>
          </w:p>
        </w:tc>
        <w:tc>
          <w:tcPr>
            <w:tcW w:w="993" w:type="dxa"/>
          </w:tcPr>
          <w:p w:rsidR="0001051E" w:rsidRPr="000538CC" w:rsidRDefault="0001051E" w:rsidP="00C365D6">
            <w:pPr>
              <w:pStyle w:val="Tabletext"/>
              <w:tabs>
                <w:tab w:val="right" w:pos="176"/>
                <w:tab w:val="right" w:pos="743"/>
              </w:tabs>
            </w:pPr>
            <w:r>
              <w:tab/>
              <w:t>4</w:t>
            </w:r>
            <w:r>
              <w:tab/>
              <w:t>(15.4)</w:t>
            </w:r>
          </w:p>
        </w:tc>
        <w:tc>
          <w:tcPr>
            <w:tcW w:w="992" w:type="dxa"/>
          </w:tcPr>
          <w:p w:rsidR="0001051E" w:rsidRPr="000538CC" w:rsidRDefault="0001051E" w:rsidP="00C365D6">
            <w:pPr>
              <w:pStyle w:val="Tabletext"/>
              <w:tabs>
                <w:tab w:val="right" w:pos="175"/>
                <w:tab w:val="right" w:pos="742"/>
              </w:tabs>
            </w:pPr>
            <w:r>
              <w:tab/>
              <w:t>9</w:t>
            </w:r>
            <w:r>
              <w:tab/>
              <w:t>(15.3)</w:t>
            </w:r>
          </w:p>
        </w:tc>
        <w:tc>
          <w:tcPr>
            <w:tcW w:w="992" w:type="dxa"/>
          </w:tcPr>
          <w:p w:rsidR="0001051E" w:rsidRPr="000538CC" w:rsidRDefault="0001051E" w:rsidP="00C365D6">
            <w:pPr>
              <w:pStyle w:val="Tabletext"/>
              <w:tabs>
                <w:tab w:val="right" w:pos="175"/>
                <w:tab w:val="right" w:pos="742"/>
              </w:tabs>
            </w:pPr>
            <w:r>
              <w:tab/>
              <w:t>13</w:t>
            </w:r>
            <w:r>
              <w:tab/>
              <w:t>(15.3)</w:t>
            </w:r>
          </w:p>
        </w:tc>
        <w:tc>
          <w:tcPr>
            <w:tcW w:w="1397" w:type="dxa"/>
          </w:tcPr>
          <w:p w:rsidR="0001051E" w:rsidRDefault="0001051E" w:rsidP="00C365D6">
            <w:pPr>
              <w:pStyle w:val="Tabletext"/>
              <w:tabs>
                <w:tab w:val="right" w:pos="601"/>
                <w:tab w:val="right" w:pos="1181"/>
              </w:tabs>
            </w:pPr>
            <w:r>
              <w:tab/>
              <w:t>97 200</w:t>
            </w:r>
            <w:r>
              <w:tab/>
              <w:t>(31.0)</w:t>
            </w:r>
          </w:p>
        </w:tc>
      </w:tr>
      <w:tr w:rsidR="0001051E" w:rsidRPr="000538CC">
        <w:tc>
          <w:tcPr>
            <w:tcW w:w="236" w:type="dxa"/>
          </w:tcPr>
          <w:p w:rsidR="0001051E" w:rsidRPr="00264215" w:rsidRDefault="0001051E" w:rsidP="00C365D6">
            <w:pPr>
              <w:pStyle w:val="Tabletext"/>
            </w:pPr>
          </w:p>
        </w:tc>
        <w:tc>
          <w:tcPr>
            <w:tcW w:w="865" w:type="dxa"/>
          </w:tcPr>
          <w:p w:rsidR="0001051E" w:rsidRPr="00264215" w:rsidRDefault="0001051E" w:rsidP="00C365D6">
            <w:pPr>
              <w:pStyle w:val="Tabletext"/>
            </w:pPr>
            <w:r w:rsidRPr="00264215">
              <w:t>Q</w:t>
            </w:r>
            <w:r>
              <w:t>ld</w:t>
            </w:r>
          </w:p>
        </w:tc>
        <w:tc>
          <w:tcPr>
            <w:tcW w:w="1275" w:type="dxa"/>
          </w:tcPr>
          <w:p w:rsidR="0001051E" w:rsidRPr="00264215" w:rsidRDefault="0001051E" w:rsidP="00C365D6">
            <w:pPr>
              <w:pStyle w:val="Tabletext"/>
              <w:tabs>
                <w:tab w:val="right" w:pos="459"/>
                <w:tab w:val="right" w:pos="1026"/>
              </w:tabs>
            </w:pPr>
            <w:r>
              <w:tab/>
            </w:r>
            <w:r w:rsidRPr="00264215">
              <w:t>11</w:t>
            </w:r>
            <w:r>
              <w:tab/>
            </w:r>
            <w:r w:rsidRPr="00264215">
              <w:t>(9.6)</w:t>
            </w:r>
          </w:p>
        </w:tc>
        <w:tc>
          <w:tcPr>
            <w:tcW w:w="1134" w:type="dxa"/>
          </w:tcPr>
          <w:p w:rsidR="0001051E" w:rsidRPr="00264215" w:rsidRDefault="0001051E" w:rsidP="00C365D6">
            <w:pPr>
              <w:pStyle w:val="Tabletext"/>
              <w:tabs>
                <w:tab w:val="right" w:pos="318"/>
                <w:tab w:val="right" w:pos="885"/>
              </w:tabs>
            </w:pPr>
            <w:r>
              <w:tab/>
            </w:r>
            <w:r w:rsidRPr="00264215">
              <w:t>11</w:t>
            </w:r>
            <w:r>
              <w:tab/>
            </w:r>
            <w:r w:rsidRPr="00264215">
              <w:t>(3.9)</w:t>
            </w:r>
          </w:p>
        </w:tc>
        <w:tc>
          <w:tcPr>
            <w:tcW w:w="1134" w:type="dxa"/>
          </w:tcPr>
          <w:p w:rsidR="0001051E" w:rsidRPr="00740F63" w:rsidRDefault="0001051E" w:rsidP="00C365D6">
            <w:pPr>
              <w:pStyle w:val="Tabletext"/>
              <w:tabs>
                <w:tab w:val="right" w:pos="318"/>
                <w:tab w:val="right" w:pos="885"/>
              </w:tabs>
            </w:pPr>
            <w:r>
              <w:tab/>
            </w:r>
            <w:r w:rsidRPr="00740F63">
              <w:t>23</w:t>
            </w:r>
            <w:r>
              <w:tab/>
            </w:r>
            <w:r w:rsidRPr="00740F63">
              <w:t>(5.7)</w:t>
            </w:r>
          </w:p>
        </w:tc>
        <w:tc>
          <w:tcPr>
            <w:tcW w:w="993" w:type="dxa"/>
          </w:tcPr>
          <w:p w:rsidR="0001051E" w:rsidRPr="000538CC" w:rsidRDefault="0001051E" w:rsidP="00C365D6">
            <w:pPr>
              <w:pStyle w:val="Tabletext"/>
              <w:tabs>
                <w:tab w:val="right" w:pos="176"/>
                <w:tab w:val="right" w:pos="743"/>
              </w:tabs>
            </w:pPr>
            <w:r>
              <w:tab/>
              <w:t>3</w:t>
            </w:r>
            <w:r>
              <w:tab/>
              <w:t>(11.5)</w:t>
            </w:r>
          </w:p>
        </w:tc>
        <w:tc>
          <w:tcPr>
            <w:tcW w:w="992" w:type="dxa"/>
          </w:tcPr>
          <w:p w:rsidR="0001051E" w:rsidRPr="000538CC" w:rsidRDefault="0001051E" w:rsidP="00C365D6">
            <w:pPr>
              <w:pStyle w:val="Tabletext"/>
              <w:tabs>
                <w:tab w:val="right" w:pos="175"/>
                <w:tab w:val="right" w:pos="742"/>
              </w:tabs>
            </w:pPr>
            <w:r>
              <w:tab/>
              <w:t>23</w:t>
            </w:r>
            <w:r>
              <w:tab/>
              <w:t>(39.0)</w:t>
            </w:r>
          </w:p>
        </w:tc>
        <w:tc>
          <w:tcPr>
            <w:tcW w:w="992" w:type="dxa"/>
          </w:tcPr>
          <w:p w:rsidR="0001051E" w:rsidRPr="000538CC" w:rsidRDefault="0001051E" w:rsidP="00C365D6">
            <w:pPr>
              <w:pStyle w:val="Tabletext"/>
              <w:tabs>
                <w:tab w:val="right" w:pos="175"/>
                <w:tab w:val="right" w:pos="742"/>
              </w:tabs>
            </w:pPr>
            <w:r>
              <w:tab/>
              <w:t>26</w:t>
            </w:r>
            <w:r>
              <w:tab/>
              <w:t>(30.6)</w:t>
            </w:r>
          </w:p>
        </w:tc>
        <w:tc>
          <w:tcPr>
            <w:tcW w:w="1397" w:type="dxa"/>
          </w:tcPr>
          <w:p w:rsidR="0001051E" w:rsidRDefault="0001051E" w:rsidP="00C365D6">
            <w:pPr>
              <w:pStyle w:val="Tabletext"/>
              <w:tabs>
                <w:tab w:val="right" w:pos="601"/>
                <w:tab w:val="right" w:pos="1181"/>
              </w:tabs>
            </w:pPr>
            <w:r>
              <w:tab/>
              <w:t>64 300</w:t>
            </w:r>
            <w:r>
              <w:tab/>
              <w:t>(20.5)</w:t>
            </w:r>
          </w:p>
        </w:tc>
      </w:tr>
      <w:tr w:rsidR="0001051E" w:rsidRPr="000538CC">
        <w:tc>
          <w:tcPr>
            <w:tcW w:w="236" w:type="dxa"/>
          </w:tcPr>
          <w:p w:rsidR="0001051E" w:rsidRPr="00264215" w:rsidRDefault="0001051E" w:rsidP="00C365D6">
            <w:pPr>
              <w:pStyle w:val="Tabletext"/>
            </w:pPr>
          </w:p>
        </w:tc>
        <w:tc>
          <w:tcPr>
            <w:tcW w:w="865" w:type="dxa"/>
          </w:tcPr>
          <w:p w:rsidR="0001051E" w:rsidRPr="00264215" w:rsidRDefault="0001051E" w:rsidP="00C365D6">
            <w:pPr>
              <w:pStyle w:val="Tabletext"/>
            </w:pPr>
            <w:r w:rsidRPr="00264215">
              <w:t>SA</w:t>
            </w:r>
          </w:p>
        </w:tc>
        <w:tc>
          <w:tcPr>
            <w:tcW w:w="1275" w:type="dxa"/>
          </w:tcPr>
          <w:p w:rsidR="0001051E" w:rsidRPr="00264215" w:rsidRDefault="0001051E" w:rsidP="00C365D6">
            <w:pPr>
              <w:pStyle w:val="Tabletext"/>
              <w:tabs>
                <w:tab w:val="right" w:pos="459"/>
                <w:tab w:val="right" w:pos="1026"/>
              </w:tabs>
            </w:pPr>
            <w:r>
              <w:tab/>
            </w:r>
            <w:r w:rsidRPr="00264215">
              <w:t>29</w:t>
            </w:r>
            <w:r>
              <w:tab/>
            </w:r>
            <w:r w:rsidRPr="00264215">
              <w:t>(25.2)</w:t>
            </w:r>
          </w:p>
        </w:tc>
        <w:tc>
          <w:tcPr>
            <w:tcW w:w="1134" w:type="dxa"/>
          </w:tcPr>
          <w:p w:rsidR="0001051E" w:rsidRPr="00264215" w:rsidRDefault="0001051E" w:rsidP="00C365D6">
            <w:pPr>
              <w:pStyle w:val="Tabletext"/>
              <w:tabs>
                <w:tab w:val="right" w:pos="318"/>
                <w:tab w:val="right" w:pos="885"/>
              </w:tabs>
            </w:pPr>
            <w:r>
              <w:tab/>
            </w:r>
            <w:r w:rsidRPr="00264215">
              <w:t>111</w:t>
            </w:r>
            <w:r>
              <w:tab/>
            </w:r>
            <w:r w:rsidRPr="00264215">
              <w:t>(39.8)</w:t>
            </w:r>
          </w:p>
        </w:tc>
        <w:tc>
          <w:tcPr>
            <w:tcW w:w="1134" w:type="dxa"/>
          </w:tcPr>
          <w:p w:rsidR="0001051E" w:rsidRPr="00740F63" w:rsidRDefault="0001051E" w:rsidP="00C365D6">
            <w:pPr>
              <w:pStyle w:val="Tabletext"/>
              <w:tabs>
                <w:tab w:val="right" w:pos="318"/>
                <w:tab w:val="right" w:pos="885"/>
              </w:tabs>
            </w:pPr>
            <w:r>
              <w:tab/>
            </w:r>
            <w:r w:rsidRPr="00740F63">
              <w:t>145</w:t>
            </w:r>
            <w:r>
              <w:tab/>
            </w:r>
            <w:r w:rsidRPr="00740F63">
              <w:t>(35.9)</w:t>
            </w:r>
          </w:p>
        </w:tc>
        <w:tc>
          <w:tcPr>
            <w:tcW w:w="993" w:type="dxa"/>
          </w:tcPr>
          <w:p w:rsidR="0001051E" w:rsidRPr="000538CC" w:rsidRDefault="0001051E" w:rsidP="00C365D6">
            <w:pPr>
              <w:pStyle w:val="Tabletext"/>
              <w:tabs>
                <w:tab w:val="right" w:pos="176"/>
                <w:tab w:val="right" w:pos="743"/>
              </w:tabs>
            </w:pPr>
            <w:r>
              <w:tab/>
              <w:t>13</w:t>
            </w:r>
            <w:r>
              <w:tab/>
              <w:t>(50.0)</w:t>
            </w:r>
          </w:p>
        </w:tc>
        <w:tc>
          <w:tcPr>
            <w:tcW w:w="992" w:type="dxa"/>
          </w:tcPr>
          <w:p w:rsidR="0001051E" w:rsidRPr="000538CC" w:rsidRDefault="0001051E" w:rsidP="00C365D6">
            <w:pPr>
              <w:pStyle w:val="Tabletext"/>
              <w:tabs>
                <w:tab w:val="right" w:pos="175"/>
                <w:tab w:val="right" w:pos="742"/>
              </w:tabs>
            </w:pPr>
            <w:r>
              <w:tab/>
              <w:t>16</w:t>
            </w:r>
            <w:r>
              <w:tab/>
              <w:t>(27.1)</w:t>
            </w:r>
          </w:p>
        </w:tc>
        <w:tc>
          <w:tcPr>
            <w:tcW w:w="992" w:type="dxa"/>
          </w:tcPr>
          <w:p w:rsidR="0001051E" w:rsidRPr="000538CC" w:rsidRDefault="0001051E" w:rsidP="00C365D6">
            <w:pPr>
              <w:pStyle w:val="Tabletext"/>
              <w:tabs>
                <w:tab w:val="right" w:pos="175"/>
                <w:tab w:val="right" w:pos="742"/>
              </w:tabs>
            </w:pPr>
            <w:r>
              <w:tab/>
              <w:t>29</w:t>
            </w:r>
            <w:r>
              <w:tab/>
              <w:t>(34.1)</w:t>
            </w:r>
          </w:p>
        </w:tc>
        <w:tc>
          <w:tcPr>
            <w:tcW w:w="1397" w:type="dxa"/>
          </w:tcPr>
          <w:p w:rsidR="0001051E" w:rsidRDefault="0001051E" w:rsidP="00C365D6">
            <w:pPr>
              <w:pStyle w:val="Tabletext"/>
              <w:tabs>
                <w:tab w:val="right" w:pos="601"/>
                <w:tab w:val="right" w:pos="1181"/>
              </w:tabs>
            </w:pPr>
            <w:r>
              <w:tab/>
              <w:t>23 500</w:t>
            </w:r>
            <w:r>
              <w:tab/>
              <w:t>(7.5)</w:t>
            </w:r>
          </w:p>
        </w:tc>
      </w:tr>
      <w:tr w:rsidR="0001051E" w:rsidRPr="000538CC">
        <w:tc>
          <w:tcPr>
            <w:tcW w:w="236" w:type="dxa"/>
          </w:tcPr>
          <w:p w:rsidR="0001051E" w:rsidRPr="00264215" w:rsidRDefault="0001051E" w:rsidP="00C365D6">
            <w:pPr>
              <w:pStyle w:val="Tabletext"/>
            </w:pPr>
          </w:p>
        </w:tc>
        <w:tc>
          <w:tcPr>
            <w:tcW w:w="865" w:type="dxa"/>
          </w:tcPr>
          <w:p w:rsidR="0001051E" w:rsidRPr="00264215" w:rsidRDefault="0001051E" w:rsidP="00C365D6">
            <w:pPr>
              <w:pStyle w:val="Tabletext"/>
            </w:pPr>
            <w:r w:rsidRPr="00264215">
              <w:t>T</w:t>
            </w:r>
            <w:r>
              <w:t>as.</w:t>
            </w:r>
          </w:p>
        </w:tc>
        <w:tc>
          <w:tcPr>
            <w:tcW w:w="1275" w:type="dxa"/>
          </w:tcPr>
          <w:p w:rsidR="0001051E" w:rsidRPr="00264215" w:rsidRDefault="0001051E" w:rsidP="00C365D6">
            <w:pPr>
              <w:pStyle w:val="Tabletext"/>
              <w:tabs>
                <w:tab w:val="right" w:pos="459"/>
                <w:tab w:val="right" w:pos="1026"/>
              </w:tabs>
            </w:pPr>
            <w:r>
              <w:tab/>
            </w:r>
            <w:r w:rsidRPr="00264215">
              <w:t>-</w:t>
            </w:r>
          </w:p>
        </w:tc>
        <w:tc>
          <w:tcPr>
            <w:tcW w:w="1134" w:type="dxa"/>
          </w:tcPr>
          <w:p w:rsidR="0001051E" w:rsidRPr="00264215" w:rsidRDefault="0001051E" w:rsidP="00C365D6">
            <w:pPr>
              <w:pStyle w:val="Tabletext"/>
              <w:tabs>
                <w:tab w:val="right" w:pos="318"/>
                <w:tab w:val="right" w:pos="885"/>
              </w:tabs>
            </w:pPr>
            <w:r>
              <w:tab/>
            </w:r>
            <w:r w:rsidRPr="00264215">
              <w:t>1</w:t>
            </w:r>
            <w:r>
              <w:tab/>
            </w:r>
            <w:r w:rsidRPr="00264215">
              <w:t>(0.4)</w:t>
            </w:r>
          </w:p>
        </w:tc>
        <w:tc>
          <w:tcPr>
            <w:tcW w:w="1134" w:type="dxa"/>
          </w:tcPr>
          <w:p w:rsidR="0001051E" w:rsidRPr="00740F63" w:rsidRDefault="0001051E" w:rsidP="00C365D6">
            <w:pPr>
              <w:pStyle w:val="Tabletext"/>
              <w:tabs>
                <w:tab w:val="right" w:pos="318"/>
                <w:tab w:val="right" w:pos="885"/>
              </w:tabs>
            </w:pPr>
            <w:r>
              <w:tab/>
            </w:r>
            <w:r w:rsidRPr="00740F63">
              <w:t>1</w:t>
            </w:r>
            <w:r>
              <w:tab/>
            </w:r>
            <w:r w:rsidRPr="00740F63">
              <w:t>(0.2)</w:t>
            </w:r>
          </w:p>
        </w:tc>
        <w:tc>
          <w:tcPr>
            <w:tcW w:w="993" w:type="dxa"/>
          </w:tcPr>
          <w:p w:rsidR="0001051E" w:rsidRPr="000538CC" w:rsidRDefault="0001051E" w:rsidP="00C365D6">
            <w:pPr>
              <w:pStyle w:val="Tabletext"/>
              <w:tabs>
                <w:tab w:val="right" w:pos="176"/>
                <w:tab w:val="right" w:pos="743"/>
              </w:tabs>
            </w:pPr>
            <w:r>
              <w:tab/>
              <w:t>-</w:t>
            </w:r>
          </w:p>
        </w:tc>
        <w:tc>
          <w:tcPr>
            <w:tcW w:w="992" w:type="dxa"/>
          </w:tcPr>
          <w:p w:rsidR="0001051E" w:rsidRPr="000538CC" w:rsidRDefault="0001051E" w:rsidP="00C365D6">
            <w:pPr>
              <w:pStyle w:val="Tabletext"/>
              <w:tabs>
                <w:tab w:val="right" w:pos="175"/>
                <w:tab w:val="right" w:pos="742"/>
              </w:tabs>
            </w:pPr>
            <w:r>
              <w:tab/>
              <w:t>1</w:t>
            </w:r>
            <w:r>
              <w:tab/>
              <w:t>(1.7)</w:t>
            </w:r>
          </w:p>
        </w:tc>
        <w:tc>
          <w:tcPr>
            <w:tcW w:w="992" w:type="dxa"/>
          </w:tcPr>
          <w:p w:rsidR="0001051E" w:rsidRPr="000538CC" w:rsidRDefault="0001051E" w:rsidP="00C365D6">
            <w:pPr>
              <w:pStyle w:val="Tabletext"/>
              <w:tabs>
                <w:tab w:val="right" w:pos="175"/>
                <w:tab w:val="right" w:pos="742"/>
              </w:tabs>
            </w:pPr>
            <w:r>
              <w:tab/>
              <w:t>1</w:t>
            </w:r>
            <w:r>
              <w:tab/>
              <w:t>(1.2)</w:t>
            </w:r>
          </w:p>
        </w:tc>
        <w:tc>
          <w:tcPr>
            <w:tcW w:w="1397" w:type="dxa"/>
          </w:tcPr>
          <w:p w:rsidR="0001051E" w:rsidRDefault="0001051E" w:rsidP="00C365D6">
            <w:pPr>
              <w:pStyle w:val="Tabletext"/>
              <w:tabs>
                <w:tab w:val="right" w:pos="601"/>
                <w:tab w:val="right" w:pos="1181"/>
              </w:tabs>
            </w:pPr>
            <w:r>
              <w:tab/>
              <w:t>8 400</w:t>
            </w:r>
            <w:r>
              <w:tab/>
              <w:t>(2.7)</w:t>
            </w:r>
          </w:p>
        </w:tc>
      </w:tr>
      <w:tr w:rsidR="0001051E" w:rsidRPr="000538CC">
        <w:tc>
          <w:tcPr>
            <w:tcW w:w="236" w:type="dxa"/>
          </w:tcPr>
          <w:p w:rsidR="0001051E" w:rsidRPr="00264215" w:rsidRDefault="0001051E" w:rsidP="00C365D6">
            <w:pPr>
              <w:pStyle w:val="Tabletext"/>
            </w:pPr>
          </w:p>
        </w:tc>
        <w:tc>
          <w:tcPr>
            <w:tcW w:w="865" w:type="dxa"/>
          </w:tcPr>
          <w:p w:rsidR="0001051E" w:rsidRPr="00264215" w:rsidRDefault="0001051E" w:rsidP="00C365D6">
            <w:pPr>
              <w:pStyle w:val="Tabletext"/>
            </w:pPr>
            <w:r w:rsidRPr="00264215">
              <w:t>V</w:t>
            </w:r>
            <w:r>
              <w:t>ic.</w:t>
            </w:r>
          </w:p>
        </w:tc>
        <w:tc>
          <w:tcPr>
            <w:tcW w:w="1275" w:type="dxa"/>
          </w:tcPr>
          <w:p w:rsidR="0001051E" w:rsidRPr="00264215" w:rsidRDefault="0001051E" w:rsidP="00C365D6">
            <w:pPr>
              <w:pStyle w:val="Tabletext"/>
              <w:tabs>
                <w:tab w:val="right" w:pos="459"/>
                <w:tab w:val="right" w:pos="1026"/>
              </w:tabs>
            </w:pPr>
            <w:r>
              <w:tab/>
            </w:r>
            <w:r w:rsidRPr="00264215">
              <w:t>3</w:t>
            </w:r>
            <w:r>
              <w:tab/>
            </w:r>
            <w:r w:rsidRPr="00264215">
              <w:t>(2.6)</w:t>
            </w:r>
          </w:p>
        </w:tc>
        <w:tc>
          <w:tcPr>
            <w:tcW w:w="1134" w:type="dxa"/>
          </w:tcPr>
          <w:p w:rsidR="0001051E" w:rsidRPr="00264215" w:rsidRDefault="0001051E" w:rsidP="00C365D6">
            <w:pPr>
              <w:pStyle w:val="Tabletext"/>
              <w:tabs>
                <w:tab w:val="right" w:pos="318"/>
                <w:tab w:val="right" w:pos="885"/>
              </w:tabs>
            </w:pPr>
            <w:r>
              <w:tab/>
            </w:r>
            <w:r w:rsidRPr="00264215">
              <w:t>9</w:t>
            </w:r>
            <w:r>
              <w:tab/>
            </w:r>
            <w:r w:rsidRPr="00264215">
              <w:t>(3.2)</w:t>
            </w:r>
          </w:p>
        </w:tc>
        <w:tc>
          <w:tcPr>
            <w:tcW w:w="1134" w:type="dxa"/>
          </w:tcPr>
          <w:p w:rsidR="0001051E" w:rsidRPr="00740F63" w:rsidRDefault="0001051E" w:rsidP="00C365D6">
            <w:pPr>
              <w:pStyle w:val="Tabletext"/>
              <w:tabs>
                <w:tab w:val="right" w:pos="318"/>
                <w:tab w:val="right" w:pos="885"/>
              </w:tabs>
            </w:pPr>
            <w:r>
              <w:tab/>
            </w:r>
            <w:r w:rsidRPr="00740F63">
              <w:t>12</w:t>
            </w:r>
            <w:r>
              <w:tab/>
            </w:r>
            <w:r w:rsidRPr="00740F63">
              <w:t>(3.0)</w:t>
            </w:r>
          </w:p>
        </w:tc>
        <w:tc>
          <w:tcPr>
            <w:tcW w:w="993" w:type="dxa"/>
          </w:tcPr>
          <w:p w:rsidR="0001051E" w:rsidRPr="000538CC" w:rsidRDefault="0001051E" w:rsidP="00C365D6">
            <w:pPr>
              <w:pStyle w:val="Tabletext"/>
              <w:tabs>
                <w:tab w:val="right" w:pos="176"/>
                <w:tab w:val="right" w:pos="743"/>
              </w:tabs>
            </w:pPr>
            <w:r>
              <w:tab/>
              <w:t>2</w:t>
            </w:r>
            <w:r>
              <w:tab/>
              <w:t>(7.7)</w:t>
            </w:r>
          </w:p>
        </w:tc>
        <w:tc>
          <w:tcPr>
            <w:tcW w:w="992" w:type="dxa"/>
          </w:tcPr>
          <w:p w:rsidR="0001051E" w:rsidRPr="000538CC" w:rsidRDefault="0001051E" w:rsidP="00C365D6">
            <w:pPr>
              <w:pStyle w:val="Tabletext"/>
              <w:tabs>
                <w:tab w:val="right" w:pos="175"/>
                <w:tab w:val="right" w:pos="742"/>
              </w:tabs>
            </w:pPr>
            <w:r>
              <w:tab/>
              <w:t>6</w:t>
            </w:r>
            <w:r>
              <w:tab/>
              <w:t>(10.2)</w:t>
            </w:r>
          </w:p>
        </w:tc>
        <w:tc>
          <w:tcPr>
            <w:tcW w:w="992" w:type="dxa"/>
          </w:tcPr>
          <w:p w:rsidR="0001051E" w:rsidRPr="000538CC" w:rsidRDefault="0001051E" w:rsidP="00C365D6">
            <w:pPr>
              <w:pStyle w:val="Tabletext"/>
              <w:tabs>
                <w:tab w:val="right" w:pos="175"/>
                <w:tab w:val="right" w:pos="742"/>
              </w:tabs>
            </w:pPr>
            <w:r>
              <w:tab/>
              <w:t>8</w:t>
            </w:r>
            <w:r>
              <w:tab/>
              <w:t>(9.4)</w:t>
            </w:r>
          </w:p>
        </w:tc>
        <w:tc>
          <w:tcPr>
            <w:tcW w:w="1397" w:type="dxa"/>
          </w:tcPr>
          <w:p w:rsidR="0001051E" w:rsidRDefault="0001051E" w:rsidP="00C365D6">
            <w:pPr>
              <w:pStyle w:val="Tabletext"/>
              <w:tabs>
                <w:tab w:val="right" w:pos="601"/>
                <w:tab w:val="right" w:pos="1181"/>
              </w:tabs>
            </w:pPr>
            <w:r>
              <w:tab/>
              <w:t>85 500</w:t>
            </w:r>
            <w:r>
              <w:tab/>
              <w:t>(27.2)</w:t>
            </w:r>
          </w:p>
        </w:tc>
      </w:tr>
      <w:tr w:rsidR="0001051E" w:rsidRPr="000538CC">
        <w:tc>
          <w:tcPr>
            <w:tcW w:w="236" w:type="dxa"/>
          </w:tcPr>
          <w:p w:rsidR="0001051E" w:rsidRPr="00264215" w:rsidRDefault="0001051E" w:rsidP="00C365D6">
            <w:pPr>
              <w:pStyle w:val="Tabletext"/>
            </w:pPr>
          </w:p>
        </w:tc>
        <w:tc>
          <w:tcPr>
            <w:tcW w:w="865" w:type="dxa"/>
          </w:tcPr>
          <w:p w:rsidR="0001051E" w:rsidRPr="00264215" w:rsidRDefault="0001051E" w:rsidP="00C365D6">
            <w:pPr>
              <w:pStyle w:val="Tabletext"/>
            </w:pPr>
            <w:r w:rsidRPr="00264215">
              <w:t>WA</w:t>
            </w:r>
          </w:p>
        </w:tc>
        <w:tc>
          <w:tcPr>
            <w:tcW w:w="1275" w:type="dxa"/>
          </w:tcPr>
          <w:p w:rsidR="0001051E" w:rsidRPr="00264215" w:rsidRDefault="0001051E" w:rsidP="00C365D6">
            <w:pPr>
              <w:pStyle w:val="Tabletext"/>
              <w:tabs>
                <w:tab w:val="right" w:pos="459"/>
                <w:tab w:val="right" w:pos="1026"/>
              </w:tabs>
            </w:pPr>
            <w:r>
              <w:tab/>
            </w:r>
            <w:r w:rsidRPr="00264215">
              <w:t>19</w:t>
            </w:r>
            <w:r>
              <w:tab/>
            </w:r>
            <w:r w:rsidRPr="00264215">
              <w:t>(16.5)</w:t>
            </w:r>
          </w:p>
        </w:tc>
        <w:tc>
          <w:tcPr>
            <w:tcW w:w="1134" w:type="dxa"/>
          </w:tcPr>
          <w:p w:rsidR="0001051E" w:rsidRPr="00264215" w:rsidRDefault="0001051E" w:rsidP="00C365D6">
            <w:pPr>
              <w:pStyle w:val="Tabletext"/>
              <w:tabs>
                <w:tab w:val="right" w:pos="318"/>
                <w:tab w:val="right" w:pos="885"/>
              </w:tabs>
            </w:pPr>
            <w:r>
              <w:tab/>
            </w:r>
            <w:r w:rsidRPr="00264215">
              <w:t>28</w:t>
            </w:r>
            <w:r>
              <w:tab/>
            </w:r>
            <w:r w:rsidRPr="00264215">
              <w:t>(10.0)</w:t>
            </w:r>
          </w:p>
        </w:tc>
        <w:tc>
          <w:tcPr>
            <w:tcW w:w="1134" w:type="dxa"/>
          </w:tcPr>
          <w:p w:rsidR="0001051E" w:rsidRPr="00740F63" w:rsidRDefault="0001051E" w:rsidP="00C365D6">
            <w:pPr>
              <w:pStyle w:val="Tabletext"/>
              <w:tabs>
                <w:tab w:val="right" w:pos="318"/>
                <w:tab w:val="right" w:pos="885"/>
              </w:tabs>
            </w:pPr>
            <w:r>
              <w:tab/>
            </w:r>
            <w:r w:rsidRPr="00740F63">
              <w:t>48</w:t>
            </w:r>
            <w:r>
              <w:tab/>
            </w:r>
            <w:r w:rsidRPr="00740F63">
              <w:t>(11.9)</w:t>
            </w:r>
          </w:p>
        </w:tc>
        <w:tc>
          <w:tcPr>
            <w:tcW w:w="993" w:type="dxa"/>
          </w:tcPr>
          <w:p w:rsidR="0001051E" w:rsidRPr="000538CC" w:rsidRDefault="0001051E" w:rsidP="00C365D6">
            <w:pPr>
              <w:pStyle w:val="Tabletext"/>
              <w:tabs>
                <w:tab w:val="right" w:pos="176"/>
                <w:tab w:val="right" w:pos="743"/>
              </w:tabs>
            </w:pPr>
            <w:r>
              <w:tab/>
              <w:t>4</w:t>
            </w:r>
            <w:r>
              <w:tab/>
              <w:t>(15.4)</w:t>
            </w:r>
          </w:p>
        </w:tc>
        <w:tc>
          <w:tcPr>
            <w:tcW w:w="992" w:type="dxa"/>
          </w:tcPr>
          <w:p w:rsidR="0001051E" w:rsidRPr="000538CC" w:rsidRDefault="0001051E" w:rsidP="00C365D6">
            <w:pPr>
              <w:pStyle w:val="Tabletext"/>
              <w:tabs>
                <w:tab w:val="right" w:pos="175"/>
                <w:tab w:val="right" w:pos="742"/>
              </w:tabs>
            </w:pPr>
            <w:r>
              <w:tab/>
              <w:t>4</w:t>
            </w:r>
            <w:r>
              <w:tab/>
              <w:t>(6.7)</w:t>
            </w:r>
          </w:p>
        </w:tc>
        <w:tc>
          <w:tcPr>
            <w:tcW w:w="992" w:type="dxa"/>
          </w:tcPr>
          <w:p w:rsidR="0001051E" w:rsidRPr="000538CC" w:rsidRDefault="0001051E" w:rsidP="00C365D6">
            <w:pPr>
              <w:pStyle w:val="Tabletext"/>
              <w:tabs>
                <w:tab w:val="right" w:pos="175"/>
                <w:tab w:val="right" w:pos="742"/>
              </w:tabs>
            </w:pPr>
            <w:r>
              <w:tab/>
              <w:t>8</w:t>
            </w:r>
            <w:r>
              <w:tab/>
              <w:t>(9.4)</w:t>
            </w:r>
          </w:p>
        </w:tc>
        <w:tc>
          <w:tcPr>
            <w:tcW w:w="1397" w:type="dxa"/>
          </w:tcPr>
          <w:p w:rsidR="0001051E" w:rsidRDefault="0001051E" w:rsidP="00C365D6">
            <w:pPr>
              <w:pStyle w:val="Tabletext"/>
              <w:tabs>
                <w:tab w:val="right" w:pos="601"/>
                <w:tab w:val="right" w:pos="1181"/>
              </w:tabs>
            </w:pPr>
            <w:r>
              <w:tab/>
              <w:t>27 400</w:t>
            </w:r>
            <w:r>
              <w:tab/>
              <w:t>(8.7)</w:t>
            </w:r>
          </w:p>
        </w:tc>
      </w:tr>
      <w:tr w:rsidR="0001051E" w:rsidRPr="000538CC">
        <w:tc>
          <w:tcPr>
            <w:tcW w:w="236" w:type="dxa"/>
          </w:tcPr>
          <w:p w:rsidR="0001051E" w:rsidRPr="00264215" w:rsidRDefault="0001051E" w:rsidP="00C365D6">
            <w:pPr>
              <w:pStyle w:val="Tabletext"/>
            </w:pPr>
          </w:p>
        </w:tc>
        <w:tc>
          <w:tcPr>
            <w:tcW w:w="865" w:type="dxa"/>
          </w:tcPr>
          <w:p w:rsidR="0001051E" w:rsidRPr="00264215" w:rsidRDefault="0001051E" w:rsidP="00C365D6">
            <w:pPr>
              <w:pStyle w:val="Tabletext"/>
            </w:pPr>
            <w:r>
              <w:t>NT</w:t>
            </w:r>
          </w:p>
        </w:tc>
        <w:tc>
          <w:tcPr>
            <w:tcW w:w="1275" w:type="dxa"/>
          </w:tcPr>
          <w:p w:rsidR="0001051E" w:rsidRPr="00264215" w:rsidRDefault="0001051E" w:rsidP="00C365D6">
            <w:pPr>
              <w:pStyle w:val="Tabletext"/>
              <w:tabs>
                <w:tab w:val="right" w:pos="459"/>
                <w:tab w:val="right" w:pos="1026"/>
              </w:tabs>
            </w:pPr>
            <w:r>
              <w:tab/>
              <w:t>-</w:t>
            </w:r>
          </w:p>
        </w:tc>
        <w:tc>
          <w:tcPr>
            <w:tcW w:w="1134" w:type="dxa"/>
          </w:tcPr>
          <w:p w:rsidR="0001051E" w:rsidRPr="00264215" w:rsidRDefault="0001051E" w:rsidP="00C365D6">
            <w:pPr>
              <w:pStyle w:val="Tabletext"/>
              <w:tabs>
                <w:tab w:val="right" w:pos="318"/>
                <w:tab w:val="right" w:pos="918"/>
              </w:tabs>
            </w:pPr>
            <w:r>
              <w:tab/>
              <w:t>-</w:t>
            </w:r>
          </w:p>
        </w:tc>
        <w:tc>
          <w:tcPr>
            <w:tcW w:w="1134" w:type="dxa"/>
          </w:tcPr>
          <w:p w:rsidR="0001051E" w:rsidRPr="00740F63" w:rsidRDefault="0001051E" w:rsidP="00C365D6">
            <w:pPr>
              <w:pStyle w:val="Tabletext"/>
              <w:tabs>
                <w:tab w:val="right" w:pos="318"/>
                <w:tab w:val="right" w:pos="885"/>
              </w:tabs>
            </w:pPr>
            <w:r>
              <w:tab/>
              <w:t>-</w:t>
            </w:r>
          </w:p>
        </w:tc>
        <w:tc>
          <w:tcPr>
            <w:tcW w:w="993" w:type="dxa"/>
          </w:tcPr>
          <w:p w:rsidR="0001051E" w:rsidRDefault="0001051E" w:rsidP="00C365D6">
            <w:pPr>
              <w:pStyle w:val="Tabletext"/>
              <w:tabs>
                <w:tab w:val="right" w:pos="176"/>
                <w:tab w:val="right" w:pos="777"/>
              </w:tabs>
            </w:pPr>
            <w:r>
              <w:tab/>
              <w:t>-</w:t>
            </w:r>
          </w:p>
        </w:tc>
        <w:tc>
          <w:tcPr>
            <w:tcW w:w="992" w:type="dxa"/>
          </w:tcPr>
          <w:p w:rsidR="0001051E" w:rsidRDefault="0001051E" w:rsidP="00C365D6">
            <w:pPr>
              <w:pStyle w:val="Tabletext"/>
              <w:tabs>
                <w:tab w:val="right" w:pos="175"/>
                <w:tab w:val="right" w:pos="742"/>
              </w:tabs>
            </w:pPr>
            <w:r>
              <w:tab/>
              <w:t>-</w:t>
            </w:r>
          </w:p>
        </w:tc>
        <w:tc>
          <w:tcPr>
            <w:tcW w:w="992" w:type="dxa"/>
          </w:tcPr>
          <w:p w:rsidR="0001051E" w:rsidRDefault="0001051E" w:rsidP="00C365D6">
            <w:pPr>
              <w:pStyle w:val="Tabletext"/>
              <w:tabs>
                <w:tab w:val="right" w:pos="175"/>
                <w:tab w:val="right" w:pos="742"/>
              </w:tabs>
            </w:pPr>
            <w:r>
              <w:tab/>
              <w:t>-</w:t>
            </w:r>
          </w:p>
        </w:tc>
        <w:tc>
          <w:tcPr>
            <w:tcW w:w="1397" w:type="dxa"/>
          </w:tcPr>
          <w:p w:rsidR="0001051E" w:rsidRDefault="0001051E" w:rsidP="00C365D6">
            <w:pPr>
              <w:pStyle w:val="Tabletext"/>
              <w:tabs>
                <w:tab w:val="right" w:pos="601"/>
                <w:tab w:val="right" w:pos="1181"/>
              </w:tabs>
            </w:pPr>
            <w:r>
              <w:tab/>
              <w:t>2 800</w:t>
            </w:r>
            <w:r>
              <w:tab/>
              <w:t>(0.9)</w:t>
            </w:r>
          </w:p>
        </w:tc>
      </w:tr>
      <w:tr w:rsidR="0001051E" w:rsidRPr="000538CC">
        <w:tc>
          <w:tcPr>
            <w:tcW w:w="236" w:type="dxa"/>
            <w:tcBorders>
              <w:bottom w:val="single" w:sz="4" w:space="0" w:color="auto"/>
            </w:tcBorders>
          </w:tcPr>
          <w:p w:rsidR="0001051E" w:rsidRPr="00264215" w:rsidRDefault="0001051E" w:rsidP="00C365D6">
            <w:pPr>
              <w:pStyle w:val="Tabletext"/>
            </w:pPr>
          </w:p>
        </w:tc>
        <w:tc>
          <w:tcPr>
            <w:tcW w:w="865" w:type="dxa"/>
            <w:tcBorders>
              <w:bottom w:val="single" w:sz="4" w:space="0" w:color="auto"/>
            </w:tcBorders>
          </w:tcPr>
          <w:p w:rsidR="0001051E" w:rsidRPr="00264215" w:rsidRDefault="0001051E" w:rsidP="00C365D6">
            <w:pPr>
              <w:pStyle w:val="Tabletext"/>
            </w:pPr>
            <w:r>
              <w:t>All</w:t>
            </w:r>
          </w:p>
        </w:tc>
        <w:tc>
          <w:tcPr>
            <w:tcW w:w="1275" w:type="dxa"/>
            <w:tcBorders>
              <w:bottom w:val="single" w:sz="4" w:space="0" w:color="auto"/>
            </w:tcBorders>
          </w:tcPr>
          <w:p w:rsidR="0001051E" w:rsidRPr="00264215" w:rsidRDefault="0001051E" w:rsidP="00C365D6">
            <w:pPr>
              <w:pStyle w:val="Tabletext"/>
              <w:tabs>
                <w:tab w:val="right" w:pos="459"/>
                <w:tab w:val="right" w:pos="1026"/>
              </w:tabs>
            </w:pPr>
            <w:r>
              <w:tab/>
            </w:r>
            <w:r w:rsidRPr="00264215">
              <w:t>115</w:t>
            </w:r>
            <w:r>
              <w:tab/>
            </w:r>
            <w:r w:rsidRPr="00264215">
              <w:t>(100.0)</w:t>
            </w:r>
          </w:p>
        </w:tc>
        <w:tc>
          <w:tcPr>
            <w:tcW w:w="1134" w:type="dxa"/>
            <w:tcBorders>
              <w:bottom w:val="single" w:sz="4" w:space="0" w:color="auto"/>
            </w:tcBorders>
          </w:tcPr>
          <w:p w:rsidR="0001051E" w:rsidRPr="00264215" w:rsidRDefault="0001051E" w:rsidP="00C365D6">
            <w:pPr>
              <w:pStyle w:val="Tabletext"/>
              <w:tabs>
                <w:tab w:val="right" w:pos="318"/>
                <w:tab w:val="right" w:pos="918"/>
              </w:tabs>
            </w:pPr>
            <w:r>
              <w:t>279</w:t>
            </w:r>
            <w:r>
              <w:tab/>
            </w:r>
            <w:r w:rsidR="009A416D">
              <w:tab/>
            </w:r>
            <w:r>
              <w:t>(100.0</w:t>
            </w:r>
            <w:r w:rsidRPr="00264215">
              <w:t>)</w:t>
            </w:r>
          </w:p>
        </w:tc>
        <w:tc>
          <w:tcPr>
            <w:tcW w:w="1134" w:type="dxa"/>
            <w:tcBorders>
              <w:bottom w:val="single" w:sz="4" w:space="0" w:color="auto"/>
            </w:tcBorders>
          </w:tcPr>
          <w:p w:rsidR="0001051E" w:rsidRPr="00740F63" w:rsidRDefault="0001051E" w:rsidP="00C365D6">
            <w:pPr>
              <w:pStyle w:val="Tabletext"/>
              <w:tabs>
                <w:tab w:val="right" w:pos="318"/>
                <w:tab w:val="right" w:pos="885"/>
              </w:tabs>
            </w:pPr>
            <w:r w:rsidRPr="00740F63">
              <w:t>404</w:t>
            </w:r>
            <w:r>
              <w:tab/>
            </w:r>
            <w:r w:rsidR="009A416D">
              <w:tab/>
            </w:r>
            <w:r w:rsidRPr="00740F63">
              <w:t>(100.0)</w:t>
            </w:r>
          </w:p>
        </w:tc>
        <w:tc>
          <w:tcPr>
            <w:tcW w:w="993" w:type="dxa"/>
            <w:tcBorders>
              <w:bottom w:val="single" w:sz="4" w:space="0" w:color="auto"/>
            </w:tcBorders>
          </w:tcPr>
          <w:p w:rsidR="0001051E" w:rsidRPr="000538CC" w:rsidRDefault="0001051E" w:rsidP="00C365D6">
            <w:pPr>
              <w:pStyle w:val="Tabletext"/>
              <w:tabs>
                <w:tab w:val="right" w:pos="176"/>
                <w:tab w:val="right" w:pos="777"/>
              </w:tabs>
            </w:pPr>
            <w:r>
              <w:t>26</w:t>
            </w:r>
            <w:r>
              <w:tab/>
              <w:t>(100.0)</w:t>
            </w:r>
          </w:p>
        </w:tc>
        <w:tc>
          <w:tcPr>
            <w:tcW w:w="992" w:type="dxa"/>
            <w:tcBorders>
              <w:bottom w:val="single" w:sz="4" w:space="0" w:color="auto"/>
            </w:tcBorders>
          </w:tcPr>
          <w:p w:rsidR="0001051E" w:rsidRPr="000538CC" w:rsidRDefault="0001051E" w:rsidP="00C365D6">
            <w:pPr>
              <w:pStyle w:val="Tabletext"/>
              <w:tabs>
                <w:tab w:val="right" w:pos="175"/>
                <w:tab w:val="right" w:pos="742"/>
              </w:tabs>
            </w:pPr>
            <w:r>
              <w:t>59</w:t>
            </w:r>
            <w:r>
              <w:tab/>
              <w:t>(100.0)</w:t>
            </w:r>
          </w:p>
        </w:tc>
        <w:tc>
          <w:tcPr>
            <w:tcW w:w="992" w:type="dxa"/>
            <w:tcBorders>
              <w:bottom w:val="single" w:sz="4" w:space="0" w:color="auto"/>
            </w:tcBorders>
          </w:tcPr>
          <w:p w:rsidR="0001051E" w:rsidRPr="000538CC" w:rsidRDefault="0001051E" w:rsidP="00C365D6">
            <w:pPr>
              <w:pStyle w:val="Tabletext"/>
              <w:tabs>
                <w:tab w:val="right" w:pos="175"/>
                <w:tab w:val="right" w:pos="742"/>
              </w:tabs>
            </w:pPr>
            <w:r>
              <w:t>85</w:t>
            </w:r>
            <w:r>
              <w:tab/>
              <w:t>(100.0)</w:t>
            </w:r>
          </w:p>
        </w:tc>
        <w:tc>
          <w:tcPr>
            <w:tcW w:w="1397" w:type="dxa"/>
            <w:tcBorders>
              <w:bottom w:val="single" w:sz="4" w:space="0" w:color="auto"/>
            </w:tcBorders>
          </w:tcPr>
          <w:p w:rsidR="0001051E" w:rsidRDefault="0001051E" w:rsidP="00C365D6">
            <w:pPr>
              <w:pStyle w:val="Tabletext"/>
              <w:tabs>
                <w:tab w:val="right" w:pos="601"/>
                <w:tab w:val="right" w:pos="1181"/>
              </w:tabs>
            </w:pPr>
            <w:r>
              <w:t>314</w:t>
            </w:r>
            <w:r>
              <w:tab/>
              <w:t>000</w:t>
            </w:r>
            <w:r>
              <w:tab/>
              <w:t>(100.0)</w:t>
            </w:r>
          </w:p>
        </w:tc>
      </w:tr>
    </w:tbl>
    <w:p w:rsidR="0001051E" w:rsidRPr="00FC5C47" w:rsidRDefault="0001051E" w:rsidP="0001051E">
      <w:pPr>
        <w:pStyle w:val="Source"/>
      </w:pPr>
      <w:r w:rsidRPr="00FC5C47">
        <w:t xml:space="preserve">Notes: </w:t>
      </w:r>
      <w:r w:rsidRPr="00FC5C47">
        <w:tab/>
        <w:t>Percentages have been rounded.</w:t>
      </w:r>
    </w:p>
    <w:p w:rsidR="0001051E" w:rsidRPr="00FC5C47" w:rsidRDefault="0001051E" w:rsidP="0001051E">
      <w:pPr>
        <w:pStyle w:val="Source"/>
      </w:pPr>
      <w:r w:rsidRPr="00FC5C47">
        <w:tab/>
        <w:t xml:space="preserve">A dash (-) represents a true zero. </w:t>
      </w:r>
    </w:p>
    <w:p w:rsidR="0001051E" w:rsidRPr="00FC5C47" w:rsidRDefault="0001051E" w:rsidP="0001051E">
      <w:pPr>
        <w:pStyle w:val="Source"/>
      </w:pPr>
      <w:r>
        <w:tab/>
      </w:r>
      <w:r w:rsidRPr="00FC5C47">
        <w:t>(a) Includes participants with missing data on apprenticeship or traineeship level.</w:t>
      </w:r>
    </w:p>
    <w:p w:rsidR="0001051E" w:rsidRPr="00FC5C47" w:rsidRDefault="0001051E" w:rsidP="0001051E">
      <w:pPr>
        <w:pStyle w:val="Source"/>
      </w:pPr>
      <w:r>
        <w:tab/>
      </w:r>
      <w:r w:rsidRPr="00FC5C47">
        <w:t>(b) Commencements in 2010, not completions</w:t>
      </w:r>
      <w:r w:rsidR="00D24309">
        <w:t xml:space="preserve"> (</w:t>
      </w:r>
      <w:r w:rsidRPr="00FC5C47">
        <w:t>NCVER 2011a).</w:t>
      </w:r>
    </w:p>
    <w:p w:rsidR="00D050EE" w:rsidRDefault="00D050EE" w:rsidP="005B61C7">
      <w:pPr>
        <w:pStyle w:val="Text"/>
        <w:rPr>
          <w:highlight w:val="yellow"/>
        </w:rPr>
        <w:sectPr w:rsidR="00D050EE">
          <w:headerReference w:type="even" r:id="rId12"/>
          <w:footerReference w:type="even" r:id="rId13"/>
          <w:footerReference w:type="default" r:id="rId14"/>
          <w:pgSz w:w="11907" w:h="16840" w:code="9"/>
          <w:pgMar w:top="1276" w:right="1701" w:bottom="1276" w:left="1418" w:header="709" w:footer="556" w:gutter="0"/>
          <w:cols w:space="708"/>
          <w:docGrid w:linePitch="360"/>
        </w:sectPr>
      </w:pPr>
    </w:p>
    <w:p w:rsidR="0058673A" w:rsidRPr="007C4D9A" w:rsidRDefault="0058673A" w:rsidP="007C4D9A">
      <w:pPr>
        <w:pStyle w:val="tabletitle"/>
      </w:pPr>
      <w:bookmarkStart w:id="47" w:name="_Toc350259527"/>
      <w:r w:rsidRPr="00431C3E">
        <w:lastRenderedPageBreak/>
        <w:t>Table 3</w:t>
      </w:r>
      <w:r w:rsidRPr="006714C6">
        <w:tab/>
      </w:r>
      <w:r>
        <w:t>Main</w:t>
      </w:r>
      <w:r w:rsidRPr="006714C6">
        <w:t xml:space="preserve"> and </w:t>
      </w:r>
      <w:r>
        <w:t>additional disabilities</w:t>
      </w:r>
      <w:bookmarkEnd w:id="47"/>
    </w:p>
    <w:tbl>
      <w:tblPr>
        <w:tblW w:w="14924" w:type="dxa"/>
        <w:tblInd w:w="92" w:type="dxa"/>
        <w:tblLook w:val="0000"/>
      </w:tblPr>
      <w:tblGrid>
        <w:gridCol w:w="1859"/>
        <w:gridCol w:w="481"/>
        <w:gridCol w:w="592"/>
        <w:gridCol w:w="666"/>
        <w:gridCol w:w="592"/>
        <w:gridCol w:w="646"/>
        <w:gridCol w:w="612"/>
        <w:gridCol w:w="607"/>
        <w:gridCol w:w="808"/>
        <w:gridCol w:w="608"/>
        <w:gridCol w:w="814"/>
        <w:gridCol w:w="709"/>
        <w:gridCol w:w="814"/>
        <w:gridCol w:w="669"/>
        <w:gridCol w:w="592"/>
        <w:gridCol w:w="666"/>
        <w:gridCol w:w="592"/>
        <w:gridCol w:w="666"/>
        <w:gridCol w:w="592"/>
        <w:gridCol w:w="747"/>
        <w:gridCol w:w="592"/>
      </w:tblGrid>
      <w:tr w:rsidR="007C4D9A" w:rsidRPr="007C4D9A">
        <w:trPr>
          <w:trHeight w:val="635"/>
        </w:trPr>
        <w:tc>
          <w:tcPr>
            <w:tcW w:w="1859" w:type="dxa"/>
            <w:tcBorders>
              <w:top w:val="single" w:sz="4" w:space="0" w:color="auto"/>
              <w:left w:val="nil"/>
              <w:right w:val="nil"/>
            </w:tcBorders>
            <w:shd w:val="clear" w:color="auto" w:fill="auto"/>
            <w:vAlign w:val="bottom"/>
          </w:tcPr>
          <w:p w:rsidR="007C4D9A" w:rsidRPr="007C4D9A" w:rsidRDefault="007C4D9A" w:rsidP="007C4D9A">
            <w:pPr>
              <w:spacing w:before="0" w:line="240" w:lineRule="auto"/>
              <w:jc w:val="center"/>
              <w:rPr>
                <w:rFonts w:ascii="Tahoma" w:hAnsi="Tahoma"/>
                <w:sz w:val="18"/>
                <w:szCs w:val="18"/>
              </w:rPr>
            </w:pPr>
          </w:p>
        </w:tc>
        <w:tc>
          <w:tcPr>
            <w:tcW w:w="3589" w:type="dxa"/>
            <w:gridSpan w:val="6"/>
            <w:tcBorders>
              <w:top w:val="single" w:sz="4" w:space="0" w:color="auto"/>
              <w:left w:val="nil"/>
              <w:right w:val="nil"/>
            </w:tcBorders>
            <w:shd w:val="clear" w:color="auto" w:fill="auto"/>
            <w:vAlign w:val="center"/>
          </w:tcPr>
          <w:p w:rsidR="007C4D9A" w:rsidRPr="007C4D9A" w:rsidRDefault="007C4D9A" w:rsidP="007C4D9A">
            <w:pPr>
              <w:spacing w:before="0" w:line="240" w:lineRule="auto"/>
              <w:jc w:val="center"/>
              <w:rPr>
                <w:rFonts w:ascii="Arial" w:hAnsi="Arial"/>
                <w:b/>
                <w:bCs/>
                <w:sz w:val="17"/>
                <w:szCs w:val="17"/>
              </w:rPr>
            </w:pPr>
            <w:r w:rsidRPr="007C4D9A">
              <w:rPr>
                <w:rFonts w:ascii="Arial" w:hAnsi="Arial"/>
                <w:b/>
                <w:bCs/>
                <w:sz w:val="17"/>
                <w:szCs w:val="17"/>
              </w:rPr>
              <w:t xml:space="preserve">Participants’ main disability </w:t>
            </w:r>
          </w:p>
        </w:tc>
        <w:tc>
          <w:tcPr>
            <w:tcW w:w="4360" w:type="dxa"/>
            <w:gridSpan w:val="6"/>
            <w:tcBorders>
              <w:top w:val="single" w:sz="4" w:space="0" w:color="auto"/>
              <w:left w:val="nil"/>
              <w:right w:val="nil"/>
            </w:tcBorders>
            <w:shd w:val="clear" w:color="auto" w:fill="auto"/>
            <w:vAlign w:val="center"/>
          </w:tcPr>
          <w:p w:rsidR="007C4D9A" w:rsidRPr="007C4D9A" w:rsidRDefault="007C4D9A" w:rsidP="007C4D9A">
            <w:pPr>
              <w:spacing w:before="0" w:line="240" w:lineRule="auto"/>
              <w:jc w:val="center"/>
              <w:rPr>
                <w:rFonts w:ascii="Arial" w:hAnsi="Arial"/>
                <w:b/>
                <w:bCs/>
                <w:sz w:val="17"/>
                <w:szCs w:val="17"/>
              </w:rPr>
            </w:pPr>
            <w:r w:rsidRPr="007C4D9A">
              <w:rPr>
                <w:rFonts w:ascii="Arial" w:hAnsi="Arial"/>
                <w:b/>
                <w:bCs/>
                <w:sz w:val="17"/>
                <w:szCs w:val="17"/>
              </w:rPr>
              <w:t>Participants’ additional disabilities</w:t>
            </w:r>
          </w:p>
        </w:tc>
        <w:tc>
          <w:tcPr>
            <w:tcW w:w="3777" w:type="dxa"/>
            <w:gridSpan w:val="6"/>
            <w:tcBorders>
              <w:top w:val="single" w:sz="4" w:space="0" w:color="auto"/>
              <w:left w:val="nil"/>
              <w:right w:val="nil"/>
            </w:tcBorders>
            <w:shd w:val="clear" w:color="auto" w:fill="auto"/>
            <w:vAlign w:val="center"/>
          </w:tcPr>
          <w:p w:rsidR="007C4D9A" w:rsidRPr="007C4D9A" w:rsidRDefault="007C4D9A" w:rsidP="007C4D9A">
            <w:pPr>
              <w:spacing w:before="0" w:line="240" w:lineRule="auto"/>
              <w:jc w:val="center"/>
              <w:rPr>
                <w:rFonts w:ascii="Arial" w:hAnsi="Arial"/>
                <w:b/>
                <w:bCs/>
                <w:sz w:val="17"/>
                <w:szCs w:val="17"/>
              </w:rPr>
            </w:pPr>
            <w:r w:rsidRPr="007C4D9A">
              <w:rPr>
                <w:rFonts w:ascii="Arial" w:hAnsi="Arial"/>
                <w:b/>
                <w:bCs/>
                <w:sz w:val="17"/>
                <w:szCs w:val="17"/>
              </w:rPr>
              <w:t xml:space="preserve">Participants’ main and additional disabilities </w:t>
            </w:r>
          </w:p>
        </w:tc>
        <w:tc>
          <w:tcPr>
            <w:tcW w:w="1339" w:type="dxa"/>
            <w:gridSpan w:val="2"/>
            <w:tcBorders>
              <w:top w:val="single" w:sz="4" w:space="0" w:color="auto"/>
              <w:left w:val="nil"/>
              <w:right w:val="nil"/>
            </w:tcBorders>
            <w:shd w:val="clear" w:color="auto" w:fill="auto"/>
            <w:vAlign w:val="center"/>
          </w:tcPr>
          <w:p w:rsidR="007C4D9A" w:rsidRPr="007C4D9A" w:rsidRDefault="007C4D9A" w:rsidP="007C4D9A">
            <w:pPr>
              <w:spacing w:before="0" w:line="240" w:lineRule="auto"/>
              <w:jc w:val="center"/>
              <w:rPr>
                <w:rFonts w:ascii="Arial" w:hAnsi="Arial"/>
                <w:b/>
                <w:bCs/>
                <w:sz w:val="17"/>
                <w:szCs w:val="17"/>
              </w:rPr>
            </w:pPr>
            <w:r w:rsidRPr="007C4D9A">
              <w:rPr>
                <w:rFonts w:ascii="Arial" w:hAnsi="Arial"/>
                <w:b/>
                <w:bCs/>
                <w:sz w:val="17"/>
                <w:szCs w:val="17"/>
              </w:rPr>
              <w:t>Disabilities</w:t>
            </w:r>
          </w:p>
        </w:tc>
      </w:tr>
      <w:tr w:rsidR="007C4D9A" w:rsidRPr="007C4D9A">
        <w:trPr>
          <w:trHeight w:val="471"/>
        </w:trPr>
        <w:tc>
          <w:tcPr>
            <w:tcW w:w="1859" w:type="dxa"/>
            <w:tcBorders>
              <w:top w:val="nil"/>
              <w:left w:val="nil"/>
              <w:bottom w:val="nil"/>
              <w:right w:val="nil"/>
            </w:tcBorders>
            <w:shd w:val="clear" w:color="auto" w:fill="auto"/>
          </w:tcPr>
          <w:p w:rsidR="007C4D9A" w:rsidRPr="007C4D9A" w:rsidRDefault="007C4D9A" w:rsidP="007C4D9A">
            <w:pPr>
              <w:spacing w:before="0" w:line="240" w:lineRule="auto"/>
              <w:jc w:val="center"/>
              <w:rPr>
                <w:rFonts w:ascii="Arial" w:hAnsi="Arial"/>
                <w:sz w:val="16"/>
                <w:szCs w:val="16"/>
              </w:rPr>
            </w:pPr>
          </w:p>
        </w:tc>
        <w:tc>
          <w:tcPr>
            <w:tcW w:w="1073" w:type="dxa"/>
            <w:gridSpan w:val="2"/>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6"/>
                <w:szCs w:val="16"/>
              </w:rPr>
            </w:pPr>
            <w:r w:rsidRPr="007C4D9A">
              <w:rPr>
                <w:rFonts w:ascii="Arial" w:hAnsi="Arial"/>
                <w:sz w:val="16"/>
                <w:szCs w:val="16"/>
              </w:rPr>
              <w:t>Apprentices</w:t>
            </w:r>
          </w:p>
        </w:tc>
        <w:tc>
          <w:tcPr>
            <w:tcW w:w="1258" w:type="dxa"/>
            <w:gridSpan w:val="2"/>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6"/>
                <w:szCs w:val="16"/>
              </w:rPr>
            </w:pPr>
            <w:r w:rsidRPr="007C4D9A">
              <w:rPr>
                <w:rFonts w:ascii="Arial" w:hAnsi="Arial"/>
                <w:sz w:val="16"/>
                <w:szCs w:val="16"/>
              </w:rPr>
              <w:t>Trainees</w:t>
            </w:r>
          </w:p>
        </w:tc>
        <w:tc>
          <w:tcPr>
            <w:tcW w:w="1258" w:type="dxa"/>
            <w:gridSpan w:val="2"/>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6"/>
                <w:szCs w:val="16"/>
              </w:rPr>
            </w:pPr>
            <w:r w:rsidRPr="007C4D9A">
              <w:rPr>
                <w:rFonts w:ascii="Arial" w:hAnsi="Arial"/>
                <w:sz w:val="16"/>
                <w:szCs w:val="16"/>
              </w:rPr>
              <w:t>Total</w:t>
            </w:r>
            <w:r w:rsidRPr="007C4D9A">
              <w:rPr>
                <w:rFonts w:ascii="Arial" w:hAnsi="Arial"/>
                <w:sz w:val="16"/>
                <w:szCs w:val="16"/>
                <w:vertAlign w:val="superscript"/>
              </w:rPr>
              <w:t>(a)</w:t>
            </w:r>
          </w:p>
        </w:tc>
        <w:tc>
          <w:tcPr>
            <w:tcW w:w="1415" w:type="dxa"/>
            <w:gridSpan w:val="2"/>
            <w:tcBorders>
              <w:top w:val="nil"/>
              <w:left w:val="nil"/>
              <w:bottom w:val="nil"/>
              <w:right w:val="nil"/>
            </w:tcBorders>
            <w:shd w:val="clear" w:color="auto" w:fill="auto"/>
          </w:tcPr>
          <w:p w:rsidR="007C4D9A" w:rsidRPr="007C4D9A" w:rsidRDefault="007C4D9A" w:rsidP="009349CE">
            <w:pPr>
              <w:spacing w:before="0" w:line="240" w:lineRule="auto"/>
              <w:ind w:right="142"/>
              <w:jc w:val="right"/>
              <w:rPr>
                <w:rFonts w:ascii="Arial" w:hAnsi="Arial"/>
                <w:sz w:val="16"/>
                <w:szCs w:val="16"/>
              </w:rPr>
            </w:pPr>
            <w:r w:rsidRPr="007C4D9A">
              <w:rPr>
                <w:rFonts w:ascii="Arial" w:hAnsi="Arial"/>
                <w:sz w:val="16"/>
                <w:szCs w:val="16"/>
              </w:rPr>
              <w:t>Apprentices</w:t>
            </w:r>
          </w:p>
        </w:tc>
        <w:tc>
          <w:tcPr>
            <w:tcW w:w="1422" w:type="dxa"/>
            <w:gridSpan w:val="2"/>
            <w:tcBorders>
              <w:top w:val="nil"/>
              <w:left w:val="nil"/>
              <w:bottom w:val="nil"/>
              <w:right w:val="nil"/>
            </w:tcBorders>
            <w:shd w:val="clear" w:color="auto" w:fill="auto"/>
          </w:tcPr>
          <w:p w:rsidR="007C4D9A" w:rsidRPr="007C4D9A" w:rsidRDefault="007C4D9A" w:rsidP="003E59BC">
            <w:pPr>
              <w:spacing w:before="0" w:line="240" w:lineRule="auto"/>
              <w:ind w:right="142"/>
              <w:jc w:val="right"/>
              <w:rPr>
                <w:rFonts w:ascii="Arial" w:hAnsi="Arial"/>
                <w:sz w:val="16"/>
                <w:szCs w:val="16"/>
              </w:rPr>
            </w:pPr>
            <w:r w:rsidRPr="007C4D9A">
              <w:rPr>
                <w:rFonts w:ascii="Arial" w:hAnsi="Arial"/>
                <w:sz w:val="16"/>
                <w:szCs w:val="16"/>
              </w:rPr>
              <w:t>Trainees</w:t>
            </w:r>
          </w:p>
        </w:tc>
        <w:tc>
          <w:tcPr>
            <w:tcW w:w="1523" w:type="dxa"/>
            <w:gridSpan w:val="2"/>
            <w:tcBorders>
              <w:top w:val="nil"/>
              <w:left w:val="nil"/>
              <w:bottom w:val="nil"/>
              <w:right w:val="nil"/>
            </w:tcBorders>
            <w:shd w:val="clear" w:color="auto" w:fill="auto"/>
          </w:tcPr>
          <w:p w:rsidR="007C4D9A" w:rsidRPr="007C4D9A" w:rsidRDefault="007C4D9A" w:rsidP="009349CE">
            <w:pPr>
              <w:spacing w:before="0" w:line="240" w:lineRule="auto"/>
              <w:ind w:right="142"/>
              <w:jc w:val="right"/>
              <w:rPr>
                <w:rFonts w:ascii="Arial" w:hAnsi="Arial"/>
                <w:sz w:val="16"/>
                <w:szCs w:val="16"/>
              </w:rPr>
            </w:pPr>
            <w:r w:rsidRPr="007C4D9A">
              <w:rPr>
                <w:rFonts w:ascii="Arial" w:hAnsi="Arial"/>
                <w:sz w:val="16"/>
                <w:szCs w:val="16"/>
              </w:rPr>
              <w:t>Total</w:t>
            </w:r>
            <w:r w:rsidRPr="007C4D9A">
              <w:rPr>
                <w:rFonts w:ascii="Arial" w:hAnsi="Arial"/>
                <w:sz w:val="16"/>
                <w:szCs w:val="16"/>
                <w:vertAlign w:val="superscript"/>
              </w:rPr>
              <w:t>(a)</w:t>
            </w:r>
          </w:p>
        </w:tc>
        <w:tc>
          <w:tcPr>
            <w:tcW w:w="1261" w:type="dxa"/>
            <w:gridSpan w:val="2"/>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6"/>
                <w:szCs w:val="16"/>
              </w:rPr>
            </w:pPr>
            <w:r w:rsidRPr="007C4D9A">
              <w:rPr>
                <w:rFonts w:ascii="Arial" w:hAnsi="Arial"/>
                <w:sz w:val="16"/>
                <w:szCs w:val="16"/>
              </w:rPr>
              <w:t>Apprentices</w:t>
            </w:r>
          </w:p>
        </w:tc>
        <w:tc>
          <w:tcPr>
            <w:tcW w:w="1258" w:type="dxa"/>
            <w:gridSpan w:val="2"/>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6"/>
                <w:szCs w:val="16"/>
              </w:rPr>
            </w:pPr>
            <w:r w:rsidRPr="007C4D9A">
              <w:rPr>
                <w:rFonts w:ascii="Arial" w:hAnsi="Arial"/>
                <w:sz w:val="16"/>
                <w:szCs w:val="16"/>
              </w:rPr>
              <w:t>Trainees</w:t>
            </w:r>
          </w:p>
        </w:tc>
        <w:tc>
          <w:tcPr>
            <w:tcW w:w="1258" w:type="dxa"/>
            <w:gridSpan w:val="2"/>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6"/>
                <w:szCs w:val="16"/>
              </w:rPr>
            </w:pPr>
            <w:r w:rsidRPr="007C4D9A">
              <w:rPr>
                <w:rFonts w:ascii="Arial" w:hAnsi="Arial"/>
                <w:sz w:val="16"/>
                <w:szCs w:val="16"/>
              </w:rPr>
              <w:t>Total</w:t>
            </w:r>
            <w:r w:rsidRPr="007C4D9A">
              <w:rPr>
                <w:rFonts w:ascii="Arial" w:hAnsi="Arial"/>
                <w:sz w:val="16"/>
                <w:szCs w:val="16"/>
                <w:vertAlign w:val="superscript"/>
              </w:rPr>
              <w:t>(a)</w:t>
            </w:r>
          </w:p>
        </w:tc>
        <w:tc>
          <w:tcPr>
            <w:tcW w:w="1339" w:type="dxa"/>
            <w:gridSpan w:val="2"/>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6"/>
                <w:szCs w:val="16"/>
              </w:rPr>
            </w:pPr>
            <w:r w:rsidRPr="007C4D9A">
              <w:rPr>
                <w:rFonts w:ascii="Arial" w:hAnsi="Arial"/>
                <w:sz w:val="16"/>
                <w:szCs w:val="16"/>
              </w:rPr>
              <w:t>VET graduates 2009</w:t>
            </w:r>
            <w:r w:rsidRPr="007C4D9A">
              <w:rPr>
                <w:rFonts w:ascii="Arial" w:hAnsi="Arial"/>
                <w:sz w:val="16"/>
                <w:szCs w:val="16"/>
                <w:vertAlign w:val="superscript"/>
              </w:rPr>
              <w:t>(b)</w:t>
            </w:r>
          </w:p>
        </w:tc>
      </w:tr>
      <w:tr w:rsidR="007C4D9A" w:rsidRPr="007C4D9A">
        <w:trPr>
          <w:trHeight w:val="266"/>
        </w:trPr>
        <w:tc>
          <w:tcPr>
            <w:tcW w:w="1859"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center"/>
              <w:rPr>
                <w:rFonts w:ascii="Arial" w:hAnsi="Arial"/>
                <w:sz w:val="16"/>
                <w:szCs w:val="16"/>
              </w:rPr>
            </w:pPr>
          </w:p>
        </w:tc>
        <w:tc>
          <w:tcPr>
            <w:tcW w:w="481" w:type="dxa"/>
            <w:tcBorders>
              <w:top w:val="nil"/>
              <w:left w:val="nil"/>
              <w:bottom w:val="single" w:sz="4" w:space="0" w:color="auto"/>
              <w:right w:val="nil"/>
            </w:tcBorders>
            <w:shd w:val="clear" w:color="auto" w:fill="auto"/>
            <w:noWrap/>
            <w:vAlign w:val="bottom"/>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w:t>
            </w:r>
          </w:p>
        </w:tc>
        <w:tc>
          <w:tcPr>
            <w:tcW w:w="666"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w:t>
            </w:r>
          </w:p>
        </w:tc>
        <w:tc>
          <w:tcPr>
            <w:tcW w:w="646"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61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w:t>
            </w:r>
          </w:p>
        </w:tc>
        <w:tc>
          <w:tcPr>
            <w:tcW w:w="607"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808" w:type="dxa"/>
            <w:tcBorders>
              <w:top w:val="nil"/>
              <w:left w:val="nil"/>
              <w:bottom w:val="single" w:sz="4" w:space="0" w:color="auto"/>
              <w:right w:val="nil"/>
            </w:tcBorders>
            <w:shd w:val="clear" w:color="auto" w:fill="auto"/>
          </w:tcPr>
          <w:p w:rsidR="007C4D9A" w:rsidRPr="007C4D9A" w:rsidRDefault="007C4D9A" w:rsidP="00D64C6C">
            <w:pPr>
              <w:spacing w:before="0" w:line="240" w:lineRule="auto"/>
              <w:ind w:right="164"/>
              <w:jc w:val="right"/>
              <w:rPr>
                <w:rFonts w:ascii="Arial" w:hAnsi="Arial"/>
                <w:b/>
                <w:bCs/>
                <w:sz w:val="16"/>
                <w:szCs w:val="16"/>
              </w:rPr>
            </w:pPr>
            <w:r w:rsidRPr="007C4D9A">
              <w:rPr>
                <w:rFonts w:ascii="Arial" w:hAnsi="Arial"/>
                <w:b/>
                <w:bCs/>
                <w:sz w:val="16"/>
                <w:szCs w:val="16"/>
              </w:rPr>
              <w:t>(%)</w:t>
            </w:r>
          </w:p>
        </w:tc>
        <w:tc>
          <w:tcPr>
            <w:tcW w:w="608"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814" w:type="dxa"/>
            <w:tcBorders>
              <w:top w:val="nil"/>
              <w:left w:val="nil"/>
              <w:bottom w:val="single" w:sz="4" w:space="0" w:color="auto"/>
              <w:right w:val="nil"/>
            </w:tcBorders>
            <w:shd w:val="clear" w:color="auto" w:fill="auto"/>
          </w:tcPr>
          <w:p w:rsidR="007C4D9A" w:rsidRPr="007C4D9A" w:rsidRDefault="007C4D9A" w:rsidP="00D64C6C">
            <w:pPr>
              <w:spacing w:before="0" w:line="240" w:lineRule="auto"/>
              <w:ind w:right="164"/>
              <w:jc w:val="right"/>
              <w:rPr>
                <w:rFonts w:ascii="Arial" w:hAnsi="Arial"/>
                <w:b/>
                <w:bCs/>
                <w:sz w:val="16"/>
                <w:szCs w:val="16"/>
              </w:rPr>
            </w:pPr>
            <w:r w:rsidRPr="007C4D9A">
              <w:rPr>
                <w:rFonts w:ascii="Arial" w:hAnsi="Arial"/>
                <w:b/>
                <w:bCs/>
                <w:sz w:val="16"/>
                <w:szCs w:val="16"/>
              </w:rPr>
              <w:t>(%)</w:t>
            </w:r>
          </w:p>
        </w:tc>
        <w:tc>
          <w:tcPr>
            <w:tcW w:w="709"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814" w:type="dxa"/>
            <w:tcBorders>
              <w:top w:val="nil"/>
              <w:left w:val="nil"/>
              <w:bottom w:val="single" w:sz="4" w:space="0" w:color="auto"/>
              <w:right w:val="nil"/>
            </w:tcBorders>
            <w:shd w:val="clear" w:color="auto" w:fill="auto"/>
          </w:tcPr>
          <w:p w:rsidR="007C4D9A" w:rsidRPr="007C4D9A" w:rsidRDefault="007C4D9A" w:rsidP="00353431">
            <w:pPr>
              <w:spacing w:before="0" w:line="240" w:lineRule="auto"/>
              <w:ind w:right="159"/>
              <w:jc w:val="right"/>
              <w:rPr>
                <w:rFonts w:ascii="Arial" w:hAnsi="Arial"/>
                <w:b/>
                <w:bCs/>
                <w:sz w:val="16"/>
                <w:szCs w:val="16"/>
              </w:rPr>
            </w:pPr>
            <w:r w:rsidRPr="007C4D9A">
              <w:rPr>
                <w:rFonts w:ascii="Arial" w:hAnsi="Arial"/>
                <w:b/>
                <w:bCs/>
                <w:sz w:val="16"/>
                <w:szCs w:val="16"/>
              </w:rPr>
              <w:t>(%)</w:t>
            </w:r>
          </w:p>
        </w:tc>
        <w:tc>
          <w:tcPr>
            <w:tcW w:w="669"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w:t>
            </w:r>
          </w:p>
        </w:tc>
        <w:tc>
          <w:tcPr>
            <w:tcW w:w="666"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w:t>
            </w:r>
          </w:p>
        </w:tc>
        <w:tc>
          <w:tcPr>
            <w:tcW w:w="666"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w:t>
            </w:r>
          </w:p>
        </w:tc>
        <w:tc>
          <w:tcPr>
            <w:tcW w:w="747"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n</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b/>
                <w:bCs/>
                <w:sz w:val="16"/>
                <w:szCs w:val="16"/>
              </w:rPr>
            </w:pPr>
            <w:r w:rsidRPr="007C4D9A">
              <w:rPr>
                <w:rFonts w:ascii="Arial" w:hAnsi="Arial"/>
                <w:b/>
                <w:bCs/>
                <w:sz w:val="16"/>
                <w:szCs w:val="16"/>
              </w:rPr>
              <w:t>(%)</w:t>
            </w:r>
          </w:p>
        </w:tc>
      </w:tr>
      <w:tr w:rsidR="007C4D9A" w:rsidRPr="007C4D9A">
        <w:trPr>
          <w:trHeight w:val="266"/>
        </w:trPr>
        <w:tc>
          <w:tcPr>
            <w:tcW w:w="1859" w:type="dxa"/>
            <w:tcBorders>
              <w:top w:val="single" w:sz="4" w:space="0" w:color="auto"/>
              <w:left w:val="nil"/>
              <w:bottom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Blind or vision impairment</w:t>
            </w:r>
          </w:p>
        </w:tc>
        <w:tc>
          <w:tcPr>
            <w:tcW w:w="481"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w:t>
            </w:r>
          </w:p>
        </w:tc>
        <w:tc>
          <w:tcPr>
            <w:tcW w:w="592"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8.8</w:t>
            </w:r>
          </w:p>
        </w:tc>
        <w:tc>
          <w:tcPr>
            <w:tcW w:w="666"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15</w:t>
            </w:r>
          </w:p>
        </w:tc>
        <w:tc>
          <w:tcPr>
            <w:tcW w:w="592"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5.4</w:t>
            </w:r>
          </w:p>
        </w:tc>
        <w:tc>
          <w:tcPr>
            <w:tcW w:w="646"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26</w:t>
            </w:r>
          </w:p>
        </w:tc>
        <w:tc>
          <w:tcPr>
            <w:tcW w:w="612"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6.4</w:t>
            </w:r>
          </w:p>
        </w:tc>
        <w:tc>
          <w:tcPr>
            <w:tcW w:w="607"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w:t>
            </w:r>
          </w:p>
        </w:tc>
        <w:tc>
          <w:tcPr>
            <w:tcW w:w="808" w:type="dxa"/>
            <w:tcBorders>
              <w:top w:val="single" w:sz="4" w:space="0" w:color="auto"/>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9.5</w:t>
            </w:r>
          </w:p>
        </w:tc>
        <w:tc>
          <w:tcPr>
            <w:tcW w:w="608"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11</w:t>
            </w:r>
          </w:p>
        </w:tc>
        <w:tc>
          <w:tcPr>
            <w:tcW w:w="814" w:type="dxa"/>
            <w:tcBorders>
              <w:top w:val="single" w:sz="4" w:space="0" w:color="auto"/>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9.3</w:t>
            </w:r>
          </w:p>
        </w:tc>
        <w:tc>
          <w:tcPr>
            <w:tcW w:w="709"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13</w:t>
            </w:r>
          </w:p>
        </w:tc>
        <w:tc>
          <w:tcPr>
            <w:tcW w:w="814" w:type="dxa"/>
            <w:tcBorders>
              <w:top w:val="single" w:sz="4" w:space="0" w:color="auto"/>
              <w:left w:val="nil"/>
              <w:bottom w:val="nil"/>
              <w:right w:val="nil"/>
            </w:tcBorders>
            <w:shd w:val="clear" w:color="auto" w:fill="auto"/>
          </w:tcPr>
          <w:p w:rsidR="007C4D9A" w:rsidRPr="007C4D9A" w:rsidRDefault="007C4D9A" w:rsidP="00353431">
            <w:pPr>
              <w:spacing w:before="0" w:line="240" w:lineRule="auto"/>
              <w:ind w:right="159"/>
              <w:jc w:val="right"/>
              <w:rPr>
                <w:rFonts w:ascii="Arial" w:hAnsi="Arial"/>
                <w:sz w:val="15"/>
                <w:szCs w:val="15"/>
              </w:rPr>
            </w:pPr>
            <w:r w:rsidRPr="007C4D9A">
              <w:rPr>
                <w:rFonts w:ascii="Arial" w:hAnsi="Arial"/>
                <w:sz w:val="15"/>
                <w:szCs w:val="15"/>
              </w:rPr>
              <w:t>8.9</w:t>
            </w:r>
          </w:p>
        </w:tc>
        <w:tc>
          <w:tcPr>
            <w:tcW w:w="669"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12</w:t>
            </w:r>
          </w:p>
        </w:tc>
        <w:tc>
          <w:tcPr>
            <w:tcW w:w="592"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10.5</w:t>
            </w:r>
          </w:p>
        </w:tc>
        <w:tc>
          <w:tcPr>
            <w:tcW w:w="666"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26</w:t>
            </w:r>
          </w:p>
        </w:tc>
        <w:tc>
          <w:tcPr>
            <w:tcW w:w="592"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9.4</w:t>
            </w:r>
          </w:p>
        </w:tc>
        <w:tc>
          <w:tcPr>
            <w:tcW w:w="666"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39</w:t>
            </w:r>
          </w:p>
        </w:tc>
        <w:tc>
          <w:tcPr>
            <w:tcW w:w="592"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9.7</w:t>
            </w:r>
          </w:p>
        </w:tc>
        <w:tc>
          <w:tcPr>
            <w:tcW w:w="747"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2 851</w:t>
            </w:r>
          </w:p>
        </w:tc>
        <w:tc>
          <w:tcPr>
            <w:tcW w:w="592" w:type="dxa"/>
            <w:tcBorders>
              <w:top w:val="single" w:sz="4" w:space="0" w:color="auto"/>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12.0</w:t>
            </w:r>
          </w:p>
        </w:tc>
      </w:tr>
      <w:tr w:rsidR="007C4D9A" w:rsidRPr="007C4D9A" w:rsidTr="00D37E25">
        <w:trPr>
          <w:trHeight w:val="266"/>
        </w:trPr>
        <w:tc>
          <w:tcPr>
            <w:tcW w:w="1859" w:type="dxa"/>
            <w:tcBorders>
              <w:top w:val="nil"/>
              <w:left w:val="nil"/>
              <w:bottom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Deaf or hearing impairment</w:t>
            </w:r>
          </w:p>
        </w:tc>
        <w:tc>
          <w:tcPr>
            <w:tcW w:w="481" w:type="dxa"/>
            <w:tcBorders>
              <w:top w:val="nil"/>
              <w:left w:val="nil"/>
              <w:bottom w:val="nil"/>
              <w:right w:val="nil"/>
            </w:tcBorders>
            <w:shd w:val="clear" w:color="auto" w:fill="auto"/>
            <w:noWrap/>
          </w:tcPr>
          <w:p w:rsidR="007C4D9A" w:rsidRPr="007C4D9A" w:rsidRDefault="007C4D9A" w:rsidP="00D37E25">
            <w:pPr>
              <w:spacing w:before="0" w:line="240" w:lineRule="auto"/>
              <w:jc w:val="right"/>
              <w:rPr>
                <w:rFonts w:ascii="Arial" w:hAnsi="Arial"/>
                <w:sz w:val="15"/>
                <w:szCs w:val="15"/>
              </w:rPr>
            </w:pPr>
            <w:r w:rsidRPr="007C4D9A">
              <w:rPr>
                <w:rFonts w:ascii="Arial" w:hAnsi="Arial"/>
                <w:sz w:val="15"/>
                <w:szCs w:val="15"/>
              </w:rPr>
              <w:t>17</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14.9</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31</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11.2</w:t>
            </w:r>
          </w:p>
        </w:tc>
        <w:tc>
          <w:tcPr>
            <w:tcW w:w="64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49</w:t>
            </w:r>
          </w:p>
        </w:tc>
        <w:tc>
          <w:tcPr>
            <w:tcW w:w="61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12.1</w:t>
            </w:r>
          </w:p>
        </w:tc>
        <w:tc>
          <w:tcPr>
            <w:tcW w:w="60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w:t>
            </w:r>
          </w:p>
        </w:tc>
        <w:tc>
          <w:tcPr>
            <w:tcW w:w="808"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4.8</w:t>
            </w:r>
          </w:p>
        </w:tc>
        <w:tc>
          <w:tcPr>
            <w:tcW w:w="608"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w:t>
            </w:r>
          </w:p>
        </w:tc>
        <w:tc>
          <w:tcPr>
            <w:tcW w:w="814"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7.6</w:t>
            </w:r>
          </w:p>
        </w:tc>
        <w:tc>
          <w:tcPr>
            <w:tcW w:w="70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11</w:t>
            </w:r>
          </w:p>
        </w:tc>
        <w:tc>
          <w:tcPr>
            <w:tcW w:w="814" w:type="dxa"/>
            <w:tcBorders>
              <w:top w:val="nil"/>
              <w:left w:val="nil"/>
              <w:bottom w:val="nil"/>
              <w:right w:val="nil"/>
            </w:tcBorders>
            <w:shd w:val="clear" w:color="auto" w:fill="auto"/>
          </w:tcPr>
          <w:p w:rsidR="007C4D9A" w:rsidRPr="007C4D9A" w:rsidRDefault="007C4D9A" w:rsidP="00353431">
            <w:pPr>
              <w:spacing w:before="0" w:line="240" w:lineRule="auto"/>
              <w:ind w:right="159"/>
              <w:jc w:val="right"/>
              <w:rPr>
                <w:rFonts w:ascii="Arial" w:hAnsi="Arial"/>
                <w:sz w:val="15"/>
                <w:szCs w:val="15"/>
              </w:rPr>
            </w:pPr>
            <w:r w:rsidRPr="007C4D9A">
              <w:rPr>
                <w:rFonts w:ascii="Arial" w:hAnsi="Arial"/>
                <w:sz w:val="15"/>
                <w:szCs w:val="15"/>
              </w:rPr>
              <w:t>7.5</w:t>
            </w:r>
          </w:p>
        </w:tc>
        <w:tc>
          <w:tcPr>
            <w:tcW w:w="66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18</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15.8</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40</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14.4</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60</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14.9</w:t>
            </w:r>
          </w:p>
        </w:tc>
        <w:tc>
          <w:tcPr>
            <w:tcW w:w="74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2 013</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8.5</w:t>
            </w:r>
          </w:p>
        </w:tc>
      </w:tr>
      <w:tr w:rsidR="007C4D9A" w:rsidRPr="007C4D9A">
        <w:trPr>
          <w:trHeight w:val="266"/>
        </w:trPr>
        <w:tc>
          <w:tcPr>
            <w:tcW w:w="1859" w:type="dxa"/>
            <w:tcBorders>
              <w:top w:val="nil"/>
              <w:left w:val="nil"/>
              <w:bottom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Epilepsy</w:t>
            </w:r>
          </w:p>
        </w:tc>
        <w:tc>
          <w:tcPr>
            <w:tcW w:w="481"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2.6</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1.1</w:t>
            </w:r>
          </w:p>
        </w:tc>
        <w:tc>
          <w:tcPr>
            <w:tcW w:w="64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w:t>
            </w:r>
          </w:p>
        </w:tc>
        <w:tc>
          <w:tcPr>
            <w:tcW w:w="61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1.5</w:t>
            </w:r>
          </w:p>
        </w:tc>
        <w:tc>
          <w:tcPr>
            <w:tcW w:w="60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w:t>
            </w:r>
          </w:p>
        </w:tc>
        <w:tc>
          <w:tcPr>
            <w:tcW w:w="808"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4.8</w:t>
            </w:r>
          </w:p>
        </w:tc>
        <w:tc>
          <w:tcPr>
            <w:tcW w:w="608"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w:t>
            </w:r>
          </w:p>
        </w:tc>
        <w:tc>
          <w:tcPr>
            <w:tcW w:w="814"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1.7</w:t>
            </w:r>
          </w:p>
        </w:tc>
        <w:tc>
          <w:tcPr>
            <w:tcW w:w="70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814" w:type="dxa"/>
            <w:tcBorders>
              <w:top w:val="nil"/>
              <w:left w:val="nil"/>
              <w:bottom w:val="nil"/>
              <w:right w:val="nil"/>
            </w:tcBorders>
            <w:shd w:val="clear" w:color="auto" w:fill="auto"/>
          </w:tcPr>
          <w:p w:rsidR="007C4D9A" w:rsidRPr="007C4D9A" w:rsidRDefault="007C4D9A" w:rsidP="00353431">
            <w:pPr>
              <w:spacing w:before="0" w:line="240" w:lineRule="auto"/>
              <w:ind w:right="159"/>
              <w:jc w:val="right"/>
              <w:rPr>
                <w:rFonts w:ascii="Arial" w:hAnsi="Arial"/>
                <w:sz w:val="15"/>
                <w:szCs w:val="15"/>
              </w:rPr>
            </w:pPr>
            <w:r w:rsidRPr="007C4D9A">
              <w:rPr>
                <w:rFonts w:ascii="Arial" w:hAnsi="Arial"/>
                <w:sz w:val="15"/>
                <w:szCs w:val="15"/>
              </w:rPr>
              <w:t>2.1</w:t>
            </w:r>
          </w:p>
        </w:tc>
        <w:tc>
          <w:tcPr>
            <w:tcW w:w="66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3.5</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1.8</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2.2</w:t>
            </w:r>
          </w:p>
        </w:tc>
        <w:tc>
          <w:tcPr>
            <w:tcW w:w="747" w:type="dxa"/>
            <w:tcBorders>
              <w:top w:val="nil"/>
              <w:left w:val="nil"/>
              <w:bottom w:val="nil"/>
              <w:right w:val="nil"/>
            </w:tcBorders>
            <w:shd w:val="clear" w:color="auto" w:fill="auto"/>
            <w:noWrap/>
            <w:vAlign w:val="bottom"/>
          </w:tcPr>
          <w:p w:rsidR="007C4D9A" w:rsidRPr="007C4D9A" w:rsidRDefault="007C4D9A" w:rsidP="007C4D9A">
            <w:pPr>
              <w:spacing w:before="0" w:line="240" w:lineRule="auto"/>
              <w:rPr>
                <w:rFonts w:ascii="Arial" w:hAnsi="Arial"/>
                <w:sz w:val="15"/>
                <w:szCs w:val="15"/>
              </w:rPr>
            </w:pP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n/a</w:t>
            </w:r>
          </w:p>
        </w:tc>
      </w:tr>
      <w:tr w:rsidR="007C4D9A" w:rsidRPr="007C4D9A">
        <w:trPr>
          <w:trHeight w:val="266"/>
        </w:trPr>
        <w:tc>
          <w:tcPr>
            <w:tcW w:w="1859" w:type="dxa"/>
            <w:tcBorders>
              <w:top w:val="nil"/>
              <w:left w:val="nil"/>
              <w:bottom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Head injury or acquired brain injury</w:t>
            </w:r>
          </w:p>
        </w:tc>
        <w:tc>
          <w:tcPr>
            <w:tcW w:w="481"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2.6</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11</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4.0</w:t>
            </w:r>
          </w:p>
        </w:tc>
        <w:tc>
          <w:tcPr>
            <w:tcW w:w="64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14</w:t>
            </w:r>
          </w:p>
        </w:tc>
        <w:tc>
          <w:tcPr>
            <w:tcW w:w="61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3.5</w:t>
            </w:r>
          </w:p>
        </w:tc>
        <w:tc>
          <w:tcPr>
            <w:tcW w:w="60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w:t>
            </w:r>
          </w:p>
        </w:tc>
        <w:tc>
          <w:tcPr>
            <w:tcW w:w="808"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4.8</w:t>
            </w:r>
          </w:p>
        </w:tc>
        <w:tc>
          <w:tcPr>
            <w:tcW w:w="608"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w:t>
            </w:r>
          </w:p>
        </w:tc>
        <w:tc>
          <w:tcPr>
            <w:tcW w:w="814"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5.1</w:t>
            </w:r>
          </w:p>
        </w:tc>
        <w:tc>
          <w:tcPr>
            <w:tcW w:w="70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7</w:t>
            </w:r>
          </w:p>
        </w:tc>
        <w:tc>
          <w:tcPr>
            <w:tcW w:w="814" w:type="dxa"/>
            <w:tcBorders>
              <w:top w:val="nil"/>
              <w:left w:val="nil"/>
              <w:bottom w:val="nil"/>
              <w:right w:val="nil"/>
            </w:tcBorders>
            <w:shd w:val="clear" w:color="auto" w:fill="auto"/>
          </w:tcPr>
          <w:p w:rsidR="007C4D9A" w:rsidRPr="007C4D9A" w:rsidRDefault="007C4D9A" w:rsidP="00353431">
            <w:pPr>
              <w:spacing w:before="0" w:line="240" w:lineRule="auto"/>
              <w:ind w:right="159"/>
              <w:jc w:val="right"/>
              <w:rPr>
                <w:rFonts w:ascii="Arial" w:hAnsi="Arial"/>
                <w:sz w:val="15"/>
                <w:szCs w:val="15"/>
              </w:rPr>
            </w:pPr>
            <w:r w:rsidRPr="007C4D9A">
              <w:rPr>
                <w:rFonts w:ascii="Arial" w:hAnsi="Arial"/>
                <w:sz w:val="15"/>
                <w:szCs w:val="15"/>
              </w:rPr>
              <w:t>4.8</w:t>
            </w:r>
          </w:p>
        </w:tc>
        <w:tc>
          <w:tcPr>
            <w:tcW w:w="66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3.5</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17</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6.1</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21</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5.2</w:t>
            </w:r>
          </w:p>
        </w:tc>
        <w:tc>
          <w:tcPr>
            <w:tcW w:w="74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371</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1.6</w:t>
            </w:r>
          </w:p>
        </w:tc>
      </w:tr>
      <w:tr w:rsidR="007C4D9A" w:rsidRPr="007C4D9A">
        <w:trPr>
          <w:trHeight w:val="266"/>
        </w:trPr>
        <w:tc>
          <w:tcPr>
            <w:tcW w:w="1859" w:type="dxa"/>
            <w:tcBorders>
              <w:top w:val="nil"/>
              <w:left w:val="nil"/>
              <w:bottom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Intellectual or learning</w:t>
            </w:r>
          </w:p>
        </w:tc>
        <w:tc>
          <w:tcPr>
            <w:tcW w:w="481"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59</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51.8</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98</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35.4</w:t>
            </w:r>
          </w:p>
        </w:tc>
        <w:tc>
          <w:tcPr>
            <w:tcW w:w="64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159</w:t>
            </w:r>
          </w:p>
        </w:tc>
        <w:tc>
          <w:tcPr>
            <w:tcW w:w="61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39.4</w:t>
            </w:r>
          </w:p>
        </w:tc>
        <w:tc>
          <w:tcPr>
            <w:tcW w:w="60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w:t>
            </w:r>
          </w:p>
        </w:tc>
        <w:tc>
          <w:tcPr>
            <w:tcW w:w="808"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19.0</w:t>
            </w:r>
          </w:p>
        </w:tc>
        <w:tc>
          <w:tcPr>
            <w:tcW w:w="608"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11</w:t>
            </w:r>
          </w:p>
        </w:tc>
        <w:tc>
          <w:tcPr>
            <w:tcW w:w="814"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9.3</w:t>
            </w:r>
          </w:p>
        </w:tc>
        <w:tc>
          <w:tcPr>
            <w:tcW w:w="70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16</w:t>
            </w:r>
          </w:p>
        </w:tc>
        <w:tc>
          <w:tcPr>
            <w:tcW w:w="814" w:type="dxa"/>
            <w:tcBorders>
              <w:top w:val="nil"/>
              <w:left w:val="nil"/>
              <w:bottom w:val="nil"/>
              <w:right w:val="nil"/>
            </w:tcBorders>
            <w:shd w:val="clear" w:color="auto" w:fill="auto"/>
          </w:tcPr>
          <w:p w:rsidR="007C4D9A" w:rsidRPr="007C4D9A" w:rsidRDefault="007C4D9A" w:rsidP="00353431">
            <w:pPr>
              <w:spacing w:before="0" w:line="240" w:lineRule="auto"/>
              <w:ind w:right="159"/>
              <w:jc w:val="right"/>
              <w:rPr>
                <w:rFonts w:ascii="Arial" w:hAnsi="Arial"/>
                <w:sz w:val="15"/>
                <w:szCs w:val="15"/>
              </w:rPr>
            </w:pPr>
            <w:r w:rsidRPr="007C4D9A">
              <w:rPr>
                <w:rFonts w:ascii="Arial" w:hAnsi="Arial"/>
                <w:sz w:val="15"/>
                <w:szCs w:val="15"/>
              </w:rPr>
              <w:t>11.0</w:t>
            </w:r>
          </w:p>
        </w:tc>
        <w:tc>
          <w:tcPr>
            <w:tcW w:w="66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63</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55.3</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109</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39.4</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175</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43.3</w:t>
            </w:r>
          </w:p>
        </w:tc>
        <w:tc>
          <w:tcPr>
            <w:tcW w:w="74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5 103</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21.5</w:t>
            </w:r>
          </w:p>
        </w:tc>
      </w:tr>
      <w:tr w:rsidR="007C4D9A" w:rsidRPr="007C4D9A">
        <w:trPr>
          <w:trHeight w:val="266"/>
        </w:trPr>
        <w:tc>
          <w:tcPr>
            <w:tcW w:w="1859" w:type="dxa"/>
            <w:tcBorders>
              <w:top w:val="nil"/>
              <w:left w:val="nil"/>
              <w:bottom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Medical condition</w:t>
            </w:r>
          </w:p>
        </w:tc>
        <w:tc>
          <w:tcPr>
            <w:tcW w:w="481"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12</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10.5</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38</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13.7</w:t>
            </w:r>
          </w:p>
        </w:tc>
        <w:tc>
          <w:tcPr>
            <w:tcW w:w="64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50</w:t>
            </w:r>
          </w:p>
        </w:tc>
        <w:tc>
          <w:tcPr>
            <w:tcW w:w="61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12.4</w:t>
            </w:r>
          </w:p>
        </w:tc>
        <w:tc>
          <w:tcPr>
            <w:tcW w:w="60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w:t>
            </w:r>
          </w:p>
        </w:tc>
        <w:tc>
          <w:tcPr>
            <w:tcW w:w="808"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19.0</w:t>
            </w:r>
          </w:p>
        </w:tc>
        <w:tc>
          <w:tcPr>
            <w:tcW w:w="608"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38</w:t>
            </w:r>
          </w:p>
        </w:tc>
        <w:tc>
          <w:tcPr>
            <w:tcW w:w="814"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32.2</w:t>
            </w:r>
          </w:p>
        </w:tc>
        <w:tc>
          <w:tcPr>
            <w:tcW w:w="70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45</w:t>
            </w:r>
          </w:p>
        </w:tc>
        <w:tc>
          <w:tcPr>
            <w:tcW w:w="814" w:type="dxa"/>
            <w:tcBorders>
              <w:top w:val="nil"/>
              <w:left w:val="nil"/>
              <w:bottom w:val="nil"/>
              <w:right w:val="nil"/>
            </w:tcBorders>
            <w:shd w:val="clear" w:color="auto" w:fill="auto"/>
          </w:tcPr>
          <w:p w:rsidR="007C4D9A" w:rsidRPr="007C4D9A" w:rsidRDefault="007C4D9A" w:rsidP="00353431">
            <w:pPr>
              <w:spacing w:before="0" w:line="240" w:lineRule="auto"/>
              <w:ind w:right="159"/>
              <w:jc w:val="right"/>
              <w:rPr>
                <w:rFonts w:ascii="Arial" w:hAnsi="Arial"/>
                <w:sz w:val="15"/>
                <w:szCs w:val="15"/>
              </w:rPr>
            </w:pPr>
            <w:r w:rsidRPr="007C4D9A">
              <w:rPr>
                <w:rFonts w:ascii="Arial" w:hAnsi="Arial"/>
                <w:sz w:val="15"/>
                <w:szCs w:val="15"/>
              </w:rPr>
              <w:t>30.8</w:t>
            </w:r>
          </w:p>
        </w:tc>
        <w:tc>
          <w:tcPr>
            <w:tcW w:w="66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16</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14.0</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76</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27.4</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95</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23.5</w:t>
            </w:r>
          </w:p>
        </w:tc>
        <w:tc>
          <w:tcPr>
            <w:tcW w:w="74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4 258</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17.9</w:t>
            </w:r>
          </w:p>
        </w:tc>
      </w:tr>
      <w:tr w:rsidR="007C4D9A" w:rsidRPr="007C4D9A">
        <w:trPr>
          <w:trHeight w:val="266"/>
        </w:trPr>
        <w:tc>
          <w:tcPr>
            <w:tcW w:w="1859" w:type="dxa"/>
            <w:tcBorders>
              <w:top w:val="nil"/>
              <w:left w:val="nil"/>
              <w:bottom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Mental illness</w:t>
            </w:r>
          </w:p>
        </w:tc>
        <w:tc>
          <w:tcPr>
            <w:tcW w:w="481"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2.6</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20</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7.2</w:t>
            </w:r>
          </w:p>
        </w:tc>
        <w:tc>
          <w:tcPr>
            <w:tcW w:w="64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25</w:t>
            </w:r>
          </w:p>
        </w:tc>
        <w:tc>
          <w:tcPr>
            <w:tcW w:w="61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6.2</w:t>
            </w:r>
          </w:p>
        </w:tc>
        <w:tc>
          <w:tcPr>
            <w:tcW w:w="60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808"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14.3</w:t>
            </w:r>
          </w:p>
        </w:tc>
        <w:tc>
          <w:tcPr>
            <w:tcW w:w="608"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16</w:t>
            </w:r>
          </w:p>
        </w:tc>
        <w:tc>
          <w:tcPr>
            <w:tcW w:w="814"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13.6</w:t>
            </w:r>
          </w:p>
        </w:tc>
        <w:tc>
          <w:tcPr>
            <w:tcW w:w="70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20</w:t>
            </w:r>
          </w:p>
        </w:tc>
        <w:tc>
          <w:tcPr>
            <w:tcW w:w="814" w:type="dxa"/>
            <w:tcBorders>
              <w:top w:val="nil"/>
              <w:left w:val="nil"/>
              <w:bottom w:val="nil"/>
              <w:right w:val="nil"/>
            </w:tcBorders>
            <w:shd w:val="clear" w:color="auto" w:fill="auto"/>
          </w:tcPr>
          <w:p w:rsidR="007C4D9A" w:rsidRPr="007C4D9A" w:rsidRDefault="007C4D9A" w:rsidP="00353431">
            <w:pPr>
              <w:spacing w:before="0" w:line="240" w:lineRule="auto"/>
              <w:ind w:right="159"/>
              <w:jc w:val="right"/>
              <w:rPr>
                <w:rFonts w:ascii="Arial" w:hAnsi="Arial"/>
                <w:sz w:val="15"/>
                <w:szCs w:val="15"/>
              </w:rPr>
            </w:pPr>
            <w:r w:rsidRPr="007C4D9A">
              <w:rPr>
                <w:rFonts w:ascii="Arial" w:hAnsi="Arial"/>
                <w:sz w:val="15"/>
                <w:szCs w:val="15"/>
              </w:rPr>
              <w:t>13.7</w:t>
            </w:r>
          </w:p>
        </w:tc>
        <w:tc>
          <w:tcPr>
            <w:tcW w:w="66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5.3</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36</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13.0</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45</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11.1</w:t>
            </w:r>
          </w:p>
        </w:tc>
        <w:tc>
          <w:tcPr>
            <w:tcW w:w="74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2 305</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9.7</w:t>
            </w:r>
          </w:p>
        </w:tc>
      </w:tr>
      <w:tr w:rsidR="007C4D9A" w:rsidRPr="007C4D9A">
        <w:trPr>
          <w:trHeight w:val="266"/>
        </w:trPr>
        <w:tc>
          <w:tcPr>
            <w:tcW w:w="1859" w:type="dxa"/>
            <w:tcBorders>
              <w:top w:val="nil"/>
              <w:left w:val="nil"/>
              <w:bottom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Physical</w:t>
            </w:r>
          </w:p>
        </w:tc>
        <w:tc>
          <w:tcPr>
            <w:tcW w:w="481"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5.3</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59</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21.3</w:t>
            </w:r>
          </w:p>
        </w:tc>
        <w:tc>
          <w:tcPr>
            <w:tcW w:w="64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69</w:t>
            </w:r>
          </w:p>
        </w:tc>
        <w:tc>
          <w:tcPr>
            <w:tcW w:w="61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17.1</w:t>
            </w:r>
          </w:p>
        </w:tc>
        <w:tc>
          <w:tcPr>
            <w:tcW w:w="60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w:t>
            </w:r>
          </w:p>
        </w:tc>
        <w:tc>
          <w:tcPr>
            <w:tcW w:w="808"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4.8</w:t>
            </w:r>
          </w:p>
        </w:tc>
        <w:tc>
          <w:tcPr>
            <w:tcW w:w="608"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22</w:t>
            </w:r>
          </w:p>
        </w:tc>
        <w:tc>
          <w:tcPr>
            <w:tcW w:w="814"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18.6</w:t>
            </w:r>
          </w:p>
        </w:tc>
        <w:tc>
          <w:tcPr>
            <w:tcW w:w="70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24</w:t>
            </w:r>
          </w:p>
        </w:tc>
        <w:tc>
          <w:tcPr>
            <w:tcW w:w="814" w:type="dxa"/>
            <w:tcBorders>
              <w:top w:val="nil"/>
              <w:left w:val="nil"/>
              <w:bottom w:val="nil"/>
              <w:right w:val="nil"/>
            </w:tcBorders>
            <w:shd w:val="clear" w:color="auto" w:fill="auto"/>
          </w:tcPr>
          <w:p w:rsidR="007C4D9A" w:rsidRPr="007C4D9A" w:rsidRDefault="007C4D9A" w:rsidP="00353431">
            <w:pPr>
              <w:spacing w:before="0" w:line="240" w:lineRule="auto"/>
              <w:ind w:right="159"/>
              <w:jc w:val="right"/>
              <w:rPr>
                <w:rFonts w:ascii="Arial" w:hAnsi="Arial"/>
                <w:sz w:val="15"/>
                <w:szCs w:val="15"/>
              </w:rPr>
            </w:pPr>
            <w:r w:rsidRPr="007C4D9A">
              <w:rPr>
                <w:rFonts w:ascii="Arial" w:hAnsi="Arial"/>
                <w:sz w:val="15"/>
                <w:szCs w:val="15"/>
              </w:rPr>
              <w:t>16.4</w:t>
            </w:r>
          </w:p>
        </w:tc>
        <w:tc>
          <w:tcPr>
            <w:tcW w:w="66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7</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6.1</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81</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29.2</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93</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23.0</w:t>
            </w:r>
          </w:p>
        </w:tc>
        <w:tc>
          <w:tcPr>
            <w:tcW w:w="74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3 313</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14.0</w:t>
            </w:r>
          </w:p>
        </w:tc>
      </w:tr>
      <w:tr w:rsidR="007C4D9A" w:rsidRPr="007C4D9A">
        <w:trPr>
          <w:trHeight w:val="266"/>
        </w:trPr>
        <w:tc>
          <w:tcPr>
            <w:tcW w:w="1859" w:type="dxa"/>
            <w:tcBorders>
              <w:top w:val="nil"/>
              <w:left w:val="nil"/>
              <w:bottom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Other</w:t>
            </w:r>
          </w:p>
        </w:tc>
        <w:tc>
          <w:tcPr>
            <w:tcW w:w="481"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0.9</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0.7</w:t>
            </w:r>
          </w:p>
        </w:tc>
        <w:tc>
          <w:tcPr>
            <w:tcW w:w="64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61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0.7</w:t>
            </w:r>
          </w:p>
        </w:tc>
        <w:tc>
          <w:tcPr>
            <w:tcW w:w="60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w:t>
            </w:r>
          </w:p>
        </w:tc>
        <w:tc>
          <w:tcPr>
            <w:tcW w:w="808"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19.0</w:t>
            </w:r>
          </w:p>
        </w:tc>
        <w:tc>
          <w:tcPr>
            <w:tcW w:w="608"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814" w:type="dxa"/>
            <w:tcBorders>
              <w:top w:val="nil"/>
              <w:left w:val="nil"/>
              <w:bottom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2.5</w:t>
            </w:r>
          </w:p>
        </w:tc>
        <w:tc>
          <w:tcPr>
            <w:tcW w:w="70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7</w:t>
            </w:r>
          </w:p>
        </w:tc>
        <w:tc>
          <w:tcPr>
            <w:tcW w:w="814" w:type="dxa"/>
            <w:tcBorders>
              <w:top w:val="nil"/>
              <w:left w:val="nil"/>
              <w:bottom w:val="nil"/>
              <w:right w:val="nil"/>
            </w:tcBorders>
            <w:shd w:val="clear" w:color="auto" w:fill="auto"/>
          </w:tcPr>
          <w:p w:rsidR="007C4D9A" w:rsidRPr="007C4D9A" w:rsidRDefault="007C4D9A" w:rsidP="00353431">
            <w:pPr>
              <w:spacing w:before="0" w:line="240" w:lineRule="auto"/>
              <w:ind w:right="159"/>
              <w:jc w:val="right"/>
              <w:rPr>
                <w:rFonts w:ascii="Arial" w:hAnsi="Arial"/>
                <w:sz w:val="15"/>
                <w:szCs w:val="15"/>
              </w:rPr>
            </w:pPr>
            <w:r w:rsidRPr="007C4D9A">
              <w:rPr>
                <w:rFonts w:ascii="Arial" w:hAnsi="Arial"/>
                <w:sz w:val="15"/>
                <w:szCs w:val="15"/>
              </w:rPr>
              <w:t>4.8</w:t>
            </w:r>
          </w:p>
        </w:tc>
        <w:tc>
          <w:tcPr>
            <w:tcW w:w="669"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4.4</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5</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1.8</w:t>
            </w:r>
          </w:p>
        </w:tc>
        <w:tc>
          <w:tcPr>
            <w:tcW w:w="666"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2.5</w:t>
            </w:r>
          </w:p>
        </w:tc>
        <w:tc>
          <w:tcPr>
            <w:tcW w:w="747"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2 582</w:t>
            </w:r>
          </w:p>
        </w:tc>
        <w:tc>
          <w:tcPr>
            <w:tcW w:w="592" w:type="dxa"/>
            <w:tcBorders>
              <w:top w:val="nil"/>
              <w:left w:val="nil"/>
              <w:bottom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10.9</w:t>
            </w:r>
          </w:p>
        </w:tc>
      </w:tr>
      <w:tr w:rsidR="007C4D9A" w:rsidRPr="007C4D9A">
        <w:trPr>
          <w:trHeight w:val="266"/>
        </w:trPr>
        <w:tc>
          <w:tcPr>
            <w:tcW w:w="1859" w:type="dxa"/>
            <w:tcBorders>
              <w:top w:val="nil"/>
              <w:left w:val="nil"/>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Unspecified</w:t>
            </w:r>
          </w:p>
        </w:tc>
        <w:tc>
          <w:tcPr>
            <w:tcW w:w="481"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p>
        </w:tc>
        <w:tc>
          <w:tcPr>
            <w:tcW w:w="592"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w:t>
            </w:r>
          </w:p>
        </w:tc>
        <w:tc>
          <w:tcPr>
            <w:tcW w:w="666"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p>
        </w:tc>
        <w:tc>
          <w:tcPr>
            <w:tcW w:w="592"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w:t>
            </w:r>
          </w:p>
        </w:tc>
        <w:tc>
          <w:tcPr>
            <w:tcW w:w="646"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612"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0.7</w:t>
            </w:r>
          </w:p>
        </w:tc>
        <w:tc>
          <w:tcPr>
            <w:tcW w:w="607"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p>
        </w:tc>
        <w:tc>
          <w:tcPr>
            <w:tcW w:w="808" w:type="dxa"/>
            <w:tcBorders>
              <w:top w:val="nil"/>
              <w:left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w:t>
            </w:r>
          </w:p>
        </w:tc>
        <w:tc>
          <w:tcPr>
            <w:tcW w:w="608"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p>
        </w:tc>
        <w:tc>
          <w:tcPr>
            <w:tcW w:w="814" w:type="dxa"/>
            <w:tcBorders>
              <w:top w:val="nil"/>
              <w:left w:val="nil"/>
              <w:right w:val="nil"/>
            </w:tcBorders>
            <w:shd w:val="clear" w:color="auto" w:fill="auto"/>
          </w:tcPr>
          <w:p w:rsidR="007C4D9A" w:rsidRPr="007C4D9A" w:rsidRDefault="007C4D9A" w:rsidP="00D64C6C">
            <w:pPr>
              <w:spacing w:before="0" w:line="240" w:lineRule="auto"/>
              <w:ind w:right="164"/>
              <w:jc w:val="right"/>
              <w:rPr>
                <w:rFonts w:ascii="Arial" w:hAnsi="Arial"/>
                <w:sz w:val="15"/>
                <w:szCs w:val="15"/>
              </w:rPr>
            </w:pPr>
            <w:r w:rsidRPr="007C4D9A">
              <w:rPr>
                <w:rFonts w:ascii="Arial" w:hAnsi="Arial"/>
                <w:sz w:val="15"/>
                <w:szCs w:val="15"/>
              </w:rPr>
              <w:t>-</w:t>
            </w:r>
          </w:p>
        </w:tc>
        <w:tc>
          <w:tcPr>
            <w:tcW w:w="709"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p>
        </w:tc>
        <w:tc>
          <w:tcPr>
            <w:tcW w:w="814" w:type="dxa"/>
            <w:tcBorders>
              <w:top w:val="nil"/>
              <w:left w:val="nil"/>
              <w:right w:val="nil"/>
            </w:tcBorders>
            <w:shd w:val="clear" w:color="auto" w:fill="auto"/>
          </w:tcPr>
          <w:p w:rsidR="007C4D9A" w:rsidRPr="007C4D9A" w:rsidRDefault="00D24309" w:rsidP="00D24309">
            <w:pPr>
              <w:spacing w:before="0" w:line="240" w:lineRule="auto"/>
              <w:ind w:right="159"/>
              <w:jc w:val="right"/>
              <w:rPr>
                <w:rFonts w:ascii="Arial" w:hAnsi="Arial"/>
                <w:sz w:val="15"/>
                <w:szCs w:val="15"/>
              </w:rPr>
            </w:pPr>
            <w:r>
              <w:rPr>
                <w:rFonts w:ascii="Arial" w:hAnsi="Arial"/>
                <w:sz w:val="15"/>
                <w:szCs w:val="15"/>
              </w:rPr>
              <w:t>-</w:t>
            </w:r>
          </w:p>
        </w:tc>
        <w:tc>
          <w:tcPr>
            <w:tcW w:w="669"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p>
        </w:tc>
        <w:tc>
          <w:tcPr>
            <w:tcW w:w="592"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w:t>
            </w:r>
          </w:p>
        </w:tc>
        <w:tc>
          <w:tcPr>
            <w:tcW w:w="666"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p>
        </w:tc>
        <w:tc>
          <w:tcPr>
            <w:tcW w:w="592"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w:t>
            </w:r>
          </w:p>
        </w:tc>
        <w:tc>
          <w:tcPr>
            <w:tcW w:w="666"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w:t>
            </w:r>
          </w:p>
        </w:tc>
        <w:tc>
          <w:tcPr>
            <w:tcW w:w="592"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0.7</w:t>
            </w:r>
          </w:p>
        </w:tc>
        <w:tc>
          <w:tcPr>
            <w:tcW w:w="747"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927</w:t>
            </w:r>
          </w:p>
        </w:tc>
        <w:tc>
          <w:tcPr>
            <w:tcW w:w="592" w:type="dxa"/>
            <w:tcBorders>
              <w:top w:val="nil"/>
              <w:left w:val="nil"/>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3.9</w:t>
            </w:r>
          </w:p>
        </w:tc>
      </w:tr>
      <w:tr w:rsidR="007C4D9A" w:rsidRPr="007C4D9A">
        <w:trPr>
          <w:trHeight w:val="266"/>
        </w:trPr>
        <w:tc>
          <w:tcPr>
            <w:tcW w:w="1859" w:type="dxa"/>
            <w:tcBorders>
              <w:top w:val="nil"/>
              <w:left w:val="nil"/>
              <w:bottom w:val="single" w:sz="4" w:space="0" w:color="auto"/>
              <w:right w:val="nil"/>
            </w:tcBorders>
            <w:shd w:val="clear" w:color="auto" w:fill="auto"/>
          </w:tcPr>
          <w:p w:rsidR="007C4D9A" w:rsidRPr="007C4D9A" w:rsidRDefault="007C4D9A" w:rsidP="007C4D9A">
            <w:pPr>
              <w:spacing w:before="0" w:line="240" w:lineRule="auto"/>
              <w:rPr>
                <w:rFonts w:ascii="Arial" w:hAnsi="Arial"/>
                <w:sz w:val="16"/>
                <w:szCs w:val="16"/>
              </w:rPr>
            </w:pPr>
            <w:r w:rsidRPr="007C4D9A">
              <w:rPr>
                <w:rFonts w:ascii="Arial" w:hAnsi="Arial"/>
                <w:sz w:val="16"/>
                <w:szCs w:val="16"/>
              </w:rPr>
              <w:t>Respondents</w:t>
            </w:r>
          </w:p>
        </w:tc>
        <w:tc>
          <w:tcPr>
            <w:tcW w:w="481"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114</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p>
        </w:tc>
        <w:tc>
          <w:tcPr>
            <w:tcW w:w="666"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277</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p>
        </w:tc>
        <w:tc>
          <w:tcPr>
            <w:tcW w:w="646"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404</w:t>
            </w:r>
          </w:p>
        </w:tc>
        <w:tc>
          <w:tcPr>
            <w:tcW w:w="61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p>
        </w:tc>
        <w:tc>
          <w:tcPr>
            <w:tcW w:w="607"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18</w:t>
            </w:r>
          </w:p>
        </w:tc>
        <w:tc>
          <w:tcPr>
            <w:tcW w:w="808"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r w:rsidRPr="007C4D9A">
              <w:rPr>
                <w:rFonts w:ascii="Arial" w:hAnsi="Arial"/>
                <w:sz w:val="15"/>
                <w:szCs w:val="15"/>
                <w:vertAlign w:val="superscript"/>
              </w:rPr>
              <w:t>(c)</w:t>
            </w:r>
          </w:p>
        </w:tc>
        <w:tc>
          <w:tcPr>
            <w:tcW w:w="608"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99</w:t>
            </w:r>
          </w:p>
        </w:tc>
        <w:tc>
          <w:tcPr>
            <w:tcW w:w="814"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r w:rsidRPr="007C4D9A">
              <w:rPr>
                <w:rFonts w:ascii="Arial" w:hAnsi="Arial"/>
                <w:sz w:val="15"/>
                <w:szCs w:val="15"/>
                <w:vertAlign w:val="superscript"/>
              </w:rPr>
              <w:t>(d)</w:t>
            </w:r>
          </w:p>
        </w:tc>
        <w:tc>
          <w:tcPr>
            <w:tcW w:w="709"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122</w:t>
            </w:r>
          </w:p>
        </w:tc>
        <w:tc>
          <w:tcPr>
            <w:tcW w:w="814"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r w:rsidRPr="007C4D9A">
              <w:rPr>
                <w:rFonts w:ascii="Arial" w:hAnsi="Arial"/>
                <w:sz w:val="15"/>
                <w:szCs w:val="15"/>
                <w:vertAlign w:val="superscript"/>
              </w:rPr>
              <w:t>(e)</w:t>
            </w:r>
          </w:p>
        </w:tc>
        <w:tc>
          <w:tcPr>
            <w:tcW w:w="669"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114</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p>
        </w:tc>
        <w:tc>
          <w:tcPr>
            <w:tcW w:w="666"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277</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p>
        </w:tc>
        <w:tc>
          <w:tcPr>
            <w:tcW w:w="666"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404</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p>
        </w:tc>
        <w:tc>
          <w:tcPr>
            <w:tcW w:w="747"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23 723</w:t>
            </w:r>
          </w:p>
        </w:tc>
        <w:tc>
          <w:tcPr>
            <w:tcW w:w="592" w:type="dxa"/>
            <w:tcBorders>
              <w:top w:val="nil"/>
              <w:left w:val="nil"/>
              <w:bottom w:val="single" w:sz="4" w:space="0" w:color="auto"/>
              <w:right w:val="nil"/>
            </w:tcBorders>
            <w:shd w:val="clear" w:color="auto" w:fill="auto"/>
          </w:tcPr>
          <w:p w:rsidR="007C4D9A" w:rsidRPr="007C4D9A" w:rsidRDefault="007C4D9A" w:rsidP="007C4D9A">
            <w:pPr>
              <w:spacing w:before="0" w:line="240" w:lineRule="auto"/>
              <w:jc w:val="right"/>
              <w:rPr>
                <w:rFonts w:ascii="Arial" w:hAnsi="Arial"/>
                <w:sz w:val="15"/>
                <w:szCs w:val="15"/>
              </w:rPr>
            </w:pPr>
            <w:r w:rsidRPr="007C4D9A">
              <w:rPr>
                <w:rFonts w:ascii="Arial" w:hAnsi="Arial"/>
                <w:sz w:val="15"/>
                <w:szCs w:val="15"/>
              </w:rPr>
              <w:t>100.0</w:t>
            </w:r>
          </w:p>
        </w:tc>
      </w:tr>
    </w:tbl>
    <w:p w:rsidR="007C4D9A" w:rsidRDefault="007C4D9A" w:rsidP="008A571B">
      <w:pPr>
        <w:pStyle w:val="Source"/>
        <w:ind w:left="0" w:firstLine="0"/>
      </w:pPr>
    </w:p>
    <w:p w:rsidR="0058673A" w:rsidRDefault="0058673A" w:rsidP="0058673A">
      <w:pPr>
        <w:pStyle w:val="Source"/>
      </w:pPr>
      <w:r w:rsidRPr="00797632">
        <w:t xml:space="preserve">Notes: </w:t>
      </w:r>
      <w:r w:rsidRPr="00797632">
        <w:tab/>
      </w:r>
      <w:r>
        <w:t>Percentages have been rounded.</w:t>
      </w:r>
    </w:p>
    <w:p w:rsidR="00832B79" w:rsidRPr="000538CC" w:rsidRDefault="00832B79" w:rsidP="00832B79">
      <w:pPr>
        <w:pStyle w:val="Source"/>
      </w:pPr>
      <w:r>
        <w:tab/>
        <w:t xml:space="preserve">A dash (-) represents a true zero. </w:t>
      </w:r>
    </w:p>
    <w:p w:rsidR="00CB0F5D" w:rsidRDefault="00CB0F5D" w:rsidP="00832B79">
      <w:pPr>
        <w:pStyle w:val="Source"/>
        <w:ind w:firstLine="0"/>
        <w:rPr>
          <w:vertAlign w:val="superscript"/>
        </w:rPr>
      </w:pPr>
      <w:r>
        <w:rPr>
          <w:vertAlign w:val="superscript"/>
        </w:rPr>
        <w:t>(a</w:t>
      </w:r>
      <w:r w:rsidRPr="00797632">
        <w:rPr>
          <w:vertAlign w:val="superscript"/>
        </w:rPr>
        <w:t>)</w:t>
      </w:r>
      <w:r>
        <w:rPr>
          <w:vertAlign w:val="superscript"/>
        </w:rPr>
        <w:t xml:space="preserve"> </w:t>
      </w:r>
      <w:r>
        <w:t>Includes participants with missing data on apprenticeship or traineeship level.</w:t>
      </w:r>
    </w:p>
    <w:p w:rsidR="008320DB" w:rsidRPr="00492E2D" w:rsidRDefault="00CB0F5D" w:rsidP="00832B79">
      <w:pPr>
        <w:pStyle w:val="Source"/>
        <w:ind w:firstLine="0"/>
      </w:pPr>
      <w:r>
        <w:rPr>
          <w:vertAlign w:val="superscript"/>
        </w:rPr>
        <w:t>(b</w:t>
      </w:r>
      <w:r w:rsidR="008320DB">
        <w:rPr>
          <w:vertAlign w:val="superscript"/>
        </w:rPr>
        <w:t>)</w:t>
      </w:r>
      <w:r w:rsidR="00492E2D">
        <w:rPr>
          <w:vertAlign w:val="superscript"/>
        </w:rPr>
        <w:t xml:space="preserve"> </w:t>
      </w:r>
      <w:r w:rsidR="00492E2D">
        <w:t xml:space="preserve">Source: </w:t>
      </w:r>
      <w:r w:rsidR="004F20F8">
        <w:t xml:space="preserve">2010 National VET Provider Collection, as shown in </w:t>
      </w:r>
      <w:r w:rsidR="00492E2D">
        <w:t>NCVER (2011c)</w:t>
      </w:r>
      <w:r w:rsidR="003B5334">
        <w:t>.</w:t>
      </w:r>
    </w:p>
    <w:p w:rsidR="0058673A" w:rsidRDefault="0058673A" w:rsidP="0058673A">
      <w:pPr>
        <w:pStyle w:val="Source"/>
        <w:ind w:firstLine="0"/>
      </w:pPr>
      <w:r>
        <w:rPr>
          <w:vertAlign w:val="superscript"/>
        </w:rPr>
        <w:t>(</w:t>
      </w:r>
      <w:r w:rsidR="00492E2D">
        <w:rPr>
          <w:vertAlign w:val="superscript"/>
        </w:rPr>
        <w:t>c</w:t>
      </w:r>
      <w:r w:rsidRPr="00E4468B">
        <w:rPr>
          <w:vertAlign w:val="superscript"/>
        </w:rPr>
        <w:t>)</w:t>
      </w:r>
      <w:r>
        <w:rPr>
          <w:vertAlign w:val="superscript"/>
        </w:rPr>
        <w:t xml:space="preserve"> </w:t>
      </w:r>
      <w:r>
        <w:t>An average of 1.17 additional disabilities was reported among the 16% of apprenticeship graduates who declared additional disabilities.</w:t>
      </w:r>
    </w:p>
    <w:p w:rsidR="0058673A" w:rsidRDefault="0058673A" w:rsidP="0058673A">
      <w:pPr>
        <w:pStyle w:val="Source"/>
        <w:ind w:firstLine="0"/>
      </w:pPr>
      <w:r>
        <w:rPr>
          <w:vertAlign w:val="superscript"/>
        </w:rPr>
        <w:t>(</w:t>
      </w:r>
      <w:r w:rsidR="00492E2D">
        <w:rPr>
          <w:vertAlign w:val="superscript"/>
        </w:rPr>
        <w:t>d</w:t>
      </w:r>
      <w:r w:rsidRPr="00E4468B">
        <w:rPr>
          <w:vertAlign w:val="superscript"/>
        </w:rPr>
        <w:t>)</w:t>
      </w:r>
      <w:r>
        <w:rPr>
          <w:vertAlign w:val="superscript"/>
        </w:rPr>
        <w:t xml:space="preserve"> </w:t>
      </w:r>
      <w:r>
        <w:t>An average of 1.19 additional disabilities was reported among the 36% of traineeship graduates who declared additional disabilities.</w:t>
      </w:r>
    </w:p>
    <w:p w:rsidR="0058673A" w:rsidRDefault="0058673A" w:rsidP="0058673A">
      <w:pPr>
        <w:pStyle w:val="Source"/>
        <w:ind w:firstLine="0"/>
      </w:pPr>
      <w:r>
        <w:rPr>
          <w:vertAlign w:val="superscript"/>
        </w:rPr>
        <w:t>(</w:t>
      </w:r>
      <w:r w:rsidR="00492E2D">
        <w:rPr>
          <w:vertAlign w:val="superscript"/>
        </w:rPr>
        <w:t>e</w:t>
      </w:r>
      <w:r w:rsidRPr="00E4468B">
        <w:rPr>
          <w:vertAlign w:val="superscript"/>
        </w:rPr>
        <w:t>)</w:t>
      </w:r>
      <w:r>
        <w:rPr>
          <w:vertAlign w:val="superscript"/>
        </w:rPr>
        <w:t xml:space="preserve"> </w:t>
      </w:r>
      <w:r>
        <w:t>An average of 1.20 additional disabilities was reported among the 30% of graduates who declared additional disabilities.</w:t>
      </w:r>
    </w:p>
    <w:p w:rsidR="0058673A" w:rsidRDefault="0058673A" w:rsidP="005B61C7">
      <w:pPr>
        <w:pStyle w:val="Text"/>
        <w:rPr>
          <w:highlight w:val="yellow"/>
        </w:rPr>
      </w:pPr>
    </w:p>
    <w:p w:rsidR="0058673A" w:rsidRDefault="0058673A" w:rsidP="005B61C7">
      <w:pPr>
        <w:pStyle w:val="Text"/>
        <w:rPr>
          <w:highlight w:val="yellow"/>
        </w:rPr>
        <w:sectPr w:rsidR="0058673A">
          <w:footerReference w:type="even" r:id="rId15"/>
          <w:footerReference w:type="default" r:id="rId16"/>
          <w:pgSz w:w="16840" w:h="11907" w:orient="landscape" w:code="9"/>
          <w:pgMar w:top="1418" w:right="1276" w:bottom="1701" w:left="1276" w:header="709" w:footer="556" w:gutter="0"/>
          <w:cols w:space="708"/>
          <w:docGrid w:linePitch="360"/>
        </w:sectPr>
      </w:pPr>
    </w:p>
    <w:p w:rsidR="005750D7" w:rsidRDefault="00F70E50" w:rsidP="005750D7">
      <w:pPr>
        <w:pStyle w:val="Heading1"/>
      </w:pPr>
      <w:bookmarkStart w:id="48" w:name="_Toc350259306"/>
      <w:r>
        <w:lastRenderedPageBreak/>
        <w:t>Apprenticeships and traineeships</w:t>
      </w:r>
      <w:bookmarkEnd w:id="48"/>
    </w:p>
    <w:p w:rsidR="00402DD8" w:rsidRDefault="00402DD8" w:rsidP="00402DD8">
      <w:pPr>
        <w:pStyle w:val="Heading2"/>
      </w:pPr>
      <w:bookmarkStart w:id="49" w:name="_Toc350259307"/>
      <w:r>
        <w:t>Educational and training background</w:t>
      </w:r>
      <w:bookmarkEnd w:id="49"/>
    </w:p>
    <w:p w:rsidR="00402DD8" w:rsidRDefault="00402DD8" w:rsidP="00402DD8">
      <w:pPr>
        <w:pStyle w:val="Text"/>
      </w:pPr>
      <w:r>
        <w:t xml:space="preserve">Table 4 </w:t>
      </w:r>
      <w:r w:rsidR="003B5334">
        <w:t>indicates</w:t>
      </w:r>
      <w:r>
        <w:t xml:space="preserve"> participants’ highest level of high school; level of certificate completed; full- or part-time status; and VET in </w:t>
      </w:r>
      <w:r w:rsidR="00CB0F5D">
        <w:t>School</w:t>
      </w:r>
      <w:r w:rsidRPr="00984F77">
        <w:t xml:space="preserve"> status for their apprenticeships and traineeships. Half of the research participants </w:t>
      </w:r>
      <w:r>
        <w:t xml:space="preserve">had </w:t>
      </w:r>
      <w:r w:rsidR="003F09C8">
        <w:t>completed Y</w:t>
      </w:r>
      <w:r w:rsidRPr="00984F77">
        <w:t>ear 12 (48.9% of participants with disabilities and 50.0% of participants in the comparison group).</w:t>
      </w:r>
    </w:p>
    <w:p w:rsidR="00402DD8" w:rsidRPr="001F0F87" w:rsidRDefault="00402DD8" w:rsidP="00402DD8">
      <w:pPr>
        <w:pStyle w:val="tabletitle"/>
      </w:pPr>
      <w:bookmarkStart w:id="50" w:name="_Toc350259528"/>
      <w:r w:rsidRPr="00010407">
        <w:t>Table 4</w:t>
      </w:r>
      <w:r w:rsidRPr="003B0172">
        <w:tab/>
        <w:t xml:space="preserve">High school, </w:t>
      </w:r>
      <w:r w:rsidR="003F09C8">
        <w:t>certificate level, full-</w:t>
      </w:r>
      <w:r w:rsidR="003B5334">
        <w:t>time status</w:t>
      </w:r>
      <w:r>
        <w:t xml:space="preserve"> and VET</w:t>
      </w:r>
      <w:r w:rsidR="00CB0F5D">
        <w:t xml:space="preserve"> in Schools</w:t>
      </w:r>
      <w:bookmarkEnd w:id="5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3"/>
        <w:gridCol w:w="1275"/>
        <w:gridCol w:w="1266"/>
        <w:gridCol w:w="1266"/>
        <w:gridCol w:w="1266"/>
        <w:gridCol w:w="1266"/>
        <w:gridCol w:w="1266"/>
        <w:gridCol w:w="1268"/>
      </w:tblGrid>
      <w:tr w:rsidR="00402DD8" w:rsidRPr="001C32FA">
        <w:trPr>
          <w:trHeight w:val="190"/>
        </w:trPr>
        <w:tc>
          <w:tcPr>
            <w:tcW w:w="150" w:type="pct"/>
            <w:tcBorders>
              <w:top w:val="single" w:sz="4" w:space="0" w:color="auto"/>
            </w:tcBorders>
          </w:tcPr>
          <w:p w:rsidR="00402DD8" w:rsidRPr="001C32FA" w:rsidRDefault="00402DD8" w:rsidP="00402DD8">
            <w:pPr>
              <w:pStyle w:val="Tablehead1"/>
              <w:jc w:val="center"/>
              <w:rPr>
                <w:bCs/>
              </w:rPr>
            </w:pPr>
          </w:p>
        </w:tc>
        <w:tc>
          <w:tcPr>
            <w:tcW w:w="697" w:type="pct"/>
            <w:tcBorders>
              <w:top w:val="single" w:sz="4" w:space="0" w:color="auto"/>
            </w:tcBorders>
          </w:tcPr>
          <w:p w:rsidR="00402DD8" w:rsidRPr="001C32FA" w:rsidRDefault="00402DD8" w:rsidP="00402DD8">
            <w:pPr>
              <w:pStyle w:val="Tablehead1"/>
              <w:jc w:val="center"/>
              <w:rPr>
                <w:bCs/>
              </w:rPr>
            </w:pPr>
          </w:p>
        </w:tc>
        <w:tc>
          <w:tcPr>
            <w:tcW w:w="2076" w:type="pct"/>
            <w:gridSpan w:val="3"/>
            <w:tcBorders>
              <w:top w:val="single" w:sz="4" w:space="0" w:color="auto"/>
            </w:tcBorders>
          </w:tcPr>
          <w:p w:rsidR="00402DD8" w:rsidRPr="004D192B" w:rsidRDefault="00402DD8" w:rsidP="00402DD8">
            <w:pPr>
              <w:pStyle w:val="Tablehead1"/>
              <w:jc w:val="center"/>
              <w:rPr>
                <w:bCs/>
              </w:rPr>
            </w:pPr>
            <w:r>
              <w:rPr>
                <w:bCs/>
              </w:rPr>
              <w:t>Disability group (DG)</w:t>
            </w:r>
          </w:p>
        </w:tc>
        <w:tc>
          <w:tcPr>
            <w:tcW w:w="2077" w:type="pct"/>
            <w:gridSpan w:val="3"/>
            <w:tcBorders>
              <w:top w:val="single" w:sz="4" w:space="0" w:color="auto"/>
            </w:tcBorders>
          </w:tcPr>
          <w:p w:rsidR="00402DD8" w:rsidRPr="001C32FA" w:rsidRDefault="00402DD8" w:rsidP="00402DD8">
            <w:pPr>
              <w:pStyle w:val="Tablehead1"/>
              <w:jc w:val="center"/>
              <w:rPr>
                <w:bCs/>
              </w:rPr>
            </w:pPr>
            <w:r>
              <w:rPr>
                <w:bCs/>
              </w:rPr>
              <w:t>Comparison group (CG)</w:t>
            </w:r>
          </w:p>
        </w:tc>
      </w:tr>
      <w:tr w:rsidR="00402DD8" w:rsidRPr="001C32FA">
        <w:trPr>
          <w:trHeight w:val="190"/>
        </w:trPr>
        <w:tc>
          <w:tcPr>
            <w:tcW w:w="150" w:type="pct"/>
            <w:vMerge w:val="restart"/>
          </w:tcPr>
          <w:p w:rsidR="00402DD8" w:rsidRPr="00E748CC" w:rsidRDefault="00402DD8" w:rsidP="00402DD8">
            <w:pPr>
              <w:pStyle w:val="Tablehead1"/>
              <w:jc w:val="center"/>
              <w:rPr>
                <w:bCs/>
              </w:rPr>
            </w:pPr>
          </w:p>
        </w:tc>
        <w:tc>
          <w:tcPr>
            <w:tcW w:w="697" w:type="pct"/>
            <w:vMerge w:val="restart"/>
          </w:tcPr>
          <w:p w:rsidR="00402DD8" w:rsidRPr="00E748CC" w:rsidRDefault="00402DD8" w:rsidP="00402DD8">
            <w:pPr>
              <w:pStyle w:val="Tablehead1"/>
              <w:jc w:val="center"/>
              <w:rPr>
                <w:bCs/>
              </w:rPr>
            </w:pPr>
          </w:p>
        </w:tc>
        <w:tc>
          <w:tcPr>
            <w:tcW w:w="692" w:type="pct"/>
          </w:tcPr>
          <w:p w:rsidR="00402DD8" w:rsidRPr="00E748CC" w:rsidRDefault="00402DD8" w:rsidP="00FC5C47">
            <w:pPr>
              <w:pStyle w:val="Tablehead2"/>
              <w:jc w:val="right"/>
              <w:rPr>
                <w:bCs/>
              </w:rPr>
            </w:pPr>
            <w:r w:rsidRPr="00E748CC">
              <w:rPr>
                <w:bCs/>
              </w:rPr>
              <w:t>Apprentices</w:t>
            </w:r>
          </w:p>
        </w:tc>
        <w:tc>
          <w:tcPr>
            <w:tcW w:w="692" w:type="pct"/>
          </w:tcPr>
          <w:p w:rsidR="00402DD8" w:rsidRPr="001C32FA" w:rsidRDefault="00402DD8" w:rsidP="00FC5C47">
            <w:pPr>
              <w:pStyle w:val="Tablehead2"/>
              <w:jc w:val="right"/>
              <w:rPr>
                <w:bCs/>
              </w:rPr>
            </w:pPr>
            <w:r w:rsidRPr="001C32FA">
              <w:rPr>
                <w:bCs/>
              </w:rPr>
              <w:t>Trainees</w:t>
            </w:r>
          </w:p>
        </w:tc>
        <w:tc>
          <w:tcPr>
            <w:tcW w:w="692" w:type="pct"/>
          </w:tcPr>
          <w:p w:rsidR="00402DD8" w:rsidRPr="001C32FA" w:rsidRDefault="00402DD8" w:rsidP="00FC5C47">
            <w:pPr>
              <w:pStyle w:val="Tablehead2"/>
              <w:jc w:val="right"/>
              <w:rPr>
                <w:bCs/>
              </w:rPr>
            </w:pPr>
            <w:r>
              <w:rPr>
                <w:bCs/>
              </w:rPr>
              <w:t>All DG</w:t>
            </w:r>
            <w:r w:rsidRPr="001C32FA">
              <w:rPr>
                <w:bCs/>
                <w:vertAlign w:val="superscript"/>
              </w:rPr>
              <w:t>(a)</w:t>
            </w:r>
          </w:p>
        </w:tc>
        <w:tc>
          <w:tcPr>
            <w:tcW w:w="692" w:type="pct"/>
          </w:tcPr>
          <w:p w:rsidR="00402DD8" w:rsidRPr="001C32FA" w:rsidRDefault="00402DD8" w:rsidP="00FC5C47">
            <w:pPr>
              <w:pStyle w:val="Tablehead2"/>
              <w:jc w:val="right"/>
              <w:rPr>
                <w:bCs/>
              </w:rPr>
            </w:pPr>
            <w:r w:rsidRPr="001C32FA">
              <w:rPr>
                <w:bCs/>
              </w:rPr>
              <w:t>Apprentices</w:t>
            </w:r>
          </w:p>
        </w:tc>
        <w:tc>
          <w:tcPr>
            <w:tcW w:w="692" w:type="pct"/>
          </w:tcPr>
          <w:p w:rsidR="00402DD8" w:rsidRPr="001C32FA" w:rsidRDefault="00402DD8" w:rsidP="00FC5C47">
            <w:pPr>
              <w:pStyle w:val="Tablehead2"/>
              <w:jc w:val="right"/>
              <w:rPr>
                <w:bCs/>
              </w:rPr>
            </w:pPr>
            <w:r w:rsidRPr="001C32FA">
              <w:rPr>
                <w:bCs/>
              </w:rPr>
              <w:t>Trainees</w:t>
            </w:r>
          </w:p>
        </w:tc>
        <w:tc>
          <w:tcPr>
            <w:tcW w:w="693" w:type="pct"/>
          </w:tcPr>
          <w:p w:rsidR="00402DD8" w:rsidRPr="001C32FA" w:rsidRDefault="00402DD8" w:rsidP="00FC5C47">
            <w:pPr>
              <w:pStyle w:val="Tablehead2"/>
              <w:jc w:val="right"/>
              <w:rPr>
                <w:bCs/>
              </w:rPr>
            </w:pPr>
            <w:r>
              <w:rPr>
                <w:bCs/>
              </w:rPr>
              <w:t>Al</w:t>
            </w:r>
            <w:r w:rsidRPr="001C32FA">
              <w:rPr>
                <w:bCs/>
              </w:rPr>
              <w:t>l</w:t>
            </w:r>
            <w:r>
              <w:rPr>
                <w:bCs/>
              </w:rPr>
              <w:t xml:space="preserve"> CG</w:t>
            </w:r>
          </w:p>
        </w:tc>
      </w:tr>
      <w:tr w:rsidR="00402DD8" w:rsidRPr="00862AF9">
        <w:trPr>
          <w:trHeight w:val="190"/>
        </w:trPr>
        <w:tc>
          <w:tcPr>
            <w:tcW w:w="150" w:type="pct"/>
            <w:vMerge/>
            <w:tcBorders>
              <w:bottom w:val="single" w:sz="4" w:space="0" w:color="auto"/>
            </w:tcBorders>
          </w:tcPr>
          <w:p w:rsidR="00402DD8" w:rsidRPr="00E748CC" w:rsidRDefault="00402DD8" w:rsidP="00402DD8">
            <w:pPr>
              <w:pStyle w:val="Tablehead2"/>
            </w:pPr>
          </w:p>
        </w:tc>
        <w:tc>
          <w:tcPr>
            <w:tcW w:w="697" w:type="pct"/>
            <w:vMerge/>
            <w:tcBorders>
              <w:bottom w:val="single" w:sz="4" w:space="0" w:color="auto"/>
            </w:tcBorders>
          </w:tcPr>
          <w:p w:rsidR="00402DD8" w:rsidRPr="00E748CC" w:rsidRDefault="00402DD8" w:rsidP="00402DD8">
            <w:pPr>
              <w:pStyle w:val="Tablehead2"/>
            </w:pPr>
          </w:p>
        </w:tc>
        <w:tc>
          <w:tcPr>
            <w:tcW w:w="692" w:type="pct"/>
            <w:tcBorders>
              <w:bottom w:val="single" w:sz="4" w:space="0" w:color="auto"/>
            </w:tcBorders>
          </w:tcPr>
          <w:p w:rsidR="00402DD8" w:rsidRPr="00E748CC" w:rsidRDefault="00402DD8" w:rsidP="00FC5C47">
            <w:pPr>
              <w:pStyle w:val="Tablehead2"/>
              <w:jc w:val="right"/>
            </w:pPr>
            <w:proofErr w:type="gramStart"/>
            <w:r w:rsidRPr="00E748CC">
              <w:t>n</w:t>
            </w:r>
            <w:proofErr w:type="gramEnd"/>
            <w:r w:rsidR="008A571B">
              <w:t xml:space="preserve">      </w:t>
            </w:r>
            <w:r w:rsidRPr="00E748CC">
              <w:t xml:space="preserve"> (%)</w:t>
            </w:r>
          </w:p>
        </w:tc>
        <w:tc>
          <w:tcPr>
            <w:tcW w:w="692" w:type="pct"/>
            <w:tcBorders>
              <w:bottom w:val="single" w:sz="4" w:space="0" w:color="auto"/>
            </w:tcBorders>
          </w:tcPr>
          <w:p w:rsidR="00402DD8" w:rsidRPr="00862AF9" w:rsidRDefault="00402DD8" w:rsidP="00FC5C47">
            <w:pPr>
              <w:pStyle w:val="Tablehead2"/>
              <w:jc w:val="right"/>
            </w:pPr>
            <w:proofErr w:type="gramStart"/>
            <w:r>
              <w:t>n</w:t>
            </w:r>
            <w:proofErr w:type="gramEnd"/>
            <w:r w:rsidR="008A571B">
              <w:t xml:space="preserve">      </w:t>
            </w:r>
            <w:r>
              <w:t xml:space="preserve"> (%)</w:t>
            </w:r>
          </w:p>
        </w:tc>
        <w:tc>
          <w:tcPr>
            <w:tcW w:w="692" w:type="pct"/>
            <w:tcBorders>
              <w:bottom w:val="single" w:sz="4" w:space="0" w:color="auto"/>
            </w:tcBorders>
          </w:tcPr>
          <w:p w:rsidR="00402DD8" w:rsidRPr="00862AF9" w:rsidRDefault="00402DD8" w:rsidP="00FC5C47">
            <w:pPr>
              <w:pStyle w:val="Tablehead2"/>
              <w:jc w:val="right"/>
            </w:pPr>
            <w:proofErr w:type="gramStart"/>
            <w:r>
              <w:t>n</w:t>
            </w:r>
            <w:proofErr w:type="gramEnd"/>
            <w:r w:rsidR="008A571B">
              <w:t xml:space="preserve">     </w:t>
            </w:r>
            <w:r>
              <w:t xml:space="preserve"> (%)</w:t>
            </w:r>
          </w:p>
        </w:tc>
        <w:tc>
          <w:tcPr>
            <w:tcW w:w="692" w:type="pct"/>
            <w:tcBorders>
              <w:bottom w:val="single" w:sz="4" w:space="0" w:color="auto"/>
            </w:tcBorders>
          </w:tcPr>
          <w:p w:rsidR="00402DD8" w:rsidRPr="00862AF9" w:rsidRDefault="00402DD8" w:rsidP="00FC5C47">
            <w:pPr>
              <w:pStyle w:val="Tablehead2"/>
              <w:jc w:val="right"/>
            </w:pPr>
            <w:proofErr w:type="gramStart"/>
            <w:r>
              <w:t>n</w:t>
            </w:r>
            <w:proofErr w:type="gramEnd"/>
            <w:r w:rsidR="008A571B">
              <w:t xml:space="preserve">     </w:t>
            </w:r>
            <w:r>
              <w:t xml:space="preserve"> (%)</w:t>
            </w:r>
          </w:p>
        </w:tc>
        <w:tc>
          <w:tcPr>
            <w:tcW w:w="692" w:type="pct"/>
            <w:tcBorders>
              <w:bottom w:val="single" w:sz="4" w:space="0" w:color="auto"/>
            </w:tcBorders>
          </w:tcPr>
          <w:p w:rsidR="00402DD8" w:rsidRPr="00862AF9" w:rsidRDefault="00402DD8" w:rsidP="00FC5C47">
            <w:pPr>
              <w:pStyle w:val="Tablehead2"/>
              <w:jc w:val="right"/>
            </w:pPr>
            <w:proofErr w:type="gramStart"/>
            <w:r>
              <w:t>n</w:t>
            </w:r>
            <w:proofErr w:type="gramEnd"/>
            <w:r w:rsidR="008A571B">
              <w:t xml:space="preserve">      </w:t>
            </w:r>
            <w:r>
              <w:t xml:space="preserve"> (%)</w:t>
            </w:r>
          </w:p>
        </w:tc>
        <w:tc>
          <w:tcPr>
            <w:tcW w:w="693" w:type="pct"/>
            <w:tcBorders>
              <w:bottom w:val="single" w:sz="4" w:space="0" w:color="auto"/>
            </w:tcBorders>
          </w:tcPr>
          <w:p w:rsidR="00402DD8" w:rsidRPr="00862AF9" w:rsidRDefault="00402DD8" w:rsidP="00FC5C47">
            <w:pPr>
              <w:pStyle w:val="Tablehead2"/>
              <w:jc w:val="right"/>
            </w:pPr>
            <w:proofErr w:type="gramStart"/>
            <w:r>
              <w:t>n</w:t>
            </w:r>
            <w:proofErr w:type="gramEnd"/>
            <w:r w:rsidR="008A571B">
              <w:t xml:space="preserve">      </w:t>
            </w:r>
            <w:r>
              <w:t xml:space="preserve"> (%)</w:t>
            </w:r>
          </w:p>
        </w:tc>
      </w:tr>
      <w:tr w:rsidR="00402DD8" w:rsidRPr="00862AF9">
        <w:tc>
          <w:tcPr>
            <w:tcW w:w="847" w:type="pct"/>
            <w:gridSpan w:val="2"/>
            <w:tcBorders>
              <w:top w:val="single" w:sz="4" w:space="0" w:color="auto"/>
            </w:tcBorders>
          </w:tcPr>
          <w:p w:rsidR="00402DD8" w:rsidRPr="001B42BF" w:rsidRDefault="00402DD8" w:rsidP="00402DD8">
            <w:pPr>
              <w:pStyle w:val="Tablehead3"/>
            </w:pPr>
            <w:r>
              <w:t>H</w:t>
            </w:r>
            <w:r w:rsidRPr="001B42BF">
              <w:t>igh school</w:t>
            </w:r>
          </w:p>
        </w:tc>
        <w:tc>
          <w:tcPr>
            <w:tcW w:w="692" w:type="pct"/>
            <w:tcBorders>
              <w:top w:val="single" w:sz="4" w:space="0" w:color="auto"/>
            </w:tcBorders>
          </w:tcPr>
          <w:p w:rsidR="00402DD8" w:rsidRPr="001B42BF" w:rsidRDefault="00402DD8" w:rsidP="00402DD8">
            <w:pPr>
              <w:pStyle w:val="Tablehead3"/>
              <w:jc w:val="center"/>
            </w:pPr>
          </w:p>
        </w:tc>
        <w:tc>
          <w:tcPr>
            <w:tcW w:w="692" w:type="pct"/>
            <w:tcBorders>
              <w:top w:val="single" w:sz="4" w:space="0" w:color="auto"/>
            </w:tcBorders>
          </w:tcPr>
          <w:p w:rsidR="00402DD8" w:rsidRPr="001B42BF" w:rsidRDefault="00402DD8" w:rsidP="00402DD8">
            <w:pPr>
              <w:pStyle w:val="Tablehead3"/>
              <w:jc w:val="center"/>
            </w:pPr>
          </w:p>
        </w:tc>
        <w:tc>
          <w:tcPr>
            <w:tcW w:w="692" w:type="pct"/>
            <w:tcBorders>
              <w:top w:val="single" w:sz="4" w:space="0" w:color="auto"/>
            </w:tcBorders>
          </w:tcPr>
          <w:p w:rsidR="00402DD8" w:rsidRPr="004D192B" w:rsidRDefault="00402DD8" w:rsidP="00402DD8">
            <w:pPr>
              <w:pStyle w:val="Tablehead3"/>
              <w:jc w:val="center"/>
              <w:rPr>
                <w:highlight w:val="yellow"/>
              </w:rPr>
            </w:pPr>
          </w:p>
        </w:tc>
        <w:tc>
          <w:tcPr>
            <w:tcW w:w="692" w:type="pct"/>
            <w:tcBorders>
              <w:top w:val="single" w:sz="4" w:space="0" w:color="auto"/>
            </w:tcBorders>
          </w:tcPr>
          <w:p w:rsidR="00402DD8" w:rsidRPr="00515E4B" w:rsidRDefault="00402DD8" w:rsidP="00402DD8">
            <w:pPr>
              <w:pStyle w:val="Tablehead3"/>
              <w:jc w:val="center"/>
            </w:pPr>
          </w:p>
        </w:tc>
        <w:tc>
          <w:tcPr>
            <w:tcW w:w="692" w:type="pct"/>
            <w:tcBorders>
              <w:top w:val="single" w:sz="4" w:space="0" w:color="auto"/>
            </w:tcBorders>
          </w:tcPr>
          <w:p w:rsidR="00402DD8" w:rsidRPr="00862AF9" w:rsidRDefault="00402DD8" w:rsidP="00402DD8">
            <w:pPr>
              <w:pStyle w:val="Tablehead3"/>
              <w:jc w:val="center"/>
            </w:pPr>
          </w:p>
        </w:tc>
        <w:tc>
          <w:tcPr>
            <w:tcW w:w="693" w:type="pct"/>
            <w:tcBorders>
              <w:top w:val="single" w:sz="4" w:space="0" w:color="auto"/>
            </w:tcBorders>
          </w:tcPr>
          <w:p w:rsidR="00402DD8" w:rsidRPr="00862AF9" w:rsidRDefault="00402DD8" w:rsidP="00402DD8">
            <w:pPr>
              <w:pStyle w:val="Tablehead3"/>
              <w:jc w:val="center"/>
            </w:pPr>
          </w:p>
        </w:tc>
      </w:tr>
      <w:tr w:rsidR="00402DD8" w:rsidRPr="00862AF9">
        <w:tc>
          <w:tcPr>
            <w:tcW w:w="150" w:type="pct"/>
          </w:tcPr>
          <w:p w:rsidR="00402DD8" w:rsidRPr="001B42BF" w:rsidRDefault="00402DD8" w:rsidP="00402DD8">
            <w:pPr>
              <w:pStyle w:val="Tabletext"/>
            </w:pPr>
          </w:p>
        </w:tc>
        <w:tc>
          <w:tcPr>
            <w:tcW w:w="697" w:type="pct"/>
          </w:tcPr>
          <w:p w:rsidR="00402DD8" w:rsidRPr="001B42BF" w:rsidRDefault="00402DD8" w:rsidP="00402DD8">
            <w:pPr>
              <w:pStyle w:val="Tabletext"/>
            </w:pPr>
            <w:r w:rsidRPr="001B42BF">
              <w:t>Year 9 or below</w:t>
            </w:r>
          </w:p>
        </w:tc>
        <w:tc>
          <w:tcPr>
            <w:tcW w:w="692" w:type="pct"/>
          </w:tcPr>
          <w:p w:rsidR="00402DD8" w:rsidRPr="001B42BF" w:rsidRDefault="00402DD8" w:rsidP="00FC5C47">
            <w:pPr>
              <w:pStyle w:val="Tabletext"/>
              <w:jc w:val="right"/>
            </w:pPr>
            <w:r w:rsidRPr="001B42BF">
              <w:t xml:space="preserve">15 </w:t>
            </w:r>
            <w:r w:rsidR="008A571B">
              <w:t xml:space="preserve">   </w:t>
            </w:r>
            <w:r w:rsidRPr="001B42BF">
              <w:t>(13.3)</w:t>
            </w:r>
          </w:p>
        </w:tc>
        <w:tc>
          <w:tcPr>
            <w:tcW w:w="692" w:type="pct"/>
          </w:tcPr>
          <w:p w:rsidR="00402DD8" w:rsidRPr="001B42BF" w:rsidRDefault="00402DD8" w:rsidP="00FC5C47">
            <w:pPr>
              <w:pStyle w:val="Tabletext"/>
              <w:jc w:val="right"/>
            </w:pPr>
            <w:r w:rsidRPr="001B42BF">
              <w:t xml:space="preserve">25 </w:t>
            </w:r>
            <w:r w:rsidR="008A571B">
              <w:t xml:space="preserve">     </w:t>
            </w:r>
            <w:r w:rsidRPr="001B42BF">
              <w:t>(9.1)</w:t>
            </w:r>
          </w:p>
        </w:tc>
        <w:tc>
          <w:tcPr>
            <w:tcW w:w="692" w:type="pct"/>
          </w:tcPr>
          <w:p w:rsidR="00402DD8" w:rsidRPr="00370096" w:rsidRDefault="00402DD8" w:rsidP="00FC5C47">
            <w:pPr>
              <w:pStyle w:val="Tabletext"/>
              <w:jc w:val="right"/>
            </w:pPr>
            <w:r w:rsidRPr="00370096">
              <w:t>41</w:t>
            </w:r>
            <w:r w:rsidR="008A571B">
              <w:t xml:space="preserve">  </w:t>
            </w:r>
            <w:r w:rsidRPr="00370096">
              <w:t xml:space="preserve"> (10.3)</w:t>
            </w:r>
          </w:p>
        </w:tc>
        <w:tc>
          <w:tcPr>
            <w:tcW w:w="692" w:type="pct"/>
          </w:tcPr>
          <w:p w:rsidR="00402DD8" w:rsidRPr="00515E4B" w:rsidRDefault="00402DD8" w:rsidP="00FC5C47">
            <w:pPr>
              <w:pStyle w:val="Tabletext"/>
              <w:jc w:val="right"/>
            </w:pPr>
            <w:r w:rsidRPr="00515E4B">
              <w:t>1</w:t>
            </w:r>
            <w:r w:rsidR="008A571B">
              <w:t xml:space="preserve">     </w:t>
            </w:r>
            <w:r w:rsidRPr="00515E4B">
              <w:t xml:space="preserve"> (3.8)</w:t>
            </w:r>
          </w:p>
        </w:tc>
        <w:tc>
          <w:tcPr>
            <w:tcW w:w="692" w:type="pct"/>
          </w:tcPr>
          <w:p w:rsidR="00402DD8" w:rsidRPr="00515E4B" w:rsidRDefault="00402DD8" w:rsidP="00FC5C47">
            <w:pPr>
              <w:pStyle w:val="Tabletext"/>
              <w:jc w:val="right"/>
            </w:pPr>
            <w:r w:rsidRPr="00515E4B">
              <w:t>4</w:t>
            </w:r>
            <w:r w:rsidR="008A571B">
              <w:t xml:space="preserve">     </w:t>
            </w:r>
            <w:r w:rsidRPr="00515E4B">
              <w:t xml:space="preserve"> (6.8)</w:t>
            </w:r>
          </w:p>
        </w:tc>
        <w:tc>
          <w:tcPr>
            <w:tcW w:w="693" w:type="pct"/>
          </w:tcPr>
          <w:p w:rsidR="00402DD8" w:rsidRPr="00700993" w:rsidRDefault="00402DD8" w:rsidP="00FC5C47">
            <w:pPr>
              <w:pStyle w:val="Tabletext"/>
              <w:jc w:val="right"/>
            </w:pPr>
            <w:r w:rsidRPr="00700993">
              <w:t>5</w:t>
            </w:r>
            <w:r w:rsidR="008A571B">
              <w:t xml:space="preserve">     </w:t>
            </w:r>
            <w:r w:rsidRPr="00700993">
              <w:t xml:space="preserve"> (6.0)</w:t>
            </w:r>
          </w:p>
        </w:tc>
      </w:tr>
      <w:tr w:rsidR="00402DD8" w:rsidRPr="00862AF9">
        <w:tc>
          <w:tcPr>
            <w:tcW w:w="150" w:type="pct"/>
          </w:tcPr>
          <w:p w:rsidR="00402DD8" w:rsidRPr="001B42BF" w:rsidRDefault="00402DD8" w:rsidP="00402DD8">
            <w:pPr>
              <w:pStyle w:val="Tabletext"/>
            </w:pPr>
          </w:p>
        </w:tc>
        <w:tc>
          <w:tcPr>
            <w:tcW w:w="697" w:type="pct"/>
          </w:tcPr>
          <w:p w:rsidR="00402DD8" w:rsidRPr="001B42BF" w:rsidRDefault="00402DD8" w:rsidP="00402DD8">
            <w:pPr>
              <w:pStyle w:val="Tabletext"/>
            </w:pPr>
            <w:r w:rsidRPr="001B42BF">
              <w:t>Year 10</w:t>
            </w:r>
          </w:p>
        </w:tc>
        <w:tc>
          <w:tcPr>
            <w:tcW w:w="692" w:type="pct"/>
          </w:tcPr>
          <w:p w:rsidR="00402DD8" w:rsidRPr="001B42BF" w:rsidRDefault="00402DD8" w:rsidP="00FC5C47">
            <w:pPr>
              <w:pStyle w:val="Tabletext"/>
              <w:jc w:val="right"/>
            </w:pPr>
            <w:r w:rsidRPr="001B42BF">
              <w:t xml:space="preserve">35 </w:t>
            </w:r>
            <w:r w:rsidR="008A571B">
              <w:t xml:space="preserve">   </w:t>
            </w:r>
            <w:r w:rsidRPr="001B42BF">
              <w:t>(31.0)</w:t>
            </w:r>
          </w:p>
        </w:tc>
        <w:tc>
          <w:tcPr>
            <w:tcW w:w="692" w:type="pct"/>
          </w:tcPr>
          <w:p w:rsidR="00402DD8" w:rsidRPr="001B42BF" w:rsidRDefault="00402DD8" w:rsidP="00FC5C47">
            <w:pPr>
              <w:pStyle w:val="Tabletext"/>
              <w:jc w:val="right"/>
            </w:pPr>
            <w:r w:rsidRPr="001B42BF">
              <w:t xml:space="preserve">65 </w:t>
            </w:r>
            <w:r w:rsidR="008A571B">
              <w:t xml:space="preserve">   </w:t>
            </w:r>
            <w:r w:rsidRPr="001B42BF">
              <w:t>(23.7)</w:t>
            </w:r>
          </w:p>
        </w:tc>
        <w:tc>
          <w:tcPr>
            <w:tcW w:w="692" w:type="pct"/>
          </w:tcPr>
          <w:p w:rsidR="00402DD8" w:rsidRPr="00370096" w:rsidRDefault="00402DD8" w:rsidP="00FC5C47">
            <w:pPr>
              <w:pStyle w:val="Tabletext"/>
              <w:jc w:val="right"/>
            </w:pPr>
            <w:r w:rsidRPr="00370096">
              <w:t>103</w:t>
            </w:r>
            <w:r w:rsidR="008A571B">
              <w:t xml:space="preserve">  </w:t>
            </w:r>
            <w:r w:rsidRPr="00370096">
              <w:t xml:space="preserve"> (25.9)</w:t>
            </w:r>
          </w:p>
        </w:tc>
        <w:tc>
          <w:tcPr>
            <w:tcW w:w="692" w:type="pct"/>
          </w:tcPr>
          <w:p w:rsidR="00402DD8" w:rsidRPr="00515E4B" w:rsidRDefault="00402DD8" w:rsidP="00FC5C47">
            <w:pPr>
              <w:pStyle w:val="Tabletext"/>
              <w:jc w:val="right"/>
            </w:pPr>
            <w:r w:rsidRPr="00515E4B">
              <w:t>8</w:t>
            </w:r>
            <w:r w:rsidR="008A571B">
              <w:t xml:space="preserve">   </w:t>
            </w:r>
            <w:r w:rsidRPr="00515E4B">
              <w:t xml:space="preserve"> (30.8)</w:t>
            </w:r>
          </w:p>
        </w:tc>
        <w:tc>
          <w:tcPr>
            <w:tcW w:w="692" w:type="pct"/>
          </w:tcPr>
          <w:p w:rsidR="00402DD8" w:rsidRPr="00515E4B" w:rsidRDefault="00402DD8" w:rsidP="00FC5C47">
            <w:pPr>
              <w:pStyle w:val="Tabletext"/>
              <w:jc w:val="right"/>
            </w:pPr>
            <w:r w:rsidRPr="00515E4B">
              <w:t>11</w:t>
            </w:r>
            <w:r w:rsidR="008A571B">
              <w:t xml:space="preserve">   </w:t>
            </w:r>
            <w:r w:rsidRPr="00515E4B">
              <w:t xml:space="preserve"> (19.0)</w:t>
            </w:r>
          </w:p>
        </w:tc>
        <w:tc>
          <w:tcPr>
            <w:tcW w:w="693" w:type="pct"/>
          </w:tcPr>
          <w:p w:rsidR="00402DD8" w:rsidRPr="00700993" w:rsidRDefault="00402DD8" w:rsidP="00FC5C47">
            <w:pPr>
              <w:pStyle w:val="Tabletext"/>
              <w:jc w:val="right"/>
            </w:pPr>
            <w:r w:rsidRPr="00700993">
              <w:t xml:space="preserve">19 </w:t>
            </w:r>
            <w:r w:rsidR="008A571B">
              <w:t xml:space="preserve">   </w:t>
            </w:r>
            <w:r w:rsidRPr="00700993">
              <w:t>(22.6)</w:t>
            </w:r>
          </w:p>
        </w:tc>
      </w:tr>
      <w:tr w:rsidR="00402DD8" w:rsidRPr="00862AF9">
        <w:tc>
          <w:tcPr>
            <w:tcW w:w="150" w:type="pct"/>
          </w:tcPr>
          <w:p w:rsidR="00402DD8" w:rsidRPr="001B42BF" w:rsidRDefault="00402DD8" w:rsidP="00402DD8">
            <w:pPr>
              <w:pStyle w:val="Tabletext"/>
            </w:pPr>
          </w:p>
        </w:tc>
        <w:tc>
          <w:tcPr>
            <w:tcW w:w="697" w:type="pct"/>
          </w:tcPr>
          <w:p w:rsidR="00402DD8" w:rsidRPr="001B42BF" w:rsidRDefault="00402DD8" w:rsidP="00402DD8">
            <w:pPr>
              <w:pStyle w:val="Tabletext"/>
            </w:pPr>
            <w:r w:rsidRPr="001B42BF">
              <w:t>Year 11</w:t>
            </w:r>
          </w:p>
        </w:tc>
        <w:tc>
          <w:tcPr>
            <w:tcW w:w="692" w:type="pct"/>
          </w:tcPr>
          <w:p w:rsidR="00402DD8" w:rsidRPr="001B42BF" w:rsidRDefault="00402DD8" w:rsidP="00FC5C47">
            <w:pPr>
              <w:pStyle w:val="Tabletext"/>
              <w:jc w:val="right"/>
            </w:pPr>
            <w:r w:rsidRPr="001B42BF">
              <w:t xml:space="preserve">22 </w:t>
            </w:r>
            <w:r w:rsidR="008A571B">
              <w:t xml:space="preserve">   </w:t>
            </w:r>
            <w:r w:rsidRPr="001B42BF">
              <w:t>(19.5)</w:t>
            </w:r>
          </w:p>
        </w:tc>
        <w:tc>
          <w:tcPr>
            <w:tcW w:w="692" w:type="pct"/>
          </w:tcPr>
          <w:p w:rsidR="00402DD8" w:rsidRPr="001B42BF" w:rsidRDefault="00402DD8" w:rsidP="00FC5C47">
            <w:pPr>
              <w:pStyle w:val="Tabletext"/>
              <w:jc w:val="right"/>
            </w:pPr>
            <w:r w:rsidRPr="001B42BF">
              <w:t>34</w:t>
            </w:r>
            <w:r w:rsidR="008A571B">
              <w:t xml:space="preserve">   </w:t>
            </w:r>
            <w:r w:rsidRPr="001B42BF">
              <w:t xml:space="preserve"> (12.4)</w:t>
            </w:r>
          </w:p>
        </w:tc>
        <w:tc>
          <w:tcPr>
            <w:tcW w:w="692" w:type="pct"/>
          </w:tcPr>
          <w:p w:rsidR="00402DD8" w:rsidRPr="00370096" w:rsidRDefault="00402DD8" w:rsidP="00FC5C47">
            <w:pPr>
              <w:pStyle w:val="Tabletext"/>
              <w:jc w:val="right"/>
            </w:pPr>
            <w:r w:rsidRPr="00370096">
              <w:t xml:space="preserve">59 </w:t>
            </w:r>
            <w:r w:rsidR="008A571B">
              <w:t xml:space="preserve">   </w:t>
            </w:r>
            <w:r w:rsidRPr="00370096">
              <w:t>(14.7)</w:t>
            </w:r>
          </w:p>
        </w:tc>
        <w:tc>
          <w:tcPr>
            <w:tcW w:w="692" w:type="pct"/>
          </w:tcPr>
          <w:p w:rsidR="00402DD8" w:rsidRPr="00515E4B" w:rsidRDefault="00402DD8" w:rsidP="00FC5C47">
            <w:pPr>
              <w:pStyle w:val="Tabletext"/>
              <w:jc w:val="right"/>
            </w:pPr>
            <w:r w:rsidRPr="00515E4B">
              <w:t xml:space="preserve">6 </w:t>
            </w:r>
            <w:r w:rsidR="008A571B">
              <w:t xml:space="preserve">   </w:t>
            </w:r>
            <w:r w:rsidRPr="00515E4B">
              <w:t>(23.1)</w:t>
            </w:r>
          </w:p>
        </w:tc>
        <w:tc>
          <w:tcPr>
            <w:tcW w:w="692" w:type="pct"/>
          </w:tcPr>
          <w:p w:rsidR="00402DD8" w:rsidRPr="00515E4B" w:rsidRDefault="00402DD8" w:rsidP="00FC5C47">
            <w:pPr>
              <w:pStyle w:val="Tabletext"/>
              <w:jc w:val="right"/>
            </w:pPr>
            <w:r w:rsidRPr="00515E4B">
              <w:t>12</w:t>
            </w:r>
            <w:r w:rsidR="008A571B">
              <w:t xml:space="preserve">   </w:t>
            </w:r>
            <w:r w:rsidRPr="00515E4B">
              <w:t xml:space="preserve"> (20.7)</w:t>
            </w:r>
          </w:p>
        </w:tc>
        <w:tc>
          <w:tcPr>
            <w:tcW w:w="693" w:type="pct"/>
          </w:tcPr>
          <w:p w:rsidR="00402DD8" w:rsidRPr="00700993" w:rsidRDefault="00402DD8" w:rsidP="00FC5C47">
            <w:pPr>
              <w:pStyle w:val="Tabletext"/>
              <w:jc w:val="right"/>
            </w:pPr>
            <w:r w:rsidRPr="00700993">
              <w:t>18</w:t>
            </w:r>
            <w:r w:rsidR="008A571B">
              <w:t xml:space="preserve">   </w:t>
            </w:r>
            <w:r w:rsidRPr="00700993">
              <w:t xml:space="preserve"> (21.4)</w:t>
            </w:r>
          </w:p>
        </w:tc>
      </w:tr>
      <w:tr w:rsidR="00402DD8" w:rsidRPr="00862AF9">
        <w:tc>
          <w:tcPr>
            <w:tcW w:w="150" w:type="pct"/>
          </w:tcPr>
          <w:p w:rsidR="00402DD8" w:rsidRPr="001B42BF" w:rsidRDefault="00402DD8" w:rsidP="00402DD8">
            <w:pPr>
              <w:pStyle w:val="Tabletext"/>
            </w:pPr>
          </w:p>
        </w:tc>
        <w:tc>
          <w:tcPr>
            <w:tcW w:w="697" w:type="pct"/>
          </w:tcPr>
          <w:p w:rsidR="00402DD8" w:rsidRPr="001B42BF" w:rsidRDefault="00402DD8" w:rsidP="00402DD8">
            <w:pPr>
              <w:pStyle w:val="Tabletext"/>
            </w:pPr>
            <w:r w:rsidRPr="001B42BF">
              <w:t>Year 12</w:t>
            </w:r>
          </w:p>
        </w:tc>
        <w:tc>
          <w:tcPr>
            <w:tcW w:w="692" w:type="pct"/>
          </w:tcPr>
          <w:p w:rsidR="00402DD8" w:rsidRPr="001B42BF" w:rsidRDefault="00402DD8" w:rsidP="00FC5C47">
            <w:pPr>
              <w:pStyle w:val="Tabletext"/>
              <w:jc w:val="right"/>
            </w:pPr>
            <w:r w:rsidRPr="001B42BF">
              <w:t xml:space="preserve">41 </w:t>
            </w:r>
            <w:r w:rsidR="008A571B">
              <w:t xml:space="preserve">   </w:t>
            </w:r>
            <w:r w:rsidRPr="001B42BF">
              <w:t>(36.3)</w:t>
            </w:r>
          </w:p>
        </w:tc>
        <w:tc>
          <w:tcPr>
            <w:tcW w:w="692" w:type="pct"/>
          </w:tcPr>
          <w:p w:rsidR="00402DD8" w:rsidRPr="001B42BF" w:rsidRDefault="00402DD8" w:rsidP="00FC5C47">
            <w:pPr>
              <w:pStyle w:val="Tabletext"/>
              <w:jc w:val="right"/>
            </w:pPr>
            <w:r w:rsidRPr="001B42BF">
              <w:t>150</w:t>
            </w:r>
            <w:r w:rsidR="008A571B">
              <w:t xml:space="preserve">   </w:t>
            </w:r>
            <w:r w:rsidRPr="001B42BF">
              <w:t xml:space="preserve"> (54.7)</w:t>
            </w:r>
          </w:p>
        </w:tc>
        <w:tc>
          <w:tcPr>
            <w:tcW w:w="692" w:type="pct"/>
          </w:tcPr>
          <w:p w:rsidR="00402DD8" w:rsidRPr="00370096" w:rsidRDefault="00402DD8" w:rsidP="00FC5C47">
            <w:pPr>
              <w:pStyle w:val="Tabletext"/>
              <w:jc w:val="right"/>
            </w:pPr>
            <w:r w:rsidRPr="00370096">
              <w:t>194</w:t>
            </w:r>
            <w:r w:rsidR="008A571B">
              <w:t xml:space="preserve">   </w:t>
            </w:r>
            <w:r w:rsidRPr="00370096">
              <w:t xml:space="preserve"> (48.9)</w:t>
            </w:r>
          </w:p>
        </w:tc>
        <w:tc>
          <w:tcPr>
            <w:tcW w:w="692" w:type="pct"/>
          </w:tcPr>
          <w:p w:rsidR="00402DD8" w:rsidRPr="00515E4B" w:rsidRDefault="00402DD8" w:rsidP="00FC5C47">
            <w:pPr>
              <w:pStyle w:val="Tabletext"/>
              <w:jc w:val="right"/>
            </w:pPr>
            <w:r w:rsidRPr="00515E4B">
              <w:t xml:space="preserve">11 </w:t>
            </w:r>
            <w:r w:rsidR="008A571B">
              <w:t xml:space="preserve">   </w:t>
            </w:r>
            <w:r w:rsidRPr="00515E4B">
              <w:t>(42.3)</w:t>
            </w:r>
          </w:p>
        </w:tc>
        <w:tc>
          <w:tcPr>
            <w:tcW w:w="692" w:type="pct"/>
          </w:tcPr>
          <w:p w:rsidR="00402DD8" w:rsidRPr="00077392" w:rsidRDefault="00402DD8" w:rsidP="00FC5C47">
            <w:pPr>
              <w:pStyle w:val="Tabletext"/>
              <w:jc w:val="right"/>
            </w:pPr>
            <w:r w:rsidRPr="00077392">
              <w:t>31</w:t>
            </w:r>
            <w:r w:rsidR="008A571B">
              <w:t xml:space="preserve">   </w:t>
            </w:r>
            <w:r w:rsidRPr="00077392">
              <w:t xml:space="preserve"> (53.4)</w:t>
            </w:r>
          </w:p>
        </w:tc>
        <w:tc>
          <w:tcPr>
            <w:tcW w:w="693" w:type="pct"/>
          </w:tcPr>
          <w:p w:rsidR="00402DD8" w:rsidRPr="00700993" w:rsidRDefault="00402DD8" w:rsidP="00FC5C47">
            <w:pPr>
              <w:pStyle w:val="Tabletext"/>
              <w:jc w:val="right"/>
            </w:pPr>
            <w:r w:rsidRPr="00700993">
              <w:t>42</w:t>
            </w:r>
            <w:r w:rsidR="008A571B">
              <w:t xml:space="preserve">   </w:t>
            </w:r>
            <w:r w:rsidRPr="00700993">
              <w:t xml:space="preserve"> (50.0)</w:t>
            </w:r>
          </w:p>
        </w:tc>
      </w:tr>
      <w:tr w:rsidR="00402DD8" w:rsidRPr="00862AF9">
        <w:tc>
          <w:tcPr>
            <w:tcW w:w="150" w:type="pct"/>
            <w:tcBorders>
              <w:bottom w:val="single" w:sz="4" w:space="0" w:color="auto"/>
            </w:tcBorders>
          </w:tcPr>
          <w:p w:rsidR="00402DD8" w:rsidRPr="001B42BF" w:rsidRDefault="00402DD8" w:rsidP="00402DD8">
            <w:pPr>
              <w:pStyle w:val="Tabletext"/>
            </w:pPr>
          </w:p>
        </w:tc>
        <w:tc>
          <w:tcPr>
            <w:tcW w:w="697" w:type="pct"/>
            <w:tcBorders>
              <w:bottom w:val="single" w:sz="4" w:space="0" w:color="auto"/>
            </w:tcBorders>
          </w:tcPr>
          <w:p w:rsidR="00402DD8" w:rsidRPr="001B42BF" w:rsidRDefault="00402DD8" w:rsidP="00402DD8">
            <w:pPr>
              <w:pStyle w:val="Tabletext"/>
            </w:pPr>
            <w:r>
              <w:t>All</w:t>
            </w:r>
          </w:p>
        </w:tc>
        <w:tc>
          <w:tcPr>
            <w:tcW w:w="692" w:type="pct"/>
            <w:tcBorders>
              <w:bottom w:val="single" w:sz="4" w:space="0" w:color="auto"/>
            </w:tcBorders>
          </w:tcPr>
          <w:p w:rsidR="00402DD8" w:rsidRPr="001B42BF" w:rsidRDefault="00402DD8" w:rsidP="00FC5C47">
            <w:pPr>
              <w:pStyle w:val="Tabletext"/>
              <w:jc w:val="right"/>
            </w:pPr>
            <w:r w:rsidRPr="001B42BF">
              <w:t>113</w:t>
            </w:r>
            <w:r w:rsidR="008A571B">
              <w:t xml:space="preserve"> </w:t>
            </w:r>
            <w:r w:rsidRPr="001B42BF">
              <w:t xml:space="preserve"> (100.0)</w:t>
            </w:r>
          </w:p>
        </w:tc>
        <w:tc>
          <w:tcPr>
            <w:tcW w:w="692" w:type="pct"/>
            <w:tcBorders>
              <w:bottom w:val="single" w:sz="4" w:space="0" w:color="auto"/>
            </w:tcBorders>
          </w:tcPr>
          <w:p w:rsidR="00402DD8" w:rsidRPr="001B42BF" w:rsidRDefault="00402DD8" w:rsidP="00FC5C47">
            <w:pPr>
              <w:pStyle w:val="Tabletext"/>
              <w:jc w:val="right"/>
            </w:pPr>
            <w:r w:rsidRPr="001B42BF">
              <w:t xml:space="preserve">274 </w:t>
            </w:r>
            <w:r w:rsidR="008A571B">
              <w:t xml:space="preserve"> </w:t>
            </w:r>
            <w:r w:rsidRPr="001B42BF">
              <w:t>(100.0)</w:t>
            </w:r>
          </w:p>
        </w:tc>
        <w:tc>
          <w:tcPr>
            <w:tcW w:w="692" w:type="pct"/>
            <w:tcBorders>
              <w:bottom w:val="single" w:sz="4" w:space="0" w:color="auto"/>
            </w:tcBorders>
          </w:tcPr>
          <w:p w:rsidR="00402DD8" w:rsidRPr="00370096" w:rsidRDefault="00402DD8" w:rsidP="00FC5C47">
            <w:pPr>
              <w:pStyle w:val="Tabletext"/>
              <w:jc w:val="right"/>
            </w:pPr>
            <w:r w:rsidRPr="00370096">
              <w:t>397</w:t>
            </w:r>
            <w:r w:rsidR="008A571B">
              <w:t xml:space="preserve"> </w:t>
            </w:r>
            <w:r w:rsidRPr="00370096">
              <w:t xml:space="preserve"> (100.0)</w:t>
            </w:r>
          </w:p>
        </w:tc>
        <w:tc>
          <w:tcPr>
            <w:tcW w:w="692" w:type="pct"/>
            <w:tcBorders>
              <w:bottom w:val="single" w:sz="4" w:space="0" w:color="auto"/>
            </w:tcBorders>
          </w:tcPr>
          <w:p w:rsidR="00402DD8" w:rsidRPr="00077392" w:rsidRDefault="00402DD8" w:rsidP="00FC5C47">
            <w:pPr>
              <w:pStyle w:val="Tabletext"/>
              <w:jc w:val="right"/>
            </w:pPr>
            <w:r w:rsidRPr="00077392">
              <w:t xml:space="preserve">26 </w:t>
            </w:r>
            <w:r w:rsidR="008A571B">
              <w:t xml:space="preserve"> </w:t>
            </w:r>
            <w:r w:rsidRPr="00077392">
              <w:t>(100.0)</w:t>
            </w:r>
          </w:p>
        </w:tc>
        <w:tc>
          <w:tcPr>
            <w:tcW w:w="692" w:type="pct"/>
            <w:tcBorders>
              <w:bottom w:val="single" w:sz="4" w:space="0" w:color="auto"/>
            </w:tcBorders>
          </w:tcPr>
          <w:p w:rsidR="00402DD8" w:rsidRPr="00077392" w:rsidRDefault="00402DD8" w:rsidP="00FC5C47">
            <w:pPr>
              <w:pStyle w:val="Tabletext"/>
              <w:jc w:val="right"/>
            </w:pPr>
            <w:r w:rsidRPr="00077392">
              <w:t>58</w:t>
            </w:r>
            <w:r w:rsidR="008A571B">
              <w:t xml:space="preserve"> </w:t>
            </w:r>
            <w:r w:rsidRPr="00077392">
              <w:t xml:space="preserve"> (100.0)</w:t>
            </w:r>
          </w:p>
        </w:tc>
        <w:tc>
          <w:tcPr>
            <w:tcW w:w="693" w:type="pct"/>
            <w:tcBorders>
              <w:bottom w:val="single" w:sz="4" w:space="0" w:color="auto"/>
            </w:tcBorders>
          </w:tcPr>
          <w:p w:rsidR="00402DD8" w:rsidRPr="00700993" w:rsidRDefault="00402DD8" w:rsidP="00FC5C47">
            <w:pPr>
              <w:pStyle w:val="Tabletext"/>
              <w:jc w:val="right"/>
            </w:pPr>
            <w:r w:rsidRPr="00700993">
              <w:t xml:space="preserve">84 </w:t>
            </w:r>
            <w:r w:rsidR="008A571B">
              <w:t xml:space="preserve"> </w:t>
            </w:r>
            <w:r w:rsidRPr="00700993">
              <w:t>(100.0)</w:t>
            </w:r>
          </w:p>
        </w:tc>
      </w:tr>
      <w:tr w:rsidR="00402DD8" w:rsidRPr="00862AF9">
        <w:tc>
          <w:tcPr>
            <w:tcW w:w="847" w:type="pct"/>
            <w:gridSpan w:val="2"/>
            <w:tcBorders>
              <w:top w:val="single" w:sz="4" w:space="0" w:color="auto"/>
            </w:tcBorders>
          </w:tcPr>
          <w:p w:rsidR="00402DD8" w:rsidRPr="004552C4" w:rsidRDefault="00402DD8" w:rsidP="00402DD8">
            <w:pPr>
              <w:pStyle w:val="Tablehead3"/>
            </w:pPr>
            <w:r>
              <w:t>Certificate</w:t>
            </w:r>
            <w:r w:rsidRPr="00CE3B29">
              <w:t xml:space="preserve"> </w:t>
            </w:r>
          </w:p>
        </w:tc>
        <w:tc>
          <w:tcPr>
            <w:tcW w:w="692" w:type="pct"/>
            <w:tcBorders>
              <w:top w:val="single" w:sz="4" w:space="0" w:color="auto"/>
            </w:tcBorders>
          </w:tcPr>
          <w:p w:rsidR="00402DD8" w:rsidRPr="00936CA2" w:rsidRDefault="00402DD8" w:rsidP="00402DD8">
            <w:pPr>
              <w:pStyle w:val="Tablehead3"/>
              <w:jc w:val="center"/>
              <w:rPr>
                <w:highlight w:val="yellow"/>
              </w:rPr>
            </w:pPr>
          </w:p>
        </w:tc>
        <w:tc>
          <w:tcPr>
            <w:tcW w:w="692" w:type="pct"/>
            <w:tcBorders>
              <w:top w:val="single" w:sz="4" w:space="0" w:color="auto"/>
            </w:tcBorders>
          </w:tcPr>
          <w:p w:rsidR="00402DD8" w:rsidRPr="00936CA2" w:rsidRDefault="00402DD8" w:rsidP="00402DD8">
            <w:pPr>
              <w:pStyle w:val="Tablehead3"/>
              <w:jc w:val="center"/>
              <w:rPr>
                <w:highlight w:val="yellow"/>
              </w:rPr>
            </w:pPr>
          </w:p>
        </w:tc>
        <w:tc>
          <w:tcPr>
            <w:tcW w:w="692" w:type="pct"/>
            <w:tcBorders>
              <w:top w:val="single" w:sz="4" w:space="0" w:color="auto"/>
            </w:tcBorders>
          </w:tcPr>
          <w:p w:rsidR="00402DD8" w:rsidRPr="006A7C5C" w:rsidRDefault="00402DD8" w:rsidP="00402DD8">
            <w:pPr>
              <w:pStyle w:val="Tablehead3"/>
              <w:jc w:val="center"/>
            </w:pPr>
          </w:p>
        </w:tc>
        <w:tc>
          <w:tcPr>
            <w:tcW w:w="692" w:type="pct"/>
            <w:tcBorders>
              <w:top w:val="single" w:sz="4" w:space="0" w:color="auto"/>
            </w:tcBorders>
          </w:tcPr>
          <w:p w:rsidR="00402DD8" w:rsidRPr="00077392" w:rsidRDefault="00402DD8" w:rsidP="00402DD8">
            <w:pPr>
              <w:pStyle w:val="Tablehead3"/>
              <w:jc w:val="center"/>
            </w:pPr>
          </w:p>
        </w:tc>
        <w:tc>
          <w:tcPr>
            <w:tcW w:w="692" w:type="pct"/>
            <w:tcBorders>
              <w:top w:val="single" w:sz="4" w:space="0" w:color="auto"/>
            </w:tcBorders>
          </w:tcPr>
          <w:p w:rsidR="00402DD8" w:rsidRPr="00077392" w:rsidRDefault="00402DD8" w:rsidP="00402DD8">
            <w:pPr>
              <w:pStyle w:val="Tablehead3"/>
              <w:jc w:val="center"/>
            </w:pPr>
          </w:p>
        </w:tc>
        <w:tc>
          <w:tcPr>
            <w:tcW w:w="693" w:type="pct"/>
            <w:tcBorders>
              <w:top w:val="single" w:sz="4" w:space="0" w:color="auto"/>
            </w:tcBorders>
          </w:tcPr>
          <w:p w:rsidR="00402DD8" w:rsidRPr="00700993" w:rsidRDefault="00402DD8" w:rsidP="00402DD8">
            <w:pPr>
              <w:pStyle w:val="Tablehead3"/>
              <w:jc w:val="center"/>
            </w:pPr>
          </w:p>
        </w:tc>
      </w:tr>
      <w:tr w:rsidR="00402DD8" w:rsidRPr="00E53DE9">
        <w:tc>
          <w:tcPr>
            <w:tcW w:w="150" w:type="pct"/>
          </w:tcPr>
          <w:p w:rsidR="00402DD8" w:rsidRPr="004552C4" w:rsidRDefault="00402DD8" w:rsidP="00402DD8">
            <w:pPr>
              <w:pStyle w:val="Tabletext"/>
            </w:pPr>
          </w:p>
        </w:tc>
        <w:tc>
          <w:tcPr>
            <w:tcW w:w="697" w:type="pct"/>
          </w:tcPr>
          <w:p w:rsidR="00402DD8" w:rsidRPr="004552C4" w:rsidRDefault="00402DD8" w:rsidP="00402DD8">
            <w:pPr>
              <w:pStyle w:val="Tabletext"/>
            </w:pPr>
            <w:r>
              <w:t>Cert</w:t>
            </w:r>
            <w:r w:rsidR="00CB0F5D">
              <w:t>.</w:t>
            </w:r>
            <w:r>
              <w:t xml:space="preserve"> I</w:t>
            </w:r>
          </w:p>
        </w:tc>
        <w:tc>
          <w:tcPr>
            <w:tcW w:w="692" w:type="pct"/>
          </w:tcPr>
          <w:p w:rsidR="00402DD8" w:rsidRPr="001B42BF" w:rsidRDefault="00402DD8" w:rsidP="00FC5C47">
            <w:pPr>
              <w:pStyle w:val="Tabletext"/>
              <w:jc w:val="right"/>
            </w:pPr>
            <w:r w:rsidRPr="001B42BF">
              <w:t>2</w:t>
            </w:r>
            <w:r w:rsidR="008A571B">
              <w:t xml:space="preserve">     </w:t>
            </w:r>
            <w:r w:rsidRPr="001B42BF">
              <w:t xml:space="preserve"> (1.8)</w:t>
            </w:r>
          </w:p>
        </w:tc>
        <w:tc>
          <w:tcPr>
            <w:tcW w:w="692" w:type="pct"/>
          </w:tcPr>
          <w:p w:rsidR="00402DD8" w:rsidRPr="001B42BF" w:rsidRDefault="00402DD8" w:rsidP="00FC5C47">
            <w:pPr>
              <w:pStyle w:val="Tabletext"/>
              <w:jc w:val="right"/>
            </w:pPr>
            <w:r w:rsidRPr="001B42BF">
              <w:t>8</w:t>
            </w:r>
            <w:r w:rsidR="008A571B">
              <w:t xml:space="preserve">     </w:t>
            </w:r>
            <w:r w:rsidRPr="001B42BF">
              <w:t xml:space="preserve"> (2.9)</w:t>
            </w:r>
          </w:p>
        </w:tc>
        <w:tc>
          <w:tcPr>
            <w:tcW w:w="692" w:type="pct"/>
          </w:tcPr>
          <w:p w:rsidR="00402DD8" w:rsidRPr="006A7C5C" w:rsidRDefault="00402DD8" w:rsidP="00FC5C47">
            <w:pPr>
              <w:pStyle w:val="Tabletext"/>
              <w:jc w:val="right"/>
            </w:pPr>
            <w:r w:rsidRPr="006A7C5C">
              <w:t>10</w:t>
            </w:r>
            <w:r w:rsidR="008A571B">
              <w:t xml:space="preserve">    </w:t>
            </w:r>
            <w:r w:rsidRPr="006A7C5C">
              <w:t xml:space="preserve"> (2.6)</w:t>
            </w:r>
          </w:p>
        </w:tc>
        <w:tc>
          <w:tcPr>
            <w:tcW w:w="692" w:type="pct"/>
          </w:tcPr>
          <w:p w:rsidR="00402DD8" w:rsidRPr="00077392" w:rsidRDefault="00402DD8" w:rsidP="00FC5C47">
            <w:pPr>
              <w:pStyle w:val="Tabletext"/>
              <w:jc w:val="right"/>
            </w:pPr>
            <w:r w:rsidRPr="00077392">
              <w:t>-</w:t>
            </w:r>
          </w:p>
        </w:tc>
        <w:tc>
          <w:tcPr>
            <w:tcW w:w="692" w:type="pct"/>
          </w:tcPr>
          <w:p w:rsidR="00402DD8" w:rsidRPr="00077392" w:rsidRDefault="00402DD8" w:rsidP="00FC5C47">
            <w:pPr>
              <w:pStyle w:val="Tabletext"/>
              <w:jc w:val="right"/>
            </w:pPr>
            <w:r w:rsidRPr="00077392">
              <w:t>1</w:t>
            </w:r>
            <w:r w:rsidR="008A571B">
              <w:t xml:space="preserve">     </w:t>
            </w:r>
            <w:r w:rsidRPr="00077392">
              <w:t xml:space="preserve"> (1.7)</w:t>
            </w:r>
          </w:p>
        </w:tc>
        <w:tc>
          <w:tcPr>
            <w:tcW w:w="693" w:type="pct"/>
          </w:tcPr>
          <w:p w:rsidR="00402DD8" w:rsidRPr="00700993" w:rsidRDefault="00402DD8" w:rsidP="00FC5C47">
            <w:pPr>
              <w:pStyle w:val="Tabletext"/>
              <w:jc w:val="right"/>
            </w:pPr>
            <w:r w:rsidRPr="00700993">
              <w:t xml:space="preserve">1 </w:t>
            </w:r>
            <w:r w:rsidR="008A571B">
              <w:t xml:space="preserve">     </w:t>
            </w:r>
            <w:r w:rsidRPr="00700993">
              <w:t>(1.2)</w:t>
            </w:r>
          </w:p>
        </w:tc>
      </w:tr>
      <w:tr w:rsidR="00402DD8" w:rsidRPr="00E53DE9">
        <w:tc>
          <w:tcPr>
            <w:tcW w:w="150" w:type="pct"/>
          </w:tcPr>
          <w:p w:rsidR="00402DD8" w:rsidRPr="004552C4" w:rsidRDefault="00402DD8" w:rsidP="00402DD8">
            <w:pPr>
              <w:pStyle w:val="Tabletext"/>
            </w:pPr>
          </w:p>
        </w:tc>
        <w:tc>
          <w:tcPr>
            <w:tcW w:w="697" w:type="pct"/>
          </w:tcPr>
          <w:p w:rsidR="00402DD8" w:rsidRPr="004552C4" w:rsidRDefault="00402DD8" w:rsidP="00402DD8">
            <w:pPr>
              <w:pStyle w:val="Tabletext"/>
            </w:pPr>
            <w:r>
              <w:t>Cert</w:t>
            </w:r>
            <w:r w:rsidR="00CB0F5D">
              <w:t>.</w:t>
            </w:r>
            <w:r>
              <w:t xml:space="preserve"> II</w:t>
            </w:r>
          </w:p>
        </w:tc>
        <w:tc>
          <w:tcPr>
            <w:tcW w:w="692" w:type="pct"/>
          </w:tcPr>
          <w:p w:rsidR="00402DD8" w:rsidRPr="001B42BF" w:rsidRDefault="00402DD8" w:rsidP="00FC5C47">
            <w:pPr>
              <w:pStyle w:val="Tabletext"/>
              <w:jc w:val="right"/>
            </w:pPr>
            <w:r w:rsidRPr="001B42BF">
              <w:t>3</w:t>
            </w:r>
            <w:r w:rsidR="008A571B">
              <w:t xml:space="preserve">     </w:t>
            </w:r>
            <w:r w:rsidRPr="001B42BF">
              <w:t xml:space="preserve"> (2.6)</w:t>
            </w:r>
          </w:p>
        </w:tc>
        <w:tc>
          <w:tcPr>
            <w:tcW w:w="692" w:type="pct"/>
          </w:tcPr>
          <w:p w:rsidR="00402DD8" w:rsidRPr="001B42BF" w:rsidRDefault="00402DD8" w:rsidP="00FC5C47">
            <w:pPr>
              <w:pStyle w:val="Tabletext"/>
              <w:jc w:val="right"/>
            </w:pPr>
            <w:r w:rsidRPr="001B42BF">
              <w:t>78</w:t>
            </w:r>
            <w:r w:rsidR="008A571B">
              <w:t xml:space="preserve">   </w:t>
            </w:r>
            <w:r w:rsidRPr="001B42BF">
              <w:t xml:space="preserve"> (28.7)</w:t>
            </w:r>
          </w:p>
        </w:tc>
        <w:tc>
          <w:tcPr>
            <w:tcW w:w="692" w:type="pct"/>
          </w:tcPr>
          <w:p w:rsidR="00402DD8" w:rsidRPr="006A7C5C" w:rsidRDefault="00402DD8" w:rsidP="00FC5C47">
            <w:pPr>
              <w:pStyle w:val="Tabletext"/>
              <w:jc w:val="right"/>
            </w:pPr>
            <w:r w:rsidRPr="006A7C5C">
              <w:t>81</w:t>
            </w:r>
            <w:r w:rsidR="008A571B">
              <w:t xml:space="preserve">  </w:t>
            </w:r>
            <w:r w:rsidRPr="006A7C5C">
              <w:t xml:space="preserve"> (20.8)</w:t>
            </w:r>
          </w:p>
        </w:tc>
        <w:tc>
          <w:tcPr>
            <w:tcW w:w="692" w:type="pct"/>
          </w:tcPr>
          <w:p w:rsidR="00402DD8" w:rsidRPr="00077392" w:rsidRDefault="00402DD8" w:rsidP="00FC5C47">
            <w:pPr>
              <w:pStyle w:val="Tabletext"/>
              <w:jc w:val="right"/>
            </w:pPr>
            <w:r w:rsidRPr="00077392">
              <w:t>1</w:t>
            </w:r>
            <w:r w:rsidR="008A571B">
              <w:t xml:space="preserve">     </w:t>
            </w:r>
            <w:r w:rsidRPr="00077392">
              <w:t xml:space="preserve"> (4.0)</w:t>
            </w:r>
          </w:p>
        </w:tc>
        <w:tc>
          <w:tcPr>
            <w:tcW w:w="692" w:type="pct"/>
          </w:tcPr>
          <w:p w:rsidR="00402DD8" w:rsidRPr="00077392" w:rsidRDefault="00402DD8" w:rsidP="00FC5C47">
            <w:pPr>
              <w:pStyle w:val="Tabletext"/>
              <w:jc w:val="right"/>
            </w:pPr>
            <w:r w:rsidRPr="00077392">
              <w:t>11</w:t>
            </w:r>
            <w:r w:rsidR="008A571B">
              <w:t xml:space="preserve">   </w:t>
            </w:r>
            <w:r w:rsidRPr="00077392">
              <w:t xml:space="preserve"> (19.0)</w:t>
            </w:r>
          </w:p>
        </w:tc>
        <w:tc>
          <w:tcPr>
            <w:tcW w:w="693" w:type="pct"/>
          </w:tcPr>
          <w:p w:rsidR="00402DD8" w:rsidRPr="00700993" w:rsidRDefault="00402DD8" w:rsidP="00FC5C47">
            <w:pPr>
              <w:pStyle w:val="Tabletext"/>
              <w:jc w:val="right"/>
            </w:pPr>
            <w:r w:rsidRPr="00700993">
              <w:t>12</w:t>
            </w:r>
            <w:r w:rsidR="008A571B">
              <w:t xml:space="preserve">   </w:t>
            </w:r>
            <w:r w:rsidRPr="00700993">
              <w:t xml:space="preserve"> (14.5)</w:t>
            </w:r>
          </w:p>
        </w:tc>
      </w:tr>
      <w:tr w:rsidR="00402DD8" w:rsidRPr="00E53DE9">
        <w:tc>
          <w:tcPr>
            <w:tcW w:w="150" w:type="pct"/>
          </w:tcPr>
          <w:p w:rsidR="00402DD8" w:rsidRPr="004552C4" w:rsidRDefault="00402DD8" w:rsidP="00402DD8">
            <w:pPr>
              <w:pStyle w:val="Tabletext"/>
            </w:pPr>
          </w:p>
        </w:tc>
        <w:tc>
          <w:tcPr>
            <w:tcW w:w="697" w:type="pct"/>
          </w:tcPr>
          <w:p w:rsidR="00402DD8" w:rsidRPr="004552C4" w:rsidRDefault="00402DD8" w:rsidP="00402DD8">
            <w:pPr>
              <w:pStyle w:val="Tabletext"/>
            </w:pPr>
            <w:r>
              <w:t xml:space="preserve">Cert </w:t>
            </w:r>
            <w:r w:rsidR="00CB0F5D">
              <w:t>.</w:t>
            </w:r>
            <w:r>
              <w:t>III</w:t>
            </w:r>
          </w:p>
        </w:tc>
        <w:tc>
          <w:tcPr>
            <w:tcW w:w="692" w:type="pct"/>
          </w:tcPr>
          <w:p w:rsidR="00402DD8" w:rsidRPr="001B42BF" w:rsidRDefault="00402DD8" w:rsidP="00FC5C47">
            <w:pPr>
              <w:pStyle w:val="Tabletext"/>
              <w:jc w:val="right"/>
            </w:pPr>
            <w:r w:rsidRPr="001B42BF">
              <w:t>89</w:t>
            </w:r>
            <w:r w:rsidR="008A571B">
              <w:t xml:space="preserve">   </w:t>
            </w:r>
            <w:r w:rsidRPr="001B42BF">
              <w:t xml:space="preserve"> (78.1)</w:t>
            </w:r>
          </w:p>
        </w:tc>
        <w:tc>
          <w:tcPr>
            <w:tcW w:w="692" w:type="pct"/>
          </w:tcPr>
          <w:p w:rsidR="00402DD8" w:rsidRPr="001B42BF" w:rsidRDefault="00402DD8" w:rsidP="00FC5C47">
            <w:pPr>
              <w:pStyle w:val="Tabletext"/>
              <w:jc w:val="right"/>
            </w:pPr>
            <w:r w:rsidRPr="001B42BF">
              <w:t>146</w:t>
            </w:r>
            <w:r w:rsidR="008A571B">
              <w:t xml:space="preserve">   </w:t>
            </w:r>
            <w:r w:rsidRPr="001B42BF">
              <w:t xml:space="preserve"> (53.7)</w:t>
            </w:r>
          </w:p>
        </w:tc>
        <w:tc>
          <w:tcPr>
            <w:tcW w:w="692" w:type="pct"/>
          </w:tcPr>
          <w:p w:rsidR="00402DD8" w:rsidRPr="006A7C5C" w:rsidRDefault="00402DD8" w:rsidP="00FC5C47">
            <w:pPr>
              <w:pStyle w:val="Tabletext"/>
              <w:jc w:val="right"/>
            </w:pPr>
            <w:r w:rsidRPr="006A7C5C">
              <w:t>237</w:t>
            </w:r>
            <w:r w:rsidR="008A571B">
              <w:t xml:space="preserve">  </w:t>
            </w:r>
            <w:r w:rsidRPr="006A7C5C">
              <w:t xml:space="preserve"> (60.9)</w:t>
            </w:r>
          </w:p>
        </w:tc>
        <w:tc>
          <w:tcPr>
            <w:tcW w:w="692" w:type="pct"/>
          </w:tcPr>
          <w:p w:rsidR="00402DD8" w:rsidRPr="00077392" w:rsidRDefault="00402DD8" w:rsidP="00FC5C47">
            <w:pPr>
              <w:pStyle w:val="Tabletext"/>
              <w:jc w:val="right"/>
            </w:pPr>
            <w:r w:rsidRPr="00077392">
              <w:t xml:space="preserve">19 </w:t>
            </w:r>
            <w:r w:rsidR="008A571B">
              <w:t xml:space="preserve">   </w:t>
            </w:r>
            <w:r w:rsidRPr="00077392">
              <w:t>(76.0)</w:t>
            </w:r>
          </w:p>
        </w:tc>
        <w:tc>
          <w:tcPr>
            <w:tcW w:w="692" w:type="pct"/>
          </w:tcPr>
          <w:p w:rsidR="00402DD8" w:rsidRPr="00077392" w:rsidRDefault="00402DD8" w:rsidP="00FC5C47">
            <w:pPr>
              <w:pStyle w:val="Tabletext"/>
              <w:jc w:val="right"/>
            </w:pPr>
            <w:r w:rsidRPr="00077392">
              <w:t>35</w:t>
            </w:r>
            <w:r w:rsidR="008A571B">
              <w:t xml:space="preserve">   </w:t>
            </w:r>
            <w:r w:rsidRPr="00077392">
              <w:t xml:space="preserve"> (60.3)</w:t>
            </w:r>
          </w:p>
        </w:tc>
        <w:tc>
          <w:tcPr>
            <w:tcW w:w="693" w:type="pct"/>
          </w:tcPr>
          <w:p w:rsidR="00402DD8" w:rsidRPr="00700993" w:rsidRDefault="00402DD8" w:rsidP="00FC5C47">
            <w:pPr>
              <w:pStyle w:val="Tabletext"/>
              <w:jc w:val="right"/>
            </w:pPr>
            <w:r w:rsidRPr="00700993">
              <w:t>54</w:t>
            </w:r>
            <w:r w:rsidR="008A571B">
              <w:t xml:space="preserve">   </w:t>
            </w:r>
            <w:r w:rsidRPr="00700993">
              <w:t xml:space="preserve"> (65.1)</w:t>
            </w:r>
          </w:p>
        </w:tc>
      </w:tr>
      <w:tr w:rsidR="00402DD8" w:rsidRPr="00E53DE9">
        <w:tc>
          <w:tcPr>
            <w:tcW w:w="150" w:type="pct"/>
          </w:tcPr>
          <w:p w:rsidR="00402DD8" w:rsidRPr="004552C4" w:rsidRDefault="00402DD8" w:rsidP="00402DD8">
            <w:pPr>
              <w:pStyle w:val="Tabletext"/>
            </w:pPr>
          </w:p>
        </w:tc>
        <w:tc>
          <w:tcPr>
            <w:tcW w:w="697" w:type="pct"/>
          </w:tcPr>
          <w:p w:rsidR="00402DD8" w:rsidRPr="004552C4" w:rsidRDefault="00402DD8" w:rsidP="00402DD8">
            <w:pPr>
              <w:pStyle w:val="Tabletext"/>
            </w:pPr>
            <w:r>
              <w:t>Cert</w:t>
            </w:r>
            <w:r w:rsidR="00CB0F5D">
              <w:t>.</w:t>
            </w:r>
            <w:r>
              <w:t xml:space="preserve"> IV</w:t>
            </w:r>
          </w:p>
        </w:tc>
        <w:tc>
          <w:tcPr>
            <w:tcW w:w="692" w:type="pct"/>
          </w:tcPr>
          <w:p w:rsidR="00402DD8" w:rsidRPr="001B42BF" w:rsidRDefault="00402DD8" w:rsidP="00FC5C47">
            <w:pPr>
              <w:pStyle w:val="Tabletext"/>
              <w:jc w:val="right"/>
            </w:pPr>
            <w:r w:rsidRPr="001B42BF">
              <w:t>20</w:t>
            </w:r>
            <w:r w:rsidR="008A571B">
              <w:t xml:space="preserve">   </w:t>
            </w:r>
            <w:r w:rsidRPr="001B42BF">
              <w:t xml:space="preserve"> (17.5)</w:t>
            </w:r>
          </w:p>
        </w:tc>
        <w:tc>
          <w:tcPr>
            <w:tcW w:w="692" w:type="pct"/>
          </w:tcPr>
          <w:p w:rsidR="00402DD8" w:rsidRPr="001B42BF" w:rsidRDefault="00402DD8" w:rsidP="00FC5C47">
            <w:pPr>
              <w:pStyle w:val="Tabletext"/>
              <w:jc w:val="right"/>
            </w:pPr>
            <w:r w:rsidRPr="001B42BF">
              <w:t>40</w:t>
            </w:r>
            <w:r w:rsidR="008A571B">
              <w:t xml:space="preserve">   </w:t>
            </w:r>
            <w:r w:rsidRPr="001B42BF">
              <w:t xml:space="preserve"> (14.7)</w:t>
            </w:r>
          </w:p>
        </w:tc>
        <w:tc>
          <w:tcPr>
            <w:tcW w:w="692" w:type="pct"/>
          </w:tcPr>
          <w:p w:rsidR="00402DD8" w:rsidRPr="006A7C5C" w:rsidRDefault="00402DD8" w:rsidP="00FC5C47">
            <w:pPr>
              <w:pStyle w:val="Tabletext"/>
              <w:jc w:val="right"/>
            </w:pPr>
            <w:r w:rsidRPr="006A7C5C">
              <w:t>61</w:t>
            </w:r>
            <w:r w:rsidR="008A571B">
              <w:t xml:space="preserve">  </w:t>
            </w:r>
            <w:r w:rsidRPr="006A7C5C">
              <w:t xml:space="preserve"> (15.7)</w:t>
            </w:r>
          </w:p>
        </w:tc>
        <w:tc>
          <w:tcPr>
            <w:tcW w:w="692" w:type="pct"/>
          </w:tcPr>
          <w:p w:rsidR="00402DD8" w:rsidRPr="00611070" w:rsidRDefault="00402DD8" w:rsidP="00FC5C47">
            <w:pPr>
              <w:pStyle w:val="Tabletext"/>
              <w:jc w:val="right"/>
            </w:pPr>
            <w:r w:rsidRPr="00611070">
              <w:t xml:space="preserve">5 </w:t>
            </w:r>
            <w:r w:rsidR="008A571B">
              <w:t xml:space="preserve">   </w:t>
            </w:r>
            <w:r w:rsidRPr="00611070">
              <w:t>(20.0)</w:t>
            </w:r>
          </w:p>
        </w:tc>
        <w:tc>
          <w:tcPr>
            <w:tcW w:w="692" w:type="pct"/>
          </w:tcPr>
          <w:p w:rsidR="00402DD8" w:rsidRPr="00077392" w:rsidRDefault="00402DD8" w:rsidP="00FC5C47">
            <w:pPr>
              <w:pStyle w:val="Tabletext"/>
              <w:jc w:val="right"/>
            </w:pPr>
            <w:r w:rsidRPr="00077392">
              <w:t xml:space="preserve">11 </w:t>
            </w:r>
            <w:r w:rsidR="008A571B">
              <w:t xml:space="preserve">   </w:t>
            </w:r>
            <w:r w:rsidRPr="00077392">
              <w:t>(19.0)</w:t>
            </w:r>
          </w:p>
        </w:tc>
        <w:tc>
          <w:tcPr>
            <w:tcW w:w="693" w:type="pct"/>
          </w:tcPr>
          <w:p w:rsidR="00402DD8" w:rsidRPr="00700993" w:rsidRDefault="00402DD8" w:rsidP="00FC5C47">
            <w:pPr>
              <w:pStyle w:val="Tabletext"/>
              <w:jc w:val="right"/>
            </w:pPr>
            <w:r w:rsidRPr="00700993">
              <w:t xml:space="preserve">16 </w:t>
            </w:r>
            <w:r w:rsidR="008A571B">
              <w:t xml:space="preserve">   </w:t>
            </w:r>
            <w:r w:rsidRPr="00700993">
              <w:t>(19.3)</w:t>
            </w:r>
          </w:p>
        </w:tc>
      </w:tr>
      <w:tr w:rsidR="00402DD8" w:rsidRPr="00E53DE9">
        <w:tc>
          <w:tcPr>
            <w:tcW w:w="150" w:type="pct"/>
            <w:tcBorders>
              <w:bottom w:val="single" w:sz="4" w:space="0" w:color="auto"/>
            </w:tcBorders>
          </w:tcPr>
          <w:p w:rsidR="00402DD8" w:rsidRPr="004552C4" w:rsidRDefault="00402DD8" w:rsidP="00402DD8">
            <w:pPr>
              <w:pStyle w:val="Tabletext"/>
            </w:pPr>
          </w:p>
        </w:tc>
        <w:tc>
          <w:tcPr>
            <w:tcW w:w="697" w:type="pct"/>
            <w:tcBorders>
              <w:bottom w:val="single" w:sz="4" w:space="0" w:color="auto"/>
            </w:tcBorders>
          </w:tcPr>
          <w:p w:rsidR="00402DD8" w:rsidRPr="004552C4" w:rsidRDefault="00402DD8" w:rsidP="00402DD8">
            <w:pPr>
              <w:pStyle w:val="Tabletext"/>
            </w:pPr>
            <w:r>
              <w:t>All</w:t>
            </w:r>
          </w:p>
        </w:tc>
        <w:tc>
          <w:tcPr>
            <w:tcW w:w="692" w:type="pct"/>
            <w:tcBorders>
              <w:bottom w:val="single" w:sz="4" w:space="0" w:color="auto"/>
            </w:tcBorders>
          </w:tcPr>
          <w:p w:rsidR="00402DD8" w:rsidRPr="001B42BF" w:rsidRDefault="00402DD8" w:rsidP="00FC5C47">
            <w:pPr>
              <w:pStyle w:val="Tabletext"/>
              <w:jc w:val="right"/>
            </w:pPr>
            <w:r w:rsidRPr="001B42BF">
              <w:t xml:space="preserve">114 </w:t>
            </w:r>
            <w:r w:rsidR="008A571B">
              <w:t xml:space="preserve"> </w:t>
            </w:r>
            <w:r w:rsidRPr="001B42BF">
              <w:t>(100.0)</w:t>
            </w:r>
          </w:p>
        </w:tc>
        <w:tc>
          <w:tcPr>
            <w:tcW w:w="692" w:type="pct"/>
            <w:tcBorders>
              <w:bottom w:val="single" w:sz="4" w:space="0" w:color="auto"/>
            </w:tcBorders>
          </w:tcPr>
          <w:p w:rsidR="00402DD8" w:rsidRPr="001B42BF" w:rsidRDefault="00402DD8" w:rsidP="00FC5C47">
            <w:pPr>
              <w:pStyle w:val="Tabletext"/>
              <w:jc w:val="right"/>
            </w:pPr>
            <w:r w:rsidRPr="001B42BF">
              <w:t>272</w:t>
            </w:r>
            <w:r w:rsidR="008A571B">
              <w:t xml:space="preserve"> </w:t>
            </w:r>
            <w:r w:rsidRPr="001B42BF">
              <w:t xml:space="preserve"> (100.0)</w:t>
            </w:r>
          </w:p>
        </w:tc>
        <w:tc>
          <w:tcPr>
            <w:tcW w:w="692" w:type="pct"/>
            <w:tcBorders>
              <w:bottom w:val="single" w:sz="4" w:space="0" w:color="auto"/>
            </w:tcBorders>
          </w:tcPr>
          <w:p w:rsidR="00402DD8" w:rsidRPr="006A7C5C" w:rsidRDefault="00402DD8" w:rsidP="00FC5C47">
            <w:pPr>
              <w:pStyle w:val="Tabletext"/>
              <w:jc w:val="right"/>
            </w:pPr>
            <w:r w:rsidRPr="006A7C5C">
              <w:t>389</w:t>
            </w:r>
            <w:r w:rsidR="008A571B">
              <w:t xml:space="preserve"> </w:t>
            </w:r>
            <w:r w:rsidRPr="006A7C5C">
              <w:t xml:space="preserve"> (100.0)</w:t>
            </w:r>
          </w:p>
        </w:tc>
        <w:tc>
          <w:tcPr>
            <w:tcW w:w="692" w:type="pct"/>
            <w:tcBorders>
              <w:bottom w:val="single" w:sz="4" w:space="0" w:color="auto"/>
            </w:tcBorders>
          </w:tcPr>
          <w:p w:rsidR="00402DD8" w:rsidRPr="00611070" w:rsidRDefault="00402DD8" w:rsidP="00FC5C47">
            <w:pPr>
              <w:pStyle w:val="Tabletext"/>
              <w:jc w:val="right"/>
            </w:pPr>
            <w:r w:rsidRPr="00611070">
              <w:t>25</w:t>
            </w:r>
            <w:r w:rsidR="008A571B">
              <w:t xml:space="preserve"> </w:t>
            </w:r>
            <w:r w:rsidRPr="00611070">
              <w:t xml:space="preserve"> (100.0)</w:t>
            </w:r>
          </w:p>
        </w:tc>
        <w:tc>
          <w:tcPr>
            <w:tcW w:w="692" w:type="pct"/>
            <w:tcBorders>
              <w:bottom w:val="single" w:sz="4" w:space="0" w:color="auto"/>
            </w:tcBorders>
          </w:tcPr>
          <w:p w:rsidR="00402DD8" w:rsidRPr="00611070" w:rsidRDefault="00402DD8" w:rsidP="00FC5C47">
            <w:pPr>
              <w:pStyle w:val="Tabletext"/>
              <w:jc w:val="right"/>
            </w:pPr>
            <w:r w:rsidRPr="00611070">
              <w:t xml:space="preserve">58 </w:t>
            </w:r>
            <w:r w:rsidR="008A571B">
              <w:t xml:space="preserve"> </w:t>
            </w:r>
            <w:r w:rsidRPr="00611070">
              <w:t>(100.0)</w:t>
            </w:r>
          </w:p>
        </w:tc>
        <w:tc>
          <w:tcPr>
            <w:tcW w:w="693" w:type="pct"/>
            <w:tcBorders>
              <w:bottom w:val="single" w:sz="4" w:space="0" w:color="auto"/>
            </w:tcBorders>
          </w:tcPr>
          <w:p w:rsidR="00402DD8" w:rsidRPr="00700993" w:rsidRDefault="00402DD8" w:rsidP="00FC5C47">
            <w:pPr>
              <w:pStyle w:val="Tabletext"/>
              <w:jc w:val="right"/>
            </w:pPr>
            <w:r w:rsidRPr="00700993">
              <w:t xml:space="preserve">83 </w:t>
            </w:r>
            <w:r w:rsidR="008A571B">
              <w:t xml:space="preserve"> </w:t>
            </w:r>
            <w:r w:rsidRPr="00700993">
              <w:t>(100.0)</w:t>
            </w:r>
          </w:p>
        </w:tc>
      </w:tr>
      <w:tr w:rsidR="00402DD8" w:rsidRPr="000538CC">
        <w:trPr>
          <w:trHeight w:val="154"/>
        </w:trPr>
        <w:tc>
          <w:tcPr>
            <w:tcW w:w="847" w:type="pct"/>
            <w:gridSpan w:val="2"/>
            <w:tcBorders>
              <w:top w:val="single" w:sz="4" w:space="0" w:color="auto"/>
            </w:tcBorders>
          </w:tcPr>
          <w:p w:rsidR="00402DD8" w:rsidRPr="00264215" w:rsidRDefault="00CB0F5D" w:rsidP="00402DD8">
            <w:pPr>
              <w:pStyle w:val="Tablehead3"/>
            </w:pPr>
            <w:r>
              <w:t>Full-</w:t>
            </w:r>
            <w:r w:rsidR="00402DD8" w:rsidRPr="00244561">
              <w:t>time status</w:t>
            </w:r>
          </w:p>
        </w:tc>
        <w:tc>
          <w:tcPr>
            <w:tcW w:w="692" w:type="pct"/>
            <w:tcBorders>
              <w:top w:val="single" w:sz="4" w:space="0" w:color="auto"/>
            </w:tcBorders>
          </w:tcPr>
          <w:p w:rsidR="00402DD8" w:rsidRPr="00936CA2" w:rsidRDefault="00402DD8" w:rsidP="00402DD8">
            <w:pPr>
              <w:pStyle w:val="Tablehead3"/>
              <w:jc w:val="center"/>
              <w:rPr>
                <w:highlight w:val="yellow"/>
              </w:rPr>
            </w:pPr>
          </w:p>
        </w:tc>
        <w:tc>
          <w:tcPr>
            <w:tcW w:w="692" w:type="pct"/>
            <w:tcBorders>
              <w:top w:val="single" w:sz="4" w:space="0" w:color="auto"/>
            </w:tcBorders>
          </w:tcPr>
          <w:p w:rsidR="00402DD8" w:rsidRPr="00936CA2" w:rsidRDefault="00402DD8" w:rsidP="00402DD8">
            <w:pPr>
              <w:pStyle w:val="Tablehead3"/>
              <w:jc w:val="center"/>
              <w:rPr>
                <w:highlight w:val="yellow"/>
              </w:rPr>
            </w:pPr>
          </w:p>
        </w:tc>
        <w:tc>
          <w:tcPr>
            <w:tcW w:w="692" w:type="pct"/>
            <w:tcBorders>
              <w:top w:val="single" w:sz="4" w:space="0" w:color="auto"/>
            </w:tcBorders>
          </w:tcPr>
          <w:p w:rsidR="00402DD8" w:rsidRPr="00936CA2" w:rsidRDefault="00402DD8" w:rsidP="00402DD8">
            <w:pPr>
              <w:pStyle w:val="Tablehead3"/>
              <w:jc w:val="center"/>
              <w:rPr>
                <w:highlight w:val="yellow"/>
              </w:rPr>
            </w:pPr>
          </w:p>
        </w:tc>
        <w:tc>
          <w:tcPr>
            <w:tcW w:w="692" w:type="pct"/>
            <w:tcBorders>
              <w:top w:val="single" w:sz="4" w:space="0" w:color="auto"/>
            </w:tcBorders>
          </w:tcPr>
          <w:p w:rsidR="00402DD8" w:rsidRPr="00611070" w:rsidRDefault="00402DD8" w:rsidP="00402DD8">
            <w:pPr>
              <w:pStyle w:val="Tablehead3"/>
              <w:jc w:val="center"/>
            </w:pPr>
          </w:p>
        </w:tc>
        <w:tc>
          <w:tcPr>
            <w:tcW w:w="692" w:type="pct"/>
            <w:tcBorders>
              <w:top w:val="single" w:sz="4" w:space="0" w:color="auto"/>
            </w:tcBorders>
          </w:tcPr>
          <w:p w:rsidR="00402DD8" w:rsidRPr="00611070" w:rsidRDefault="00402DD8" w:rsidP="00402DD8">
            <w:pPr>
              <w:pStyle w:val="Tablehead3"/>
              <w:jc w:val="center"/>
            </w:pPr>
          </w:p>
        </w:tc>
        <w:tc>
          <w:tcPr>
            <w:tcW w:w="693" w:type="pct"/>
            <w:tcBorders>
              <w:top w:val="single" w:sz="4" w:space="0" w:color="auto"/>
            </w:tcBorders>
          </w:tcPr>
          <w:p w:rsidR="00402DD8" w:rsidRPr="00936CA2" w:rsidRDefault="00402DD8" w:rsidP="00402DD8">
            <w:pPr>
              <w:pStyle w:val="Tablehead3"/>
              <w:jc w:val="center"/>
              <w:rPr>
                <w:highlight w:val="yellow"/>
              </w:rPr>
            </w:pPr>
          </w:p>
        </w:tc>
      </w:tr>
      <w:tr w:rsidR="00402DD8" w:rsidRPr="000538CC">
        <w:tc>
          <w:tcPr>
            <w:tcW w:w="150" w:type="pct"/>
          </w:tcPr>
          <w:p w:rsidR="00402DD8" w:rsidRPr="00264215" w:rsidRDefault="00402DD8" w:rsidP="00402DD8">
            <w:pPr>
              <w:pStyle w:val="Tabletext"/>
            </w:pPr>
          </w:p>
        </w:tc>
        <w:tc>
          <w:tcPr>
            <w:tcW w:w="697" w:type="pct"/>
          </w:tcPr>
          <w:p w:rsidR="00402DD8" w:rsidRPr="001B42BF" w:rsidRDefault="00CB0F5D" w:rsidP="00402DD8">
            <w:pPr>
              <w:pStyle w:val="Tabletext"/>
            </w:pPr>
            <w:r>
              <w:t>Full-</w:t>
            </w:r>
            <w:r w:rsidR="00402DD8" w:rsidRPr="001B42BF">
              <w:t>time</w:t>
            </w:r>
          </w:p>
        </w:tc>
        <w:tc>
          <w:tcPr>
            <w:tcW w:w="692" w:type="pct"/>
          </w:tcPr>
          <w:p w:rsidR="00402DD8" w:rsidRPr="001B42BF" w:rsidRDefault="00402DD8" w:rsidP="00FC5C47">
            <w:pPr>
              <w:pStyle w:val="Tabletext"/>
              <w:jc w:val="right"/>
            </w:pPr>
            <w:r w:rsidRPr="001B42BF">
              <w:t xml:space="preserve">95 </w:t>
            </w:r>
            <w:r w:rsidR="008A571B">
              <w:t xml:space="preserve">   </w:t>
            </w:r>
            <w:r w:rsidRPr="001B42BF">
              <w:t>(82.6)</w:t>
            </w:r>
          </w:p>
        </w:tc>
        <w:tc>
          <w:tcPr>
            <w:tcW w:w="692" w:type="pct"/>
          </w:tcPr>
          <w:p w:rsidR="00402DD8" w:rsidRPr="001B42BF" w:rsidRDefault="00402DD8" w:rsidP="00FC5C47">
            <w:pPr>
              <w:pStyle w:val="Tabletext"/>
              <w:jc w:val="right"/>
            </w:pPr>
            <w:r w:rsidRPr="001B42BF">
              <w:t>106</w:t>
            </w:r>
            <w:r w:rsidR="008A571B">
              <w:t xml:space="preserve">   </w:t>
            </w:r>
            <w:r w:rsidRPr="001B42BF">
              <w:t xml:space="preserve"> (38.4)</w:t>
            </w:r>
          </w:p>
        </w:tc>
        <w:tc>
          <w:tcPr>
            <w:tcW w:w="692" w:type="pct"/>
          </w:tcPr>
          <w:p w:rsidR="00402DD8" w:rsidRPr="00D83901" w:rsidRDefault="00402DD8" w:rsidP="00FC5C47">
            <w:pPr>
              <w:pStyle w:val="Tabletext"/>
              <w:jc w:val="right"/>
            </w:pPr>
            <w:r w:rsidRPr="00D83901">
              <w:t xml:space="preserve">201 </w:t>
            </w:r>
            <w:r w:rsidR="00DE7FB2">
              <w:t xml:space="preserve">  </w:t>
            </w:r>
            <w:r w:rsidRPr="00D83901">
              <w:t>(51.4)</w:t>
            </w:r>
          </w:p>
        </w:tc>
        <w:tc>
          <w:tcPr>
            <w:tcW w:w="692" w:type="pct"/>
          </w:tcPr>
          <w:p w:rsidR="00402DD8" w:rsidRPr="00611070" w:rsidRDefault="00402DD8" w:rsidP="00FC5C47">
            <w:pPr>
              <w:pStyle w:val="Tabletext"/>
              <w:jc w:val="right"/>
            </w:pPr>
            <w:r w:rsidRPr="00611070">
              <w:t xml:space="preserve">20 </w:t>
            </w:r>
            <w:r w:rsidR="00DE7FB2">
              <w:t xml:space="preserve"> </w:t>
            </w:r>
            <w:r w:rsidRPr="00611070">
              <w:t>(76.9)</w:t>
            </w:r>
          </w:p>
        </w:tc>
        <w:tc>
          <w:tcPr>
            <w:tcW w:w="692" w:type="pct"/>
          </w:tcPr>
          <w:p w:rsidR="00402DD8" w:rsidRPr="00611070" w:rsidRDefault="00402DD8" w:rsidP="00FC5C47">
            <w:pPr>
              <w:pStyle w:val="Tabletext"/>
              <w:jc w:val="right"/>
            </w:pPr>
            <w:r w:rsidRPr="00611070">
              <w:t>32</w:t>
            </w:r>
            <w:r w:rsidR="00DE7FB2">
              <w:t xml:space="preserve">  </w:t>
            </w:r>
            <w:r w:rsidRPr="00611070">
              <w:t xml:space="preserve"> (54.2)</w:t>
            </w:r>
          </w:p>
        </w:tc>
        <w:tc>
          <w:tcPr>
            <w:tcW w:w="693" w:type="pct"/>
          </w:tcPr>
          <w:p w:rsidR="00402DD8" w:rsidRPr="00700993" w:rsidRDefault="00402DD8" w:rsidP="00FC5C47">
            <w:pPr>
              <w:pStyle w:val="Tabletext"/>
              <w:jc w:val="right"/>
            </w:pPr>
            <w:r w:rsidRPr="00700993">
              <w:t xml:space="preserve">52 </w:t>
            </w:r>
            <w:r w:rsidR="00DE7FB2">
              <w:t xml:space="preserve">  </w:t>
            </w:r>
            <w:r w:rsidRPr="00700993">
              <w:t>(61.2)</w:t>
            </w:r>
          </w:p>
        </w:tc>
      </w:tr>
      <w:tr w:rsidR="00402DD8" w:rsidRPr="000538CC">
        <w:tc>
          <w:tcPr>
            <w:tcW w:w="150" w:type="pct"/>
          </w:tcPr>
          <w:p w:rsidR="00402DD8" w:rsidRPr="00264215" w:rsidRDefault="00402DD8" w:rsidP="00402DD8">
            <w:pPr>
              <w:pStyle w:val="Tabletext"/>
            </w:pPr>
          </w:p>
        </w:tc>
        <w:tc>
          <w:tcPr>
            <w:tcW w:w="697" w:type="pct"/>
          </w:tcPr>
          <w:p w:rsidR="00402DD8" w:rsidRPr="001B42BF" w:rsidRDefault="00CB0F5D" w:rsidP="00402DD8">
            <w:pPr>
              <w:pStyle w:val="Tabletext"/>
            </w:pPr>
            <w:r>
              <w:t>Part-</w:t>
            </w:r>
            <w:r w:rsidR="00402DD8" w:rsidRPr="001B42BF">
              <w:t>time</w:t>
            </w:r>
          </w:p>
        </w:tc>
        <w:tc>
          <w:tcPr>
            <w:tcW w:w="692" w:type="pct"/>
          </w:tcPr>
          <w:p w:rsidR="00402DD8" w:rsidRPr="001B42BF" w:rsidRDefault="00402DD8" w:rsidP="00FC5C47">
            <w:pPr>
              <w:pStyle w:val="Tabletext"/>
              <w:jc w:val="right"/>
            </w:pPr>
            <w:r w:rsidRPr="001B42BF">
              <w:t>15</w:t>
            </w:r>
            <w:r w:rsidR="008A571B">
              <w:t xml:space="preserve">   </w:t>
            </w:r>
            <w:r w:rsidRPr="001B42BF">
              <w:t xml:space="preserve"> (13.0)</w:t>
            </w:r>
          </w:p>
        </w:tc>
        <w:tc>
          <w:tcPr>
            <w:tcW w:w="692" w:type="pct"/>
          </w:tcPr>
          <w:p w:rsidR="00402DD8" w:rsidRPr="001B42BF" w:rsidRDefault="00402DD8" w:rsidP="00FC5C47">
            <w:pPr>
              <w:pStyle w:val="Tabletext"/>
              <w:jc w:val="right"/>
            </w:pPr>
            <w:r w:rsidRPr="001B42BF">
              <w:t>146</w:t>
            </w:r>
            <w:r w:rsidR="008A571B">
              <w:t xml:space="preserve">   </w:t>
            </w:r>
            <w:r w:rsidRPr="001B42BF">
              <w:t xml:space="preserve"> (52.9)</w:t>
            </w:r>
          </w:p>
        </w:tc>
        <w:tc>
          <w:tcPr>
            <w:tcW w:w="692" w:type="pct"/>
          </w:tcPr>
          <w:p w:rsidR="00402DD8" w:rsidRPr="00D83901" w:rsidRDefault="00402DD8" w:rsidP="00FC5C47">
            <w:pPr>
              <w:pStyle w:val="Tabletext"/>
              <w:jc w:val="right"/>
            </w:pPr>
            <w:r w:rsidRPr="00D83901">
              <w:t>161</w:t>
            </w:r>
            <w:r w:rsidR="008A571B">
              <w:t xml:space="preserve">   </w:t>
            </w:r>
            <w:r w:rsidRPr="00D83901">
              <w:t>(41.2)</w:t>
            </w:r>
          </w:p>
        </w:tc>
        <w:tc>
          <w:tcPr>
            <w:tcW w:w="692" w:type="pct"/>
          </w:tcPr>
          <w:p w:rsidR="00402DD8" w:rsidRPr="00611070" w:rsidRDefault="00402DD8" w:rsidP="00FC5C47">
            <w:pPr>
              <w:pStyle w:val="Tabletext"/>
              <w:jc w:val="right"/>
            </w:pPr>
            <w:r w:rsidRPr="00611070">
              <w:t xml:space="preserve">3 </w:t>
            </w:r>
            <w:r w:rsidR="00DE7FB2">
              <w:t xml:space="preserve"> </w:t>
            </w:r>
            <w:r w:rsidRPr="00611070">
              <w:t>(11.5))</w:t>
            </w:r>
          </w:p>
        </w:tc>
        <w:tc>
          <w:tcPr>
            <w:tcW w:w="692" w:type="pct"/>
          </w:tcPr>
          <w:p w:rsidR="00402DD8" w:rsidRPr="00611070" w:rsidRDefault="00402DD8" w:rsidP="00FC5C47">
            <w:pPr>
              <w:pStyle w:val="Tabletext"/>
              <w:jc w:val="right"/>
            </w:pPr>
            <w:r w:rsidRPr="00611070">
              <w:t>26</w:t>
            </w:r>
            <w:r w:rsidR="00DE7FB2">
              <w:t xml:space="preserve">  </w:t>
            </w:r>
            <w:r w:rsidRPr="00611070">
              <w:t xml:space="preserve"> (44.1)</w:t>
            </w:r>
          </w:p>
        </w:tc>
        <w:tc>
          <w:tcPr>
            <w:tcW w:w="693" w:type="pct"/>
          </w:tcPr>
          <w:p w:rsidR="00402DD8" w:rsidRPr="00700993" w:rsidRDefault="00402DD8" w:rsidP="00FC5C47">
            <w:pPr>
              <w:pStyle w:val="Tabletext"/>
              <w:jc w:val="right"/>
            </w:pPr>
            <w:r w:rsidRPr="00700993">
              <w:t xml:space="preserve">29 </w:t>
            </w:r>
            <w:r w:rsidR="00DE7FB2">
              <w:t xml:space="preserve">  </w:t>
            </w:r>
            <w:r w:rsidRPr="00700993">
              <w:t>(34.4)</w:t>
            </w:r>
          </w:p>
        </w:tc>
      </w:tr>
      <w:tr w:rsidR="00402DD8" w:rsidRPr="000538CC">
        <w:tc>
          <w:tcPr>
            <w:tcW w:w="150" w:type="pct"/>
          </w:tcPr>
          <w:p w:rsidR="00402DD8" w:rsidRPr="00264215" w:rsidRDefault="00402DD8" w:rsidP="00402DD8">
            <w:pPr>
              <w:pStyle w:val="Tabletext"/>
            </w:pPr>
          </w:p>
        </w:tc>
        <w:tc>
          <w:tcPr>
            <w:tcW w:w="697" w:type="pct"/>
          </w:tcPr>
          <w:p w:rsidR="00402DD8" w:rsidRPr="001B42BF" w:rsidRDefault="00402DD8" w:rsidP="00402DD8">
            <w:pPr>
              <w:pStyle w:val="Tabletext"/>
            </w:pPr>
            <w:r w:rsidRPr="001B42BF">
              <w:t>Mix of full- and part-time</w:t>
            </w:r>
          </w:p>
        </w:tc>
        <w:tc>
          <w:tcPr>
            <w:tcW w:w="692" w:type="pct"/>
          </w:tcPr>
          <w:p w:rsidR="00402DD8" w:rsidRPr="001B42BF" w:rsidRDefault="00402DD8" w:rsidP="00FC5C47">
            <w:pPr>
              <w:pStyle w:val="Tabletext"/>
              <w:jc w:val="right"/>
            </w:pPr>
            <w:r w:rsidRPr="001B42BF">
              <w:t xml:space="preserve">5 </w:t>
            </w:r>
            <w:r w:rsidR="008A571B">
              <w:t xml:space="preserve">     </w:t>
            </w:r>
            <w:r w:rsidRPr="001B42BF">
              <w:t>(4.3)</w:t>
            </w:r>
          </w:p>
        </w:tc>
        <w:tc>
          <w:tcPr>
            <w:tcW w:w="692" w:type="pct"/>
          </w:tcPr>
          <w:p w:rsidR="00402DD8" w:rsidRPr="001B42BF" w:rsidRDefault="00402DD8" w:rsidP="00FC5C47">
            <w:pPr>
              <w:pStyle w:val="Tabletext"/>
              <w:jc w:val="right"/>
            </w:pPr>
            <w:r w:rsidRPr="001B42BF">
              <w:t>24</w:t>
            </w:r>
            <w:r w:rsidR="008A571B">
              <w:t xml:space="preserve">     </w:t>
            </w:r>
            <w:r w:rsidRPr="001B42BF">
              <w:t xml:space="preserve"> (8.7)</w:t>
            </w:r>
          </w:p>
        </w:tc>
        <w:tc>
          <w:tcPr>
            <w:tcW w:w="692" w:type="pct"/>
          </w:tcPr>
          <w:p w:rsidR="00402DD8" w:rsidRPr="00D83901" w:rsidRDefault="00402DD8" w:rsidP="00FC5C47">
            <w:pPr>
              <w:pStyle w:val="Tabletext"/>
              <w:jc w:val="right"/>
            </w:pPr>
            <w:r w:rsidRPr="00D83901">
              <w:t>29</w:t>
            </w:r>
            <w:r w:rsidR="008A571B">
              <w:t xml:space="preserve">     </w:t>
            </w:r>
            <w:r w:rsidRPr="00D83901">
              <w:t xml:space="preserve"> (7.4)</w:t>
            </w:r>
          </w:p>
        </w:tc>
        <w:tc>
          <w:tcPr>
            <w:tcW w:w="692" w:type="pct"/>
          </w:tcPr>
          <w:p w:rsidR="00402DD8" w:rsidRPr="00611070" w:rsidRDefault="00402DD8" w:rsidP="00FC5C47">
            <w:pPr>
              <w:pStyle w:val="Tabletext"/>
              <w:jc w:val="right"/>
            </w:pPr>
            <w:r w:rsidRPr="00611070">
              <w:t>3</w:t>
            </w:r>
            <w:r w:rsidR="00DE7FB2">
              <w:t xml:space="preserve">  </w:t>
            </w:r>
            <w:r w:rsidRPr="00611070">
              <w:t xml:space="preserve"> (11.5)</w:t>
            </w:r>
          </w:p>
        </w:tc>
        <w:tc>
          <w:tcPr>
            <w:tcW w:w="692" w:type="pct"/>
          </w:tcPr>
          <w:p w:rsidR="00402DD8" w:rsidRPr="00611070" w:rsidRDefault="00402DD8" w:rsidP="00FC5C47">
            <w:pPr>
              <w:pStyle w:val="Tabletext"/>
              <w:jc w:val="right"/>
            </w:pPr>
            <w:r w:rsidRPr="00611070">
              <w:t>1</w:t>
            </w:r>
            <w:r w:rsidR="00DE7FB2">
              <w:t xml:space="preserve">     </w:t>
            </w:r>
            <w:r w:rsidRPr="00611070">
              <w:t xml:space="preserve"> (1.7)</w:t>
            </w:r>
          </w:p>
        </w:tc>
        <w:tc>
          <w:tcPr>
            <w:tcW w:w="693" w:type="pct"/>
          </w:tcPr>
          <w:p w:rsidR="00402DD8" w:rsidRPr="00700993" w:rsidRDefault="00402DD8" w:rsidP="00FC5C47">
            <w:pPr>
              <w:pStyle w:val="Tabletext"/>
              <w:jc w:val="right"/>
            </w:pPr>
            <w:r w:rsidRPr="00700993">
              <w:t>4</w:t>
            </w:r>
            <w:r w:rsidR="00DE7FB2">
              <w:t xml:space="preserve">     </w:t>
            </w:r>
            <w:r w:rsidRPr="00700993">
              <w:t xml:space="preserve"> (4.7)</w:t>
            </w:r>
          </w:p>
        </w:tc>
      </w:tr>
      <w:tr w:rsidR="00402DD8" w:rsidRPr="00E53DE9">
        <w:tc>
          <w:tcPr>
            <w:tcW w:w="150" w:type="pct"/>
            <w:tcBorders>
              <w:bottom w:val="single" w:sz="4" w:space="0" w:color="auto"/>
            </w:tcBorders>
          </w:tcPr>
          <w:p w:rsidR="00402DD8" w:rsidRPr="004552C4" w:rsidRDefault="00402DD8" w:rsidP="00402DD8">
            <w:pPr>
              <w:pStyle w:val="Tabletext"/>
            </w:pPr>
          </w:p>
        </w:tc>
        <w:tc>
          <w:tcPr>
            <w:tcW w:w="697" w:type="pct"/>
            <w:tcBorders>
              <w:bottom w:val="single" w:sz="4" w:space="0" w:color="auto"/>
            </w:tcBorders>
          </w:tcPr>
          <w:p w:rsidR="00402DD8" w:rsidRPr="001B42BF" w:rsidRDefault="00402DD8" w:rsidP="00402DD8">
            <w:pPr>
              <w:pStyle w:val="Tabletext"/>
            </w:pPr>
            <w:r>
              <w:t>All</w:t>
            </w:r>
          </w:p>
        </w:tc>
        <w:tc>
          <w:tcPr>
            <w:tcW w:w="692" w:type="pct"/>
            <w:tcBorders>
              <w:bottom w:val="single" w:sz="4" w:space="0" w:color="auto"/>
            </w:tcBorders>
          </w:tcPr>
          <w:p w:rsidR="00402DD8" w:rsidRPr="001B42BF" w:rsidRDefault="00402DD8" w:rsidP="00FC5C47">
            <w:pPr>
              <w:pStyle w:val="Tabletext"/>
              <w:jc w:val="right"/>
            </w:pPr>
            <w:r w:rsidRPr="001B42BF">
              <w:t xml:space="preserve">115 </w:t>
            </w:r>
            <w:r w:rsidR="008A571B">
              <w:t xml:space="preserve"> </w:t>
            </w:r>
            <w:r w:rsidRPr="001B42BF">
              <w:t>(100.0)</w:t>
            </w:r>
          </w:p>
        </w:tc>
        <w:tc>
          <w:tcPr>
            <w:tcW w:w="692" w:type="pct"/>
            <w:tcBorders>
              <w:bottom w:val="single" w:sz="4" w:space="0" w:color="auto"/>
            </w:tcBorders>
          </w:tcPr>
          <w:p w:rsidR="00402DD8" w:rsidRPr="001B42BF" w:rsidRDefault="00402DD8" w:rsidP="00FC5C47">
            <w:pPr>
              <w:pStyle w:val="Tabletext"/>
              <w:jc w:val="right"/>
            </w:pPr>
            <w:r w:rsidRPr="001B42BF">
              <w:t xml:space="preserve">276 </w:t>
            </w:r>
            <w:r w:rsidR="008A571B">
              <w:t xml:space="preserve"> </w:t>
            </w:r>
            <w:r w:rsidRPr="001B42BF">
              <w:t>(100.0)</w:t>
            </w:r>
          </w:p>
        </w:tc>
        <w:tc>
          <w:tcPr>
            <w:tcW w:w="692" w:type="pct"/>
            <w:tcBorders>
              <w:bottom w:val="single" w:sz="4" w:space="0" w:color="auto"/>
            </w:tcBorders>
          </w:tcPr>
          <w:p w:rsidR="00402DD8" w:rsidRPr="00D83901" w:rsidRDefault="00402DD8" w:rsidP="00FC5C47">
            <w:pPr>
              <w:pStyle w:val="Tabletext"/>
              <w:jc w:val="right"/>
            </w:pPr>
            <w:r>
              <w:t>391</w:t>
            </w:r>
            <w:r w:rsidRPr="00D83901">
              <w:t xml:space="preserve"> </w:t>
            </w:r>
            <w:r w:rsidR="008A571B">
              <w:t xml:space="preserve"> </w:t>
            </w:r>
            <w:r w:rsidRPr="00D83901">
              <w:t>(100.0)</w:t>
            </w:r>
          </w:p>
        </w:tc>
        <w:tc>
          <w:tcPr>
            <w:tcW w:w="692" w:type="pct"/>
            <w:tcBorders>
              <w:bottom w:val="single" w:sz="4" w:space="0" w:color="auto"/>
            </w:tcBorders>
          </w:tcPr>
          <w:p w:rsidR="00402DD8" w:rsidRPr="00DC0CED" w:rsidRDefault="00402DD8" w:rsidP="00FC5C47">
            <w:pPr>
              <w:pStyle w:val="Tabletext"/>
              <w:jc w:val="right"/>
            </w:pPr>
            <w:r w:rsidRPr="00DC0CED">
              <w:t xml:space="preserve">26 </w:t>
            </w:r>
            <w:r w:rsidR="00DE7FB2">
              <w:t xml:space="preserve"> </w:t>
            </w:r>
            <w:r w:rsidRPr="00DC0CED">
              <w:t>(100.0)</w:t>
            </w:r>
          </w:p>
        </w:tc>
        <w:tc>
          <w:tcPr>
            <w:tcW w:w="692" w:type="pct"/>
            <w:tcBorders>
              <w:bottom w:val="single" w:sz="4" w:space="0" w:color="auto"/>
            </w:tcBorders>
          </w:tcPr>
          <w:p w:rsidR="00402DD8" w:rsidRPr="00DC0CED" w:rsidRDefault="00402DD8" w:rsidP="00FC5C47">
            <w:pPr>
              <w:pStyle w:val="Tabletext"/>
              <w:jc w:val="right"/>
            </w:pPr>
            <w:r w:rsidRPr="00DC0CED">
              <w:t xml:space="preserve">59 </w:t>
            </w:r>
            <w:r w:rsidR="00DE7FB2">
              <w:t xml:space="preserve"> </w:t>
            </w:r>
            <w:r w:rsidRPr="00DC0CED">
              <w:t>(100.0)</w:t>
            </w:r>
          </w:p>
        </w:tc>
        <w:tc>
          <w:tcPr>
            <w:tcW w:w="693" w:type="pct"/>
            <w:tcBorders>
              <w:bottom w:val="single" w:sz="4" w:space="0" w:color="auto"/>
            </w:tcBorders>
          </w:tcPr>
          <w:p w:rsidR="00402DD8" w:rsidRPr="00700993" w:rsidRDefault="00402DD8" w:rsidP="00FC5C47">
            <w:pPr>
              <w:pStyle w:val="Tabletext"/>
              <w:jc w:val="right"/>
            </w:pPr>
            <w:r w:rsidRPr="00700993">
              <w:t xml:space="preserve">85 </w:t>
            </w:r>
            <w:r w:rsidR="00DE7FB2">
              <w:t xml:space="preserve"> </w:t>
            </w:r>
            <w:r w:rsidRPr="00700993">
              <w:t>(100.0)</w:t>
            </w:r>
          </w:p>
        </w:tc>
      </w:tr>
      <w:tr w:rsidR="00402DD8" w:rsidRPr="000538CC">
        <w:trPr>
          <w:trHeight w:val="154"/>
        </w:trPr>
        <w:tc>
          <w:tcPr>
            <w:tcW w:w="847" w:type="pct"/>
            <w:gridSpan w:val="2"/>
            <w:tcBorders>
              <w:top w:val="single" w:sz="4" w:space="0" w:color="auto"/>
            </w:tcBorders>
          </w:tcPr>
          <w:p w:rsidR="00402DD8" w:rsidRPr="00264215" w:rsidRDefault="00402DD8" w:rsidP="00CB0F5D">
            <w:pPr>
              <w:pStyle w:val="Tablehead3"/>
            </w:pPr>
            <w:r>
              <w:t>VET</w:t>
            </w:r>
            <w:r w:rsidR="00CB0F5D">
              <w:t xml:space="preserve"> in Schools</w:t>
            </w:r>
          </w:p>
        </w:tc>
        <w:tc>
          <w:tcPr>
            <w:tcW w:w="692" w:type="pct"/>
            <w:tcBorders>
              <w:top w:val="single" w:sz="4" w:space="0" w:color="auto"/>
            </w:tcBorders>
          </w:tcPr>
          <w:p w:rsidR="00402DD8" w:rsidRPr="00936CA2" w:rsidRDefault="00402DD8" w:rsidP="00402DD8">
            <w:pPr>
              <w:pStyle w:val="Tablehead3"/>
              <w:jc w:val="center"/>
              <w:rPr>
                <w:highlight w:val="yellow"/>
              </w:rPr>
            </w:pPr>
          </w:p>
        </w:tc>
        <w:tc>
          <w:tcPr>
            <w:tcW w:w="692" w:type="pct"/>
            <w:tcBorders>
              <w:top w:val="single" w:sz="4" w:space="0" w:color="auto"/>
            </w:tcBorders>
          </w:tcPr>
          <w:p w:rsidR="00402DD8" w:rsidRPr="00936CA2" w:rsidRDefault="00402DD8" w:rsidP="00402DD8">
            <w:pPr>
              <w:pStyle w:val="Tablehead3"/>
              <w:jc w:val="center"/>
              <w:rPr>
                <w:highlight w:val="yellow"/>
              </w:rPr>
            </w:pPr>
          </w:p>
        </w:tc>
        <w:tc>
          <w:tcPr>
            <w:tcW w:w="692" w:type="pct"/>
            <w:tcBorders>
              <w:top w:val="single" w:sz="4" w:space="0" w:color="auto"/>
            </w:tcBorders>
          </w:tcPr>
          <w:p w:rsidR="00402DD8" w:rsidRPr="00936CA2" w:rsidRDefault="00402DD8" w:rsidP="00402DD8">
            <w:pPr>
              <w:pStyle w:val="Tablehead3"/>
              <w:jc w:val="center"/>
              <w:rPr>
                <w:highlight w:val="yellow"/>
              </w:rPr>
            </w:pPr>
          </w:p>
        </w:tc>
        <w:tc>
          <w:tcPr>
            <w:tcW w:w="692" w:type="pct"/>
            <w:tcBorders>
              <w:top w:val="single" w:sz="4" w:space="0" w:color="auto"/>
            </w:tcBorders>
          </w:tcPr>
          <w:p w:rsidR="00402DD8" w:rsidRPr="00DC0CED" w:rsidRDefault="00402DD8" w:rsidP="00402DD8">
            <w:pPr>
              <w:pStyle w:val="Tablehead3"/>
              <w:jc w:val="center"/>
            </w:pPr>
          </w:p>
        </w:tc>
        <w:tc>
          <w:tcPr>
            <w:tcW w:w="692" w:type="pct"/>
            <w:tcBorders>
              <w:top w:val="single" w:sz="4" w:space="0" w:color="auto"/>
            </w:tcBorders>
          </w:tcPr>
          <w:p w:rsidR="00402DD8" w:rsidRPr="00DC0CED" w:rsidRDefault="00402DD8" w:rsidP="00402DD8">
            <w:pPr>
              <w:pStyle w:val="Tablehead3"/>
              <w:jc w:val="center"/>
            </w:pPr>
          </w:p>
        </w:tc>
        <w:tc>
          <w:tcPr>
            <w:tcW w:w="693" w:type="pct"/>
            <w:tcBorders>
              <w:top w:val="single" w:sz="4" w:space="0" w:color="auto"/>
            </w:tcBorders>
          </w:tcPr>
          <w:p w:rsidR="00402DD8" w:rsidRPr="00936CA2" w:rsidRDefault="00402DD8" w:rsidP="00402DD8">
            <w:pPr>
              <w:pStyle w:val="Tablehead3"/>
              <w:jc w:val="center"/>
              <w:rPr>
                <w:highlight w:val="yellow"/>
              </w:rPr>
            </w:pPr>
          </w:p>
        </w:tc>
      </w:tr>
      <w:tr w:rsidR="00402DD8" w:rsidRPr="000538CC">
        <w:tc>
          <w:tcPr>
            <w:tcW w:w="150" w:type="pct"/>
          </w:tcPr>
          <w:p w:rsidR="00402DD8" w:rsidRPr="00264215" w:rsidRDefault="00402DD8" w:rsidP="00402DD8">
            <w:pPr>
              <w:pStyle w:val="Tabletext"/>
            </w:pPr>
          </w:p>
        </w:tc>
        <w:tc>
          <w:tcPr>
            <w:tcW w:w="697" w:type="pct"/>
          </w:tcPr>
          <w:p w:rsidR="00402DD8" w:rsidRPr="00264215" w:rsidRDefault="00402DD8" w:rsidP="00402DD8">
            <w:pPr>
              <w:pStyle w:val="Tabletext"/>
            </w:pPr>
            <w:r>
              <w:t>VET</w:t>
            </w:r>
            <w:r w:rsidR="00CB0F5D">
              <w:t xml:space="preserve"> in Schools</w:t>
            </w:r>
          </w:p>
        </w:tc>
        <w:tc>
          <w:tcPr>
            <w:tcW w:w="692" w:type="pct"/>
          </w:tcPr>
          <w:p w:rsidR="00402DD8" w:rsidRPr="00FB518E" w:rsidRDefault="00402DD8" w:rsidP="00FC5C47">
            <w:pPr>
              <w:pStyle w:val="Tabletext"/>
              <w:jc w:val="right"/>
            </w:pPr>
            <w:r w:rsidRPr="00FB518E">
              <w:t>6</w:t>
            </w:r>
            <w:r w:rsidR="00DE7FB2">
              <w:t xml:space="preserve">    </w:t>
            </w:r>
            <w:r w:rsidRPr="00FB518E">
              <w:t xml:space="preserve"> (5.3)</w:t>
            </w:r>
          </w:p>
        </w:tc>
        <w:tc>
          <w:tcPr>
            <w:tcW w:w="692" w:type="pct"/>
          </w:tcPr>
          <w:p w:rsidR="00402DD8" w:rsidRPr="00FB518E" w:rsidRDefault="00402DD8" w:rsidP="00FC5C47">
            <w:pPr>
              <w:pStyle w:val="Tabletext"/>
              <w:jc w:val="right"/>
            </w:pPr>
            <w:r w:rsidRPr="00FB518E">
              <w:t>29</w:t>
            </w:r>
            <w:r w:rsidR="00DE7FB2">
              <w:t xml:space="preserve">   </w:t>
            </w:r>
            <w:r w:rsidRPr="00FB518E">
              <w:t xml:space="preserve"> (10.5)</w:t>
            </w:r>
          </w:p>
        </w:tc>
        <w:tc>
          <w:tcPr>
            <w:tcW w:w="692" w:type="pct"/>
          </w:tcPr>
          <w:p w:rsidR="00402DD8" w:rsidRPr="00363DA2" w:rsidRDefault="00402DD8" w:rsidP="00FC5C47">
            <w:pPr>
              <w:pStyle w:val="Tabletext"/>
              <w:jc w:val="right"/>
            </w:pPr>
            <w:r w:rsidRPr="00363DA2">
              <w:t>35</w:t>
            </w:r>
            <w:r w:rsidR="00DE7FB2">
              <w:t xml:space="preserve">     </w:t>
            </w:r>
            <w:r w:rsidRPr="00363DA2">
              <w:t xml:space="preserve"> (9.0)</w:t>
            </w:r>
          </w:p>
        </w:tc>
        <w:tc>
          <w:tcPr>
            <w:tcW w:w="692" w:type="pct"/>
          </w:tcPr>
          <w:p w:rsidR="00402DD8" w:rsidRPr="00DC0CED" w:rsidRDefault="00402DD8" w:rsidP="00FC5C47">
            <w:pPr>
              <w:pStyle w:val="Tabletext"/>
              <w:jc w:val="right"/>
            </w:pPr>
            <w:r w:rsidRPr="00DC0CED">
              <w:t>-</w:t>
            </w:r>
          </w:p>
        </w:tc>
        <w:tc>
          <w:tcPr>
            <w:tcW w:w="692" w:type="pct"/>
          </w:tcPr>
          <w:p w:rsidR="00402DD8" w:rsidRPr="00700993" w:rsidRDefault="00402DD8" w:rsidP="00FC5C47">
            <w:pPr>
              <w:pStyle w:val="Tabletext"/>
              <w:jc w:val="right"/>
            </w:pPr>
            <w:r w:rsidRPr="00700993">
              <w:t xml:space="preserve">6 </w:t>
            </w:r>
            <w:r w:rsidR="00DE7FB2">
              <w:t xml:space="preserve">  </w:t>
            </w:r>
            <w:r w:rsidRPr="00700993">
              <w:t>(10.2)</w:t>
            </w:r>
          </w:p>
        </w:tc>
        <w:tc>
          <w:tcPr>
            <w:tcW w:w="693" w:type="pct"/>
          </w:tcPr>
          <w:p w:rsidR="00402DD8" w:rsidRPr="00700993" w:rsidRDefault="00402DD8" w:rsidP="00FC5C47">
            <w:pPr>
              <w:pStyle w:val="Tabletext"/>
              <w:jc w:val="right"/>
            </w:pPr>
            <w:r w:rsidRPr="00700993">
              <w:t xml:space="preserve">6 </w:t>
            </w:r>
            <w:r w:rsidR="00DE7FB2">
              <w:t xml:space="preserve">     </w:t>
            </w:r>
            <w:r w:rsidRPr="00700993">
              <w:t>(7.1)</w:t>
            </w:r>
          </w:p>
        </w:tc>
      </w:tr>
      <w:tr w:rsidR="00402DD8" w:rsidRPr="000538CC">
        <w:tc>
          <w:tcPr>
            <w:tcW w:w="150" w:type="pct"/>
          </w:tcPr>
          <w:p w:rsidR="00402DD8" w:rsidRPr="00264215" w:rsidRDefault="00402DD8" w:rsidP="00402DD8">
            <w:pPr>
              <w:pStyle w:val="Tabletext"/>
            </w:pPr>
          </w:p>
        </w:tc>
        <w:tc>
          <w:tcPr>
            <w:tcW w:w="697" w:type="pct"/>
          </w:tcPr>
          <w:p w:rsidR="00402DD8" w:rsidRPr="00264215" w:rsidRDefault="00402DD8" w:rsidP="00402DD8">
            <w:pPr>
              <w:pStyle w:val="Tabletext"/>
            </w:pPr>
            <w:r>
              <w:t>Work-based</w:t>
            </w:r>
          </w:p>
        </w:tc>
        <w:tc>
          <w:tcPr>
            <w:tcW w:w="692" w:type="pct"/>
          </w:tcPr>
          <w:p w:rsidR="00402DD8" w:rsidRPr="00FB518E" w:rsidRDefault="00402DD8" w:rsidP="00FC5C47">
            <w:pPr>
              <w:pStyle w:val="Tabletext"/>
              <w:jc w:val="right"/>
            </w:pPr>
            <w:r w:rsidRPr="00FB518E">
              <w:t>96</w:t>
            </w:r>
            <w:r w:rsidR="00DE7FB2">
              <w:t xml:space="preserve">   </w:t>
            </w:r>
            <w:r w:rsidRPr="00FB518E">
              <w:t xml:space="preserve"> (85.0)</w:t>
            </w:r>
          </w:p>
        </w:tc>
        <w:tc>
          <w:tcPr>
            <w:tcW w:w="692" w:type="pct"/>
          </w:tcPr>
          <w:p w:rsidR="00402DD8" w:rsidRPr="00FB518E" w:rsidRDefault="00402DD8" w:rsidP="00FC5C47">
            <w:pPr>
              <w:pStyle w:val="Tabletext"/>
              <w:jc w:val="right"/>
            </w:pPr>
            <w:r w:rsidRPr="00FB518E">
              <w:t>236</w:t>
            </w:r>
            <w:r w:rsidR="00DE7FB2">
              <w:t xml:space="preserve">   </w:t>
            </w:r>
            <w:r w:rsidRPr="00FB518E">
              <w:t xml:space="preserve"> (85.8)</w:t>
            </w:r>
          </w:p>
        </w:tc>
        <w:tc>
          <w:tcPr>
            <w:tcW w:w="692" w:type="pct"/>
          </w:tcPr>
          <w:p w:rsidR="00402DD8" w:rsidRPr="00363DA2" w:rsidRDefault="00402DD8" w:rsidP="00FC5C47">
            <w:pPr>
              <w:pStyle w:val="Tabletext"/>
              <w:jc w:val="right"/>
            </w:pPr>
            <w:r w:rsidRPr="00363DA2">
              <w:t xml:space="preserve">332 </w:t>
            </w:r>
            <w:r w:rsidR="00DE7FB2">
              <w:t xml:space="preserve">   </w:t>
            </w:r>
            <w:r w:rsidRPr="00363DA2">
              <w:t>(85.6)</w:t>
            </w:r>
          </w:p>
        </w:tc>
        <w:tc>
          <w:tcPr>
            <w:tcW w:w="692" w:type="pct"/>
          </w:tcPr>
          <w:p w:rsidR="00402DD8" w:rsidRPr="00DC0CED" w:rsidRDefault="00402DD8" w:rsidP="00FC5C47">
            <w:pPr>
              <w:pStyle w:val="Tabletext"/>
              <w:jc w:val="right"/>
            </w:pPr>
            <w:r w:rsidRPr="00DC0CED">
              <w:t xml:space="preserve">25 </w:t>
            </w:r>
            <w:r w:rsidR="00DE7FB2">
              <w:t xml:space="preserve">  </w:t>
            </w:r>
            <w:r w:rsidRPr="00DC0CED">
              <w:t>(96.2)</w:t>
            </w:r>
          </w:p>
        </w:tc>
        <w:tc>
          <w:tcPr>
            <w:tcW w:w="692" w:type="pct"/>
          </w:tcPr>
          <w:p w:rsidR="00402DD8" w:rsidRPr="00700993" w:rsidRDefault="00402DD8" w:rsidP="00FC5C47">
            <w:pPr>
              <w:pStyle w:val="Tabletext"/>
              <w:jc w:val="right"/>
            </w:pPr>
            <w:r w:rsidRPr="00700993">
              <w:t>53</w:t>
            </w:r>
            <w:r w:rsidR="00DE7FB2">
              <w:t xml:space="preserve">  </w:t>
            </w:r>
            <w:r w:rsidRPr="00700993">
              <w:t xml:space="preserve"> (89.8)</w:t>
            </w:r>
          </w:p>
        </w:tc>
        <w:tc>
          <w:tcPr>
            <w:tcW w:w="693" w:type="pct"/>
          </w:tcPr>
          <w:p w:rsidR="00402DD8" w:rsidRPr="00700993" w:rsidRDefault="00402DD8" w:rsidP="00FC5C47">
            <w:pPr>
              <w:pStyle w:val="Tabletext"/>
              <w:jc w:val="right"/>
            </w:pPr>
            <w:r w:rsidRPr="00700993">
              <w:t xml:space="preserve">78 </w:t>
            </w:r>
            <w:r w:rsidR="00DE7FB2">
              <w:t xml:space="preserve">   </w:t>
            </w:r>
            <w:r w:rsidRPr="00700993">
              <w:t>(91.8)</w:t>
            </w:r>
          </w:p>
        </w:tc>
      </w:tr>
      <w:tr w:rsidR="00402DD8" w:rsidRPr="000538CC">
        <w:tc>
          <w:tcPr>
            <w:tcW w:w="150" w:type="pct"/>
          </w:tcPr>
          <w:p w:rsidR="00402DD8" w:rsidRPr="00264215" w:rsidRDefault="00402DD8" w:rsidP="00402DD8">
            <w:pPr>
              <w:pStyle w:val="Tabletext"/>
            </w:pPr>
          </w:p>
        </w:tc>
        <w:tc>
          <w:tcPr>
            <w:tcW w:w="697" w:type="pct"/>
          </w:tcPr>
          <w:p w:rsidR="00402DD8" w:rsidRPr="00264215" w:rsidRDefault="00CB0F5D" w:rsidP="00402DD8">
            <w:pPr>
              <w:pStyle w:val="Tabletext"/>
            </w:pPr>
            <w:r>
              <w:t>Mix of VET in Schools</w:t>
            </w:r>
            <w:r w:rsidR="00402DD8">
              <w:t xml:space="preserve"> and work-based</w:t>
            </w:r>
          </w:p>
        </w:tc>
        <w:tc>
          <w:tcPr>
            <w:tcW w:w="692" w:type="pct"/>
          </w:tcPr>
          <w:p w:rsidR="00402DD8" w:rsidRPr="00FB518E" w:rsidRDefault="00402DD8" w:rsidP="00FC5C47">
            <w:pPr>
              <w:pStyle w:val="Tabletext"/>
              <w:jc w:val="right"/>
            </w:pPr>
            <w:r w:rsidRPr="00FB518E">
              <w:t>11</w:t>
            </w:r>
            <w:r w:rsidR="00DE7FB2">
              <w:t xml:space="preserve">     </w:t>
            </w:r>
            <w:r w:rsidRPr="00FB518E">
              <w:t xml:space="preserve"> (9.7)</w:t>
            </w:r>
          </w:p>
        </w:tc>
        <w:tc>
          <w:tcPr>
            <w:tcW w:w="692" w:type="pct"/>
          </w:tcPr>
          <w:p w:rsidR="00402DD8" w:rsidRPr="00FB518E" w:rsidRDefault="00402DD8" w:rsidP="00FC5C47">
            <w:pPr>
              <w:pStyle w:val="Tabletext"/>
              <w:jc w:val="right"/>
            </w:pPr>
            <w:r w:rsidRPr="00FB518E">
              <w:t>10</w:t>
            </w:r>
            <w:r w:rsidR="00DE7FB2">
              <w:t xml:space="preserve">     </w:t>
            </w:r>
            <w:r w:rsidRPr="00FB518E">
              <w:t xml:space="preserve"> (3.6)</w:t>
            </w:r>
          </w:p>
        </w:tc>
        <w:tc>
          <w:tcPr>
            <w:tcW w:w="692" w:type="pct"/>
          </w:tcPr>
          <w:p w:rsidR="00402DD8" w:rsidRPr="00363DA2" w:rsidRDefault="00402DD8" w:rsidP="00FC5C47">
            <w:pPr>
              <w:pStyle w:val="Tabletext"/>
              <w:jc w:val="right"/>
            </w:pPr>
            <w:r w:rsidRPr="00363DA2">
              <w:t xml:space="preserve">21 </w:t>
            </w:r>
            <w:r w:rsidR="00DE7FB2">
              <w:t xml:space="preserve">     </w:t>
            </w:r>
            <w:r w:rsidRPr="00363DA2">
              <w:t>(5.4)</w:t>
            </w:r>
          </w:p>
        </w:tc>
        <w:tc>
          <w:tcPr>
            <w:tcW w:w="692" w:type="pct"/>
          </w:tcPr>
          <w:p w:rsidR="00402DD8" w:rsidRPr="00DC0CED" w:rsidRDefault="00402DD8" w:rsidP="00FC5C47">
            <w:pPr>
              <w:pStyle w:val="Tabletext"/>
              <w:jc w:val="right"/>
            </w:pPr>
            <w:r w:rsidRPr="00DC0CED">
              <w:t>1</w:t>
            </w:r>
            <w:r w:rsidR="00DE7FB2">
              <w:t xml:space="preserve">    </w:t>
            </w:r>
            <w:r w:rsidRPr="00DC0CED">
              <w:t xml:space="preserve"> (3.8)</w:t>
            </w:r>
          </w:p>
        </w:tc>
        <w:tc>
          <w:tcPr>
            <w:tcW w:w="692" w:type="pct"/>
          </w:tcPr>
          <w:p w:rsidR="00402DD8" w:rsidRPr="00700993" w:rsidRDefault="00402DD8" w:rsidP="00FC5C47">
            <w:pPr>
              <w:pStyle w:val="Tabletext"/>
              <w:jc w:val="right"/>
            </w:pPr>
            <w:r w:rsidRPr="00700993">
              <w:t>-</w:t>
            </w:r>
          </w:p>
        </w:tc>
        <w:tc>
          <w:tcPr>
            <w:tcW w:w="693" w:type="pct"/>
          </w:tcPr>
          <w:p w:rsidR="00402DD8" w:rsidRPr="00700993" w:rsidRDefault="00402DD8" w:rsidP="00FC5C47">
            <w:pPr>
              <w:pStyle w:val="Tabletext"/>
              <w:jc w:val="right"/>
            </w:pPr>
            <w:r w:rsidRPr="00700993">
              <w:t>1</w:t>
            </w:r>
            <w:r w:rsidR="00DE7FB2">
              <w:t xml:space="preserve">     </w:t>
            </w:r>
            <w:r w:rsidRPr="00700993">
              <w:t xml:space="preserve"> (1.2)</w:t>
            </w:r>
          </w:p>
        </w:tc>
      </w:tr>
      <w:tr w:rsidR="00402DD8" w:rsidRPr="000538CC">
        <w:tc>
          <w:tcPr>
            <w:tcW w:w="150" w:type="pct"/>
            <w:tcBorders>
              <w:bottom w:val="single" w:sz="4" w:space="0" w:color="auto"/>
            </w:tcBorders>
          </w:tcPr>
          <w:p w:rsidR="00402DD8" w:rsidRPr="00264215" w:rsidRDefault="00402DD8" w:rsidP="00402DD8">
            <w:pPr>
              <w:pStyle w:val="Tabletext"/>
            </w:pPr>
          </w:p>
        </w:tc>
        <w:tc>
          <w:tcPr>
            <w:tcW w:w="697" w:type="pct"/>
            <w:tcBorders>
              <w:bottom w:val="single" w:sz="4" w:space="0" w:color="auto"/>
            </w:tcBorders>
          </w:tcPr>
          <w:p w:rsidR="00402DD8" w:rsidRPr="00264215" w:rsidRDefault="00402DD8" w:rsidP="00402DD8">
            <w:pPr>
              <w:pStyle w:val="Tabletext"/>
            </w:pPr>
            <w:r>
              <w:t>All</w:t>
            </w:r>
          </w:p>
        </w:tc>
        <w:tc>
          <w:tcPr>
            <w:tcW w:w="692" w:type="pct"/>
            <w:tcBorders>
              <w:bottom w:val="single" w:sz="4" w:space="0" w:color="auto"/>
            </w:tcBorders>
          </w:tcPr>
          <w:p w:rsidR="00402DD8" w:rsidRPr="00FB518E" w:rsidRDefault="00402DD8" w:rsidP="00FC5C47">
            <w:pPr>
              <w:pStyle w:val="Tabletext"/>
              <w:jc w:val="right"/>
            </w:pPr>
            <w:r w:rsidRPr="00FB518E">
              <w:t xml:space="preserve">113 </w:t>
            </w:r>
            <w:r w:rsidR="00DE7FB2">
              <w:t xml:space="preserve"> </w:t>
            </w:r>
            <w:r w:rsidRPr="00FB518E">
              <w:t>(100.0)</w:t>
            </w:r>
          </w:p>
        </w:tc>
        <w:tc>
          <w:tcPr>
            <w:tcW w:w="692" w:type="pct"/>
            <w:tcBorders>
              <w:bottom w:val="single" w:sz="4" w:space="0" w:color="auto"/>
            </w:tcBorders>
          </w:tcPr>
          <w:p w:rsidR="00402DD8" w:rsidRPr="00FB518E" w:rsidRDefault="00402DD8" w:rsidP="00FC5C47">
            <w:pPr>
              <w:pStyle w:val="Tabletext"/>
              <w:jc w:val="right"/>
            </w:pPr>
            <w:r w:rsidRPr="00FB518E">
              <w:t xml:space="preserve">275 </w:t>
            </w:r>
            <w:r w:rsidR="00DE7FB2">
              <w:t xml:space="preserve"> </w:t>
            </w:r>
            <w:r w:rsidRPr="00FB518E">
              <w:t>(100.0)</w:t>
            </w:r>
          </w:p>
        </w:tc>
        <w:tc>
          <w:tcPr>
            <w:tcW w:w="692" w:type="pct"/>
            <w:tcBorders>
              <w:bottom w:val="single" w:sz="4" w:space="0" w:color="auto"/>
            </w:tcBorders>
          </w:tcPr>
          <w:p w:rsidR="00402DD8" w:rsidRPr="00363DA2" w:rsidRDefault="00402DD8" w:rsidP="00FC5C47">
            <w:pPr>
              <w:pStyle w:val="Tabletext"/>
              <w:jc w:val="right"/>
            </w:pPr>
            <w:r w:rsidRPr="00363DA2">
              <w:t>388</w:t>
            </w:r>
            <w:r w:rsidR="00DE7FB2">
              <w:t xml:space="preserve"> </w:t>
            </w:r>
            <w:r w:rsidRPr="00363DA2">
              <w:t xml:space="preserve"> (100.0)</w:t>
            </w:r>
          </w:p>
        </w:tc>
        <w:tc>
          <w:tcPr>
            <w:tcW w:w="692" w:type="pct"/>
            <w:tcBorders>
              <w:bottom w:val="single" w:sz="4" w:space="0" w:color="auto"/>
            </w:tcBorders>
          </w:tcPr>
          <w:p w:rsidR="00402DD8" w:rsidRPr="00DC0CED" w:rsidRDefault="00402DD8" w:rsidP="00FC5C47">
            <w:pPr>
              <w:pStyle w:val="Tabletext"/>
              <w:jc w:val="right"/>
            </w:pPr>
            <w:r w:rsidRPr="00DC0CED">
              <w:t>26</w:t>
            </w:r>
            <w:r w:rsidR="00DE7FB2">
              <w:t xml:space="preserve"> </w:t>
            </w:r>
            <w:r w:rsidRPr="00DC0CED">
              <w:t xml:space="preserve"> (100.0)</w:t>
            </w:r>
          </w:p>
        </w:tc>
        <w:tc>
          <w:tcPr>
            <w:tcW w:w="692" w:type="pct"/>
            <w:tcBorders>
              <w:bottom w:val="single" w:sz="4" w:space="0" w:color="auto"/>
            </w:tcBorders>
          </w:tcPr>
          <w:p w:rsidR="00402DD8" w:rsidRPr="00700993" w:rsidRDefault="00402DD8" w:rsidP="00FC5C47">
            <w:pPr>
              <w:pStyle w:val="Tabletext"/>
              <w:jc w:val="right"/>
            </w:pPr>
            <w:r w:rsidRPr="00700993">
              <w:t xml:space="preserve">59 </w:t>
            </w:r>
            <w:r w:rsidR="00DE7FB2">
              <w:t xml:space="preserve"> </w:t>
            </w:r>
            <w:r w:rsidRPr="00700993">
              <w:t>(100.0)</w:t>
            </w:r>
          </w:p>
        </w:tc>
        <w:tc>
          <w:tcPr>
            <w:tcW w:w="693" w:type="pct"/>
            <w:tcBorders>
              <w:bottom w:val="single" w:sz="4" w:space="0" w:color="auto"/>
            </w:tcBorders>
          </w:tcPr>
          <w:p w:rsidR="00402DD8" w:rsidRPr="00700993" w:rsidRDefault="00402DD8" w:rsidP="00FC5C47">
            <w:pPr>
              <w:pStyle w:val="Tabletext"/>
              <w:jc w:val="right"/>
            </w:pPr>
            <w:r w:rsidRPr="00700993">
              <w:t xml:space="preserve">85 </w:t>
            </w:r>
            <w:r w:rsidR="00DE7FB2">
              <w:t xml:space="preserve"> </w:t>
            </w:r>
            <w:r w:rsidRPr="00700993">
              <w:t>(100.0)</w:t>
            </w:r>
          </w:p>
        </w:tc>
      </w:tr>
    </w:tbl>
    <w:p w:rsidR="00402DD8" w:rsidRDefault="00402DD8" w:rsidP="00402DD8">
      <w:pPr>
        <w:pStyle w:val="Source"/>
      </w:pPr>
      <w:r w:rsidRPr="000538CC">
        <w:t xml:space="preserve">Notes: </w:t>
      </w:r>
      <w:r w:rsidRPr="000538CC">
        <w:tab/>
      </w:r>
      <w:r>
        <w:t>Percentages have been rounded.</w:t>
      </w:r>
    </w:p>
    <w:p w:rsidR="00402DD8" w:rsidRPr="000538CC" w:rsidRDefault="00402DD8" w:rsidP="00402DD8">
      <w:pPr>
        <w:pStyle w:val="Source"/>
      </w:pPr>
      <w:r>
        <w:tab/>
        <w:t xml:space="preserve">A dash (-) represents a true zero. </w:t>
      </w:r>
    </w:p>
    <w:p w:rsidR="00402DD8" w:rsidRDefault="00402DD8" w:rsidP="00402DD8">
      <w:pPr>
        <w:pStyle w:val="Source"/>
        <w:ind w:firstLine="0"/>
      </w:pPr>
      <w:r w:rsidRPr="00797632">
        <w:rPr>
          <w:vertAlign w:val="superscript"/>
        </w:rPr>
        <w:t>(a)</w:t>
      </w:r>
      <w:proofErr w:type="gramStart"/>
      <w:r>
        <w:t>Includes participants with missing data on apprenticeship or traineeship level.</w:t>
      </w:r>
      <w:proofErr w:type="gramEnd"/>
    </w:p>
    <w:p w:rsidR="00CA4A5A" w:rsidRDefault="00402DD8" w:rsidP="003B5334">
      <w:pPr>
        <w:pStyle w:val="Text"/>
        <w:spacing w:line="290" w:lineRule="exact"/>
        <w:ind w:right="0"/>
      </w:pPr>
      <w:r w:rsidRPr="00DA5075">
        <w:t>The proportion of graduates who complete</w:t>
      </w:r>
      <w:r w:rsidR="001C2E0B">
        <w:t>d</w:t>
      </w:r>
      <w:r w:rsidR="00CB0F5D">
        <w:t xml:space="preserve"> lower-</w:t>
      </w:r>
      <w:r w:rsidRPr="00DA5075">
        <w:t xml:space="preserve">level certificates is higher among graduates with disabilities than for graduates without disabilities. This is true more so for VET students generally, rather than for apprentices and trainees specifically. </w:t>
      </w:r>
      <w:r w:rsidR="00DA5075" w:rsidRPr="00DA5075">
        <w:t>Among the qualifications com</w:t>
      </w:r>
      <w:r w:rsidR="00CB0F5D">
        <w:t>pleted by people with disabilities</w:t>
      </w:r>
      <w:r w:rsidR="00DA5075" w:rsidRPr="00DA5075">
        <w:t xml:space="preserve">, 38.9% were a certificate I or II, compared </w:t>
      </w:r>
      <w:r w:rsidR="00CB0F5D">
        <w:t>with</w:t>
      </w:r>
      <w:r w:rsidR="00DA5075" w:rsidRPr="00DA5075">
        <w:t xml:space="preserve"> 24.7% for people with no disability (NCVER 2011c</w:t>
      </w:r>
      <w:r w:rsidR="00CB0F5D">
        <w:t>,</w:t>
      </w:r>
      <w:r w:rsidR="00CB0F5D" w:rsidRPr="00CB0F5D">
        <w:t xml:space="preserve"> </w:t>
      </w:r>
      <w:r w:rsidR="00CB0F5D">
        <w:t>t</w:t>
      </w:r>
      <w:r w:rsidR="00CB0F5D" w:rsidRPr="00DA5075">
        <w:t>able 4</w:t>
      </w:r>
      <w:r w:rsidR="00DA5075" w:rsidRPr="00DA5075">
        <w:t xml:space="preserve">). With regards to apprenticeship and traineeship commencements in 2010, 16.4% of graduates with disabilities completed a certificate I or II compared with 12.6% of graduates without </w:t>
      </w:r>
      <w:r w:rsidR="003F09C8">
        <w:t xml:space="preserve">a </w:t>
      </w:r>
      <w:r w:rsidR="00DA5075" w:rsidRPr="00DA5075">
        <w:t>disability (</w:t>
      </w:r>
      <w:r w:rsidR="00CB0F5D">
        <w:t xml:space="preserve">NCVER </w:t>
      </w:r>
      <w:r w:rsidR="00CB0F5D" w:rsidRPr="00DA5075">
        <w:t>2011c</w:t>
      </w:r>
      <w:r w:rsidR="00CB0F5D">
        <w:t>, t</w:t>
      </w:r>
      <w:r w:rsidR="00DA5075" w:rsidRPr="00DA5075">
        <w:t xml:space="preserve">able 8). </w:t>
      </w:r>
      <w:r w:rsidR="00CA4A5A" w:rsidRPr="00DA5075">
        <w:t xml:space="preserve">Among the research participants, 23.4% of graduates with disabilities completed a certificate I or II, compared with 15.7% of participants in the comparison group. This suggests that a larger proportion of research participants graduated with a certificate I or II compared </w:t>
      </w:r>
      <w:r w:rsidR="00CA4A5A" w:rsidRPr="00DA5075">
        <w:lastRenderedPageBreak/>
        <w:t>with all apprenticeship and traineeship graduates in 2010. Almost all participants who completed a certificate I or II were trainees (9</w:t>
      </w:r>
      <w:r w:rsidR="00182082">
        <w:t>4.5</w:t>
      </w:r>
      <w:r w:rsidR="00CA4A5A" w:rsidRPr="00DA5075">
        <w:t xml:space="preserve">% for graduates with </w:t>
      </w:r>
      <w:r w:rsidR="00182082">
        <w:t xml:space="preserve">disabilities </w:t>
      </w:r>
      <w:r w:rsidR="00CA4A5A" w:rsidRPr="00DA5075">
        <w:t xml:space="preserve">and </w:t>
      </w:r>
      <w:r w:rsidR="00E87A07">
        <w:t>92.3</w:t>
      </w:r>
      <w:r w:rsidR="00182082">
        <w:t xml:space="preserve">% for those </w:t>
      </w:r>
      <w:r w:rsidR="00CA4A5A" w:rsidRPr="00DA5075">
        <w:t>without disabilities).</w:t>
      </w:r>
    </w:p>
    <w:p w:rsidR="00182082" w:rsidRDefault="00182082" w:rsidP="003B5334">
      <w:pPr>
        <w:pStyle w:val="Text"/>
        <w:spacing w:line="290" w:lineRule="exact"/>
        <w:ind w:right="0"/>
      </w:pPr>
      <w:r w:rsidRPr="00182082">
        <w:t>A large proportion of research participants (48.4%) undertook part-time training at some point during their course. In comparison, 70.6% of all apprentice and trainee commencements in 2010 were full-time (NCVER 2011a). The proportion of research participants who had undertaken VET in Schools or a mix of VET in Schools and work-based training at some point in time, was 14.4% and 8.2% for graduates with and without disabilities respectively, compared with 6.0% of all 2010 apprenticeship and traineeship commencements being school-based (NCVER 2011a). This may account for much of the proportion of part-time training among research participants. A similar proportion of apprenticeship (15.0%) and traineeship (14.2%) graduates with disabilities had at some point undertaken their course as VET in Schools.</w:t>
      </w:r>
    </w:p>
    <w:p w:rsidR="0008487F" w:rsidRPr="003B5334" w:rsidRDefault="00D55006" w:rsidP="003B5334">
      <w:pPr>
        <w:pStyle w:val="Text"/>
        <w:spacing w:line="290" w:lineRule="exact"/>
        <w:ind w:right="0"/>
      </w:pPr>
      <w:r w:rsidRPr="003B5334">
        <w:t>Apprenticeships and traineeships have been c</w:t>
      </w:r>
      <w:r w:rsidR="002B5E4E" w:rsidRPr="003B5334">
        <w:t>lustered into 17 industries in t</w:t>
      </w:r>
      <w:r w:rsidRPr="003B5334">
        <w:t xml:space="preserve">able 5, based on </w:t>
      </w:r>
      <w:r w:rsidR="002B5E4E" w:rsidRPr="003B5334">
        <w:t>the Western Australian</w:t>
      </w:r>
      <w:r w:rsidRPr="003B5334">
        <w:t xml:space="preserve"> State Training Authority apprenticeship and traineeship lists. </w:t>
      </w:r>
      <w:r w:rsidR="00DE4AE5" w:rsidRPr="003B5334">
        <w:t>M</w:t>
      </w:r>
      <w:r w:rsidRPr="003B5334">
        <w:t xml:space="preserve">ore </w:t>
      </w:r>
      <w:r w:rsidR="00DE4AE5" w:rsidRPr="003B5334">
        <w:t xml:space="preserve">than one-quarter of apprenticeship graduates with disabilities </w:t>
      </w:r>
      <w:r w:rsidRPr="003B5334">
        <w:t>completed a building and construction course</w:t>
      </w:r>
      <w:r w:rsidR="00DE4AE5" w:rsidRPr="003B5334">
        <w:t xml:space="preserve"> (26.4%)</w:t>
      </w:r>
      <w:r w:rsidRPr="003B5334">
        <w:t>. Other prominent apprenticeships were in metals, manufacturing and services</w:t>
      </w:r>
      <w:r w:rsidR="00DE4AE5" w:rsidRPr="003B5334">
        <w:t xml:space="preserve"> (11.8%)</w:t>
      </w:r>
      <w:r w:rsidRPr="003B5334">
        <w:t>; automotive</w:t>
      </w:r>
      <w:r w:rsidR="00DE4AE5" w:rsidRPr="003B5334">
        <w:t xml:space="preserve"> (10.9%)</w:t>
      </w:r>
      <w:r w:rsidRPr="003B5334">
        <w:t>; and electrical</w:t>
      </w:r>
      <w:r w:rsidR="00DE4AE5" w:rsidRPr="003B5334">
        <w:t xml:space="preserve"> (10.0%)</w:t>
      </w:r>
      <w:r w:rsidRPr="003B5334">
        <w:t>. More than a third of the trainees</w:t>
      </w:r>
      <w:r w:rsidR="00DE4AE5" w:rsidRPr="003B5334">
        <w:t>hip graduates with disabilities</w:t>
      </w:r>
      <w:r w:rsidRPr="003B5334">
        <w:t xml:space="preserve"> completed a finance, property and business services course</w:t>
      </w:r>
      <w:r w:rsidR="00DE4AE5" w:rsidRPr="003B5334">
        <w:t xml:space="preserve"> (34.4%)</w:t>
      </w:r>
      <w:r w:rsidRPr="003B5334">
        <w:t>. Other prominent traineeships wer</w:t>
      </w:r>
      <w:r w:rsidR="003B5334">
        <w:t>e in community services, health</w:t>
      </w:r>
      <w:r w:rsidRPr="003B5334">
        <w:t xml:space="preserve"> and education</w:t>
      </w:r>
      <w:r w:rsidR="00DE4AE5" w:rsidRPr="003B5334">
        <w:t xml:space="preserve"> (17.2%)</w:t>
      </w:r>
      <w:r w:rsidR="003B5334">
        <w:t>; wholesale, retail</w:t>
      </w:r>
      <w:r w:rsidRPr="003B5334">
        <w:t xml:space="preserve"> and personal services</w:t>
      </w:r>
      <w:r w:rsidR="00182082">
        <w:t xml:space="preserve"> (11</w:t>
      </w:r>
      <w:r w:rsidR="00DE4AE5" w:rsidRPr="003B5334">
        <w:t>.5%)</w:t>
      </w:r>
      <w:r w:rsidR="002B5E4E" w:rsidRPr="003B5334">
        <w:t>; and primary industries</w:t>
      </w:r>
      <w:r w:rsidRPr="003B5334">
        <w:t>.</w:t>
      </w:r>
      <w:r w:rsidR="00DE4AE5" w:rsidRPr="003B5334">
        <w:t xml:space="preserve"> Among apprentices</w:t>
      </w:r>
      <w:r w:rsidR="002B5E4E" w:rsidRPr="003B5334">
        <w:t xml:space="preserve">hip </w:t>
      </w:r>
      <w:r w:rsidR="002B5E4E">
        <w:t>graduates without disabilities, more than one-</w:t>
      </w:r>
      <w:r w:rsidR="00DE4AE5">
        <w:t>third completed a building and construction course (34.6%), followed by automotive (23.1%), and electrical and primary industries (both 11.5%). Half of the trainees</w:t>
      </w:r>
      <w:r w:rsidR="002B5E4E">
        <w:t>hip graduates without disabilities</w:t>
      </w:r>
      <w:r w:rsidR="00DE4AE5">
        <w:t xml:space="preserve"> completed a finance, prop</w:t>
      </w:r>
      <w:r w:rsidR="003F09C8">
        <w:t>erty and business course (50.0</w:t>
      </w:r>
      <w:r w:rsidR="00182082">
        <w:t>%</w:t>
      </w:r>
      <w:r w:rsidR="003F09C8">
        <w:t>),</w:t>
      </w:r>
      <w:r w:rsidR="00DE4AE5">
        <w:t xml:space="preserve"> followed by hospitality and tourism (10.3%) and primary industries (8.6%). </w:t>
      </w:r>
      <w:r w:rsidR="00C312B0">
        <w:t>Research participants completed apprenticeships and traineeships in a range of industries, reflecting the variety of courses on offer.</w:t>
      </w:r>
    </w:p>
    <w:p w:rsidR="00B52516" w:rsidRDefault="00AF3055" w:rsidP="003B5334">
      <w:pPr>
        <w:pStyle w:val="Heading2"/>
      </w:pPr>
      <w:bookmarkStart w:id="51" w:name="_Toc350259308"/>
      <w:r w:rsidRPr="0008487F">
        <w:t>Motives for undertaking</w:t>
      </w:r>
      <w:r w:rsidR="003B5334">
        <w:t xml:space="preserve"> an</w:t>
      </w:r>
      <w:r w:rsidRPr="0008487F">
        <w:t xml:space="preserve"> apprenticeship or traineeship</w:t>
      </w:r>
      <w:bookmarkEnd w:id="51"/>
    </w:p>
    <w:p w:rsidR="00C312B0" w:rsidRPr="003B5334" w:rsidRDefault="005750D7" w:rsidP="003B5334">
      <w:pPr>
        <w:pStyle w:val="Text"/>
        <w:spacing w:line="290" w:lineRule="exact"/>
        <w:ind w:right="0"/>
      </w:pPr>
      <w:r w:rsidRPr="00C14CB7">
        <w:t xml:space="preserve">Table </w:t>
      </w:r>
      <w:r w:rsidR="00F638D7">
        <w:t>6</w:t>
      </w:r>
      <w:r w:rsidRPr="00C14CB7">
        <w:t xml:space="preserve"> </w:t>
      </w:r>
      <w:r>
        <w:t xml:space="preserve">outlines </w:t>
      </w:r>
      <w:r w:rsidR="003668DA">
        <w:t xml:space="preserve">the </w:t>
      </w:r>
      <w:r w:rsidRPr="00C14CB7">
        <w:t>m</w:t>
      </w:r>
      <w:r>
        <w:t xml:space="preserve">otives </w:t>
      </w:r>
      <w:r w:rsidR="003668DA">
        <w:t xml:space="preserve">participants reported </w:t>
      </w:r>
      <w:r>
        <w:t>for undertaking</w:t>
      </w:r>
      <w:r w:rsidRPr="00C14CB7">
        <w:t xml:space="preserve"> </w:t>
      </w:r>
      <w:r w:rsidR="003668DA">
        <w:t>their courses</w:t>
      </w:r>
      <w:r w:rsidRPr="00C14CB7">
        <w:t xml:space="preserve">. Participants were asked to indicate at least one motive, but could </w:t>
      </w:r>
      <w:r w:rsidR="003668DA">
        <w:t>select up to six predefined motives as well as specify additional motives</w:t>
      </w:r>
      <w:r w:rsidRPr="00C14CB7">
        <w:t xml:space="preserve">. </w:t>
      </w:r>
      <w:r w:rsidR="008D0733">
        <w:t>A total of 97.8% of graduates with disabilities</w:t>
      </w:r>
      <w:r w:rsidR="00F34F08">
        <w:t xml:space="preserve"> </w:t>
      </w:r>
      <w:r w:rsidR="0018440C">
        <w:t>and 100.0% of participants without disabilities reported</w:t>
      </w:r>
      <w:r w:rsidR="0018440C" w:rsidRPr="003B5334">
        <w:t xml:space="preserve"> at least one motive. </w:t>
      </w:r>
      <w:r w:rsidRPr="003B5334">
        <w:t xml:space="preserve">The most common motivation was to increase their skills, as reported by </w:t>
      </w:r>
      <w:r w:rsidR="0018440C" w:rsidRPr="003B5334">
        <w:t>64.3% of graduates with disabilities and 74.1% of participan</w:t>
      </w:r>
      <w:r w:rsidR="00E05291" w:rsidRPr="003B5334">
        <w:t>ts without</w:t>
      </w:r>
      <w:r w:rsidR="0018440C" w:rsidRPr="003B5334">
        <w:t>. The prospect of obtaining a job was also a highly motiv</w:t>
      </w:r>
      <w:bookmarkStart w:id="52" w:name="_GoBack"/>
      <w:bookmarkEnd w:id="52"/>
      <w:r w:rsidR="0018440C" w:rsidRPr="003B5334">
        <w:t>ating factor, as reported by 45.1% and 42.</w:t>
      </w:r>
      <w:r w:rsidR="00182082">
        <w:t>4</w:t>
      </w:r>
      <w:r w:rsidR="0018440C" w:rsidRPr="003B5334">
        <w:t>% of graduates with and wit</w:t>
      </w:r>
      <w:r w:rsidR="00FF7796" w:rsidRPr="003B5334">
        <w:t>hout disabilities respectively, followed by personal interests</w:t>
      </w:r>
      <w:r w:rsidR="00E05291" w:rsidRPr="003B5334">
        <w:t>,</w:t>
      </w:r>
      <w:r w:rsidR="00FF7796" w:rsidRPr="003B5334">
        <w:t xml:space="preserve"> as reported by 39.5% of participants with disabilities and 38.8% of participants without disabilities.</w:t>
      </w:r>
      <w:r w:rsidRPr="003B5334">
        <w:t xml:space="preserve"> </w:t>
      </w:r>
    </w:p>
    <w:p w:rsidR="003F2B4F" w:rsidRDefault="003F2B4F" w:rsidP="003B5334">
      <w:pPr>
        <w:pStyle w:val="Text"/>
        <w:spacing w:line="290" w:lineRule="exact"/>
        <w:ind w:right="0"/>
      </w:pPr>
      <w:r w:rsidRPr="003B5334">
        <w:t>The Student Outcome</w:t>
      </w:r>
      <w:r w:rsidR="00E05291" w:rsidRPr="003B5334">
        <w:t>s</w:t>
      </w:r>
      <w:r w:rsidRPr="003B5334">
        <w:t xml:space="preserve"> Survey also identified </w:t>
      </w:r>
      <w:r w:rsidR="003F09C8" w:rsidRPr="003B5334">
        <w:t xml:space="preserve">the </w:t>
      </w:r>
      <w:r w:rsidRPr="003B5334">
        <w:t xml:space="preserve">motives </w:t>
      </w:r>
      <w:r w:rsidR="003F09C8" w:rsidRPr="003B5334">
        <w:t>of</w:t>
      </w:r>
      <w:r w:rsidRPr="003B5334">
        <w:t xml:space="preserve"> VET graduates for undertaking their training (NCVER 2011b). Respondents were all VET graduates (not only apprenticeship and traineeship graduates) and only one motive w</w:t>
      </w:r>
      <w:r>
        <w:t xml:space="preserve">as </w:t>
      </w:r>
      <w:r w:rsidR="00F638D7">
        <w:t>requested in the survey</w:t>
      </w:r>
      <w:r>
        <w:t xml:space="preserve">. </w:t>
      </w:r>
      <w:r w:rsidR="008D5C6B">
        <w:t>E</w:t>
      </w:r>
      <w:r w:rsidR="00E05291">
        <w:t>mployment-</w:t>
      </w:r>
      <w:r w:rsidR="000A7C77">
        <w:t xml:space="preserve">related motives </w:t>
      </w:r>
      <w:r w:rsidR="008D5C6B">
        <w:t>were</w:t>
      </w:r>
      <w:r w:rsidR="000A7C77">
        <w:t xml:space="preserve"> </w:t>
      </w:r>
      <w:r w:rsidR="008D5C6B">
        <w:t>reported by 80.3% in both 2010 and 2011 as their main reason for undert</w:t>
      </w:r>
      <w:r w:rsidR="00244905">
        <w:t>aking</w:t>
      </w:r>
      <w:r w:rsidR="008D5C6B">
        <w:t xml:space="preserve"> their training</w:t>
      </w:r>
      <w:r>
        <w:t>.</w:t>
      </w:r>
      <w:r w:rsidR="008F5B5E">
        <w:t xml:space="preserve"> </w:t>
      </w:r>
      <w:r w:rsidR="00E05291">
        <w:t>There were seven employment-</w:t>
      </w:r>
      <w:r>
        <w:t>related motives, which included ‘to get a job’, ‘it was a requirement of my job’, and ‘gain extra skills for current job’, as reported by 21.5%, 21.2%, and 17.7% of graduates in 201</w:t>
      </w:r>
      <w:r w:rsidR="00244905">
        <w:t>0</w:t>
      </w:r>
      <w:r>
        <w:t xml:space="preserve"> respectively. </w:t>
      </w:r>
    </w:p>
    <w:p w:rsidR="00EC37B9" w:rsidRDefault="00EC37B9">
      <w:pPr>
        <w:spacing w:before="0" w:line="240" w:lineRule="auto"/>
        <w:rPr>
          <w:rFonts w:ascii="Tahoma" w:hAnsi="Tahoma"/>
          <w:b/>
          <w:sz w:val="17"/>
        </w:rPr>
      </w:pPr>
      <w:bookmarkStart w:id="53" w:name="_Toc350259529"/>
      <w:r>
        <w:br w:type="page"/>
      </w:r>
    </w:p>
    <w:p w:rsidR="0001051E" w:rsidRPr="007B6854" w:rsidRDefault="0001051E" w:rsidP="0001051E">
      <w:pPr>
        <w:pStyle w:val="tabletitle"/>
      </w:pPr>
      <w:r w:rsidRPr="00D55006">
        <w:lastRenderedPageBreak/>
        <w:t>Table 5</w:t>
      </w:r>
      <w:r w:rsidRPr="00D55006">
        <w:tab/>
        <w:t>Apprenticeship and traineeship areas</w:t>
      </w:r>
      <w:bookmarkEnd w:id="5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4"/>
        <w:gridCol w:w="1271"/>
        <w:gridCol w:w="1273"/>
        <w:gridCol w:w="1279"/>
        <w:gridCol w:w="1279"/>
        <w:gridCol w:w="1277"/>
        <w:gridCol w:w="1273"/>
      </w:tblGrid>
      <w:tr w:rsidR="0001051E" w:rsidRPr="001C32FA">
        <w:trPr>
          <w:trHeight w:val="190"/>
        </w:trPr>
        <w:tc>
          <w:tcPr>
            <w:tcW w:w="817" w:type="pct"/>
            <w:tcBorders>
              <w:top w:val="single" w:sz="4" w:space="0" w:color="auto"/>
            </w:tcBorders>
          </w:tcPr>
          <w:p w:rsidR="0001051E" w:rsidRPr="00E17D80" w:rsidRDefault="0001051E" w:rsidP="00C365D6">
            <w:pPr>
              <w:pStyle w:val="Tablehead1"/>
            </w:pPr>
            <w:r>
              <w:t>Industry</w:t>
            </w:r>
          </w:p>
        </w:tc>
        <w:tc>
          <w:tcPr>
            <w:tcW w:w="2090" w:type="pct"/>
            <w:gridSpan w:val="3"/>
            <w:tcBorders>
              <w:top w:val="single" w:sz="4" w:space="0" w:color="auto"/>
            </w:tcBorders>
          </w:tcPr>
          <w:p w:rsidR="0001051E" w:rsidRPr="004D192B" w:rsidRDefault="0001051E" w:rsidP="00C365D6">
            <w:pPr>
              <w:pStyle w:val="Tablehead1"/>
              <w:jc w:val="center"/>
              <w:rPr>
                <w:bCs/>
              </w:rPr>
            </w:pPr>
            <w:r>
              <w:rPr>
                <w:bCs/>
              </w:rPr>
              <w:t>Disability group (DG)</w:t>
            </w:r>
          </w:p>
        </w:tc>
        <w:tc>
          <w:tcPr>
            <w:tcW w:w="2093" w:type="pct"/>
            <w:gridSpan w:val="3"/>
            <w:tcBorders>
              <w:top w:val="single" w:sz="4" w:space="0" w:color="auto"/>
            </w:tcBorders>
          </w:tcPr>
          <w:p w:rsidR="0001051E" w:rsidRPr="001C32FA" w:rsidRDefault="0001051E" w:rsidP="00C365D6">
            <w:pPr>
              <w:pStyle w:val="Tablehead1"/>
              <w:jc w:val="center"/>
              <w:rPr>
                <w:bCs/>
              </w:rPr>
            </w:pPr>
            <w:r>
              <w:rPr>
                <w:bCs/>
              </w:rPr>
              <w:t>Comparison group (CG)</w:t>
            </w:r>
          </w:p>
        </w:tc>
      </w:tr>
      <w:tr w:rsidR="0001051E" w:rsidRPr="001C32FA">
        <w:trPr>
          <w:trHeight w:val="190"/>
        </w:trPr>
        <w:tc>
          <w:tcPr>
            <w:tcW w:w="817" w:type="pct"/>
            <w:vMerge w:val="restart"/>
          </w:tcPr>
          <w:p w:rsidR="0001051E" w:rsidRPr="00E748CC" w:rsidRDefault="0001051E" w:rsidP="00C365D6">
            <w:pPr>
              <w:pStyle w:val="Tablehead1"/>
              <w:jc w:val="center"/>
              <w:rPr>
                <w:bCs/>
              </w:rPr>
            </w:pPr>
          </w:p>
        </w:tc>
        <w:tc>
          <w:tcPr>
            <w:tcW w:w="695" w:type="pct"/>
          </w:tcPr>
          <w:p w:rsidR="0001051E" w:rsidRPr="00E748CC" w:rsidRDefault="0001051E" w:rsidP="00C365D6">
            <w:pPr>
              <w:pStyle w:val="Tablehead2"/>
              <w:jc w:val="right"/>
              <w:rPr>
                <w:bCs/>
              </w:rPr>
            </w:pPr>
            <w:r w:rsidRPr="00E748CC">
              <w:rPr>
                <w:bCs/>
              </w:rPr>
              <w:t>Apprentices</w:t>
            </w:r>
          </w:p>
        </w:tc>
        <w:tc>
          <w:tcPr>
            <w:tcW w:w="696" w:type="pct"/>
          </w:tcPr>
          <w:p w:rsidR="0001051E" w:rsidRPr="001C32FA" w:rsidRDefault="0001051E" w:rsidP="00C365D6">
            <w:pPr>
              <w:pStyle w:val="Tablehead2"/>
              <w:jc w:val="right"/>
              <w:rPr>
                <w:bCs/>
              </w:rPr>
            </w:pPr>
            <w:r w:rsidRPr="001C32FA">
              <w:rPr>
                <w:bCs/>
              </w:rPr>
              <w:t>Trainees</w:t>
            </w:r>
          </w:p>
        </w:tc>
        <w:tc>
          <w:tcPr>
            <w:tcW w:w="699" w:type="pct"/>
          </w:tcPr>
          <w:p w:rsidR="0001051E" w:rsidRPr="001C32FA" w:rsidRDefault="0001051E" w:rsidP="00C365D6">
            <w:pPr>
              <w:pStyle w:val="Tablehead2"/>
              <w:jc w:val="right"/>
              <w:rPr>
                <w:bCs/>
              </w:rPr>
            </w:pPr>
            <w:r>
              <w:rPr>
                <w:bCs/>
              </w:rPr>
              <w:t>All DG</w:t>
            </w:r>
          </w:p>
        </w:tc>
        <w:tc>
          <w:tcPr>
            <w:tcW w:w="699" w:type="pct"/>
          </w:tcPr>
          <w:p w:rsidR="0001051E" w:rsidRPr="001C32FA" w:rsidRDefault="0001051E" w:rsidP="00C365D6">
            <w:pPr>
              <w:pStyle w:val="Tablehead2"/>
              <w:jc w:val="right"/>
              <w:rPr>
                <w:bCs/>
              </w:rPr>
            </w:pPr>
            <w:r w:rsidRPr="001C32FA">
              <w:rPr>
                <w:bCs/>
              </w:rPr>
              <w:t>Apprentices</w:t>
            </w:r>
          </w:p>
        </w:tc>
        <w:tc>
          <w:tcPr>
            <w:tcW w:w="698" w:type="pct"/>
          </w:tcPr>
          <w:p w:rsidR="0001051E" w:rsidRPr="001C32FA" w:rsidRDefault="0001051E" w:rsidP="00C365D6">
            <w:pPr>
              <w:pStyle w:val="Tablehead2"/>
              <w:jc w:val="right"/>
              <w:rPr>
                <w:bCs/>
              </w:rPr>
            </w:pPr>
            <w:r w:rsidRPr="001C32FA">
              <w:rPr>
                <w:bCs/>
              </w:rPr>
              <w:t>Trainees</w:t>
            </w:r>
          </w:p>
        </w:tc>
        <w:tc>
          <w:tcPr>
            <w:tcW w:w="696" w:type="pct"/>
          </w:tcPr>
          <w:p w:rsidR="0001051E" w:rsidRPr="001C32FA" w:rsidRDefault="0001051E" w:rsidP="00C365D6">
            <w:pPr>
              <w:pStyle w:val="Tablehead2"/>
              <w:jc w:val="right"/>
              <w:rPr>
                <w:bCs/>
              </w:rPr>
            </w:pPr>
            <w:r>
              <w:rPr>
                <w:bCs/>
              </w:rPr>
              <w:t>Al</w:t>
            </w:r>
            <w:r w:rsidRPr="001C32FA">
              <w:rPr>
                <w:bCs/>
              </w:rPr>
              <w:t>l</w:t>
            </w:r>
            <w:r>
              <w:rPr>
                <w:bCs/>
              </w:rPr>
              <w:t xml:space="preserve"> CG</w:t>
            </w:r>
          </w:p>
        </w:tc>
      </w:tr>
      <w:tr w:rsidR="0001051E" w:rsidRPr="00862AF9">
        <w:trPr>
          <w:trHeight w:val="190"/>
        </w:trPr>
        <w:tc>
          <w:tcPr>
            <w:tcW w:w="817" w:type="pct"/>
            <w:vMerge/>
            <w:tcBorders>
              <w:bottom w:val="single" w:sz="4" w:space="0" w:color="auto"/>
            </w:tcBorders>
          </w:tcPr>
          <w:p w:rsidR="0001051E" w:rsidRPr="00E748CC" w:rsidRDefault="0001051E" w:rsidP="00C365D6">
            <w:pPr>
              <w:pStyle w:val="Tablehead2"/>
            </w:pPr>
          </w:p>
        </w:tc>
        <w:tc>
          <w:tcPr>
            <w:tcW w:w="695" w:type="pct"/>
            <w:tcBorders>
              <w:bottom w:val="single" w:sz="4" w:space="0" w:color="auto"/>
            </w:tcBorders>
          </w:tcPr>
          <w:p w:rsidR="0001051E" w:rsidRPr="00E748CC" w:rsidRDefault="009A416D" w:rsidP="009A416D">
            <w:pPr>
              <w:pStyle w:val="Tablehead2"/>
              <w:tabs>
                <w:tab w:val="clear" w:pos="992"/>
                <w:tab w:val="right" w:pos="411"/>
              </w:tabs>
            </w:pPr>
            <w:r>
              <w:tab/>
              <w:t xml:space="preserve">        </w:t>
            </w:r>
            <w:proofErr w:type="gramStart"/>
            <w:r w:rsidR="0001051E" w:rsidRPr="00E748CC">
              <w:t>n</w:t>
            </w:r>
            <w:proofErr w:type="gramEnd"/>
            <w:r w:rsidR="0001051E" w:rsidRPr="00E748CC">
              <w:t xml:space="preserve"> </w:t>
            </w:r>
            <w:r w:rsidR="002822DE">
              <w:t xml:space="preserve"> </w:t>
            </w:r>
            <w:r w:rsidR="00B52516">
              <w:t xml:space="preserve"> </w:t>
            </w:r>
            <w:r>
              <w:t xml:space="preserve"> </w:t>
            </w:r>
            <w:r w:rsidR="00B52516">
              <w:t xml:space="preserve">  </w:t>
            </w:r>
            <w:r w:rsidR="0001051E" w:rsidRPr="00E748CC">
              <w:t>(%)</w:t>
            </w:r>
          </w:p>
        </w:tc>
        <w:tc>
          <w:tcPr>
            <w:tcW w:w="696" w:type="pct"/>
            <w:tcBorders>
              <w:bottom w:val="single" w:sz="4" w:space="0" w:color="auto"/>
            </w:tcBorders>
          </w:tcPr>
          <w:p w:rsidR="0001051E" w:rsidRPr="00862AF9" w:rsidRDefault="0001051E" w:rsidP="00C365D6">
            <w:pPr>
              <w:pStyle w:val="Tablehead2"/>
              <w:jc w:val="right"/>
            </w:pPr>
            <w:proofErr w:type="gramStart"/>
            <w:r>
              <w:t>n</w:t>
            </w:r>
            <w:proofErr w:type="gramEnd"/>
            <w:r w:rsidR="00B52516">
              <w:t xml:space="preserve">       </w:t>
            </w:r>
            <w:r>
              <w:t xml:space="preserve"> (%)</w:t>
            </w:r>
          </w:p>
        </w:tc>
        <w:tc>
          <w:tcPr>
            <w:tcW w:w="699" w:type="pct"/>
            <w:tcBorders>
              <w:bottom w:val="single" w:sz="4" w:space="0" w:color="auto"/>
            </w:tcBorders>
          </w:tcPr>
          <w:p w:rsidR="0001051E" w:rsidRPr="00862AF9" w:rsidRDefault="0001051E" w:rsidP="00C365D6">
            <w:pPr>
              <w:pStyle w:val="Tablehead2"/>
              <w:jc w:val="right"/>
            </w:pPr>
            <w:proofErr w:type="gramStart"/>
            <w:r>
              <w:t>n</w:t>
            </w:r>
            <w:proofErr w:type="gramEnd"/>
            <w:r>
              <w:t xml:space="preserve"> </w:t>
            </w:r>
            <w:r w:rsidR="002822DE">
              <w:t xml:space="preserve">     </w:t>
            </w:r>
            <w:r>
              <w:t>(%)</w:t>
            </w:r>
          </w:p>
        </w:tc>
        <w:tc>
          <w:tcPr>
            <w:tcW w:w="699" w:type="pct"/>
            <w:tcBorders>
              <w:bottom w:val="single" w:sz="4" w:space="0" w:color="auto"/>
            </w:tcBorders>
          </w:tcPr>
          <w:p w:rsidR="0001051E" w:rsidRPr="00862AF9" w:rsidRDefault="0001051E" w:rsidP="00C365D6">
            <w:pPr>
              <w:pStyle w:val="Tablehead2"/>
              <w:jc w:val="right"/>
            </w:pPr>
            <w:proofErr w:type="gramStart"/>
            <w:r>
              <w:t>n</w:t>
            </w:r>
            <w:proofErr w:type="gramEnd"/>
            <w:r>
              <w:t xml:space="preserve"> </w:t>
            </w:r>
            <w:r w:rsidR="002822DE">
              <w:t xml:space="preserve">     </w:t>
            </w:r>
            <w:r>
              <w:t>(%)</w:t>
            </w:r>
          </w:p>
        </w:tc>
        <w:tc>
          <w:tcPr>
            <w:tcW w:w="698" w:type="pct"/>
            <w:tcBorders>
              <w:bottom w:val="single" w:sz="4" w:space="0" w:color="auto"/>
            </w:tcBorders>
          </w:tcPr>
          <w:p w:rsidR="0001051E" w:rsidRPr="00862AF9" w:rsidRDefault="0001051E" w:rsidP="00C365D6">
            <w:pPr>
              <w:pStyle w:val="Tablehead2"/>
              <w:jc w:val="right"/>
            </w:pPr>
            <w:proofErr w:type="gramStart"/>
            <w:r>
              <w:t>n</w:t>
            </w:r>
            <w:proofErr w:type="gramEnd"/>
            <w:r w:rsidR="002822DE">
              <w:t xml:space="preserve">     </w:t>
            </w:r>
            <w:r>
              <w:t xml:space="preserve"> (%)</w:t>
            </w:r>
          </w:p>
        </w:tc>
        <w:tc>
          <w:tcPr>
            <w:tcW w:w="696" w:type="pct"/>
            <w:tcBorders>
              <w:bottom w:val="single" w:sz="4" w:space="0" w:color="auto"/>
            </w:tcBorders>
          </w:tcPr>
          <w:p w:rsidR="0001051E" w:rsidRPr="00862AF9" w:rsidRDefault="0001051E" w:rsidP="00C365D6">
            <w:pPr>
              <w:pStyle w:val="Tablehead2"/>
              <w:jc w:val="right"/>
            </w:pPr>
            <w:proofErr w:type="gramStart"/>
            <w:r>
              <w:t>n</w:t>
            </w:r>
            <w:proofErr w:type="gramEnd"/>
            <w:r>
              <w:t xml:space="preserve"> </w:t>
            </w:r>
            <w:r w:rsidR="002822DE">
              <w:t xml:space="preserve">     </w:t>
            </w:r>
            <w:r>
              <w:t>(%)</w:t>
            </w:r>
          </w:p>
        </w:tc>
      </w:tr>
      <w:tr w:rsidR="0001051E" w:rsidRPr="00862AF9">
        <w:tc>
          <w:tcPr>
            <w:tcW w:w="817" w:type="pct"/>
            <w:tcBorders>
              <w:top w:val="single" w:sz="4" w:space="0" w:color="auto"/>
            </w:tcBorders>
          </w:tcPr>
          <w:p w:rsidR="0001051E" w:rsidRPr="001B42BF" w:rsidRDefault="0001051E" w:rsidP="00C365D6">
            <w:pPr>
              <w:pStyle w:val="Tabletext"/>
            </w:pPr>
            <w:r>
              <w:t>Arts, sports and recreation</w:t>
            </w:r>
          </w:p>
        </w:tc>
        <w:tc>
          <w:tcPr>
            <w:tcW w:w="695" w:type="pct"/>
            <w:tcBorders>
              <w:top w:val="single" w:sz="4" w:space="0" w:color="auto"/>
            </w:tcBorders>
          </w:tcPr>
          <w:p w:rsidR="0001051E" w:rsidRPr="001B42BF" w:rsidRDefault="00B84F46" w:rsidP="00844D49">
            <w:pPr>
              <w:pStyle w:val="Tabletext"/>
              <w:tabs>
                <w:tab w:val="right" w:pos="514"/>
                <w:tab w:val="right" w:pos="939"/>
              </w:tabs>
              <w:jc w:val="right"/>
            </w:pPr>
            <w:r>
              <w:t>-</w:t>
            </w:r>
          </w:p>
        </w:tc>
        <w:tc>
          <w:tcPr>
            <w:tcW w:w="696" w:type="pct"/>
            <w:tcBorders>
              <w:top w:val="single" w:sz="4" w:space="0" w:color="auto"/>
            </w:tcBorders>
          </w:tcPr>
          <w:p w:rsidR="0001051E" w:rsidRPr="001B42BF" w:rsidRDefault="00446AF6" w:rsidP="00844D49">
            <w:pPr>
              <w:pStyle w:val="Tabletext"/>
              <w:tabs>
                <w:tab w:val="right" w:pos="405"/>
                <w:tab w:val="right" w:pos="972"/>
              </w:tabs>
              <w:jc w:val="right"/>
            </w:pPr>
            <w:r>
              <w:tab/>
            </w:r>
            <w:r w:rsidR="0001051E">
              <w:t>4</w:t>
            </w:r>
            <w:r w:rsidR="0001051E">
              <w:tab/>
              <w:t>(1.5)</w:t>
            </w:r>
          </w:p>
        </w:tc>
        <w:tc>
          <w:tcPr>
            <w:tcW w:w="699" w:type="pct"/>
            <w:tcBorders>
              <w:top w:val="single" w:sz="4" w:space="0" w:color="auto"/>
            </w:tcBorders>
          </w:tcPr>
          <w:p w:rsidR="0001051E" w:rsidRPr="00E97F90" w:rsidRDefault="00446AF6" w:rsidP="00844D49">
            <w:pPr>
              <w:pStyle w:val="Tabletext"/>
              <w:tabs>
                <w:tab w:val="right" w:pos="437"/>
                <w:tab w:val="right" w:pos="1004"/>
              </w:tabs>
              <w:jc w:val="right"/>
            </w:pPr>
            <w:r>
              <w:tab/>
            </w:r>
            <w:r w:rsidR="0001051E" w:rsidRPr="00E97F90">
              <w:t>4</w:t>
            </w:r>
            <w:r w:rsidR="0001051E">
              <w:tab/>
            </w:r>
            <w:r w:rsidR="0001051E" w:rsidRPr="00E97F90">
              <w:t>(1.1)</w:t>
            </w:r>
          </w:p>
        </w:tc>
        <w:tc>
          <w:tcPr>
            <w:tcW w:w="699" w:type="pct"/>
            <w:tcBorders>
              <w:top w:val="single" w:sz="4" w:space="0" w:color="auto"/>
            </w:tcBorders>
          </w:tcPr>
          <w:p w:rsidR="0001051E" w:rsidRPr="00E97F90" w:rsidRDefault="00446AF6" w:rsidP="00844D49">
            <w:pPr>
              <w:pStyle w:val="Tabletext"/>
              <w:tabs>
                <w:tab w:val="right" w:pos="450"/>
                <w:tab w:val="right" w:pos="1028"/>
              </w:tabs>
              <w:jc w:val="right"/>
            </w:pPr>
            <w:r>
              <w:tab/>
            </w:r>
            <w:r w:rsidR="0001051E" w:rsidRPr="00E97F90">
              <w:t>-</w:t>
            </w:r>
          </w:p>
        </w:tc>
        <w:tc>
          <w:tcPr>
            <w:tcW w:w="698" w:type="pct"/>
            <w:tcBorders>
              <w:top w:val="single" w:sz="4" w:space="0" w:color="auto"/>
            </w:tcBorders>
          </w:tcPr>
          <w:p w:rsidR="0001051E" w:rsidRPr="00862AF9" w:rsidRDefault="00446AF6" w:rsidP="00844D49">
            <w:pPr>
              <w:pStyle w:val="Tabletext"/>
              <w:tabs>
                <w:tab w:val="right" w:pos="462"/>
                <w:tab w:val="right" w:pos="1039"/>
              </w:tabs>
              <w:jc w:val="right"/>
            </w:pPr>
            <w:r>
              <w:tab/>
            </w:r>
            <w:r w:rsidR="0001051E">
              <w:t>1</w:t>
            </w:r>
            <w:r w:rsidR="0001051E">
              <w:tab/>
              <w:t>(1.7)</w:t>
            </w:r>
          </w:p>
        </w:tc>
        <w:tc>
          <w:tcPr>
            <w:tcW w:w="696" w:type="pct"/>
            <w:tcBorders>
              <w:top w:val="single" w:sz="4" w:space="0" w:color="auto"/>
            </w:tcBorders>
          </w:tcPr>
          <w:p w:rsidR="0001051E" w:rsidRPr="00862AF9" w:rsidRDefault="00446AF6" w:rsidP="00844D49">
            <w:pPr>
              <w:pStyle w:val="Tabletext"/>
              <w:tabs>
                <w:tab w:val="right" w:pos="483"/>
                <w:tab w:val="right" w:pos="1049"/>
              </w:tabs>
              <w:jc w:val="right"/>
            </w:pPr>
            <w:r>
              <w:tab/>
            </w:r>
            <w:r w:rsidR="0001051E">
              <w:t>1</w:t>
            </w:r>
            <w:r w:rsidR="0001051E">
              <w:tab/>
              <w:t>(1.2)</w:t>
            </w:r>
          </w:p>
        </w:tc>
      </w:tr>
      <w:tr w:rsidR="0001051E" w:rsidRPr="00862AF9">
        <w:tc>
          <w:tcPr>
            <w:tcW w:w="817" w:type="pct"/>
          </w:tcPr>
          <w:p w:rsidR="0001051E" w:rsidRPr="001B42BF" w:rsidRDefault="0001051E" w:rsidP="00EC37B9">
            <w:pPr>
              <w:pStyle w:val="Tabletext"/>
              <w:spacing w:before="20"/>
            </w:pPr>
            <w:r>
              <w:t>Automotive</w:t>
            </w:r>
          </w:p>
        </w:tc>
        <w:tc>
          <w:tcPr>
            <w:tcW w:w="695" w:type="pct"/>
          </w:tcPr>
          <w:p w:rsidR="0001051E" w:rsidRPr="001B42BF" w:rsidRDefault="009A416D" w:rsidP="00EC37B9">
            <w:pPr>
              <w:pStyle w:val="Tabletext"/>
              <w:tabs>
                <w:tab w:val="right" w:pos="349"/>
                <w:tab w:val="right" w:pos="939"/>
              </w:tabs>
              <w:spacing w:before="0"/>
            </w:pPr>
            <w:r>
              <w:t xml:space="preserve">      </w:t>
            </w:r>
            <w:r w:rsidR="0001051E">
              <w:t>12</w:t>
            </w:r>
            <w:r w:rsidR="0001051E">
              <w:tab/>
            </w:r>
            <w:r w:rsidR="00B52516">
              <w:t xml:space="preserve"> </w:t>
            </w:r>
            <w:r>
              <w:t xml:space="preserve">  </w:t>
            </w:r>
            <w:r w:rsidR="00B52516">
              <w:t xml:space="preserve"> </w:t>
            </w:r>
            <w:r w:rsidR="0001051E">
              <w:t>(10.9)</w:t>
            </w:r>
          </w:p>
        </w:tc>
        <w:tc>
          <w:tcPr>
            <w:tcW w:w="696" w:type="pct"/>
          </w:tcPr>
          <w:p w:rsidR="0001051E" w:rsidRPr="001B42BF" w:rsidRDefault="00446AF6" w:rsidP="00EC37B9">
            <w:pPr>
              <w:pStyle w:val="Tabletext"/>
              <w:tabs>
                <w:tab w:val="right" w:pos="405"/>
                <w:tab w:val="right" w:pos="972"/>
              </w:tabs>
              <w:spacing w:before="0"/>
              <w:jc w:val="right"/>
            </w:pPr>
            <w:r>
              <w:tab/>
            </w:r>
            <w:r w:rsidR="0001051E">
              <w:t>9</w:t>
            </w:r>
            <w:r w:rsidR="0001051E">
              <w:tab/>
              <w:t>(3.4)</w:t>
            </w:r>
          </w:p>
        </w:tc>
        <w:tc>
          <w:tcPr>
            <w:tcW w:w="699" w:type="pct"/>
          </w:tcPr>
          <w:p w:rsidR="0001051E" w:rsidRPr="00370096" w:rsidRDefault="00446AF6" w:rsidP="00EC37B9">
            <w:pPr>
              <w:pStyle w:val="Tabletext"/>
              <w:tabs>
                <w:tab w:val="right" w:pos="437"/>
                <w:tab w:val="right" w:pos="1004"/>
              </w:tabs>
              <w:spacing w:before="0"/>
              <w:jc w:val="right"/>
            </w:pPr>
            <w:r>
              <w:tab/>
            </w:r>
            <w:r w:rsidR="0001051E">
              <w:t>21</w:t>
            </w:r>
            <w:r w:rsidR="0001051E">
              <w:tab/>
              <w:t>(5.6)</w:t>
            </w:r>
          </w:p>
        </w:tc>
        <w:tc>
          <w:tcPr>
            <w:tcW w:w="699" w:type="pct"/>
          </w:tcPr>
          <w:p w:rsidR="0001051E" w:rsidRPr="00515E4B" w:rsidRDefault="00446AF6" w:rsidP="00EC37B9">
            <w:pPr>
              <w:pStyle w:val="Tabletext"/>
              <w:tabs>
                <w:tab w:val="right" w:pos="450"/>
                <w:tab w:val="right" w:pos="1028"/>
              </w:tabs>
              <w:spacing w:before="0"/>
              <w:jc w:val="right"/>
            </w:pPr>
            <w:r>
              <w:tab/>
            </w:r>
            <w:r w:rsidR="0001051E">
              <w:t>6</w:t>
            </w:r>
            <w:r w:rsidR="0001051E">
              <w:tab/>
              <w:t>(23.1)</w:t>
            </w:r>
          </w:p>
        </w:tc>
        <w:tc>
          <w:tcPr>
            <w:tcW w:w="698" w:type="pct"/>
          </w:tcPr>
          <w:p w:rsidR="0001051E" w:rsidRPr="00515E4B" w:rsidRDefault="00446AF6" w:rsidP="00EC37B9">
            <w:pPr>
              <w:pStyle w:val="Tabletext"/>
              <w:tabs>
                <w:tab w:val="right" w:pos="462"/>
                <w:tab w:val="right" w:pos="1039"/>
              </w:tabs>
              <w:spacing w:before="0"/>
              <w:jc w:val="right"/>
            </w:pPr>
            <w:r>
              <w:tab/>
            </w:r>
            <w:r w:rsidR="0001051E">
              <w:t>1</w:t>
            </w:r>
            <w:r w:rsidR="0001051E">
              <w:tab/>
              <w:t>(1.7)</w:t>
            </w:r>
          </w:p>
        </w:tc>
        <w:tc>
          <w:tcPr>
            <w:tcW w:w="696" w:type="pct"/>
          </w:tcPr>
          <w:p w:rsidR="0001051E" w:rsidRPr="00700993" w:rsidRDefault="00446AF6" w:rsidP="00EC37B9">
            <w:pPr>
              <w:pStyle w:val="Tabletext"/>
              <w:tabs>
                <w:tab w:val="right" w:pos="483"/>
                <w:tab w:val="right" w:pos="1049"/>
              </w:tabs>
              <w:spacing w:before="0"/>
              <w:jc w:val="right"/>
            </w:pPr>
            <w:r>
              <w:tab/>
            </w:r>
            <w:r w:rsidR="0001051E">
              <w:t>7</w:t>
            </w:r>
            <w:r w:rsidR="0001051E">
              <w:tab/>
              <w:t>(8.3)</w:t>
            </w:r>
          </w:p>
        </w:tc>
      </w:tr>
      <w:tr w:rsidR="0001051E" w:rsidRPr="00862AF9">
        <w:tc>
          <w:tcPr>
            <w:tcW w:w="817" w:type="pct"/>
          </w:tcPr>
          <w:p w:rsidR="0001051E" w:rsidRPr="001B42BF" w:rsidRDefault="0001051E" w:rsidP="00EC37B9">
            <w:pPr>
              <w:pStyle w:val="Tabletext"/>
              <w:spacing w:before="20"/>
            </w:pPr>
            <w:r>
              <w:t>Building and construction</w:t>
            </w:r>
          </w:p>
        </w:tc>
        <w:tc>
          <w:tcPr>
            <w:tcW w:w="695" w:type="pct"/>
          </w:tcPr>
          <w:p w:rsidR="0001051E" w:rsidRPr="001B42BF" w:rsidRDefault="0001051E" w:rsidP="00EC37B9">
            <w:pPr>
              <w:pStyle w:val="Tabletext"/>
              <w:tabs>
                <w:tab w:val="right" w:pos="349"/>
                <w:tab w:val="right" w:pos="939"/>
              </w:tabs>
              <w:spacing w:before="0"/>
              <w:jc w:val="right"/>
            </w:pPr>
            <w:r>
              <w:tab/>
              <w:t>29</w:t>
            </w:r>
            <w:r w:rsidR="00B52516">
              <w:t xml:space="preserve">  </w:t>
            </w:r>
            <w:r>
              <w:tab/>
              <w:t>(26.4)</w:t>
            </w:r>
          </w:p>
        </w:tc>
        <w:tc>
          <w:tcPr>
            <w:tcW w:w="696" w:type="pct"/>
          </w:tcPr>
          <w:p w:rsidR="0001051E" w:rsidRPr="001B42BF" w:rsidRDefault="00446AF6" w:rsidP="00EC37B9">
            <w:pPr>
              <w:pStyle w:val="Tabletext"/>
              <w:tabs>
                <w:tab w:val="right" w:pos="405"/>
                <w:tab w:val="right" w:pos="972"/>
              </w:tabs>
              <w:spacing w:before="0"/>
              <w:jc w:val="right"/>
            </w:pPr>
            <w:r>
              <w:tab/>
            </w:r>
            <w:r w:rsidR="0001051E">
              <w:t>4</w:t>
            </w:r>
            <w:r w:rsidR="0001051E">
              <w:tab/>
              <w:t>(1.5)</w:t>
            </w:r>
          </w:p>
        </w:tc>
        <w:tc>
          <w:tcPr>
            <w:tcW w:w="699" w:type="pct"/>
          </w:tcPr>
          <w:p w:rsidR="0001051E" w:rsidRPr="00370096" w:rsidRDefault="00446AF6" w:rsidP="00EC37B9">
            <w:pPr>
              <w:pStyle w:val="Tabletext"/>
              <w:tabs>
                <w:tab w:val="right" w:pos="437"/>
                <w:tab w:val="right" w:pos="1004"/>
              </w:tabs>
              <w:spacing w:before="0"/>
              <w:jc w:val="right"/>
            </w:pPr>
            <w:r>
              <w:tab/>
            </w:r>
            <w:r w:rsidR="0001051E">
              <w:t>33</w:t>
            </w:r>
            <w:r w:rsidR="0001051E">
              <w:tab/>
              <w:t>(8.9)</w:t>
            </w:r>
          </w:p>
        </w:tc>
        <w:tc>
          <w:tcPr>
            <w:tcW w:w="699" w:type="pct"/>
          </w:tcPr>
          <w:p w:rsidR="0001051E" w:rsidRPr="00515E4B" w:rsidRDefault="00446AF6" w:rsidP="00EC37B9">
            <w:pPr>
              <w:pStyle w:val="Tabletext"/>
              <w:tabs>
                <w:tab w:val="right" w:pos="450"/>
                <w:tab w:val="right" w:pos="1028"/>
              </w:tabs>
              <w:spacing w:before="0"/>
              <w:jc w:val="right"/>
            </w:pPr>
            <w:r>
              <w:tab/>
            </w:r>
            <w:r w:rsidR="0001051E">
              <w:t>9</w:t>
            </w:r>
            <w:r w:rsidR="0001051E">
              <w:tab/>
              <w:t>(34.6)</w:t>
            </w:r>
          </w:p>
        </w:tc>
        <w:tc>
          <w:tcPr>
            <w:tcW w:w="698" w:type="pct"/>
          </w:tcPr>
          <w:p w:rsidR="0001051E" w:rsidRPr="00515E4B" w:rsidRDefault="00446AF6" w:rsidP="00EC37B9">
            <w:pPr>
              <w:pStyle w:val="Tabletext"/>
              <w:tabs>
                <w:tab w:val="right" w:pos="462"/>
                <w:tab w:val="right" w:pos="1039"/>
              </w:tabs>
              <w:spacing w:before="0"/>
              <w:jc w:val="right"/>
            </w:pPr>
            <w:r>
              <w:tab/>
            </w:r>
            <w:r w:rsidR="0001051E">
              <w:t>1</w:t>
            </w:r>
            <w:r w:rsidR="0001051E">
              <w:tab/>
              <w:t>(1.7)</w:t>
            </w:r>
          </w:p>
        </w:tc>
        <w:tc>
          <w:tcPr>
            <w:tcW w:w="696" w:type="pct"/>
          </w:tcPr>
          <w:p w:rsidR="0001051E" w:rsidRPr="00700993" w:rsidRDefault="00446AF6" w:rsidP="00EC37B9">
            <w:pPr>
              <w:pStyle w:val="Tabletext"/>
              <w:tabs>
                <w:tab w:val="right" w:pos="483"/>
                <w:tab w:val="right" w:pos="1049"/>
              </w:tabs>
              <w:spacing w:before="0"/>
              <w:jc w:val="right"/>
            </w:pPr>
            <w:r>
              <w:tab/>
            </w:r>
            <w:r w:rsidR="0001051E">
              <w:t>10</w:t>
            </w:r>
            <w:r w:rsidR="0001051E">
              <w:tab/>
              <w:t>(11.9)</w:t>
            </w:r>
          </w:p>
        </w:tc>
      </w:tr>
      <w:tr w:rsidR="0001051E" w:rsidRPr="00862AF9">
        <w:tc>
          <w:tcPr>
            <w:tcW w:w="817" w:type="pct"/>
          </w:tcPr>
          <w:p w:rsidR="0001051E" w:rsidRPr="001B42BF" w:rsidRDefault="0001051E" w:rsidP="00EC37B9">
            <w:pPr>
              <w:pStyle w:val="Tabletext"/>
              <w:spacing w:before="20"/>
            </w:pPr>
            <w:r>
              <w:t>Community services, health and education</w:t>
            </w:r>
          </w:p>
        </w:tc>
        <w:tc>
          <w:tcPr>
            <w:tcW w:w="695" w:type="pct"/>
          </w:tcPr>
          <w:p w:rsidR="0001051E" w:rsidRPr="001B42BF" w:rsidRDefault="0001051E" w:rsidP="00EC37B9">
            <w:pPr>
              <w:pStyle w:val="Tabletext"/>
              <w:tabs>
                <w:tab w:val="right" w:pos="349"/>
                <w:tab w:val="right" w:pos="939"/>
              </w:tabs>
              <w:spacing w:before="0"/>
              <w:jc w:val="right"/>
            </w:pPr>
            <w:r>
              <w:tab/>
              <w:t>1</w:t>
            </w:r>
            <w:r w:rsidR="00B52516">
              <w:t xml:space="preserve">  </w:t>
            </w:r>
            <w:r>
              <w:tab/>
            </w:r>
            <w:r w:rsidR="00B52516">
              <w:t xml:space="preserve">  </w:t>
            </w:r>
            <w:r>
              <w:t>(0.9)</w:t>
            </w:r>
          </w:p>
        </w:tc>
        <w:tc>
          <w:tcPr>
            <w:tcW w:w="696" w:type="pct"/>
          </w:tcPr>
          <w:p w:rsidR="0001051E" w:rsidRPr="001B42BF" w:rsidRDefault="00446AF6" w:rsidP="00EC37B9">
            <w:pPr>
              <w:pStyle w:val="Tabletext"/>
              <w:tabs>
                <w:tab w:val="right" w:pos="405"/>
                <w:tab w:val="right" w:pos="972"/>
              </w:tabs>
              <w:spacing w:before="0"/>
              <w:jc w:val="right"/>
            </w:pPr>
            <w:r>
              <w:tab/>
            </w:r>
            <w:r w:rsidR="0001051E">
              <w:t>45</w:t>
            </w:r>
            <w:r w:rsidR="0001051E">
              <w:tab/>
              <w:t>(17.2)</w:t>
            </w:r>
          </w:p>
        </w:tc>
        <w:tc>
          <w:tcPr>
            <w:tcW w:w="699" w:type="pct"/>
          </w:tcPr>
          <w:p w:rsidR="0001051E" w:rsidRPr="00370096" w:rsidRDefault="00446AF6" w:rsidP="00EC37B9">
            <w:pPr>
              <w:pStyle w:val="Tabletext"/>
              <w:tabs>
                <w:tab w:val="right" w:pos="437"/>
                <w:tab w:val="right" w:pos="1004"/>
              </w:tabs>
              <w:spacing w:before="0"/>
              <w:jc w:val="right"/>
            </w:pPr>
            <w:r>
              <w:tab/>
            </w:r>
            <w:r w:rsidR="0001051E">
              <w:t>46</w:t>
            </w:r>
            <w:r w:rsidR="0001051E">
              <w:tab/>
              <w:t>(12.4)</w:t>
            </w:r>
          </w:p>
        </w:tc>
        <w:tc>
          <w:tcPr>
            <w:tcW w:w="699" w:type="pct"/>
          </w:tcPr>
          <w:p w:rsidR="0001051E" w:rsidRPr="00515E4B" w:rsidRDefault="00446AF6" w:rsidP="00EC37B9">
            <w:pPr>
              <w:pStyle w:val="Tabletext"/>
              <w:tabs>
                <w:tab w:val="right" w:pos="450"/>
                <w:tab w:val="right" w:pos="1028"/>
              </w:tabs>
              <w:spacing w:before="0"/>
              <w:jc w:val="right"/>
            </w:pPr>
            <w:r>
              <w:tab/>
            </w:r>
            <w:r w:rsidR="0001051E">
              <w:t>1</w:t>
            </w:r>
            <w:r w:rsidR="0001051E">
              <w:tab/>
              <w:t>(3.8)</w:t>
            </w:r>
          </w:p>
        </w:tc>
        <w:tc>
          <w:tcPr>
            <w:tcW w:w="698" w:type="pct"/>
          </w:tcPr>
          <w:p w:rsidR="0001051E" w:rsidRPr="00515E4B" w:rsidRDefault="00446AF6" w:rsidP="00EC37B9">
            <w:pPr>
              <w:pStyle w:val="Tabletext"/>
              <w:tabs>
                <w:tab w:val="right" w:pos="462"/>
                <w:tab w:val="right" w:pos="1039"/>
              </w:tabs>
              <w:spacing w:before="0"/>
              <w:jc w:val="right"/>
            </w:pPr>
            <w:r>
              <w:tab/>
            </w:r>
            <w:r w:rsidR="0001051E">
              <w:t>2</w:t>
            </w:r>
            <w:r w:rsidR="0001051E">
              <w:tab/>
              <w:t>(3.4)</w:t>
            </w:r>
          </w:p>
        </w:tc>
        <w:tc>
          <w:tcPr>
            <w:tcW w:w="696" w:type="pct"/>
          </w:tcPr>
          <w:p w:rsidR="0001051E" w:rsidRPr="00700993" w:rsidRDefault="00446AF6" w:rsidP="00EC37B9">
            <w:pPr>
              <w:pStyle w:val="Tabletext"/>
              <w:tabs>
                <w:tab w:val="right" w:pos="483"/>
                <w:tab w:val="right" w:pos="1049"/>
              </w:tabs>
              <w:spacing w:before="0"/>
              <w:jc w:val="right"/>
            </w:pPr>
            <w:r>
              <w:tab/>
            </w:r>
            <w:r w:rsidR="0001051E">
              <w:t>3</w:t>
            </w:r>
            <w:r w:rsidR="0001051E">
              <w:tab/>
              <w:t>(3.6)</w:t>
            </w:r>
          </w:p>
        </w:tc>
      </w:tr>
      <w:tr w:rsidR="0001051E" w:rsidRPr="00862AF9">
        <w:tc>
          <w:tcPr>
            <w:tcW w:w="817" w:type="pct"/>
          </w:tcPr>
          <w:p w:rsidR="0001051E" w:rsidRDefault="0001051E" w:rsidP="00EC37B9">
            <w:pPr>
              <w:pStyle w:val="Tabletext"/>
              <w:spacing w:before="20"/>
            </w:pPr>
            <w:r>
              <w:t>Electrical</w:t>
            </w:r>
          </w:p>
        </w:tc>
        <w:tc>
          <w:tcPr>
            <w:tcW w:w="695" w:type="pct"/>
          </w:tcPr>
          <w:p w:rsidR="0001051E" w:rsidRPr="001B42BF" w:rsidRDefault="0001051E" w:rsidP="00EC37B9">
            <w:pPr>
              <w:pStyle w:val="Tabletext"/>
              <w:tabs>
                <w:tab w:val="right" w:pos="349"/>
                <w:tab w:val="right" w:pos="939"/>
              </w:tabs>
              <w:spacing w:before="0"/>
              <w:jc w:val="right"/>
            </w:pPr>
            <w:r>
              <w:tab/>
              <w:t>11</w:t>
            </w:r>
            <w:r>
              <w:tab/>
            </w:r>
            <w:r w:rsidR="00B52516">
              <w:t xml:space="preserve">  </w:t>
            </w:r>
            <w:r>
              <w:t>(10.0)</w:t>
            </w:r>
          </w:p>
        </w:tc>
        <w:tc>
          <w:tcPr>
            <w:tcW w:w="696" w:type="pct"/>
          </w:tcPr>
          <w:p w:rsidR="0001051E" w:rsidRPr="001B42BF" w:rsidRDefault="00446AF6" w:rsidP="00EC37B9">
            <w:pPr>
              <w:pStyle w:val="Tabletext"/>
              <w:tabs>
                <w:tab w:val="right" w:pos="405"/>
                <w:tab w:val="right" w:pos="972"/>
              </w:tabs>
              <w:spacing w:before="0"/>
              <w:jc w:val="right"/>
            </w:pPr>
            <w:r>
              <w:tab/>
            </w:r>
            <w:r w:rsidR="0001051E">
              <w:t>-</w:t>
            </w:r>
          </w:p>
        </w:tc>
        <w:tc>
          <w:tcPr>
            <w:tcW w:w="699" w:type="pct"/>
          </w:tcPr>
          <w:p w:rsidR="0001051E" w:rsidRPr="00370096" w:rsidRDefault="00446AF6" w:rsidP="00EC37B9">
            <w:pPr>
              <w:pStyle w:val="Tabletext"/>
              <w:tabs>
                <w:tab w:val="right" w:pos="437"/>
                <w:tab w:val="right" w:pos="1004"/>
              </w:tabs>
              <w:spacing w:before="0"/>
              <w:jc w:val="right"/>
            </w:pPr>
            <w:r>
              <w:tab/>
            </w:r>
            <w:r w:rsidR="0001051E">
              <w:t>11</w:t>
            </w:r>
            <w:r w:rsidR="0001051E">
              <w:tab/>
              <w:t>(3.0)</w:t>
            </w:r>
          </w:p>
        </w:tc>
        <w:tc>
          <w:tcPr>
            <w:tcW w:w="699" w:type="pct"/>
          </w:tcPr>
          <w:p w:rsidR="0001051E" w:rsidRPr="00515E4B" w:rsidRDefault="00446AF6" w:rsidP="00EC37B9">
            <w:pPr>
              <w:pStyle w:val="Tabletext"/>
              <w:tabs>
                <w:tab w:val="right" w:pos="450"/>
                <w:tab w:val="right" w:pos="1028"/>
              </w:tabs>
              <w:spacing w:before="0"/>
              <w:jc w:val="right"/>
            </w:pPr>
            <w:r>
              <w:tab/>
            </w:r>
            <w:r w:rsidR="0001051E">
              <w:t>3</w:t>
            </w:r>
            <w:r w:rsidR="0001051E">
              <w:tab/>
              <w:t>(11.5)</w:t>
            </w:r>
          </w:p>
        </w:tc>
        <w:tc>
          <w:tcPr>
            <w:tcW w:w="698" w:type="pct"/>
          </w:tcPr>
          <w:p w:rsidR="0001051E" w:rsidRPr="00515E4B" w:rsidRDefault="00446AF6" w:rsidP="00EC37B9">
            <w:pPr>
              <w:pStyle w:val="Tabletext"/>
              <w:tabs>
                <w:tab w:val="right" w:pos="462"/>
                <w:tab w:val="right" w:pos="1039"/>
              </w:tabs>
              <w:spacing w:before="0"/>
              <w:jc w:val="right"/>
            </w:pPr>
            <w:r>
              <w:tab/>
            </w:r>
            <w:r w:rsidR="0001051E">
              <w:t>-</w:t>
            </w:r>
          </w:p>
        </w:tc>
        <w:tc>
          <w:tcPr>
            <w:tcW w:w="696" w:type="pct"/>
          </w:tcPr>
          <w:p w:rsidR="0001051E" w:rsidRPr="00700993" w:rsidRDefault="00446AF6" w:rsidP="00EC37B9">
            <w:pPr>
              <w:pStyle w:val="Tabletext"/>
              <w:tabs>
                <w:tab w:val="right" w:pos="483"/>
                <w:tab w:val="right" w:pos="1049"/>
              </w:tabs>
              <w:spacing w:before="0"/>
              <w:jc w:val="right"/>
            </w:pPr>
            <w:r>
              <w:tab/>
            </w:r>
            <w:r w:rsidR="0001051E">
              <w:t>3</w:t>
            </w:r>
            <w:r w:rsidR="0001051E">
              <w:tab/>
              <w:t>(3.6)</w:t>
            </w:r>
          </w:p>
        </w:tc>
      </w:tr>
      <w:tr w:rsidR="0001051E" w:rsidRPr="00862AF9">
        <w:tc>
          <w:tcPr>
            <w:tcW w:w="817" w:type="pct"/>
          </w:tcPr>
          <w:p w:rsidR="0001051E" w:rsidRPr="001B42BF" w:rsidRDefault="003B5334" w:rsidP="00EC37B9">
            <w:pPr>
              <w:pStyle w:val="Tabletext"/>
              <w:spacing w:before="20"/>
            </w:pPr>
            <w:r>
              <w:t>Finance, property and</w:t>
            </w:r>
            <w:r w:rsidR="0001051E">
              <w:t xml:space="preserve"> business</w:t>
            </w:r>
          </w:p>
        </w:tc>
        <w:tc>
          <w:tcPr>
            <w:tcW w:w="695" w:type="pct"/>
          </w:tcPr>
          <w:p w:rsidR="0001051E" w:rsidRPr="001B42BF" w:rsidRDefault="0001051E" w:rsidP="00EC37B9">
            <w:pPr>
              <w:pStyle w:val="Tabletext"/>
              <w:tabs>
                <w:tab w:val="right" w:pos="349"/>
                <w:tab w:val="right" w:pos="939"/>
              </w:tabs>
              <w:spacing w:before="0"/>
              <w:jc w:val="right"/>
            </w:pPr>
            <w:r>
              <w:tab/>
              <w:t>-</w:t>
            </w:r>
          </w:p>
        </w:tc>
        <w:tc>
          <w:tcPr>
            <w:tcW w:w="696" w:type="pct"/>
          </w:tcPr>
          <w:p w:rsidR="0001051E" w:rsidRPr="001B42BF" w:rsidRDefault="00446AF6" w:rsidP="00EC37B9">
            <w:pPr>
              <w:pStyle w:val="Tabletext"/>
              <w:tabs>
                <w:tab w:val="right" w:pos="405"/>
                <w:tab w:val="right" w:pos="972"/>
              </w:tabs>
              <w:spacing w:before="0"/>
              <w:jc w:val="right"/>
            </w:pPr>
            <w:r>
              <w:tab/>
            </w:r>
            <w:r w:rsidR="0001051E">
              <w:t>90</w:t>
            </w:r>
            <w:r w:rsidR="0001051E">
              <w:tab/>
              <w:t>(34.4)</w:t>
            </w:r>
          </w:p>
        </w:tc>
        <w:tc>
          <w:tcPr>
            <w:tcW w:w="699" w:type="pct"/>
          </w:tcPr>
          <w:p w:rsidR="0001051E" w:rsidRPr="00370096" w:rsidRDefault="00446AF6" w:rsidP="00EC37B9">
            <w:pPr>
              <w:pStyle w:val="Tabletext"/>
              <w:tabs>
                <w:tab w:val="right" w:pos="437"/>
                <w:tab w:val="right" w:pos="1004"/>
              </w:tabs>
              <w:spacing w:before="0"/>
              <w:jc w:val="right"/>
            </w:pPr>
            <w:r>
              <w:tab/>
            </w:r>
            <w:r w:rsidR="0001051E">
              <w:t>90</w:t>
            </w:r>
            <w:r w:rsidR="0001051E">
              <w:tab/>
              <w:t>(24.2)</w:t>
            </w:r>
          </w:p>
        </w:tc>
        <w:tc>
          <w:tcPr>
            <w:tcW w:w="699" w:type="pct"/>
          </w:tcPr>
          <w:p w:rsidR="0001051E" w:rsidRPr="00515E4B" w:rsidRDefault="00446AF6" w:rsidP="00EC37B9">
            <w:pPr>
              <w:pStyle w:val="Tabletext"/>
              <w:tabs>
                <w:tab w:val="right" w:pos="450"/>
                <w:tab w:val="right" w:pos="1028"/>
              </w:tabs>
              <w:spacing w:before="0"/>
              <w:jc w:val="right"/>
            </w:pPr>
            <w:r>
              <w:tab/>
            </w:r>
            <w:r w:rsidR="0001051E">
              <w:t>-</w:t>
            </w:r>
          </w:p>
        </w:tc>
        <w:tc>
          <w:tcPr>
            <w:tcW w:w="698" w:type="pct"/>
          </w:tcPr>
          <w:p w:rsidR="0001051E" w:rsidRPr="00515E4B" w:rsidRDefault="00446AF6" w:rsidP="00EC37B9">
            <w:pPr>
              <w:pStyle w:val="Tabletext"/>
              <w:tabs>
                <w:tab w:val="right" w:pos="462"/>
                <w:tab w:val="right" w:pos="1039"/>
              </w:tabs>
              <w:spacing w:before="0"/>
              <w:jc w:val="right"/>
            </w:pPr>
            <w:r>
              <w:tab/>
            </w:r>
            <w:r w:rsidR="0001051E">
              <w:t>29</w:t>
            </w:r>
            <w:r w:rsidR="0001051E">
              <w:tab/>
              <w:t>(50.0)</w:t>
            </w:r>
          </w:p>
        </w:tc>
        <w:tc>
          <w:tcPr>
            <w:tcW w:w="696" w:type="pct"/>
          </w:tcPr>
          <w:p w:rsidR="0001051E" w:rsidRPr="00700993" w:rsidRDefault="00446AF6" w:rsidP="00EC37B9">
            <w:pPr>
              <w:pStyle w:val="Tabletext"/>
              <w:tabs>
                <w:tab w:val="right" w:pos="483"/>
                <w:tab w:val="right" w:pos="1049"/>
              </w:tabs>
              <w:spacing w:before="0"/>
              <w:jc w:val="right"/>
            </w:pPr>
            <w:r>
              <w:tab/>
            </w:r>
            <w:r w:rsidR="0001051E">
              <w:t>29</w:t>
            </w:r>
            <w:r w:rsidR="0001051E">
              <w:tab/>
              <w:t>(34.5)</w:t>
            </w:r>
          </w:p>
        </w:tc>
      </w:tr>
      <w:tr w:rsidR="0001051E" w:rsidRPr="00862AF9">
        <w:tc>
          <w:tcPr>
            <w:tcW w:w="817" w:type="pct"/>
          </w:tcPr>
          <w:p w:rsidR="0001051E" w:rsidRPr="001B42BF" w:rsidRDefault="0001051E" w:rsidP="00EC37B9">
            <w:pPr>
              <w:pStyle w:val="Tabletext"/>
              <w:spacing w:before="20"/>
            </w:pPr>
            <w:r>
              <w:t>Food</w:t>
            </w:r>
          </w:p>
        </w:tc>
        <w:tc>
          <w:tcPr>
            <w:tcW w:w="695" w:type="pct"/>
          </w:tcPr>
          <w:p w:rsidR="0001051E" w:rsidRPr="001B42BF" w:rsidRDefault="0001051E" w:rsidP="00EC37B9">
            <w:pPr>
              <w:pStyle w:val="Tabletext"/>
              <w:tabs>
                <w:tab w:val="right" w:pos="349"/>
                <w:tab w:val="right" w:pos="939"/>
              </w:tabs>
              <w:spacing w:before="0"/>
              <w:jc w:val="right"/>
            </w:pPr>
            <w:r>
              <w:tab/>
              <w:t>10</w:t>
            </w:r>
            <w:r>
              <w:tab/>
            </w:r>
            <w:r w:rsidR="002822DE">
              <w:t xml:space="preserve">    </w:t>
            </w:r>
            <w:r>
              <w:t>(9.1)</w:t>
            </w:r>
          </w:p>
        </w:tc>
        <w:tc>
          <w:tcPr>
            <w:tcW w:w="696" w:type="pct"/>
          </w:tcPr>
          <w:p w:rsidR="0001051E" w:rsidRPr="001B42BF" w:rsidRDefault="00446AF6" w:rsidP="00EC37B9">
            <w:pPr>
              <w:pStyle w:val="Tabletext"/>
              <w:tabs>
                <w:tab w:val="right" w:pos="405"/>
                <w:tab w:val="right" w:pos="972"/>
              </w:tabs>
              <w:spacing w:before="0"/>
              <w:jc w:val="right"/>
            </w:pPr>
            <w:r>
              <w:tab/>
            </w:r>
            <w:r w:rsidR="0001051E">
              <w:t>9</w:t>
            </w:r>
            <w:r w:rsidR="0001051E">
              <w:tab/>
              <w:t>(3.4)</w:t>
            </w:r>
          </w:p>
        </w:tc>
        <w:tc>
          <w:tcPr>
            <w:tcW w:w="699" w:type="pct"/>
          </w:tcPr>
          <w:p w:rsidR="0001051E" w:rsidRPr="00370096" w:rsidRDefault="00446AF6" w:rsidP="00EC37B9">
            <w:pPr>
              <w:pStyle w:val="Tabletext"/>
              <w:tabs>
                <w:tab w:val="right" w:pos="437"/>
                <w:tab w:val="right" w:pos="1004"/>
              </w:tabs>
              <w:spacing w:before="0"/>
              <w:jc w:val="right"/>
            </w:pPr>
            <w:r>
              <w:tab/>
            </w:r>
            <w:r w:rsidR="0001051E">
              <w:t>19</w:t>
            </w:r>
            <w:r w:rsidR="0001051E">
              <w:tab/>
              <w:t>(5.1)</w:t>
            </w:r>
          </w:p>
        </w:tc>
        <w:tc>
          <w:tcPr>
            <w:tcW w:w="699" w:type="pct"/>
          </w:tcPr>
          <w:p w:rsidR="0001051E" w:rsidRPr="00515E4B" w:rsidRDefault="00446AF6" w:rsidP="00EC37B9">
            <w:pPr>
              <w:pStyle w:val="Tabletext"/>
              <w:tabs>
                <w:tab w:val="right" w:pos="450"/>
                <w:tab w:val="right" w:pos="1028"/>
              </w:tabs>
              <w:spacing w:before="0"/>
              <w:jc w:val="right"/>
            </w:pPr>
            <w:r>
              <w:tab/>
            </w:r>
            <w:r w:rsidR="0001051E">
              <w:t>-</w:t>
            </w:r>
          </w:p>
        </w:tc>
        <w:tc>
          <w:tcPr>
            <w:tcW w:w="698" w:type="pct"/>
          </w:tcPr>
          <w:p w:rsidR="0001051E" w:rsidRPr="00515E4B" w:rsidRDefault="00446AF6" w:rsidP="00EC37B9">
            <w:pPr>
              <w:pStyle w:val="Tabletext"/>
              <w:tabs>
                <w:tab w:val="right" w:pos="462"/>
                <w:tab w:val="right" w:pos="1039"/>
              </w:tabs>
              <w:spacing w:before="0"/>
              <w:jc w:val="right"/>
            </w:pPr>
            <w:r>
              <w:tab/>
            </w:r>
            <w:r w:rsidR="0001051E">
              <w:t>-</w:t>
            </w:r>
          </w:p>
        </w:tc>
        <w:tc>
          <w:tcPr>
            <w:tcW w:w="696" w:type="pct"/>
          </w:tcPr>
          <w:p w:rsidR="0001051E" w:rsidRPr="00700993" w:rsidRDefault="00446AF6" w:rsidP="00EC37B9">
            <w:pPr>
              <w:pStyle w:val="Tabletext"/>
              <w:tabs>
                <w:tab w:val="right" w:pos="483"/>
                <w:tab w:val="right" w:pos="1049"/>
              </w:tabs>
              <w:spacing w:before="0"/>
              <w:jc w:val="right"/>
            </w:pPr>
            <w:r>
              <w:tab/>
            </w:r>
            <w:r w:rsidR="0001051E">
              <w:t>-</w:t>
            </w:r>
          </w:p>
        </w:tc>
      </w:tr>
      <w:tr w:rsidR="0001051E" w:rsidRPr="00862AF9">
        <w:tc>
          <w:tcPr>
            <w:tcW w:w="817" w:type="pct"/>
          </w:tcPr>
          <w:p w:rsidR="0001051E" w:rsidRPr="001B42BF" w:rsidRDefault="0001051E" w:rsidP="00EC37B9">
            <w:pPr>
              <w:pStyle w:val="Tabletext"/>
              <w:spacing w:before="20"/>
            </w:pPr>
            <w:r>
              <w:t>Hospitality and tourism</w:t>
            </w:r>
          </w:p>
        </w:tc>
        <w:tc>
          <w:tcPr>
            <w:tcW w:w="695" w:type="pct"/>
          </w:tcPr>
          <w:p w:rsidR="0001051E" w:rsidRPr="001B42BF" w:rsidRDefault="0001051E" w:rsidP="00EC37B9">
            <w:pPr>
              <w:pStyle w:val="Tabletext"/>
              <w:tabs>
                <w:tab w:val="right" w:pos="349"/>
                <w:tab w:val="right" w:pos="939"/>
              </w:tabs>
              <w:spacing w:before="0"/>
              <w:jc w:val="right"/>
            </w:pPr>
            <w:r>
              <w:tab/>
              <w:t>8</w:t>
            </w:r>
            <w:r>
              <w:tab/>
            </w:r>
            <w:r w:rsidR="002822DE">
              <w:t xml:space="preserve">    </w:t>
            </w:r>
            <w:r>
              <w:t>(7.3)</w:t>
            </w:r>
          </w:p>
        </w:tc>
        <w:tc>
          <w:tcPr>
            <w:tcW w:w="696" w:type="pct"/>
          </w:tcPr>
          <w:p w:rsidR="0001051E" w:rsidRPr="001B42BF" w:rsidRDefault="00446AF6" w:rsidP="00EC37B9">
            <w:pPr>
              <w:pStyle w:val="Tabletext"/>
              <w:tabs>
                <w:tab w:val="right" w:pos="405"/>
                <w:tab w:val="right" w:pos="972"/>
              </w:tabs>
              <w:spacing w:before="0"/>
              <w:jc w:val="right"/>
            </w:pPr>
            <w:r>
              <w:tab/>
            </w:r>
            <w:r w:rsidR="0001051E">
              <w:t>15</w:t>
            </w:r>
            <w:r w:rsidR="0001051E">
              <w:tab/>
              <w:t>(5.7)</w:t>
            </w:r>
          </w:p>
        </w:tc>
        <w:tc>
          <w:tcPr>
            <w:tcW w:w="699" w:type="pct"/>
          </w:tcPr>
          <w:p w:rsidR="0001051E" w:rsidRPr="00370096" w:rsidRDefault="00446AF6" w:rsidP="00EC37B9">
            <w:pPr>
              <w:pStyle w:val="Tabletext"/>
              <w:tabs>
                <w:tab w:val="right" w:pos="437"/>
                <w:tab w:val="right" w:pos="1004"/>
              </w:tabs>
              <w:spacing w:before="0"/>
              <w:jc w:val="right"/>
            </w:pPr>
            <w:r>
              <w:tab/>
            </w:r>
            <w:r w:rsidR="0001051E">
              <w:t>23</w:t>
            </w:r>
            <w:r w:rsidR="0001051E">
              <w:tab/>
              <w:t>(6.2)</w:t>
            </w:r>
          </w:p>
        </w:tc>
        <w:tc>
          <w:tcPr>
            <w:tcW w:w="699" w:type="pct"/>
          </w:tcPr>
          <w:p w:rsidR="0001051E" w:rsidRPr="00515E4B" w:rsidRDefault="00B84F46" w:rsidP="00EC37B9">
            <w:pPr>
              <w:pStyle w:val="Tabletext"/>
              <w:tabs>
                <w:tab w:val="right" w:pos="450"/>
                <w:tab w:val="right" w:pos="1028"/>
              </w:tabs>
              <w:spacing w:before="0"/>
              <w:jc w:val="right"/>
            </w:pPr>
            <w:r>
              <w:t>-</w:t>
            </w:r>
          </w:p>
        </w:tc>
        <w:tc>
          <w:tcPr>
            <w:tcW w:w="698" w:type="pct"/>
          </w:tcPr>
          <w:p w:rsidR="0001051E" w:rsidRPr="00515E4B" w:rsidRDefault="00446AF6" w:rsidP="00EC37B9">
            <w:pPr>
              <w:pStyle w:val="Tabletext"/>
              <w:tabs>
                <w:tab w:val="right" w:pos="462"/>
                <w:tab w:val="right" w:pos="1039"/>
              </w:tabs>
              <w:spacing w:before="0"/>
              <w:jc w:val="right"/>
            </w:pPr>
            <w:r>
              <w:tab/>
            </w:r>
            <w:r w:rsidR="0001051E">
              <w:t>6</w:t>
            </w:r>
            <w:r w:rsidR="0001051E">
              <w:tab/>
              <w:t>(10.3)</w:t>
            </w:r>
          </w:p>
        </w:tc>
        <w:tc>
          <w:tcPr>
            <w:tcW w:w="696" w:type="pct"/>
          </w:tcPr>
          <w:p w:rsidR="0001051E" w:rsidRPr="00700993" w:rsidRDefault="00446AF6" w:rsidP="00EC37B9">
            <w:pPr>
              <w:pStyle w:val="Tabletext"/>
              <w:tabs>
                <w:tab w:val="right" w:pos="483"/>
                <w:tab w:val="right" w:pos="1049"/>
              </w:tabs>
              <w:spacing w:before="0"/>
              <w:jc w:val="right"/>
            </w:pPr>
            <w:r>
              <w:tab/>
            </w:r>
            <w:r w:rsidR="0001051E">
              <w:t>6</w:t>
            </w:r>
            <w:r w:rsidR="0001051E">
              <w:tab/>
              <w:t>(7.1)</w:t>
            </w:r>
          </w:p>
        </w:tc>
      </w:tr>
      <w:tr w:rsidR="0001051E" w:rsidRPr="00862AF9">
        <w:tc>
          <w:tcPr>
            <w:tcW w:w="817" w:type="pct"/>
          </w:tcPr>
          <w:p w:rsidR="0001051E" w:rsidRPr="001B42BF" w:rsidRDefault="0001051E" w:rsidP="00EC37B9">
            <w:pPr>
              <w:pStyle w:val="Tabletext"/>
              <w:spacing w:before="20"/>
            </w:pPr>
            <w:r>
              <w:t>Light manufacturing</w:t>
            </w:r>
          </w:p>
        </w:tc>
        <w:tc>
          <w:tcPr>
            <w:tcW w:w="695" w:type="pct"/>
          </w:tcPr>
          <w:p w:rsidR="0001051E" w:rsidRPr="001B42BF" w:rsidRDefault="0001051E" w:rsidP="00EC37B9">
            <w:pPr>
              <w:pStyle w:val="Tabletext"/>
              <w:tabs>
                <w:tab w:val="right" w:pos="349"/>
                <w:tab w:val="right" w:pos="939"/>
              </w:tabs>
              <w:spacing w:before="0"/>
              <w:jc w:val="right"/>
            </w:pPr>
            <w:r>
              <w:tab/>
              <w:t>4</w:t>
            </w:r>
            <w:r>
              <w:tab/>
            </w:r>
            <w:r w:rsidR="002822DE">
              <w:t xml:space="preserve">    </w:t>
            </w:r>
            <w:r>
              <w:t>(3.6)</w:t>
            </w:r>
          </w:p>
        </w:tc>
        <w:tc>
          <w:tcPr>
            <w:tcW w:w="696" w:type="pct"/>
          </w:tcPr>
          <w:p w:rsidR="0001051E" w:rsidRPr="001B42BF" w:rsidRDefault="00446AF6" w:rsidP="00EC37B9">
            <w:pPr>
              <w:pStyle w:val="Tabletext"/>
              <w:tabs>
                <w:tab w:val="right" w:pos="405"/>
                <w:tab w:val="right" w:pos="972"/>
              </w:tabs>
              <w:spacing w:before="0"/>
              <w:jc w:val="right"/>
            </w:pPr>
            <w:r>
              <w:tab/>
            </w:r>
            <w:r w:rsidR="0001051E">
              <w:t>7</w:t>
            </w:r>
            <w:r w:rsidR="0001051E">
              <w:tab/>
              <w:t>(2.7)</w:t>
            </w:r>
          </w:p>
        </w:tc>
        <w:tc>
          <w:tcPr>
            <w:tcW w:w="699" w:type="pct"/>
          </w:tcPr>
          <w:p w:rsidR="0001051E" w:rsidRPr="00370096" w:rsidRDefault="00446AF6" w:rsidP="00EC37B9">
            <w:pPr>
              <w:pStyle w:val="Tabletext"/>
              <w:tabs>
                <w:tab w:val="right" w:pos="437"/>
                <w:tab w:val="right" w:pos="1004"/>
              </w:tabs>
              <w:spacing w:before="0"/>
              <w:jc w:val="right"/>
            </w:pPr>
            <w:r>
              <w:tab/>
            </w:r>
            <w:r w:rsidR="0001051E">
              <w:t>11</w:t>
            </w:r>
            <w:r w:rsidR="0001051E">
              <w:tab/>
              <w:t>(3.0)</w:t>
            </w:r>
          </w:p>
        </w:tc>
        <w:tc>
          <w:tcPr>
            <w:tcW w:w="699" w:type="pct"/>
          </w:tcPr>
          <w:p w:rsidR="0001051E" w:rsidRPr="00515E4B" w:rsidRDefault="00446AF6" w:rsidP="00EC37B9">
            <w:pPr>
              <w:pStyle w:val="Tabletext"/>
              <w:tabs>
                <w:tab w:val="right" w:pos="450"/>
                <w:tab w:val="right" w:pos="1028"/>
              </w:tabs>
              <w:spacing w:before="0"/>
              <w:jc w:val="right"/>
            </w:pPr>
            <w:r>
              <w:tab/>
            </w:r>
            <w:r w:rsidR="0001051E">
              <w:t>1</w:t>
            </w:r>
            <w:r w:rsidR="0001051E">
              <w:tab/>
              <w:t>(3.8)</w:t>
            </w:r>
          </w:p>
        </w:tc>
        <w:tc>
          <w:tcPr>
            <w:tcW w:w="698" w:type="pct"/>
          </w:tcPr>
          <w:p w:rsidR="0001051E" w:rsidRPr="00515E4B" w:rsidRDefault="00446AF6" w:rsidP="00EC37B9">
            <w:pPr>
              <w:pStyle w:val="Tabletext"/>
              <w:tabs>
                <w:tab w:val="right" w:pos="462"/>
                <w:tab w:val="right" w:pos="1039"/>
              </w:tabs>
              <w:spacing w:before="0"/>
              <w:jc w:val="right"/>
            </w:pPr>
            <w:r>
              <w:tab/>
            </w:r>
            <w:r w:rsidR="0001051E">
              <w:t>-</w:t>
            </w:r>
          </w:p>
        </w:tc>
        <w:tc>
          <w:tcPr>
            <w:tcW w:w="696" w:type="pct"/>
          </w:tcPr>
          <w:p w:rsidR="0001051E" w:rsidRPr="00700993" w:rsidRDefault="00446AF6" w:rsidP="00EC37B9">
            <w:pPr>
              <w:pStyle w:val="Tabletext"/>
              <w:tabs>
                <w:tab w:val="right" w:pos="483"/>
                <w:tab w:val="right" w:pos="1049"/>
              </w:tabs>
              <w:spacing w:before="0"/>
              <w:jc w:val="right"/>
            </w:pPr>
            <w:r>
              <w:tab/>
            </w:r>
            <w:r w:rsidR="0001051E">
              <w:t>1</w:t>
            </w:r>
            <w:r w:rsidR="0001051E">
              <w:tab/>
              <w:t>(1.2)</w:t>
            </w:r>
          </w:p>
        </w:tc>
      </w:tr>
      <w:tr w:rsidR="0001051E" w:rsidRPr="00862AF9">
        <w:tc>
          <w:tcPr>
            <w:tcW w:w="817" w:type="pct"/>
          </w:tcPr>
          <w:p w:rsidR="0001051E" w:rsidRPr="001B42BF" w:rsidRDefault="0001051E" w:rsidP="00EC37B9">
            <w:pPr>
              <w:pStyle w:val="Tabletext"/>
              <w:spacing w:before="20"/>
            </w:pPr>
            <w:r>
              <w:t>Mentals, manufacturing and services</w:t>
            </w:r>
          </w:p>
        </w:tc>
        <w:tc>
          <w:tcPr>
            <w:tcW w:w="695" w:type="pct"/>
          </w:tcPr>
          <w:p w:rsidR="0001051E" w:rsidRPr="001B42BF" w:rsidRDefault="0001051E" w:rsidP="00EC37B9">
            <w:pPr>
              <w:pStyle w:val="Tabletext"/>
              <w:tabs>
                <w:tab w:val="right" w:pos="349"/>
                <w:tab w:val="right" w:pos="939"/>
              </w:tabs>
              <w:spacing w:before="0"/>
              <w:jc w:val="right"/>
            </w:pPr>
            <w:r>
              <w:tab/>
              <w:t>13</w:t>
            </w:r>
            <w:r>
              <w:tab/>
              <w:t>(11.8)</w:t>
            </w:r>
          </w:p>
        </w:tc>
        <w:tc>
          <w:tcPr>
            <w:tcW w:w="696" w:type="pct"/>
          </w:tcPr>
          <w:p w:rsidR="0001051E" w:rsidRPr="001B42BF" w:rsidRDefault="00446AF6" w:rsidP="00EC37B9">
            <w:pPr>
              <w:pStyle w:val="Tabletext"/>
              <w:tabs>
                <w:tab w:val="right" w:pos="405"/>
                <w:tab w:val="right" w:pos="972"/>
              </w:tabs>
              <w:spacing w:before="0"/>
              <w:jc w:val="right"/>
            </w:pPr>
            <w:r>
              <w:tab/>
            </w:r>
            <w:r w:rsidR="0001051E">
              <w:t>1</w:t>
            </w:r>
            <w:r w:rsidR="0001051E">
              <w:tab/>
              <w:t>(0.4)</w:t>
            </w:r>
          </w:p>
        </w:tc>
        <w:tc>
          <w:tcPr>
            <w:tcW w:w="699" w:type="pct"/>
          </w:tcPr>
          <w:p w:rsidR="0001051E" w:rsidRPr="00370096" w:rsidRDefault="00446AF6" w:rsidP="00EC37B9">
            <w:pPr>
              <w:pStyle w:val="Tabletext"/>
              <w:tabs>
                <w:tab w:val="right" w:pos="437"/>
                <w:tab w:val="right" w:pos="1004"/>
              </w:tabs>
              <w:spacing w:before="0"/>
              <w:jc w:val="right"/>
            </w:pPr>
            <w:r>
              <w:tab/>
            </w:r>
            <w:r w:rsidR="0001051E">
              <w:t>14</w:t>
            </w:r>
            <w:r w:rsidR="0001051E">
              <w:tab/>
              <w:t>(3.8)</w:t>
            </w:r>
          </w:p>
        </w:tc>
        <w:tc>
          <w:tcPr>
            <w:tcW w:w="699" w:type="pct"/>
          </w:tcPr>
          <w:p w:rsidR="0001051E" w:rsidRPr="00515E4B" w:rsidRDefault="00446AF6" w:rsidP="00EC37B9">
            <w:pPr>
              <w:pStyle w:val="Tabletext"/>
              <w:tabs>
                <w:tab w:val="right" w:pos="450"/>
                <w:tab w:val="right" w:pos="1028"/>
              </w:tabs>
              <w:spacing w:before="0"/>
              <w:jc w:val="right"/>
            </w:pPr>
            <w:r>
              <w:tab/>
            </w:r>
            <w:r w:rsidR="0001051E">
              <w:t>2</w:t>
            </w:r>
            <w:r w:rsidR="0001051E">
              <w:tab/>
              <w:t>(7.7)</w:t>
            </w:r>
          </w:p>
        </w:tc>
        <w:tc>
          <w:tcPr>
            <w:tcW w:w="698" w:type="pct"/>
          </w:tcPr>
          <w:p w:rsidR="0001051E" w:rsidRPr="00515E4B" w:rsidRDefault="00446AF6" w:rsidP="00EC37B9">
            <w:pPr>
              <w:pStyle w:val="Tabletext"/>
              <w:tabs>
                <w:tab w:val="right" w:pos="462"/>
                <w:tab w:val="right" w:pos="1039"/>
              </w:tabs>
              <w:spacing w:before="0"/>
              <w:jc w:val="right"/>
            </w:pPr>
            <w:r>
              <w:tab/>
            </w:r>
            <w:r w:rsidR="00B84F46">
              <w:tab/>
            </w:r>
            <w:r w:rsidR="0001051E">
              <w:t>-</w:t>
            </w:r>
          </w:p>
        </w:tc>
        <w:tc>
          <w:tcPr>
            <w:tcW w:w="696" w:type="pct"/>
          </w:tcPr>
          <w:p w:rsidR="0001051E" w:rsidRPr="00700993" w:rsidRDefault="00446AF6" w:rsidP="00EC37B9">
            <w:pPr>
              <w:pStyle w:val="Tabletext"/>
              <w:tabs>
                <w:tab w:val="right" w:pos="483"/>
                <w:tab w:val="right" w:pos="1049"/>
              </w:tabs>
              <w:spacing w:before="0"/>
              <w:jc w:val="right"/>
            </w:pPr>
            <w:r>
              <w:tab/>
            </w:r>
            <w:r w:rsidR="0001051E">
              <w:t>2</w:t>
            </w:r>
            <w:r w:rsidR="0001051E">
              <w:tab/>
              <w:t>(2.4)</w:t>
            </w:r>
          </w:p>
        </w:tc>
      </w:tr>
      <w:tr w:rsidR="0001051E" w:rsidRPr="00862AF9">
        <w:tc>
          <w:tcPr>
            <w:tcW w:w="817" w:type="pct"/>
          </w:tcPr>
          <w:p w:rsidR="0001051E" w:rsidRPr="001B42BF" w:rsidRDefault="0001051E" w:rsidP="00EC37B9">
            <w:pPr>
              <w:pStyle w:val="Tabletext"/>
              <w:spacing w:before="20"/>
            </w:pPr>
            <w:r>
              <w:t>Mining industry</w:t>
            </w:r>
          </w:p>
        </w:tc>
        <w:tc>
          <w:tcPr>
            <w:tcW w:w="695" w:type="pct"/>
          </w:tcPr>
          <w:p w:rsidR="0001051E" w:rsidRPr="001B42BF" w:rsidRDefault="0001051E" w:rsidP="00EC37B9">
            <w:pPr>
              <w:pStyle w:val="Tabletext"/>
              <w:tabs>
                <w:tab w:val="right" w:pos="349"/>
                <w:tab w:val="right" w:pos="939"/>
              </w:tabs>
              <w:spacing w:before="0"/>
              <w:jc w:val="right"/>
            </w:pPr>
            <w:r>
              <w:tab/>
              <w:t>-</w:t>
            </w:r>
          </w:p>
        </w:tc>
        <w:tc>
          <w:tcPr>
            <w:tcW w:w="696" w:type="pct"/>
          </w:tcPr>
          <w:p w:rsidR="0001051E" w:rsidRPr="001B42BF" w:rsidRDefault="00446AF6" w:rsidP="00EC37B9">
            <w:pPr>
              <w:pStyle w:val="Tabletext"/>
              <w:tabs>
                <w:tab w:val="right" w:pos="405"/>
                <w:tab w:val="right" w:pos="972"/>
              </w:tabs>
              <w:spacing w:before="0"/>
              <w:jc w:val="right"/>
            </w:pPr>
            <w:r>
              <w:tab/>
            </w:r>
            <w:r w:rsidR="0001051E">
              <w:t>1</w:t>
            </w:r>
            <w:r w:rsidR="0001051E">
              <w:tab/>
              <w:t>(0.4)</w:t>
            </w:r>
          </w:p>
        </w:tc>
        <w:tc>
          <w:tcPr>
            <w:tcW w:w="699" w:type="pct"/>
          </w:tcPr>
          <w:p w:rsidR="0001051E" w:rsidRPr="00370096" w:rsidRDefault="00446AF6" w:rsidP="00EC37B9">
            <w:pPr>
              <w:pStyle w:val="Tabletext"/>
              <w:tabs>
                <w:tab w:val="right" w:pos="437"/>
                <w:tab w:val="right" w:pos="1004"/>
              </w:tabs>
              <w:spacing w:before="0"/>
              <w:jc w:val="right"/>
            </w:pPr>
            <w:r>
              <w:tab/>
            </w:r>
            <w:r w:rsidR="0001051E">
              <w:t>1</w:t>
            </w:r>
            <w:r w:rsidR="0001051E">
              <w:tab/>
              <w:t>(0.3)</w:t>
            </w:r>
          </w:p>
        </w:tc>
        <w:tc>
          <w:tcPr>
            <w:tcW w:w="699" w:type="pct"/>
          </w:tcPr>
          <w:p w:rsidR="0001051E" w:rsidRPr="00515E4B" w:rsidRDefault="00446AF6" w:rsidP="00EC37B9">
            <w:pPr>
              <w:pStyle w:val="Tabletext"/>
              <w:tabs>
                <w:tab w:val="right" w:pos="450"/>
                <w:tab w:val="right" w:pos="1028"/>
              </w:tabs>
              <w:spacing w:before="0"/>
              <w:jc w:val="right"/>
            </w:pPr>
            <w:r>
              <w:tab/>
            </w:r>
            <w:r w:rsidR="0001051E">
              <w:t>-</w:t>
            </w:r>
          </w:p>
        </w:tc>
        <w:tc>
          <w:tcPr>
            <w:tcW w:w="698" w:type="pct"/>
          </w:tcPr>
          <w:p w:rsidR="0001051E" w:rsidRPr="00515E4B" w:rsidRDefault="00446AF6" w:rsidP="00EC37B9">
            <w:pPr>
              <w:pStyle w:val="Tabletext"/>
              <w:tabs>
                <w:tab w:val="right" w:pos="462"/>
                <w:tab w:val="right" w:pos="1039"/>
              </w:tabs>
              <w:spacing w:before="0"/>
              <w:jc w:val="right"/>
            </w:pPr>
            <w:r>
              <w:tab/>
            </w:r>
            <w:r w:rsidR="0001051E">
              <w:t>1</w:t>
            </w:r>
            <w:r w:rsidR="0001051E">
              <w:tab/>
              <w:t>(1.7)</w:t>
            </w:r>
          </w:p>
        </w:tc>
        <w:tc>
          <w:tcPr>
            <w:tcW w:w="696" w:type="pct"/>
          </w:tcPr>
          <w:p w:rsidR="0001051E" w:rsidRPr="00700993" w:rsidRDefault="00446AF6" w:rsidP="00EC37B9">
            <w:pPr>
              <w:pStyle w:val="Tabletext"/>
              <w:tabs>
                <w:tab w:val="right" w:pos="483"/>
                <w:tab w:val="right" w:pos="1049"/>
              </w:tabs>
              <w:spacing w:before="0"/>
              <w:jc w:val="right"/>
            </w:pPr>
            <w:r>
              <w:tab/>
            </w:r>
            <w:r w:rsidR="0001051E">
              <w:t>1</w:t>
            </w:r>
            <w:r w:rsidR="0001051E">
              <w:tab/>
              <w:t>(1.2)</w:t>
            </w:r>
          </w:p>
        </w:tc>
      </w:tr>
      <w:tr w:rsidR="0001051E" w:rsidRPr="00862AF9">
        <w:tc>
          <w:tcPr>
            <w:tcW w:w="817" w:type="pct"/>
          </w:tcPr>
          <w:p w:rsidR="0001051E" w:rsidRPr="001B42BF" w:rsidRDefault="0001051E" w:rsidP="00EC37B9">
            <w:pPr>
              <w:pStyle w:val="Tabletext"/>
              <w:spacing w:before="20"/>
            </w:pPr>
            <w:r>
              <w:t>Primary industry</w:t>
            </w:r>
          </w:p>
        </w:tc>
        <w:tc>
          <w:tcPr>
            <w:tcW w:w="695" w:type="pct"/>
          </w:tcPr>
          <w:p w:rsidR="0001051E" w:rsidRPr="001B42BF" w:rsidRDefault="0001051E" w:rsidP="00EC37B9">
            <w:pPr>
              <w:pStyle w:val="Tabletext"/>
              <w:tabs>
                <w:tab w:val="right" w:pos="349"/>
                <w:tab w:val="right" w:pos="939"/>
              </w:tabs>
              <w:spacing w:before="0"/>
              <w:jc w:val="right"/>
            </w:pPr>
            <w:r>
              <w:tab/>
              <w:t>10</w:t>
            </w:r>
            <w:r>
              <w:tab/>
            </w:r>
            <w:r w:rsidR="002822DE">
              <w:t xml:space="preserve">   </w:t>
            </w:r>
            <w:r>
              <w:t>(9.1)</w:t>
            </w:r>
          </w:p>
        </w:tc>
        <w:tc>
          <w:tcPr>
            <w:tcW w:w="696" w:type="pct"/>
          </w:tcPr>
          <w:p w:rsidR="0001051E" w:rsidRPr="001B42BF" w:rsidRDefault="00446AF6" w:rsidP="00EC37B9">
            <w:pPr>
              <w:pStyle w:val="Tabletext"/>
              <w:tabs>
                <w:tab w:val="right" w:pos="405"/>
                <w:tab w:val="right" w:pos="972"/>
              </w:tabs>
              <w:spacing w:before="0"/>
              <w:jc w:val="right"/>
            </w:pPr>
            <w:r>
              <w:tab/>
            </w:r>
            <w:r w:rsidR="0001051E">
              <w:t>25</w:t>
            </w:r>
            <w:r w:rsidR="0001051E">
              <w:tab/>
              <w:t>(9.5)</w:t>
            </w:r>
          </w:p>
        </w:tc>
        <w:tc>
          <w:tcPr>
            <w:tcW w:w="699" w:type="pct"/>
          </w:tcPr>
          <w:p w:rsidR="0001051E" w:rsidRPr="00370096" w:rsidRDefault="00446AF6" w:rsidP="00EC37B9">
            <w:pPr>
              <w:pStyle w:val="Tabletext"/>
              <w:tabs>
                <w:tab w:val="right" w:pos="437"/>
                <w:tab w:val="right" w:pos="1004"/>
              </w:tabs>
              <w:spacing w:before="0"/>
              <w:jc w:val="right"/>
            </w:pPr>
            <w:r>
              <w:tab/>
            </w:r>
            <w:r w:rsidR="0001051E">
              <w:t>35</w:t>
            </w:r>
            <w:r w:rsidR="0001051E">
              <w:tab/>
              <w:t>(9.4)</w:t>
            </w:r>
          </w:p>
        </w:tc>
        <w:tc>
          <w:tcPr>
            <w:tcW w:w="699" w:type="pct"/>
          </w:tcPr>
          <w:p w:rsidR="0001051E" w:rsidRPr="00515E4B" w:rsidRDefault="00446AF6" w:rsidP="00EC37B9">
            <w:pPr>
              <w:pStyle w:val="Tabletext"/>
              <w:tabs>
                <w:tab w:val="right" w:pos="450"/>
                <w:tab w:val="right" w:pos="1028"/>
              </w:tabs>
              <w:spacing w:before="0"/>
              <w:jc w:val="right"/>
            </w:pPr>
            <w:r>
              <w:tab/>
            </w:r>
            <w:r w:rsidR="0001051E">
              <w:t>3</w:t>
            </w:r>
            <w:r w:rsidR="0001051E">
              <w:tab/>
              <w:t>(11.5)</w:t>
            </w:r>
          </w:p>
        </w:tc>
        <w:tc>
          <w:tcPr>
            <w:tcW w:w="698" w:type="pct"/>
          </w:tcPr>
          <w:p w:rsidR="0001051E" w:rsidRPr="00515E4B" w:rsidRDefault="00446AF6" w:rsidP="00EC37B9">
            <w:pPr>
              <w:pStyle w:val="Tabletext"/>
              <w:tabs>
                <w:tab w:val="right" w:pos="462"/>
                <w:tab w:val="right" w:pos="1039"/>
              </w:tabs>
              <w:spacing w:before="0"/>
              <w:jc w:val="right"/>
            </w:pPr>
            <w:r>
              <w:tab/>
            </w:r>
            <w:r w:rsidR="0001051E">
              <w:t>5</w:t>
            </w:r>
            <w:r w:rsidR="0001051E">
              <w:tab/>
              <w:t>(8.6)</w:t>
            </w:r>
          </w:p>
        </w:tc>
        <w:tc>
          <w:tcPr>
            <w:tcW w:w="696" w:type="pct"/>
          </w:tcPr>
          <w:p w:rsidR="0001051E" w:rsidRPr="00700993" w:rsidRDefault="00446AF6" w:rsidP="00EC37B9">
            <w:pPr>
              <w:pStyle w:val="Tabletext"/>
              <w:tabs>
                <w:tab w:val="right" w:pos="483"/>
                <w:tab w:val="right" w:pos="1049"/>
              </w:tabs>
              <w:spacing w:before="0"/>
              <w:jc w:val="right"/>
            </w:pPr>
            <w:r>
              <w:tab/>
            </w:r>
            <w:r w:rsidR="0001051E">
              <w:t>8</w:t>
            </w:r>
            <w:r w:rsidR="0001051E">
              <w:tab/>
              <w:t>(9.5)</w:t>
            </w:r>
          </w:p>
        </w:tc>
      </w:tr>
      <w:tr w:rsidR="0001051E" w:rsidRPr="00862AF9">
        <w:tc>
          <w:tcPr>
            <w:tcW w:w="817" w:type="pct"/>
          </w:tcPr>
          <w:p w:rsidR="0001051E" w:rsidRPr="001B42BF" w:rsidRDefault="0001051E" w:rsidP="00EC37B9">
            <w:pPr>
              <w:pStyle w:val="Tabletext"/>
              <w:spacing w:before="20"/>
            </w:pPr>
            <w:r>
              <w:t>Process manufacturing</w:t>
            </w:r>
          </w:p>
        </w:tc>
        <w:tc>
          <w:tcPr>
            <w:tcW w:w="695" w:type="pct"/>
          </w:tcPr>
          <w:p w:rsidR="0001051E" w:rsidRPr="001B42BF" w:rsidRDefault="0001051E" w:rsidP="00EC37B9">
            <w:pPr>
              <w:pStyle w:val="Tabletext"/>
              <w:tabs>
                <w:tab w:val="right" w:pos="349"/>
                <w:tab w:val="right" w:pos="939"/>
              </w:tabs>
              <w:spacing w:before="0"/>
              <w:jc w:val="right"/>
            </w:pPr>
            <w:r>
              <w:tab/>
              <w:t>1</w:t>
            </w:r>
            <w:r>
              <w:tab/>
            </w:r>
            <w:r w:rsidR="002822DE">
              <w:t xml:space="preserve">   </w:t>
            </w:r>
            <w:r>
              <w:t>(0.9)</w:t>
            </w:r>
          </w:p>
        </w:tc>
        <w:tc>
          <w:tcPr>
            <w:tcW w:w="696" w:type="pct"/>
          </w:tcPr>
          <w:p w:rsidR="0001051E" w:rsidRPr="001B42BF" w:rsidRDefault="00446AF6" w:rsidP="00EC37B9">
            <w:pPr>
              <w:pStyle w:val="Tabletext"/>
              <w:tabs>
                <w:tab w:val="right" w:pos="405"/>
                <w:tab w:val="right" w:pos="972"/>
              </w:tabs>
              <w:spacing w:before="0"/>
              <w:jc w:val="right"/>
            </w:pPr>
            <w:r>
              <w:tab/>
            </w:r>
            <w:r w:rsidR="0001051E">
              <w:t>3</w:t>
            </w:r>
            <w:r w:rsidR="0001051E">
              <w:tab/>
            </w:r>
            <w:r>
              <w:t>(</w:t>
            </w:r>
            <w:r w:rsidR="0001051E">
              <w:t>1.1)</w:t>
            </w:r>
          </w:p>
        </w:tc>
        <w:tc>
          <w:tcPr>
            <w:tcW w:w="699" w:type="pct"/>
          </w:tcPr>
          <w:p w:rsidR="0001051E" w:rsidRPr="00370096" w:rsidRDefault="00446AF6" w:rsidP="00EC37B9">
            <w:pPr>
              <w:pStyle w:val="Tabletext"/>
              <w:tabs>
                <w:tab w:val="right" w:pos="437"/>
                <w:tab w:val="right" w:pos="1004"/>
              </w:tabs>
              <w:spacing w:before="0"/>
              <w:jc w:val="right"/>
            </w:pPr>
            <w:r>
              <w:tab/>
            </w:r>
            <w:r w:rsidR="0001051E">
              <w:t>4</w:t>
            </w:r>
            <w:r w:rsidR="0001051E">
              <w:tab/>
              <w:t>(1.1)</w:t>
            </w:r>
          </w:p>
        </w:tc>
        <w:tc>
          <w:tcPr>
            <w:tcW w:w="699" w:type="pct"/>
          </w:tcPr>
          <w:p w:rsidR="0001051E" w:rsidRPr="00515E4B" w:rsidRDefault="00446AF6" w:rsidP="00EC37B9">
            <w:pPr>
              <w:pStyle w:val="Tabletext"/>
              <w:tabs>
                <w:tab w:val="right" w:pos="450"/>
                <w:tab w:val="right" w:pos="1028"/>
              </w:tabs>
              <w:spacing w:before="0"/>
              <w:jc w:val="right"/>
            </w:pPr>
            <w:r>
              <w:tab/>
            </w:r>
            <w:r w:rsidR="0001051E">
              <w:t>-</w:t>
            </w:r>
          </w:p>
        </w:tc>
        <w:tc>
          <w:tcPr>
            <w:tcW w:w="698" w:type="pct"/>
          </w:tcPr>
          <w:p w:rsidR="0001051E" w:rsidRPr="00515E4B" w:rsidRDefault="00446AF6" w:rsidP="00EC37B9">
            <w:pPr>
              <w:pStyle w:val="Tabletext"/>
              <w:tabs>
                <w:tab w:val="right" w:pos="462"/>
                <w:tab w:val="right" w:pos="1039"/>
              </w:tabs>
              <w:spacing w:before="0"/>
              <w:jc w:val="right"/>
            </w:pPr>
            <w:r>
              <w:tab/>
            </w:r>
            <w:r w:rsidR="0001051E">
              <w:t>1</w:t>
            </w:r>
            <w:r w:rsidR="0001051E">
              <w:tab/>
              <w:t>(1.7)</w:t>
            </w:r>
          </w:p>
        </w:tc>
        <w:tc>
          <w:tcPr>
            <w:tcW w:w="696" w:type="pct"/>
          </w:tcPr>
          <w:p w:rsidR="0001051E" w:rsidRPr="00700993" w:rsidRDefault="00446AF6" w:rsidP="00EC37B9">
            <w:pPr>
              <w:pStyle w:val="Tabletext"/>
              <w:tabs>
                <w:tab w:val="right" w:pos="483"/>
                <w:tab w:val="right" w:pos="1049"/>
              </w:tabs>
              <w:spacing w:before="0"/>
              <w:jc w:val="right"/>
            </w:pPr>
            <w:r>
              <w:tab/>
            </w:r>
            <w:r w:rsidR="0001051E">
              <w:t>1</w:t>
            </w:r>
            <w:r w:rsidR="0001051E">
              <w:tab/>
              <w:t>(1.2)</w:t>
            </w:r>
          </w:p>
        </w:tc>
      </w:tr>
      <w:tr w:rsidR="0001051E" w:rsidRPr="00862AF9">
        <w:tc>
          <w:tcPr>
            <w:tcW w:w="817" w:type="pct"/>
          </w:tcPr>
          <w:p w:rsidR="0001051E" w:rsidRPr="001B42BF" w:rsidRDefault="0001051E" w:rsidP="00EC37B9">
            <w:pPr>
              <w:pStyle w:val="Tabletext"/>
              <w:spacing w:before="20"/>
            </w:pPr>
            <w:r>
              <w:t>Public administration</w:t>
            </w:r>
          </w:p>
        </w:tc>
        <w:tc>
          <w:tcPr>
            <w:tcW w:w="695" w:type="pct"/>
          </w:tcPr>
          <w:p w:rsidR="0001051E" w:rsidRPr="001B42BF" w:rsidRDefault="0001051E" w:rsidP="00EC37B9">
            <w:pPr>
              <w:pStyle w:val="Tabletext"/>
              <w:tabs>
                <w:tab w:val="right" w:pos="349"/>
                <w:tab w:val="right" w:pos="939"/>
              </w:tabs>
              <w:spacing w:before="0"/>
              <w:jc w:val="right"/>
            </w:pPr>
            <w:r>
              <w:tab/>
              <w:t>-</w:t>
            </w:r>
          </w:p>
        </w:tc>
        <w:tc>
          <w:tcPr>
            <w:tcW w:w="696" w:type="pct"/>
          </w:tcPr>
          <w:p w:rsidR="0001051E" w:rsidRPr="001B42BF" w:rsidRDefault="00446AF6" w:rsidP="00EC37B9">
            <w:pPr>
              <w:pStyle w:val="Tabletext"/>
              <w:tabs>
                <w:tab w:val="right" w:pos="405"/>
                <w:tab w:val="right" w:pos="972"/>
              </w:tabs>
              <w:spacing w:before="0"/>
              <w:jc w:val="right"/>
            </w:pPr>
            <w:r>
              <w:tab/>
            </w:r>
            <w:r w:rsidR="0001051E">
              <w:t>2</w:t>
            </w:r>
            <w:r w:rsidR="0001051E">
              <w:tab/>
              <w:t>(0.8)</w:t>
            </w:r>
          </w:p>
        </w:tc>
        <w:tc>
          <w:tcPr>
            <w:tcW w:w="699" w:type="pct"/>
          </w:tcPr>
          <w:p w:rsidR="0001051E" w:rsidRPr="00370096" w:rsidRDefault="00446AF6" w:rsidP="00EC37B9">
            <w:pPr>
              <w:pStyle w:val="Tabletext"/>
              <w:tabs>
                <w:tab w:val="right" w:pos="437"/>
                <w:tab w:val="right" w:pos="1004"/>
              </w:tabs>
              <w:spacing w:before="0"/>
              <w:jc w:val="right"/>
            </w:pPr>
            <w:r>
              <w:tab/>
            </w:r>
            <w:r w:rsidR="0001051E">
              <w:t>2</w:t>
            </w:r>
            <w:r w:rsidR="0001051E">
              <w:tab/>
              <w:t>(0.5)</w:t>
            </w:r>
          </w:p>
        </w:tc>
        <w:tc>
          <w:tcPr>
            <w:tcW w:w="699" w:type="pct"/>
          </w:tcPr>
          <w:p w:rsidR="0001051E" w:rsidRPr="00515E4B" w:rsidRDefault="00446AF6" w:rsidP="00EC37B9">
            <w:pPr>
              <w:pStyle w:val="Tabletext"/>
              <w:tabs>
                <w:tab w:val="right" w:pos="450"/>
                <w:tab w:val="right" w:pos="1028"/>
              </w:tabs>
              <w:spacing w:before="0"/>
              <w:jc w:val="right"/>
            </w:pPr>
            <w:r>
              <w:tab/>
            </w:r>
            <w:r w:rsidR="0001051E">
              <w:t>-</w:t>
            </w:r>
          </w:p>
        </w:tc>
        <w:tc>
          <w:tcPr>
            <w:tcW w:w="698" w:type="pct"/>
          </w:tcPr>
          <w:p w:rsidR="0001051E" w:rsidRPr="00515E4B" w:rsidRDefault="00446AF6" w:rsidP="00EC37B9">
            <w:pPr>
              <w:pStyle w:val="Tabletext"/>
              <w:tabs>
                <w:tab w:val="right" w:pos="462"/>
                <w:tab w:val="right" w:pos="1039"/>
              </w:tabs>
              <w:spacing w:before="0"/>
              <w:jc w:val="right"/>
            </w:pPr>
            <w:r>
              <w:tab/>
            </w:r>
            <w:r w:rsidR="0001051E">
              <w:t>-</w:t>
            </w:r>
          </w:p>
        </w:tc>
        <w:tc>
          <w:tcPr>
            <w:tcW w:w="696" w:type="pct"/>
          </w:tcPr>
          <w:p w:rsidR="0001051E" w:rsidRPr="00700993" w:rsidRDefault="00446AF6" w:rsidP="00EC37B9">
            <w:pPr>
              <w:pStyle w:val="Tabletext"/>
              <w:tabs>
                <w:tab w:val="right" w:pos="483"/>
                <w:tab w:val="right" w:pos="1049"/>
              </w:tabs>
              <w:spacing w:before="0"/>
              <w:jc w:val="right"/>
            </w:pPr>
            <w:r>
              <w:tab/>
            </w:r>
            <w:r w:rsidR="0001051E">
              <w:t>-</w:t>
            </w:r>
          </w:p>
        </w:tc>
      </w:tr>
      <w:tr w:rsidR="0001051E" w:rsidRPr="00862AF9">
        <w:tc>
          <w:tcPr>
            <w:tcW w:w="817" w:type="pct"/>
          </w:tcPr>
          <w:p w:rsidR="0001051E" w:rsidRPr="001B42BF" w:rsidRDefault="0001051E" w:rsidP="00EC37B9">
            <w:pPr>
              <w:pStyle w:val="Tabletext"/>
              <w:spacing w:before="20"/>
            </w:pPr>
            <w:r>
              <w:t>Transport and storage</w:t>
            </w:r>
          </w:p>
        </w:tc>
        <w:tc>
          <w:tcPr>
            <w:tcW w:w="695" w:type="pct"/>
          </w:tcPr>
          <w:p w:rsidR="0001051E" w:rsidRPr="001B42BF" w:rsidRDefault="0001051E" w:rsidP="00EC37B9">
            <w:pPr>
              <w:pStyle w:val="Tabletext"/>
              <w:tabs>
                <w:tab w:val="right" w:pos="349"/>
                <w:tab w:val="right" w:pos="939"/>
              </w:tabs>
              <w:spacing w:before="0"/>
              <w:jc w:val="right"/>
            </w:pPr>
            <w:r>
              <w:tab/>
              <w:t>-</w:t>
            </w:r>
          </w:p>
        </w:tc>
        <w:tc>
          <w:tcPr>
            <w:tcW w:w="696" w:type="pct"/>
          </w:tcPr>
          <w:p w:rsidR="0001051E" w:rsidRPr="001B42BF" w:rsidRDefault="00446AF6" w:rsidP="00EC37B9">
            <w:pPr>
              <w:pStyle w:val="Tabletext"/>
              <w:tabs>
                <w:tab w:val="right" w:pos="405"/>
                <w:tab w:val="right" w:pos="972"/>
              </w:tabs>
              <w:spacing w:before="0"/>
              <w:jc w:val="right"/>
            </w:pPr>
            <w:r>
              <w:tab/>
            </w:r>
            <w:r w:rsidR="0001051E">
              <w:t>10</w:t>
            </w:r>
            <w:r w:rsidR="0001051E">
              <w:tab/>
              <w:t>3.8)</w:t>
            </w:r>
          </w:p>
        </w:tc>
        <w:tc>
          <w:tcPr>
            <w:tcW w:w="699" w:type="pct"/>
          </w:tcPr>
          <w:p w:rsidR="0001051E" w:rsidRPr="00370096" w:rsidRDefault="00446AF6" w:rsidP="00EC37B9">
            <w:pPr>
              <w:pStyle w:val="Tabletext"/>
              <w:tabs>
                <w:tab w:val="right" w:pos="437"/>
                <w:tab w:val="right" w:pos="1004"/>
              </w:tabs>
              <w:spacing w:before="0"/>
              <w:jc w:val="right"/>
            </w:pPr>
            <w:r>
              <w:tab/>
            </w:r>
            <w:r w:rsidR="0001051E">
              <w:t>10</w:t>
            </w:r>
            <w:r w:rsidR="0001051E">
              <w:tab/>
              <w:t>(2.7)</w:t>
            </w:r>
          </w:p>
        </w:tc>
        <w:tc>
          <w:tcPr>
            <w:tcW w:w="699" w:type="pct"/>
          </w:tcPr>
          <w:p w:rsidR="0001051E" w:rsidRPr="00515E4B" w:rsidRDefault="00446AF6" w:rsidP="00EC37B9">
            <w:pPr>
              <w:pStyle w:val="Tabletext"/>
              <w:tabs>
                <w:tab w:val="right" w:pos="450"/>
                <w:tab w:val="right" w:pos="1028"/>
              </w:tabs>
              <w:spacing w:before="0"/>
              <w:jc w:val="right"/>
            </w:pPr>
            <w:r>
              <w:tab/>
            </w:r>
            <w:r w:rsidR="0001051E">
              <w:t>-</w:t>
            </w:r>
          </w:p>
        </w:tc>
        <w:tc>
          <w:tcPr>
            <w:tcW w:w="698" w:type="pct"/>
          </w:tcPr>
          <w:p w:rsidR="0001051E" w:rsidRPr="00515E4B" w:rsidRDefault="00446AF6" w:rsidP="00EC37B9">
            <w:pPr>
              <w:pStyle w:val="Tabletext"/>
              <w:tabs>
                <w:tab w:val="right" w:pos="462"/>
                <w:tab w:val="right" w:pos="1039"/>
              </w:tabs>
              <w:spacing w:before="0"/>
              <w:jc w:val="right"/>
            </w:pPr>
            <w:r>
              <w:tab/>
            </w:r>
            <w:r w:rsidR="0001051E">
              <w:t>3</w:t>
            </w:r>
            <w:r w:rsidR="0001051E">
              <w:tab/>
              <w:t>(5.2)</w:t>
            </w:r>
          </w:p>
        </w:tc>
        <w:tc>
          <w:tcPr>
            <w:tcW w:w="696" w:type="pct"/>
          </w:tcPr>
          <w:p w:rsidR="0001051E" w:rsidRPr="00700993" w:rsidRDefault="00446AF6" w:rsidP="00EC37B9">
            <w:pPr>
              <w:pStyle w:val="Tabletext"/>
              <w:tabs>
                <w:tab w:val="right" w:pos="483"/>
                <w:tab w:val="right" w:pos="1049"/>
              </w:tabs>
              <w:spacing w:before="0"/>
              <w:jc w:val="right"/>
            </w:pPr>
            <w:r>
              <w:tab/>
            </w:r>
            <w:r w:rsidR="0001051E">
              <w:t>3</w:t>
            </w:r>
            <w:r w:rsidR="0001051E">
              <w:tab/>
              <w:t>(3.6)</w:t>
            </w:r>
          </w:p>
        </w:tc>
      </w:tr>
      <w:tr w:rsidR="0001051E" w:rsidRPr="00862AF9">
        <w:tc>
          <w:tcPr>
            <w:tcW w:w="817" w:type="pct"/>
          </w:tcPr>
          <w:p w:rsidR="0001051E" w:rsidRPr="001B42BF" w:rsidRDefault="0001051E" w:rsidP="00EC37B9">
            <w:pPr>
              <w:pStyle w:val="Tabletext"/>
              <w:spacing w:before="20"/>
            </w:pPr>
            <w:r>
              <w:t xml:space="preserve">Utilities, </w:t>
            </w:r>
            <w:proofErr w:type="spellStart"/>
            <w:r>
              <w:t>electrotechnology</w:t>
            </w:r>
            <w:proofErr w:type="spellEnd"/>
            <w:r>
              <w:t xml:space="preserve"> and printing</w:t>
            </w:r>
          </w:p>
        </w:tc>
        <w:tc>
          <w:tcPr>
            <w:tcW w:w="695" w:type="pct"/>
          </w:tcPr>
          <w:p w:rsidR="0001051E" w:rsidRPr="001B42BF" w:rsidRDefault="0001051E" w:rsidP="00EC37B9">
            <w:pPr>
              <w:pStyle w:val="Tabletext"/>
              <w:tabs>
                <w:tab w:val="right" w:pos="349"/>
                <w:tab w:val="right" w:pos="939"/>
              </w:tabs>
              <w:spacing w:before="0"/>
              <w:jc w:val="right"/>
            </w:pPr>
            <w:r>
              <w:tab/>
              <w:t>3</w:t>
            </w:r>
            <w:r>
              <w:tab/>
            </w:r>
            <w:r w:rsidR="002822DE">
              <w:t xml:space="preserve">    </w:t>
            </w:r>
            <w:r>
              <w:t>(2.7)</w:t>
            </w:r>
          </w:p>
        </w:tc>
        <w:tc>
          <w:tcPr>
            <w:tcW w:w="696" w:type="pct"/>
          </w:tcPr>
          <w:p w:rsidR="0001051E" w:rsidRPr="001B42BF" w:rsidRDefault="00446AF6" w:rsidP="00EC37B9">
            <w:pPr>
              <w:pStyle w:val="Tabletext"/>
              <w:tabs>
                <w:tab w:val="right" w:pos="405"/>
                <w:tab w:val="right" w:pos="972"/>
              </w:tabs>
              <w:spacing w:before="0"/>
              <w:jc w:val="right"/>
            </w:pPr>
            <w:r>
              <w:tab/>
            </w:r>
            <w:r w:rsidR="0001051E">
              <w:t>7</w:t>
            </w:r>
            <w:r w:rsidR="0001051E">
              <w:tab/>
              <w:t>(2.7)</w:t>
            </w:r>
          </w:p>
        </w:tc>
        <w:tc>
          <w:tcPr>
            <w:tcW w:w="699" w:type="pct"/>
          </w:tcPr>
          <w:p w:rsidR="0001051E" w:rsidRPr="00370096" w:rsidRDefault="00446AF6" w:rsidP="00EC37B9">
            <w:pPr>
              <w:pStyle w:val="Tabletext"/>
              <w:tabs>
                <w:tab w:val="right" w:pos="437"/>
                <w:tab w:val="right" w:pos="1004"/>
              </w:tabs>
              <w:spacing w:before="0"/>
              <w:jc w:val="right"/>
            </w:pPr>
            <w:r>
              <w:tab/>
            </w:r>
            <w:r w:rsidR="0001051E">
              <w:t>10</w:t>
            </w:r>
            <w:r w:rsidR="0001051E">
              <w:tab/>
              <w:t>(2.7)</w:t>
            </w:r>
          </w:p>
        </w:tc>
        <w:tc>
          <w:tcPr>
            <w:tcW w:w="699" w:type="pct"/>
          </w:tcPr>
          <w:p w:rsidR="0001051E" w:rsidRPr="00515E4B" w:rsidRDefault="00446AF6" w:rsidP="00EC37B9">
            <w:pPr>
              <w:pStyle w:val="Tabletext"/>
              <w:tabs>
                <w:tab w:val="right" w:pos="450"/>
                <w:tab w:val="right" w:pos="1028"/>
              </w:tabs>
              <w:spacing w:before="0"/>
              <w:jc w:val="right"/>
            </w:pPr>
            <w:r>
              <w:tab/>
            </w:r>
            <w:r w:rsidR="0001051E">
              <w:t>-</w:t>
            </w:r>
          </w:p>
        </w:tc>
        <w:tc>
          <w:tcPr>
            <w:tcW w:w="698" w:type="pct"/>
          </w:tcPr>
          <w:p w:rsidR="0001051E" w:rsidRPr="00515E4B" w:rsidRDefault="00446AF6" w:rsidP="00EC37B9">
            <w:pPr>
              <w:pStyle w:val="Tabletext"/>
              <w:tabs>
                <w:tab w:val="right" w:pos="462"/>
                <w:tab w:val="right" w:pos="1039"/>
              </w:tabs>
              <w:spacing w:before="0"/>
              <w:jc w:val="right"/>
            </w:pPr>
            <w:r>
              <w:tab/>
            </w:r>
            <w:r w:rsidR="0001051E">
              <w:t>4</w:t>
            </w:r>
            <w:r w:rsidR="0001051E">
              <w:tab/>
              <w:t>(6.9)</w:t>
            </w:r>
          </w:p>
        </w:tc>
        <w:tc>
          <w:tcPr>
            <w:tcW w:w="696" w:type="pct"/>
          </w:tcPr>
          <w:p w:rsidR="0001051E" w:rsidRPr="00700993" w:rsidRDefault="00446AF6" w:rsidP="00EC37B9">
            <w:pPr>
              <w:pStyle w:val="Tabletext"/>
              <w:tabs>
                <w:tab w:val="right" w:pos="483"/>
                <w:tab w:val="right" w:pos="1049"/>
              </w:tabs>
              <w:spacing w:before="0"/>
              <w:jc w:val="right"/>
            </w:pPr>
            <w:r>
              <w:tab/>
            </w:r>
            <w:r w:rsidR="0001051E">
              <w:t>4</w:t>
            </w:r>
            <w:r w:rsidR="0001051E">
              <w:tab/>
              <w:t>(4.8)</w:t>
            </w:r>
          </w:p>
        </w:tc>
      </w:tr>
      <w:tr w:rsidR="0001051E" w:rsidRPr="00862AF9">
        <w:tc>
          <w:tcPr>
            <w:tcW w:w="817" w:type="pct"/>
          </w:tcPr>
          <w:p w:rsidR="0001051E" w:rsidRPr="001B42BF" w:rsidRDefault="0001051E" w:rsidP="00EC37B9">
            <w:pPr>
              <w:pStyle w:val="Tabletext"/>
              <w:spacing w:before="20"/>
            </w:pPr>
            <w:r>
              <w:t>Wholesale, retail and personal services</w:t>
            </w:r>
          </w:p>
        </w:tc>
        <w:tc>
          <w:tcPr>
            <w:tcW w:w="695" w:type="pct"/>
          </w:tcPr>
          <w:p w:rsidR="0001051E" w:rsidRPr="001B42BF" w:rsidRDefault="0001051E" w:rsidP="00EC37B9">
            <w:pPr>
              <w:pStyle w:val="Tabletext"/>
              <w:tabs>
                <w:tab w:val="right" w:pos="349"/>
                <w:tab w:val="right" w:pos="939"/>
              </w:tabs>
              <w:spacing w:before="0"/>
              <w:jc w:val="right"/>
            </w:pPr>
            <w:r>
              <w:tab/>
              <w:t>8</w:t>
            </w:r>
            <w:r>
              <w:tab/>
            </w:r>
            <w:r w:rsidR="002822DE">
              <w:t xml:space="preserve">    </w:t>
            </w:r>
            <w:r>
              <w:t>(7.3)</w:t>
            </w:r>
          </w:p>
        </w:tc>
        <w:tc>
          <w:tcPr>
            <w:tcW w:w="696" w:type="pct"/>
          </w:tcPr>
          <w:p w:rsidR="0001051E" w:rsidRPr="001B42BF" w:rsidRDefault="00446AF6" w:rsidP="00EC37B9">
            <w:pPr>
              <w:pStyle w:val="Tabletext"/>
              <w:tabs>
                <w:tab w:val="right" w:pos="405"/>
                <w:tab w:val="right" w:pos="972"/>
              </w:tabs>
              <w:spacing w:before="0"/>
              <w:jc w:val="right"/>
            </w:pPr>
            <w:r>
              <w:tab/>
            </w:r>
            <w:r w:rsidR="0001051E">
              <w:t>30</w:t>
            </w:r>
            <w:r w:rsidR="0001051E">
              <w:tab/>
              <w:t>(11.5)</w:t>
            </w:r>
          </w:p>
        </w:tc>
        <w:tc>
          <w:tcPr>
            <w:tcW w:w="699" w:type="pct"/>
          </w:tcPr>
          <w:p w:rsidR="0001051E" w:rsidRPr="00370096" w:rsidRDefault="00446AF6" w:rsidP="00EC37B9">
            <w:pPr>
              <w:pStyle w:val="Tabletext"/>
              <w:tabs>
                <w:tab w:val="right" w:pos="437"/>
                <w:tab w:val="right" w:pos="1004"/>
              </w:tabs>
              <w:spacing w:before="0"/>
              <w:jc w:val="right"/>
            </w:pPr>
            <w:r>
              <w:tab/>
            </w:r>
            <w:r w:rsidR="0001051E">
              <w:t>38</w:t>
            </w:r>
            <w:r w:rsidR="0001051E">
              <w:tab/>
              <w:t>(10.2)</w:t>
            </w:r>
          </w:p>
        </w:tc>
        <w:tc>
          <w:tcPr>
            <w:tcW w:w="699" w:type="pct"/>
          </w:tcPr>
          <w:p w:rsidR="0001051E" w:rsidRPr="00515E4B" w:rsidRDefault="00446AF6" w:rsidP="00EC37B9">
            <w:pPr>
              <w:pStyle w:val="Tabletext"/>
              <w:tabs>
                <w:tab w:val="right" w:pos="450"/>
                <w:tab w:val="right" w:pos="1028"/>
              </w:tabs>
              <w:spacing w:before="0"/>
              <w:jc w:val="right"/>
            </w:pPr>
            <w:r>
              <w:tab/>
            </w:r>
            <w:r w:rsidR="0001051E">
              <w:t>1</w:t>
            </w:r>
            <w:r w:rsidR="0001051E">
              <w:tab/>
              <w:t>(3.8)</w:t>
            </w:r>
          </w:p>
        </w:tc>
        <w:tc>
          <w:tcPr>
            <w:tcW w:w="698" w:type="pct"/>
          </w:tcPr>
          <w:p w:rsidR="0001051E" w:rsidRPr="00515E4B" w:rsidRDefault="00446AF6" w:rsidP="00EC37B9">
            <w:pPr>
              <w:pStyle w:val="Tabletext"/>
              <w:tabs>
                <w:tab w:val="right" w:pos="462"/>
                <w:tab w:val="right" w:pos="1039"/>
              </w:tabs>
              <w:spacing w:before="0"/>
              <w:jc w:val="right"/>
            </w:pPr>
            <w:r>
              <w:tab/>
            </w:r>
            <w:r w:rsidR="0001051E">
              <w:t>4</w:t>
            </w:r>
            <w:r w:rsidR="0001051E">
              <w:tab/>
              <w:t>(6.9)</w:t>
            </w:r>
          </w:p>
        </w:tc>
        <w:tc>
          <w:tcPr>
            <w:tcW w:w="696" w:type="pct"/>
          </w:tcPr>
          <w:p w:rsidR="0001051E" w:rsidRPr="00700993" w:rsidRDefault="00446AF6" w:rsidP="00EC37B9">
            <w:pPr>
              <w:pStyle w:val="Tabletext"/>
              <w:tabs>
                <w:tab w:val="right" w:pos="483"/>
                <w:tab w:val="right" w:pos="1049"/>
              </w:tabs>
              <w:spacing w:before="0"/>
              <w:jc w:val="right"/>
            </w:pPr>
            <w:r>
              <w:tab/>
            </w:r>
            <w:r w:rsidR="0001051E">
              <w:t>5</w:t>
            </w:r>
            <w:r w:rsidR="0001051E">
              <w:tab/>
              <w:t>(6.0)</w:t>
            </w:r>
          </w:p>
        </w:tc>
      </w:tr>
      <w:tr w:rsidR="0001051E" w:rsidRPr="00862AF9">
        <w:tc>
          <w:tcPr>
            <w:tcW w:w="817" w:type="pct"/>
            <w:tcBorders>
              <w:bottom w:val="single" w:sz="4" w:space="0" w:color="auto"/>
            </w:tcBorders>
          </w:tcPr>
          <w:p w:rsidR="0001051E" w:rsidRPr="001B42BF" w:rsidRDefault="0001051E" w:rsidP="00C365D6">
            <w:pPr>
              <w:pStyle w:val="Tabletext"/>
            </w:pPr>
            <w:r>
              <w:t>All</w:t>
            </w:r>
          </w:p>
        </w:tc>
        <w:tc>
          <w:tcPr>
            <w:tcW w:w="695" w:type="pct"/>
            <w:tcBorders>
              <w:bottom w:val="single" w:sz="4" w:space="0" w:color="auto"/>
            </w:tcBorders>
          </w:tcPr>
          <w:p w:rsidR="0001051E" w:rsidRPr="001B42BF" w:rsidRDefault="0001051E" w:rsidP="009A416D">
            <w:pPr>
              <w:pStyle w:val="Tabletext"/>
              <w:tabs>
                <w:tab w:val="right" w:pos="349"/>
                <w:tab w:val="right" w:pos="939"/>
              </w:tabs>
              <w:jc w:val="right"/>
            </w:pPr>
            <w:r>
              <w:tab/>
              <w:t>110</w:t>
            </w:r>
            <w:r>
              <w:tab/>
              <w:t>(100.0)</w:t>
            </w:r>
          </w:p>
        </w:tc>
        <w:tc>
          <w:tcPr>
            <w:tcW w:w="696" w:type="pct"/>
            <w:tcBorders>
              <w:bottom w:val="single" w:sz="4" w:space="0" w:color="auto"/>
            </w:tcBorders>
          </w:tcPr>
          <w:p w:rsidR="0001051E" w:rsidRPr="001B42BF" w:rsidRDefault="00446AF6" w:rsidP="00844D49">
            <w:pPr>
              <w:pStyle w:val="Tabletext"/>
              <w:tabs>
                <w:tab w:val="right" w:pos="405"/>
                <w:tab w:val="right" w:pos="972"/>
              </w:tabs>
              <w:jc w:val="right"/>
            </w:pPr>
            <w:r>
              <w:tab/>
            </w:r>
            <w:r w:rsidR="0001051E">
              <w:t>262</w:t>
            </w:r>
            <w:r w:rsidR="0001051E">
              <w:tab/>
              <w:t>(100.0)</w:t>
            </w:r>
          </w:p>
        </w:tc>
        <w:tc>
          <w:tcPr>
            <w:tcW w:w="699" w:type="pct"/>
            <w:tcBorders>
              <w:bottom w:val="single" w:sz="4" w:space="0" w:color="auto"/>
            </w:tcBorders>
          </w:tcPr>
          <w:p w:rsidR="0001051E" w:rsidRPr="00370096" w:rsidRDefault="00446AF6" w:rsidP="00844D49">
            <w:pPr>
              <w:pStyle w:val="Tabletext"/>
              <w:tabs>
                <w:tab w:val="right" w:pos="437"/>
                <w:tab w:val="right" w:pos="1004"/>
              </w:tabs>
              <w:jc w:val="right"/>
            </w:pPr>
            <w:r>
              <w:tab/>
            </w:r>
            <w:r w:rsidR="0001051E">
              <w:t>372</w:t>
            </w:r>
            <w:r w:rsidR="0001051E">
              <w:tab/>
              <w:t>(100.0)</w:t>
            </w:r>
          </w:p>
        </w:tc>
        <w:tc>
          <w:tcPr>
            <w:tcW w:w="699" w:type="pct"/>
            <w:tcBorders>
              <w:bottom w:val="single" w:sz="4" w:space="0" w:color="auto"/>
            </w:tcBorders>
          </w:tcPr>
          <w:p w:rsidR="0001051E" w:rsidRPr="00077392" w:rsidRDefault="00446AF6" w:rsidP="00844D49">
            <w:pPr>
              <w:pStyle w:val="Tabletext"/>
              <w:tabs>
                <w:tab w:val="right" w:pos="450"/>
                <w:tab w:val="right" w:pos="1028"/>
              </w:tabs>
              <w:jc w:val="right"/>
            </w:pPr>
            <w:r>
              <w:tab/>
            </w:r>
            <w:r w:rsidR="0001051E">
              <w:t>26</w:t>
            </w:r>
            <w:r w:rsidR="0001051E">
              <w:tab/>
              <w:t>(100.0)</w:t>
            </w:r>
          </w:p>
        </w:tc>
        <w:tc>
          <w:tcPr>
            <w:tcW w:w="698" w:type="pct"/>
            <w:tcBorders>
              <w:bottom w:val="single" w:sz="4" w:space="0" w:color="auto"/>
            </w:tcBorders>
          </w:tcPr>
          <w:p w:rsidR="0001051E" w:rsidRPr="00077392" w:rsidRDefault="00446AF6" w:rsidP="00844D49">
            <w:pPr>
              <w:pStyle w:val="Tabletext"/>
              <w:tabs>
                <w:tab w:val="right" w:pos="462"/>
                <w:tab w:val="right" w:pos="1039"/>
              </w:tabs>
              <w:jc w:val="right"/>
            </w:pPr>
            <w:r>
              <w:tab/>
            </w:r>
            <w:r w:rsidR="0001051E">
              <w:t>58</w:t>
            </w:r>
            <w:r w:rsidR="0001051E">
              <w:tab/>
              <w:t>(100.0)</w:t>
            </w:r>
          </w:p>
        </w:tc>
        <w:tc>
          <w:tcPr>
            <w:tcW w:w="696" w:type="pct"/>
            <w:tcBorders>
              <w:bottom w:val="single" w:sz="4" w:space="0" w:color="auto"/>
            </w:tcBorders>
          </w:tcPr>
          <w:p w:rsidR="0001051E" w:rsidRPr="00700993" w:rsidRDefault="00446AF6" w:rsidP="00844D49">
            <w:pPr>
              <w:pStyle w:val="Tabletext"/>
              <w:tabs>
                <w:tab w:val="right" w:pos="483"/>
                <w:tab w:val="right" w:pos="1049"/>
              </w:tabs>
              <w:jc w:val="right"/>
            </w:pPr>
            <w:r>
              <w:tab/>
            </w:r>
            <w:r w:rsidR="0001051E">
              <w:t>84</w:t>
            </w:r>
            <w:r w:rsidR="0001051E">
              <w:tab/>
              <w:t>(100.0)</w:t>
            </w:r>
          </w:p>
        </w:tc>
      </w:tr>
    </w:tbl>
    <w:p w:rsidR="0001051E" w:rsidRDefault="0001051E" w:rsidP="0001051E">
      <w:pPr>
        <w:pStyle w:val="Source"/>
      </w:pPr>
      <w:r w:rsidRPr="000538CC">
        <w:t>Note</w:t>
      </w:r>
      <w:r>
        <w:t>s</w:t>
      </w:r>
      <w:r w:rsidRPr="000538CC">
        <w:t xml:space="preserve">: </w:t>
      </w:r>
      <w:r w:rsidRPr="000538CC">
        <w:tab/>
      </w:r>
      <w:r>
        <w:t>Percentages have been rounded.</w:t>
      </w:r>
    </w:p>
    <w:p w:rsidR="0001051E" w:rsidRPr="000538CC" w:rsidRDefault="0001051E" w:rsidP="00EC37B9">
      <w:pPr>
        <w:pStyle w:val="Source"/>
        <w:spacing w:before="0"/>
      </w:pPr>
      <w:r>
        <w:tab/>
        <w:t xml:space="preserve">A dash (-) represents a true zero. </w:t>
      </w:r>
    </w:p>
    <w:p w:rsidR="00396C33" w:rsidRPr="006D0364" w:rsidRDefault="00396C33" w:rsidP="00EC37B9">
      <w:pPr>
        <w:pStyle w:val="tabletitle"/>
        <w:spacing w:before="240"/>
      </w:pPr>
      <w:bookmarkStart w:id="54" w:name="_Toc350259530"/>
      <w:r w:rsidRPr="006D0364">
        <w:t xml:space="preserve">Table </w:t>
      </w:r>
      <w:r w:rsidR="00E95598" w:rsidRPr="006D0364">
        <w:t>6</w:t>
      </w:r>
      <w:r w:rsidRPr="006D0364">
        <w:tab/>
        <w:t>Motives for doing the apprenticeship or traineeship</w:t>
      </w:r>
      <w:bookmarkEnd w:id="5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4"/>
        <w:gridCol w:w="1271"/>
        <w:gridCol w:w="1273"/>
        <w:gridCol w:w="1279"/>
        <w:gridCol w:w="1279"/>
        <w:gridCol w:w="1277"/>
        <w:gridCol w:w="1273"/>
      </w:tblGrid>
      <w:tr w:rsidR="00396C33" w:rsidRPr="001C32FA">
        <w:trPr>
          <w:trHeight w:val="190"/>
        </w:trPr>
        <w:tc>
          <w:tcPr>
            <w:tcW w:w="817" w:type="pct"/>
            <w:tcBorders>
              <w:top w:val="single" w:sz="4" w:space="0" w:color="auto"/>
            </w:tcBorders>
          </w:tcPr>
          <w:p w:rsidR="00396C33" w:rsidRPr="00E17D80" w:rsidRDefault="00396C33" w:rsidP="00DC6A77">
            <w:pPr>
              <w:pStyle w:val="Tablehead1"/>
            </w:pPr>
            <w:r>
              <w:t>Motives</w:t>
            </w:r>
          </w:p>
        </w:tc>
        <w:tc>
          <w:tcPr>
            <w:tcW w:w="2090" w:type="pct"/>
            <w:gridSpan w:val="3"/>
            <w:tcBorders>
              <w:top w:val="single" w:sz="4" w:space="0" w:color="auto"/>
            </w:tcBorders>
          </w:tcPr>
          <w:p w:rsidR="00396C33" w:rsidRPr="004D192B" w:rsidRDefault="000967E0" w:rsidP="00DC6A77">
            <w:pPr>
              <w:pStyle w:val="Tablehead1"/>
              <w:jc w:val="center"/>
              <w:rPr>
                <w:bCs/>
              </w:rPr>
            </w:pPr>
            <w:r>
              <w:rPr>
                <w:bCs/>
              </w:rPr>
              <w:t>Disability group (DG)</w:t>
            </w:r>
          </w:p>
        </w:tc>
        <w:tc>
          <w:tcPr>
            <w:tcW w:w="2093" w:type="pct"/>
            <w:gridSpan w:val="3"/>
            <w:tcBorders>
              <w:top w:val="single" w:sz="4" w:space="0" w:color="auto"/>
            </w:tcBorders>
          </w:tcPr>
          <w:p w:rsidR="00396C33" w:rsidRPr="001C32FA" w:rsidRDefault="00396C33" w:rsidP="00DC6A77">
            <w:pPr>
              <w:pStyle w:val="Tablehead1"/>
              <w:jc w:val="center"/>
              <w:rPr>
                <w:bCs/>
              </w:rPr>
            </w:pPr>
            <w:r>
              <w:rPr>
                <w:bCs/>
              </w:rPr>
              <w:t>Comparison group</w:t>
            </w:r>
            <w:r w:rsidR="000967E0">
              <w:rPr>
                <w:bCs/>
              </w:rPr>
              <w:t xml:space="preserve"> (CG)</w:t>
            </w:r>
          </w:p>
        </w:tc>
      </w:tr>
      <w:tr w:rsidR="00396C33" w:rsidRPr="001C32FA">
        <w:trPr>
          <w:trHeight w:val="190"/>
        </w:trPr>
        <w:tc>
          <w:tcPr>
            <w:tcW w:w="817" w:type="pct"/>
            <w:vMerge w:val="restart"/>
          </w:tcPr>
          <w:p w:rsidR="00396C33" w:rsidRPr="00E748CC" w:rsidRDefault="00396C33" w:rsidP="00DC6A77">
            <w:pPr>
              <w:pStyle w:val="Tablehead1"/>
              <w:jc w:val="center"/>
              <w:rPr>
                <w:bCs/>
              </w:rPr>
            </w:pPr>
          </w:p>
        </w:tc>
        <w:tc>
          <w:tcPr>
            <w:tcW w:w="695" w:type="pct"/>
          </w:tcPr>
          <w:p w:rsidR="00396C33" w:rsidRPr="00E748CC" w:rsidRDefault="00396C33" w:rsidP="00FC5C47">
            <w:pPr>
              <w:pStyle w:val="Tablehead2"/>
              <w:jc w:val="right"/>
              <w:rPr>
                <w:bCs/>
              </w:rPr>
            </w:pPr>
            <w:r w:rsidRPr="00E748CC">
              <w:rPr>
                <w:bCs/>
              </w:rPr>
              <w:t>Apprentices</w:t>
            </w:r>
            <w:r w:rsidRPr="00356408">
              <w:rPr>
                <w:bCs/>
                <w:vertAlign w:val="superscript"/>
              </w:rPr>
              <w:t>(</w:t>
            </w:r>
            <w:r>
              <w:rPr>
                <w:bCs/>
                <w:vertAlign w:val="superscript"/>
              </w:rPr>
              <w:t>a</w:t>
            </w:r>
            <w:r w:rsidRPr="00356408">
              <w:rPr>
                <w:bCs/>
                <w:vertAlign w:val="superscript"/>
              </w:rPr>
              <w:t>)</w:t>
            </w:r>
          </w:p>
        </w:tc>
        <w:tc>
          <w:tcPr>
            <w:tcW w:w="696" w:type="pct"/>
          </w:tcPr>
          <w:p w:rsidR="00396C33" w:rsidRPr="001C32FA" w:rsidRDefault="00396C33" w:rsidP="00FC5C47">
            <w:pPr>
              <w:pStyle w:val="Tablehead2"/>
              <w:jc w:val="right"/>
              <w:rPr>
                <w:bCs/>
              </w:rPr>
            </w:pPr>
            <w:r w:rsidRPr="001C32FA">
              <w:rPr>
                <w:bCs/>
              </w:rPr>
              <w:t>Trainees</w:t>
            </w:r>
            <w:r w:rsidRPr="004B0235">
              <w:rPr>
                <w:bCs/>
                <w:vertAlign w:val="superscript"/>
              </w:rPr>
              <w:t>(b)</w:t>
            </w:r>
          </w:p>
        </w:tc>
        <w:tc>
          <w:tcPr>
            <w:tcW w:w="699" w:type="pct"/>
          </w:tcPr>
          <w:p w:rsidR="00396C33" w:rsidRPr="001C32FA" w:rsidRDefault="00396C33" w:rsidP="00FC5C47">
            <w:pPr>
              <w:pStyle w:val="Tablehead2"/>
              <w:jc w:val="right"/>
              <w:rPr>
                <w:bCs/>
              </w:rPr>
            </w:pPr>
            <w:r>
              <w:rPr>
                <w:bCs/>
              </w:rPr>
              <w:t>All</w:t>
            </w:r>
            <w:r w:rsidR="000967E0">
              <w:rPr>
                <w:bCs/>
              </w:rPr>
              <w:t xml:space="preserve"> DG</w:t>
            </w:r>
            <w:r>
              <w:rPr>
                <w:bCs/>
                <w:vertAlign w:val="superscript"/>
              </w:rPr>
              <w:t>(c</w:t>
            </w:r>
            <w:r w:rsidRPr="001C32FA">
              <w:rPr>
                <w:bCs/>
                <w:vertAlign w:val="superscript"/>
              </w:rPr>
              <w:t>)</w:t>
            </w:r>
          </w:p>
        </w:tc>
        <w:tc>
          <w:tcPr>
            <w:tcW w:w="699" w:type="pct"/>
          </w:tcPr>
          <w:p w:rsidR="00396C33" w:rsidRPr="001C32FA" w:rsidRDefault="00396C33" w:rsidP="00FC5C47">
            <w:pPr>
              <w:pStyle w:val="Tablehead2"/>
              <w:jc w:val="right"/>
              <w:rPr>
                <w:bCs/>
              </w:rPr>
            </w:pPr>
            <w:r w:rsidRPr="001C32FA">
              <w:rPr>
                <w:bCs/>
              </w:rPr>
              <w:t>Apprentices</w:t>
            </w:r>
            <w:r w:rsidRPr="00E97F90">
              <w:rPr>
                <w:vertAlign w:val="superscript"/>
              </w:rPr>
              <w:t>(d)</w:t>
            </w:r>
          </w:p>
        </w:tc>
        <w:tc>
          <w:tcPr>
            <w:tcW w:w="698" w:type="pct"/>
          </w:tcPr>
          <w:p w:rsidR="00396C33" w:rsidRPr="001C32FA" w:rsidRDefault="00396C33" w:rsidP="00FC5C47">
            <w:pPr>
              <w:pStyle w:val="Tablehead2"/>
              <w:jc w:val="right"/>
              <w:rPr>
                <w:bCs/>
              </w:rPr>
            </w:pPr>
            <w:r w:rsidRPr="001C32FA">
              <w:rPr>
                <w:bCs/>
              </w:rPr>
              <w:t>Trainees</w:t>
            </w:r>
            <w:r w:rsidRPr="00E97F90">
              <w:rPr>
                <w:vertAlign w:val="superscript"/>
              </w:rPr>
              <w:t>(e)</w:t>
            </w:r>
          </w:p>
        </w:tc>
        <w:tc>
          <w:tcPr>
            <w:tcW w:w="696" w:type="pct"/>
          </w:tcPr>
          <w:p w:rsidR="00396C33" w:rsidRPr="001C32FA" w:rsidRDefault="00396C33" w:rsidP="00FC5C47">
            <w:pPr>
              <w:pStyle w:val="Tablehead2"/>
              <w:jc w:val="right"/>
              <w:rPr>
                <w:bCs/>
              </w:rPr>
            </w:pPr>
            <w:r>
              <w:rPr>
                <w:bCs/>
              </w:rPr>
              <w:t>Al</w:t>
            </w:r>
            <w:r w:rsidRPr="001C32FA">
              <w:rPr>
                <w:bCs/>
              </w:rPr>
              <w:t>l</w:t>
            </w:r>
            <w:r w:rsidR="000967E0">
              <w:rPr>
                <w:bCs/>
              </w:rPr>
              <w:t xml:space="preserve"> CG</w:t>
            </w:r>
            <w:r>
              <w:rPr>
                <w:vertAlign w:val="superscript"/>
              </w:rPr>
              <w:t>(f</w:t>
            </w:r>
            <w:r w:rsidRPr="00E97F90">
              <w:rPr>
                <w:vertAlign w:val="superscript"/>
              </w:rPr>
              <w:t>)</w:t>
            </w:r>
          </w:p>
        </w:tc>
      </w:tr>
      <w:tr w:rsidR="00396C33" w:rsidRPr="00862AF9">
        <w:trPr>
          <w:trHeight w:val="190"/>
        </w:trPr>
        <w:tc>
          <w:tcPr>
            <w:tcW w:w="817" w:type="pct"/>
            <w:vMerge/>
            <w:tcBorders>
              <w:bottom w:val="single" w:sz="4" w:space="0" w:color="auto"/>
            </w:tcBorders>
          </w:tcPr>
          <w:p w:rsidR="00396C33" w:rsidRPr="00E748CC" w:rsidRDefault="00396C33" w:rsidP="00DC6A77">
            <w:pPr>
              <w:pStyle w:val="Tablehead2"/>
            </w:pPr>
          </w:p>
        </w:tc>
        <w:tc>
          <w:tcPr>
            <w:tcW w:w="695" w:type="pct"/>
            <w:tcBorders>
              <w:bottom w:val="single" w:sz="4" w:space="0" w:color="auto"/>
            </w:tcBorders>
          </w:tcPr>
          <w:p w:rsidR="00396C33" w:rsidRPr="00E748CC" w:rsidRDefault="00396C33" w:rsidP="00FC5C47">
            <w:pPr>
              <w:pStyle w:val="Tablehead2"/>
              <w:jc w:val="right"/>
            </w:pPr>
            <w:proofErr w:type="gramStart"/>
            <w:r w:rsidRPr="00E748CC">
              <w:t>n</w:t>
            </w:r>
            <w:proofErr w:type="gramEnd"/>
            <w:r w:rsidR="00062A92">
              <w:t xml:space="preserve">     </w:t>
            </w:r>
            <w:r w:rsidRPr="00E748CC">
              <w:t xml:space="preserve"> (%)</w:t>
            </w:r>
          </w:p>
        </w:tc>
        <w:tc>
          <w:tcPr>
            <w:tcW w:w="696" w:type="pct"/>
            <w:tcBorders>
              <w:bottom w:val="single" w:sz="4" w:space="0" w:color="auto"/>
            </w:tcBorders>
          </w:tcPr>
          <w:p w:rsidR="00396C33" w:rsidRPr="00862AF9" w:rsidRDefault="00396C33" w:rsidP="00FC5C47">
            <w:pPr>
              <w:pStyle w:val="Tablehead2"/>
              <w:jc w:val="right"/>
            </w:pPr>
            <w:proofErr w:type="gramStart"/>
            <w:r>
              <w:t>n</w:t>
            </w:r>
            <w:proofErr w:type="gramEnd"/>
            <w:r>
              <w:t xml:space="preserve"> </w:t>
            </w:r>
            <w:r w:rsidR="00062A92">
              <w:t xml:space="preserve">      </w:t>
            </w:r>
            <w:r>
              <w:t>(%)</w:t>
            </w:r>
          </w:p>
        </w:tc>
        <w:tc>
          <w:tcPr>
            <w:tcW w:w="699" w:type="pct"/>
            <w:tcBorders>
              <w:bottom w:val="single" w:sz="4" w:space="0" w:color="auto"/>
            </w:tcBorders>
          </w:tcPr>
          <w:p w:rsidR="00396C33" w:rsidRPr="00862AF9" w:rsidRDefault="00396C33" w:rsidP="00FC5C47">
            <w:pPr>
              <w:pStyle w:val="Tablehead2"/>
              <w:jc w:val="right"/>
            </w:pPr>
            <w:proofErr w:type="gramStart"/>
            <w:r>
              <w:t>n</w:t>
            </w:r>
            <w:proofErr w:type="gramEnd"/>
            <w:r>
              <w:t xml:space="preserve"> </w:t>
            </w:r>
            <w:r w:rsidR="00062A92">
              <w:t xml:space="preserve">      </w:t>
            </w:r>
            <w:r>
              <w:t>(%)</w:t>
            </w:r>
          </w:p>
        </w:tc>
        <w:tc>
          <w:tcPr>
            <w:tcW w:w="699" w:type="pct"/>
            <w:tcBorders>
              <w:bottom w:val="single" w:sz="4" w:space="0" w:color="auto"/>
            </w:tcBorders>
          </w:tcPr>
          <w:p w:rsidR="00396C33" w:rsidRPr="00862AF9" w:rsidRDefault="00396C33" w:rsidP="00FC5C47">
            <w:pPr>
              <w:pStyle w:val="Tablehead2"/>
              <w:jc w:val="right"/>
            </w:pPr>
            <w:proofErr w:type="gramStart"/>
            <w:r>
              <w:t>n</w:t>
            </w:r>
            <w:proofErr w:type="gramEnd"/>
            <w:r w:rsidR="00062A92">
              <w:t xml:space="preserve">      </w:t>
            </w:r>
            <w:r>
              <w:t xml:space="preserve"> (%)</w:t>
            </w:r>
          </w:p>
        </w:tc>
        <w:tc>
          <w:tcPr>
            <w:tcW w:w="698" w:type="pct"/>
            <w:tcBorders>
              <w:bottom w:val="single" w:sz="4" w:space="0" w:color="auto"/>
            </w:tcBorders>
          </w:tcPr>
          <w:p w:rsidR="00396C33" w:rsidRPr="00862AF9" w:rsidRDefault="00396C33" w:rsidP="00FC5C47">
            <w:pPr>
              <w:pStyle w:val="Tablehead2"/>
              <w:jc w:val="right"/>
            </w:pPr>
            <w:proofErr w:type="gramStart"/>
            <w:r>
              <w:t>n</w:t>
            </w:r>
            <w:proofErr w:type="gramEnd"/>
            <w:r>
              <w:t xml:space="preserve"> (%)</w:t>
            </w:r>
          </w:p>
        </w:tc>
        <w:tc>
          <w:tcPr>
            <w:tcW w:w="696" w:type="pct"/>
            <w:tcBorders>
              <w:bottom w:val="single" w:sz="4" w:space="0" w:color="auto"/>
            </w:tcBorders>
          </w:tcPr>
          <w:p w:rsidR="00396C33" w:rsidRPr="00862AF9" w:rsidRDefault="00396C33" w:rsidP="00FC5C47">
            <w:pPr>
              <w:pStyle w:val="Tablehead2"/>
              <w:jc w:val="right"/>
            </w:pPr>
            <w:proofErr w:type="gramStart"/>
            <w:r>
              <w:t>n</w:t>
            </w:r>
            <w:proofErr w:type="gramEnd"/>
            <w:r>
              <w:t xml:space="preserve"> (%)</w:t>
            </w:r>
          </w:p>
        </w:tc>
      </w:tr>
      <w:tr w:rsidR="00396C33" w:rsidRPr="00862AF9">
        <w:tc>
          <w:tcPr>
            <w:tcW w:w="817" w:type="pct"/>
            <w:tcBorders>
              <w:top w:val="single" w:sz="4" w:space="0" w:color="auto"/>
            </w:tcBorders>
          </w:tcPr>
          <w:p w:rsidR="00396C33" w:rsidRPr="001B42BF" w:rsidRDefault="00396C33" w:rsidP="00DC6A77">
            <w:pPr>
              <w:pStyle w:val="Tabletext"/>
            </w:pPr>
            <w:r>
              <w:t>Personal interests</w:t>
            </w:r>
          </w:p>
        </w:tc>
        <w:tc>
          <w:tcPr>
            <w:tcW w:w="695" w:type="pct"/>
            <w:tcBorders>
              <w:top w:val="single" w:sz="4" w:space="0" w:color="auto"/>
            </w:tcBorders>
          </w:tcPr>
          <w:p w:rsidR="00396C33" w:rsidRPr="001B42BF" w:rsidRDefault="00396C33" w:rsidP="00FC5C47">
            <w:pPr>
              <w:pStyle w:val="Tabletext"/>
              <w:jc w:val="right"/>
            </w:pPr>
            <w:r>
              <w:t>64</w:t>
            </w:r>
            <w:r w:rsidR="00062A92">
              <w:t xml:space="preserve">  </w:t>
            </w:r>
            <w:r>
              <w:t xml:space="preserve"> (55.7)</w:t>
            </w:r>
          </w:p>
        </w:tc>
        <w:tc>
          <w:tcPr>
            <w:tcW w:w="696" w:type="pct"/>
            <w:tcBorders>
              <w:top w:val="single" w:sz="4" w:space="0" w:color="auto"/>
            </w:tcBorders>
          </w:tcPr>
          <w:p w:rsidR="00396C33" w:rsidRPr="001B42BF" w:rsidRDefault="00396C33" w:rsidP="00FC5C47">
            <w:pPr>
              <w:pStyle w:val="Tabletext"/>
              <w:jc w:val="right"/>
            </w:pPr>
            <w:r>
              <w:t>90</w:t>
            </w:r>
            <w:r w:rsidR="00062A92">
              <w:t xml:space="preserve">   </w:t>
            </w:r>
            <w:r>
              <w:t xml:space="preserve"> (32.4)</w:t>
            </w:r>
          </w:p>
        </w:tc>
        <w:tc>
          <w:tcPr>
            <w:tcW w:w="699" w:type="pct"/>
            <w:tcBorders>
              <w:top w:val="single" w:sz="4" w:space="0" w:color="auto"/>
            </w:tcBorders>
          </w:tcPr>
          <w:p w:rsidR="00396C33" w:rsidRPr="004D192B" w:rsidRDefault="00396C33" w:rsidP="00FC5C47">
            <w:pPr>
              <w:pStyle w:val="Tabletext"/>
              <w:jc w:val="right"/>
              <w:rPr>
                <w:highlight w:val="yellow"/>
              </w:rPr>
            </w:pPr>
            <w:r w:rsidRPr="001B432F">
              <w:t>156</w:t>
            </w:r>
            <w:r w:rsidR="00062A92">
              <w:t xml:space="preserve">   </w:t>
            </w:r>
            <w:r w:rsidRPr="001B432F">
              <w:t xml:space="preserve"> (39.5)</w:t>
            </w:r>
          </w:p>
        </w:tc>
        <w:tc>
          <w:tcPr>
            <w:tcW w:w="699" w:type="pct"/>
            <w:tcBorders>
              <w:top w:val="single" w:sz="4" w:space="0" w:color="auto"/>
            </w:tcBorders>
          </w:tcPr>
          <w:p w:rsidR="00396C33" w:rsidRPr="00515E4B" w:rsidRDefault="00396C33" w:rsidP="00FC5C47">
            <w:pPr>
              <w:pStyle w:val="Tabletext"/>
              <w:jc w:val="right"/>
            </w:pPr>
            <w:r>
              <w:t>19</w:t>
            </w:r>
            <w:r w:rsidR="00062A92">
              <w:t xml:space="preserve">   </w:t>
            </w:r>
            <w:r>
              <w:t xml:space="preserve"> (73.1)</w:t>
            </w:r>
          </w:p>
        </w:tc>
        <w:tc>
          <w:tcPr>
            <w:tcW w:w="698" w:type="pct"/>
            <w:tcBorders>
              <w:top w:val="single" w:sz="4" w:space="0" w:color="auto"/>
            </w:tcBorders>
          </w:tcPr>
          <w:p w:rsidR="00396C33" w:rsidRPr="00862AF9" w:rsidRDefault="00396C33" w:rsidP="00FC5C47">
            <w:pPr>
              <w:pStyle w:val="Tabletext"/>
              <w:jc w:val="right"/>
            </w:pPr>
            <w:r>
              <w:t>14</w:t>
            </w:r>
            <w:r w:rsidR="00062A92">
              <w:t xml:space="preserve">  </w:t>
            </w:r>
            <w:r>
              <w:t xml:space="preserve"> (23.7)</w:t>
            </w:r>
          </w:p>
        </w:tc>
        <w:tc>
          <w:tcPr>
            <w:tcW w:w="696" w:type="pct"/>
            <w:tcBorders>
              <w:top w:val="single" w:sz="4" w:space="0" w:color="auto"/>
            </w:tcBorders>
          </w:tcPr>
          <w:p w:rsidR="00396C33" w:rsidRPr="00862AF9" w:rsidRDefault="00396C33" w:rsidP="00FC5C47">
            <w:pPr>
              <w:pStyle w:val="Tabletext"/>
              <w:jc w:val="right"/>
            </w:pPr>
            <w:r>
              <w:t xml:space="preserve">33 </w:t>
            </w:r>
            <w:r w:rsidR="00062A92">
              <w:t xml:space="preserve">   </w:t>
            </w:r>
            <w:r>
              <w:t>(38.8)</w:t>
            </w:r>
          </w:p>
        </w:tc>
      </w:tr>
      <w:tr w:rsidR="00396C33" w:rsidRPr="00862AF9">
        <w:tc>
          <w:tcPr>
            <w:tcW w:w="817" w:type="pct"/>
          </w:tcPr>
          <w:p w:rsidR="00396C33" w:rsidRPr="001B42BF" w:rsidRDefault="003F09C8" w:rsidP="00EC37B9">
            <w:pPr>
              <w:pStyle w:val="Tabletext"/>
              <w:spacing w:before="20" w:after="20"/>
            </w:pPr>
            <w:r>
              <w:t>Other</w:t>
            </w:r>
            <w:r w:rsidR="00396C33">
              <w:t>s</w:t>
            </w:r>
            <w:r>
              <w:t>’</w:t>
            </w:r>
            <w:r w:rsidR="00396C33">
              <w:t xml:space="preserve"> suggestion</w:t>
            </w:r>
          </w:p>
        </w:tc>
        <w:tc>
          <w:tcPr>
            <w:tcW w:w="695" w:type="pct"/>
          </w:tcPr>
          <w:p w:rsidR="00396C33" w:rsidRPr="001B42BF" w:rsidRDefault="00396C33" w:rsidP="00EC37B9">
            <w:pPr>
              <w:pStyle w:val="Tabletext"/>
              <w:spacing w:before="20" w:after="20"/>
              <w:jc w:val="right"/>
            </w:pPr>
            <w:r>
              <w:t>16</w:t>
            </w:r>
            <w:r w:rsidR="00062A92">
              <w:t xml:space="preserve">   </w:t>
            </w:r>
            <w:r>
              <w:t xml:space="preserve"> (13.9)</w:t>
            </w:r>
          </w:p>
        </w:tc>
        <w:tc>
          <w:tcPr>
            <w:tcW w:w="696" w:type="pct"/>
          </w:tcPr>
          <w:p w:rsidR="00396C33" w:rsidRPr="001B42BF" w:rsidRDefault="00396C33" w:rsidP="00EC37B9">
            <w:pPr>
              <w:pStyle w:val="Tabletext"/>
              <w:spacing w:before="20" w:after="20"/>
              <w:jc w:val="right"/>
            </w:pPr>
            <w:r>
              <w:t>48</w:t>
            </w:r>
            <w:r w:rsidR="00062A92">
              <w:t xml:space="preserve">   </w:t>
            </w:r>
            <w:r>
              <w:t xml:space="preserve"> (17.3)</w:t>
            </w:r>
          </w:p>
        </w:tc>
        <w:tc>
          <w:tcPr>
            <w:tcW w:w="699" w:type="pct"/>
          </w:tcPr>
          <w:p w:rsidR="00396C33" w:rsidRPr="00370096" w:rsidRDefault="00396C33" w:rsidP="00EC37B9">
            <w:pPr>
              <w:pStyle w:val="Tabletext"/>
              <w:spacing w:before="20" w:after="20"/>
              <w:jc w:val="right"/>
            </w:pPr>
            <w:r>
              <w:t xml:space="preserve">64 </w:t>
            </w:r>
            <w:r w:rsidR="00062A92">
              <w:t xml:space="preserve">   </w:t>
            </w:r>
            <w:r>
              <w:t>(16.2)</w:t>
            </w:r>
          </w:p>
        </w:tc>
        <w:tc>
          <w:tcPr>
            <w:tcW w:w="699" w:type="pct"/>
          </w:tcPr>
          <w:p w:rsidR="00396C33" w:rsidRPr="00515E4B" w:rsidRDefault="00396C33" w:rsidP="00EC37B9">
            <w:pPr>
              <w:pStyle w:val="Tabletext"/>
              <w:spacing w:before="20" w:after="20"/>
              <w:jc w:val="right"/>
            </w:pPr>
            <w:r>
              <w:t xml:space="preserve">3 </w:t>
            </w:r>
            <w:r w:rsidR="00062A92">
              <w:t xml:space="preserve">   </w:t>
            </w:r>
            <w:r>
              <w:t>(11.5)</w:t>
            </w:r>
          </w:p>
        </w:tc>
        <w:tc>
          <w:tcPr>
            <w:tcW w:w="698" w:type="pct"/>
          </w:tcPr>
          <w:p w:rsidR="00396C33" w:rsidRPr="00515E4B" w:rsidRDefault="00396C33" w:rsidP="00EC37B9">
            <w:pPr>
              <w:pStyle w:val="Tabletext"/>
              <w:spacing w:before="20" w:after="20"/>
              <w:jc w:val="right"/>
            </w:pPr>
            <w:r>
              <w:t>3</w:t>
            </w:r>
            <w:r w:rsidR="00062A92">
              <w:t xml:space="preserve">    </w:t>
            </w:r>
            <w:r>
              <w:t xml:space="preserve"> (5.1)</w:t>
            </w:r>
          </w:p>
        </w:tc>
        <w:tc>
          <w:tcPr>
            <w:tcW w:w="696" w:type="pct"/>
          </w:tcPr>
          <w:p w:rsidR="00396C33" w:rsidRPr="00700993" w:rsidRDefault="00396C33" w:rsidP="00EC37B9">
            <w:pPr>
              <w:pStyle w:val="Tabletext"/>
              <w:spacing w:before="20" w:after="20"/>
              <w:jc w:val="right"/>
            </w:pPr>
            <w:r>
              <w:t>6</w:t>
            </w:r>
            <w:r w:rsidR="00062A92">
              <w:t xml:space="preserve">     </w:t>
            </w:r>
            <w:r>
              <w:t xml:space="preserve"> (7.1)</w:t>
            </w:r>
          </w:p>
        </w:tc>
      </w:tr>
      <w:tr w:rsidR="00396C33" w:rsidRPr="00862AF9">
        <w:tc>
          <w:tcPr>
            <w:tcW w:w="817" w:type="pct"/>
          </w:tcPr>
          <w:p w:rsidR="00396C33" w:rsidRPr="001B42BF" w:rsidRDefault="00396C33" w:rsidP="00EC37B9">
            <w:pPr>
              <w:pStyle w:val="Tabletext"/>
              <w:spacing w:before="20" w:after="20"/>
            </w:pPr>
            <w:r>
              <w:t>To get a job</w:t>
            </w:r>
          </w:p>
        </w:tc>
        <w:tc>
          <w:tcPr>
            <w:tcW w:w="695" w:type="pct"/>
          </w:tcPr>
          <w:p w:rsidR="00396C33" w:rsidRPr="001B42BF" w:rsidRDefault="00396C33" w:rsidP="00EC37B9">
            <w:pPr>
              <w:pStyle w:val="Tabletext"/>
              <w:spacing w:before="20" w:after="20"/>
              <w:jc w:val="right"/>
            </w:pPr>
            <w:r>
              <w:t>61</w:t>
            </w:r>
            <w:r w:rsidR="00062A92">
              <w:t xml:space="preserve">   </w:t>
            </w:r>
            <w:r>
              <w:t xml:space="preserve"> (53.0)</w:t>
            </w:r>
          </w:p>
        </w:tc>
        <w:tc>
          <w:tcPr>
            <w:tcW w:w="696" w:type="pct"/>
          </w:tcPr>
          <w:p w:rsidR="00396C33" w:rsidRPr="001B42BF" w:rsidRDefault="00396C33" w:rsidP="00EC37B9">
            <w:pPr>
              <w:pStyle w:val="Tabletext"/>
              <w:spacing w:before="20" w:after="20"/>
              <w:jc w:val="right"/>
            </w:pPr>
            <w:r>
              <w:t xml:space="preserve">116 </w:t>
            </w:r>
            <w:r w:rsidR="00062A92">
              <w:t xml:space="preserve">   </w:t>
            </w:r>
            <w:r>
              <w:t>(41.7)</w:t>
            </w:r>
          </w:p>
        </w:tc>
        <w:tc>
          <w:tcPr>
            <w:tcW w:w="699" w:type="pct"/>
          </w:tcPr>
          <w:p w:rsidR="00396C33" w:rsidRPr="00370096" w:rsidRDefault="00396C33" w:rsidP="00EC37B9">
            <w:pPr>
              <w:pStyle w:val="Tabletext"/>
              <w:spacing w:before="20" w:after="20"/>
              <w:jc w:val="right"/>
            </w:pPr>
            <w:r>
              <w:t>178</w:t>
            </w:r>
            <w:r w:rsidR="00062A92">
              <w:t xml:space="preserve">   </w:t>
            </w:r>
            <w:r>
              <w:t xml:space="preserve"> (45.1)</w:t>
            </w:r>
          </w:p>
        </w:tc>
        <w:tc>
          <w:tcPr>
            <w:tcW w:w="699" w:type="pct"/>
          </w:tcPr>
          <w:p w:rsidR="00396C33" w:rsidRPr="00515E4B" w:rsidRDefault="00396C33" w:rsidP="00EC37B9">
            <w:pPr>
              <w:pStyle w:val="Tabletext"/>
              <w:spacing w:before="20" w:after="20"/>
              <w:jc w:val="right"/>
            </w:pPr>
            <w:r>
              <w:t>14</w:t>
            </w:r>
            <w:r w:rsidR="00062A92">
              <w:t xml:space="preserve">   </w:t>
            </w:r>
            <w:r>
              <w:t xml:space="preserve"> (53.8)</w:t>
            </w:r>
          </w:p>
        </w:tc>
        <w:tc>
          <w:tcPr>
            <w:tcW w:w="698" w:type="pct"/>
          </w:tcPr>
          <w:p w:rsidR="00396C33" w:rsidRPr="00515E4B" w:rsidRDefault="00396C33" w:rsidP="00EC37B9">
            <w:pPr>
              <w:pStyle w:val="Tabletext"/>
              <w:spacing w:before="20" w:after="20"/>
              <w:jc w:val="right"/>
            </w:pPr>
            <w:r>
              <w:t>22</w:t>
            </w:r>
            <w:r w:rsidR="00062A92">
              <w:t xml:space="preserve">  </w:t>
            </w:r>
            <w:r>
              <w:t xml:space="preserve"> (37.3)</w:t>
            </w:r>
          </w:p>
        </w:tc>
        <w:tc>
          <w:tcPr>
            <w:tcW w:w="696" w:type="pct"/>
          </w:tcPr>
          <w:p w:rsidR="00396C33" w:rsidRPr="00700993" w:rsidRDefault="00396C33" w:rsidP="00EC37B9">
            <w:pPr>
              <w:pStyle w:val="Tabletext"/>
              <w:spacing w:before="20" w:after="20"/>
              <w:jc w:val="right"/>
            </w:pPr>
            <w:r>
              <w:t xml:space="preserve">36 </w:t>
            </w:r>
            <w:r w:rsidR="00062A92">
              <w:t xml:space="preserve">   </w:t>
            </w:r>
            <w:r>
              <w:t>(42.4)</w:t>
            </w:r>
          </w:p>
        </w:tc>
      </w:tr>
      <w:tr w:rsidR="00396C33" w:rsidRPr="00862AF9">
        <w:tc>
          <w:tcPr>
            <w:tcW w:w="817" w:type="pct"/>
          </w:tcPr>
          <w:p w:rsidR="00396C33" w:rsidRPr="001B42BF" w:rsidRDefault="00396C33" w:rsidP="00EC37B9">
            <w:pPr>
              <w:pStyle w:val="Tabletext"/>
              <w:spacing w:before="20" w:after="20"/>
            </w:pPr>
            <w:r>
              <w:t>Something to do</w:t>
            </w:r>
          </w:p>
        </w:tc>
        <w:tc>
          <w:tcPr>
            <w:tcW w:w="695" w:type="pct"/>
          </w:tcPr>
          <w:p w:rsidR="00396C33" w:rsidRPr="001B42BF" w:rsidRDefault="00396C33" w:rsidP="00EC37B9">
            <w:pPr>
              <w:pStyle w:val="Tabletext"/>
              <w:spacing w:before="20" w:after="20"/>
              <w:jc w:val="right"/>
            </w:pPr>
            <w:r>
              <w:t>9</w:t>
            </w:r>
            <w:r w:rsidR="00062A92">
              <w:t xml:space="preserve">     </w:t>
            </w:r>
            <w:r>
              <w:t xml:space="preserve"> (7.8)</w:t>
            </w:r>
          </w:p>
        </w:tc>
        <w:tc>
          <w:tcPr>
            <w:tcW w:w="696" w:type="pct"/>
          </w:tcPr>
          <w:p w:rsidR="00396C33" w:rsidRPr="001B42BF" w:rsidRDefault="00396C33" w:rsidP="00EC37B9">
            <w:pPr>
              <w:pStyle w:val="Tabletext"/>
              <w:spacing w:before="20" w:after="20"/>
              <w:jc w:val="right"/>
            </w:pPr>
            <w:r>
              <w:t>27</w:t>
            </w:r>
            <w:r w:rsidR="00062A92">
              <w:t xml:space="preserve">     </w:t>
            </w:r>
            <w:r>
              <w:t xml:space="preserve"> (9.7)</w:t>
            </w:r>
          </w:p>
        </w:tc>
        <w:tc>
          <w:tcPr>
            <w:tcW w:w="699" w:type="pct"/>
          </w:tcPr>
          <w:p w:rsidR="00396C33" w:rsidRPr="00370096" w:rsidRDefault="00396C33" w:rsidP="00EC37B9">
            <w:pPr>
              <w:pStyle w:val="Tabletext"/>
              <w:spacing w:before="20" w:after="20"/>
              <w:jc w:val="right"/>
            </w:pPr>
            <w:r>
              <w:t>36</w:t>
            </w:r>
            <w:r w:rsidR="00062A92">
              <w:t xml:space="preserve">     </w:t>
            </w:r>
            <w:r>
              <w:t xml:space="preserve"> (9.1)</w:t>
            </w:r>
          </w:p>
        </w:tc>
        <w:tc>
          <w:tcPr>
            <w:tcW w:w="699" w:type="pct"/>
          </w:tcPr>
          <w:p w:rsidR="00396C33" w:rsidRPr="00515E4B" w:rsidRDefault="00396C33" w:rsidP="00EC37B9">
            <w:pPr>
              <w:pStyle w:val="Tabletext"/>
              <w:spacing w:before="20" w:after="20"/>
              <w:jc w:val="right"/>
            </w:pPr>
            <w:r>
              <w:t>2</w:t>
            </w:r>
            <w:r w:rsidR="00062A92">
              <w:t xml:space="preserve">     </w:t>
            </w:r>
            <w:r>
              <w:t xml:space="preserve"> (7.7)</w:t>
            </w:r>
          </w:p>
        </w:tc>
        <w:tc>
          <w:tcPr>
            <w:tcW w:w="698" w:type="pct"/>
          </w:tcPr>
          <w:p w:rsidR="00396C33" w:rsidRPr="00515E4B" w:rsidRDefault="00396C33" w:rsidP="00EC37B9">
            <w:pPr>
              <w:pStyle w:val="Tabletext"/>
              <w:spacing w:before="20" w:after="20"/>
              <w:jc w:val="right"/>
            </w:pPr>
            <w:r>
              <w:t>1</w:t>
            </w:r>
            <w:r w:rsidR="00062A92">
              <w:t xml:space="preserve">     </w:t>
            </w:r>
            <w:r>
              <w:t xml:space="preserve"> (1.7)</w:t>
            </w:r>
          </w:p>
        </w:tc>
        <w:tc>
          <w:tcPr>
            <w:tcW w:w="696" w:type="pct"/>
          </w:tcPr>
          <w:p w:rsidR="00396C33" w:rsidRPr="00700993" w:rsidRDefault="00396C33" w:rsidP="00EC37B9">
            <w:pPr>
              <w:pStyle w:val="Tabletext"/>
              <w:spacing w:before="20" w:after="20"/>
              <w:jc w:val="right"/>
            </w:pPr>
            <w:r>
              <w:t>3</w:t>
            </w:r>
            <w:r w:rsidR="00062A92">
              <w:t xml:space="preserve">     </w:t>
            </w:r>
            <w:r>
              <w:t xml:space="preserve"> (3.5)</w:t>
            </w:r>
          </w:p>
        </w:tc>
      </w:tr>
      <w:tr w:rsidR="00396C33" w:rsidRPr="00862AF9">
        <w:tc>
          <w:tcPr>
            <w:tcW w:w="817" w:type="pct"/>
          </w:tcPr>
          <w:p w:rsidR="00396C33" w:rsidRDefault="00396C33" w:rsidP="00EC37B9">
            <w:pPr>
              <w:pStyle w:val="Tabletext"/>
              <w:spacing w:before="20" w:after="20"/>
            </w:pPr>
            <w:r>
              <w:t>Increase skills</w:t>
            </w:r>
          </w:p>
        </w:tc>
        <w:tc>
          <w:tcPr>
            <w:tcW w:w="695" w:type="pct"/>
          </w:tcPr>
          <w:p w:rsidR="00396C33" w:rsidRPr="001B42BF" w:rsidRDefault="00396C33" w:rsidP="00EC37B9">
            <w:pPr>
              <w:pStyle w:val="Tabletext"/>
              <w:spacing w:before="20" w:after="20"/>
              <w:jc w:val="right"/>
            </w:pPr>
            <w:r>
              <w:t>54</w:t>
            </w:r>
            <w:r w:rsidR="00062A92">
              <w:t xml:space="preserve">   </w:t>
            </w:r>
            <w:r>
              <w:t xml:space="preserve"> (47.0)</w:t>
            </w:r>
          </w:p>
        </w:tc>
        <w:tc>
          <w:tcPr>
            <w:tcW w:w="696" w:type="pct"/>
          </w:tcPr>
          <w:p w:rsidR="00396C33" w:rsidRPr="001B42BF" w:rsidRDefault="00396C33" w:rsidP="00EC37B9">
            <w:pPr>
              <w:pStyle w:val="Tabletext"/>
              <w:spacing w:before="20" w:after="20"/>
              <w:jc w:val="right"/>
            </w:pPr>
            <w:r>
              <w:t>199</w:t>
            </w:r>
            <w:r w:rsidR="00062A92">
              <w:t xml:space="preserve">   </w:t>
            </w:r>
            <w:r>
              <w:t xml:space="preserve"> (71.6)</w:t>
            </w:r>
          </w:p>
        </w:tc>
        <w:tc>
          <w:tcPr>
            <w:tcW w:w="699" w:type="pct"/>
          </w:tcPr>
          <w:p w:rsidR="00396C33" w:rsidRPr="00370096" w:rsidRDefault="00396C33" w:rsidP="00EC37B9">
            <w:pPr>
              <w:pStyle w:val="Tabletext"/>
              <w:spacing w:before="20" w:after="20"/>
              <w:jc w:val="right"/>
            </w:pPr>
            <w:r>
              <w:t xml:space="preserve">254 </w:t>
            </w:r>
            <w:r w:rsidR="00062A92">
              <w:t xml:space="preserve">   </w:t>
            </w:r>
            <w:r>
              <w:t>(64.3)</w:t>
            </w:r>
          </w:p>
        </w:tc>
        <w:tc>
          <w:tcPr>
            <w:tcW w:w="699" w:type="pct"/>
          </w:tcPr>
          <w:p w:rsidR="00396C33" w:rsidRPr="00515E4B" w:rsidRDefault="00396C33" w:rsidP="00EC37B9">
            <w:pPr>
              <w:pStyle w:val="Tabletext"/>
              <w:spacing w:before="20" w:after="20"/>
              <w:jc w:val="right"/>
            </w:pPr>
            <w:r>
              <w:t xml:space="preserve">16 </w:t>
            </w:r>
            <w:r w:rsidR="00062A92">
              <w:t xml:space="preserve">   </w:t>
            </w:r>
            <w:r>
              <w:t>(61.5)</w:t>
            </w:r>
          </w:p>
        </w:tc>
        <w:tc>
          <w:tcPr>
            <w:tcW w:w="698" w:type="pct"/>
          </w:tcPr>
          <w:p w:rsidR="00396C33" w:rsidRPr="00515E4B" w:rsidRDefault="00396C33" w:rsidP="00EC37B9">
            <w:pPr>
              <w:pStyle w:val="Tabletext"/>
              <w:spacing w:before="20" w:after="20"/>
              <w:jc w:val="right"/>
            </w:pPr>
            <w:r>
              <w:t>47</w:t>
            </w:r>
            <w:r w:rsidR="00062A92">
              <w:t xml:space="preserve">   </w:t>
            </w:r>
            <w:r>
              <w:t xml:space="preserve"> (79.7)</w:t>
            </w:r>
          </w:p>
        </w:tc>
        <w:tc>
          <w:tcPr>
            <w:tcW w:w="696" w:type="pct"/>
          </w:tcPr>
          <w:p w:rsidR="00396C33" w:rsidRPr="00700993" w:rsidRDefault="00396C33" w:rsidP="00EC37B9">
            <w:pPr>
              <w:pStyle w:val="Tabletext"/>
              <w:spacing w:before="20" w:after="20"/>
              <w:jc w:val="right"/>
            </w:pPr>
            <w:r>
              <w:t>63</w:t>
            </w:r>
            <w:r w:rsidR="00062A92">
              <w:t xml:space="preserve">   </w:t>
            </w:r>
            <w:r>
              <w:t xml:space="preserve"> (74.1)</w:t>
            </w:r>
          </w:p>
        </w:tc>
      </w:tr>
      <w:tr w:rsidR="00396C33" w:rsidRPr="00862AF9">
        <w:tc>
          <w:tcPr>
            <w:tcW w:w="817" w:type="pct"/>
          </w:tcPr>
          <w:p w:rsidR="00396C33" w:rsidRPr="001B42BF" w:rsidRDefault="00396C33" w:rsidP="00EC37B9">
            <w:pPr>
              <w:pStyle w:val="Tabletext"/>
              <w:spacing w:before="20" w:after="20"/>
            </w:pPr>
            <w:r>
              <w:t>Do something new</w:t>
            </w:r>
          </w:p>
        </w:tc>
        <w:tc>
          <w:tcPr>
            <w:tcW w:w="695" w:type="pct"/>
          </w:tcPr>
          <w:p w:rsidR="00396C33" w:rsidRPr="001B42BF" w:rsidRDefault="00396C33" w:rsidP="00EC37B9">
            <w:pPr>
              <w:pStyle w:val="Tabletext"/>
              <w:spacing w:before="20" w:after="20"/>
              <w:jc w:val="right"/>
            </w:pPr>
            <w:r>
              <w:t>26</w:t>
            </w:r>
            <w:r w:rsidR="00062A92">
              <w:t xml:space="preserve">   </w:t>
            </w:r>
            <w:r>
              <w:t xml:space="preserve"> (22.6)</w:t>
            </w:r>
          </w:p>
        </w:tc>
        <w:tc>
          <w:tcPr>
            <w:tcW w:w="696" w:type="pct"/>
          </w:tcPr>
          <w:p w:rsidR="00396C33" w:rsidRPr="001B42BF" w:rsidRDefault="00396C33" w:rsidP="00EC37B9">
            <w:pPr>
              <w:pStyle w:val="Tabletext"/>
              <w:spacing w:before="20" w:after="20"/>
              <w:jc w:val="right"/>
            </w:pPr>
            <w:r>
              <w:t>41</w:t>
            </w:r>
            <w:r w:rsidR="00062A92">
              <w:t xml:space="preserve">   </w:t>
            </w:r>
            <w:r>
              <w:t xml:space="preserve"> (14.7)</w:t>
            </w:r>
          </w:p>
        </w:tc>
        <w:tc>
          <w:tcPr>
            <w:tcW w:w="699" w:type="pct"/>
          </w:tcPr>
          <w:p w:rsidR="00396C33" w:rsidRPr="00370096" w:rsidRDefault="00396C33" w:rsidP="00EC37B9">
            <w:pPr>
              <w:pStyle w:val="Tabletext"/>
              <w:spacing w:before="20" w:after="20"/>
              <w:jc w:val="right"/>
            </w:pPr>
            <w:r>
              <w:t>64</w:t>
            </w:r>
            <w:r w:rsidR="00062A92">
              <w:t xml:space="preserve">   </w:t>
            </w:r>
            <w:r>
              <w:t xml:space="preserve"> (16.2)</w:t>
            </w:r>
          </w:p>
        </w:tc>
        <w:tc>
          <w:tcPr>
            <w:tcW w:w="699" w:type="pct"/>
          </w:tcPr>
          <w:p w:rsidR="00396C33" w:rsidRPr="00515E4B" w:rsidRDefault="00396C33" w:rsidP="00EC37B9">
            <w:pPr>
              <w:pStyle w:val="Tabletext"/>
              <w:spacing w:before="20" w:after="20"/>
              <w:jc w:val="right"/>
            </w:pPr>
            <w:r>
              <w:t>7</w:t>
            </w:r>
            <w:r w:rsidR="00062A92">
              <w:t xml:space="preserve">   </w:t>
            </w:r>
            <w:r>
              <w:t xml:space="preserve"> (26.9)</w:t>
            </w:r>
          </w:p>
        </w:tc>
        <w:tc>
          <w:tcPr>
            <w:tcW w:w="698" w:type="pct"/>
          </w:tcPr>
          <w:p w:rsidR="00396C33" w:rsidRPr="00515E4B" w:rsidRDefault="00396C33" w:rsidP="00EC37B9">
            <w:pPr>
              <w:pStyle w:val="Tabletext"/>
              <w:spacing w:before="20" w:after="20"/>
              <w:jc w:val="right"/>
            </w:pPr>
            <w:r>
              <w:t>13</w:t>
            </w:r>
            <w:r w:rsidR="00062A92">
              <w:t xml:space="preserve">   </w:t>
            </w:r>
            <w:r>
              <w:t xml:space="preserve"> (22.0)</w:t>
            </w:r>
          </w:p>
        </w:tc>
        <w:tc>
          <w:tcPr>
            <w:tcW w:w="696" w:type="pct"/>
          </w:tcPr>
          <w:p w:rsidR="00396C33" w:rsidRPr="00700993" w:rsidRDefault="00396C33" w:rsidP="00EC37B9">
            <w:pPr>
              <w:pStyle w:val="Tabletext"/>
              <w:spacing w:before="20" w:after="20"/>
              <w:jc w:val="right"/>
            </w:pPr>
            <w:r>
              <w:t>20</w:t>
            </w:r>
            <w:r w:rsidR="00062A92">
              <w:t xml:space="preserve">   </w:t>
            </w:r>
            <w:r>
              <w:t xml:space="preserve"> (23.5)</w:t>
            </w:r>
          </w:p>
        </w:tc>
      </w:tr>
      <w:tr w:rsidR="00396C33" w:rsidRPr="00862AF9">
        <w:tc>
          <w:tcPr>
            <w:tcW w:w="817" w:type="pct"/>
          </w:tcPr>
          <w:p w:rsidR="00396C33" w:rsidRPr="001B42BF" w:rsidRDefault="00396C33" w:rsidP="00EC37B9">
            <w:pPr>
              <w:pStyle w:val="Tabletext"/>
              <w:spacing w:before="20" w:after="20"/>
            </w:pPr>
            <w:r>
              <w:t>Other</w:t>
            </w:r>
          </w:p>
        </w:tc>
        <w:tc>
          <w:tcPr>
            <w:tcW w:w="695" w:type="pct"/>
          </w:tcPr>
          <w:p w:rsidR="00396C33" w:rsidRPr="001B42BF" w:rsidRDefault="00396C33" w:rsidP="00EC37B9">
            <w:pPr>
              <w:pStyle w:val="Tabletext"/>
              <w:spacing w:before="20" w:after="20"/>
              <w:jc w:val="right"/>
            </w:pPr>
            <w:r>
              <w:t xml:space="preserve">12 </w:t>
            </w:r>
            <w:r w:rsidR="00062A92">
              <w:t xml:space="preserve">     </w:t>
            </w:r>
            <w:r>
              <w:t>(9.1)</w:t>
            </w:r>
          </w:p>
        </w:tc>
        <w:tc>
          <w:tcPr>
            <w:tcW w:w="696" w:type="pct"/>
          </w:tcPr>
          <w:p w:rsidR="00396C33" w:rsidRPr="001B42BF" w:rsidRDefault="00396C33" w:rsidP="00EC37B9">
            <w:pPr>
              <w:pStyle w:val="Tabletext"/>
              <w:spacing w:before="20" w:after="20"/>
              <w:jc w:val="right"/>
            </w:pPr>
            <w:r>
              <w:t>25</w:t>
            </w:r>
            <w:r w:rsidR="00062A92">
              <w:t xml:space="preserve">     </w:t>
            </w:r>
            <w:r>
              <w:t xml:space="preserve"> (9.0)</w:t>
            </w:r>
          </w:p>
        </w:tc>
        <w:tc>
          <w:tcPr>
            <w:tcW w:w="699" w:type="pct"/>
          </w:tcPr>
          <w:p w:rsidR="00396C33" w:rsidRPr="00370096" w:rsidRDefault="00396C33" w:rsidP="00EC37B9">
            <w:pPr>
              <w:pStyle w:val="Tabletext"/>
              <w:spacing w:before="20" w:after="20"/>
              <w:jc w:val="right"/>
            </w:pPr>
            <w:r>
              <w:t>38</w:t>
            </w:r>
            <w:r w:rsidR="00062A92">
              <w:t xml:space="preserve">     </w:t>
            </w:r>
            <w:r>
              <w:t xml:space="preserve"> (9.6)</w:t>
            </w:r>
          </w:p>
        </w:tc>
        <w:tc>
          <w:tcPr>
            <w:tcW w:w="699" w:type="pct"/>
          </w:tcPr>
          <w:p w:rsidR="00396C33" w:rsidRPr="00515E4B" w:rsidRDefault="00396C33" w:rsidP="00EC37B9">
            <w:pPr>
              <w:pStyle w:val="Tabletext"/>
              <w:spacing w:before="20" w:after="20"/>
              <w:jc w:val="right"/>
            </w:pPr>
            <w:r>
              <w:t>3</w:t>
            </w:r>
            <w:r w:rsidR="00062A92">
              <w:t xml:space="preserve">   </w:t>
            </w:r>
            <w:r>
              <w:t xml:space="preserve"> (11.5)</w:t>
            </w:r>
          </w:p>
        </w:tc>
        <w:tc>
          <w:tcPr>
            <w:tcW w:w="698" w:type="pct"/>
          </w:tcPr>
          <w:p w:rsidR="00396C33" w:rsidRPr="00515E4B" w:rsidRDefault="00396C33" w:rsidP="00EC37B9">
            <w:pPr>
              <w:pStyle w:val="Tabletext"/>
              <w:spacing w:before="20" w:after="20"/>
              <w:jc w:val="right"/>
            </w:pPr>
            <w:r>
              <w:t>3</w:t>
            </w:r>
            <w:r w:rsidR="00062A92">
              <w:t xml:space="preserve">     </w:t>
            </w:r>
            <w:r>
              <w:t xml:space="preserve"> (5.1)</w:t>
            </w:r>
          </w:p>
        </w:tc>
        <w:tc>
          <w:tcPr>
            <w:tcW w:w="696" w:type="pct"/>
          </w:tcPr>
          <w:p w:rsidR="00396C33" w:rsidRPr="00700993" w:rsidRDefault="00396C33" w:rsidP="00EC37B9">
            <w:pPr>
              <w:pStyle w:val="Tabletext"/>
              <w:spacing w:before="20" w:after="20"/>
              <w:jc w:val="right"/>
            </w:pPr>
            <w:r>
              <w:t>6</w:t>
            </w:r>
            <w:r w:rsidR="00062A92">
              <w:t xml:space="preserve">     </w:t>
            </w:r>
            <w:r>
              <w:t xml:space="preserve"> (7.1)</w:t>
            </w:r>
          </w:p>
        </w:tc>
      </w:tr>
      <w:tr w:rsidR="000967E0" w:rsidRPr="00862AF9">
        <w:tc>
          <w:tcPr>
            <w:tcW w:w="817" w:type="pct"/>
            <w:tcBorders>
              <w:bottom w:val="single" w:sz="4" w:space="0" w:color="auto"/>
            </w:tcBorders>
          </w:tcPr>
          <w:p w:rsidR="000967E0" w:rsidRDefault="000967E0" w:rsidP="00DC6A77">
            <w:pPr>
              <w:pStyle w:val="Tabletext"/>
            </w:pPr>
            <w:r>
              <w:t>All</w:t>
            </w:r>
          </w:p>
        </w:tc>
        <w:tc>
          <w:tcPr>
            <w:tcW w:w="695" w:type="pct"/>
            <w:tcBorders>
              <w:bottom w:val="single" w:sz="4" w:space="0" w:color="auto"/>
            </w:tcBorders>
          </w:tcPr>
          <w:p w:rsidR="000967E0" w:rsidRDefault="006A3F27" w:rsidP="00FC5C47">
            <w:pPr>
              <w:pStyle w:val="Tabletext"/>
              <w:jc w:val="right"/>
            </w:pPr>
            <w:r>
              <w:t xml:space="preserve">115 </w:t>
            </w:r>
            <w:r w:rsidR="00062A92">
              <w:t xml:space="preserve"> </w:t>
            </w:r>
            <w:r>
              <w:t>(100.0)</w:t>
            </w:r>
          </w:p>
        </w:tc>
        <w:tc>
          <w:tcPr>
            <w:tcW w:w="696" w:type="pct"/>
            <w:tcBorders>
              <w:bottom w:val="single" w:sz="4" w:space="0" w:color="auto"/>
            </w:tcBorders>
          </w:tcPr>
          <w:p w:rsidR="000967E0" w:rsidRDefault="00C467F7" w:rsidP="00FC5C47">
            <w:pPr>
              <w:pStyle w:val="Tabletext"/>
              <w:jc w:val="right"/>
            </w:pPr>
            <w:r>
              <w:t>278</w:t>
            </w:r>
            <w:r w:rsidR="00062A92">
              <w:t xml:space="preserve"> </w:t>
            </w:r>
            <w:r>
              <w:t xml:space="preserve"> (100.0)</w:t>
            </w:r>
          </w:p>
        </w:tc>
        <w:tc>
          <w:tcPr>
            <w:tcW w:w="699" w:type="pct"/>
            <w:tcBorders>
              <w:bottom w:val="single" w:sz="4" w:space="0" w:color="auto"/>
            </w:tcBorders>
          </w:tcPr>
          <w:p w:rsidR="000967E0" w:rsidRDefault="006A3F27" w:rsidP="00FC5C47">
            <w:pPr>
              <w:pStyle w:val="Tabletext"/>
              <w:jc w:val="right"/>
            </w:pPr>
            <w:r>
              <w:t xml:space="preserve">395 </w:t>
            </w:r>
            <w:r w:rsidR="00062A92">
              <w:t xml:space="preserve"> </w:t>
            </w:r>
            <w:r>
              <w:t>(100.0)</w:t>
            </w:r>
          </w:p>
        </w:tc>
        <w:tc>
          <w:tcPr>
            <w:tcW w:w="699" w:type="pct"/>
            <w:tcBorders>
              <w:bottom w:val="single" w:sz="4" w:space="0" w:color="auto"/>
            </w:tcBorders>
          </w:tcPr>
          <w:p w:rsidR="000967E0" w:rsidRDefault="00C467F7" w:rsidP="00FC5C47">
            <w:pPr>
              <w:pStyle w:val="Tabletext"/>
              <w:jc w:val="right"/>
            </w:pPr>
            <w:r>
              <w:t>26</w:t>
            </w:r>
            <w:r w:rsidR="00062A92">
              <w:t xml:space="preserve"> </w:t>
            </w:r>
            <w:r>
              <w:t xml:space="preserve"> (100.0)</w:t>
            </w:r>
          </w:p>
        </w:tc>
        <w:tc>
          <w:tcPr>
            <w:tcW w:w="698" w:type="pct"/>
            <w:tcBorders>
              <w:bottom w:val="single" w:sz="4" w:space="0" w:color="auto"/>
            </w:tcBorders>
          </w:tcPr>
          <w:p w:rsidR="000967E0" w:rsidRDefault="00C467F7" w:rsidP="00062A92">
            <w:pPr>
              <w:pStyle w:val="Tabletext"/>
              <w:jc w:val="right"/>
            </w:pPr>
            <w:r>
              <w:t>59</w:t>
            </w:r>
            <w:r w:rsidR="00062A92">
              <w:t xml:space="preserve">  </w:t>
            </w:r>
            <w:r>
              <w:t>(100.0)</w:t>
            </w:r>
          </w:p>
        </w:tc>
        <w:tc>
          <w:tcPr>
            <w:tcW w:w="696" w:type="pct"/>
            <w:tcBorders>
              <w:bottom w:val="single" w:sz="4" w:space="0" w:color="auto"/>
            </w:tcBorders>
          </w:tcPr>
          <w:p w:rsidR="000967E0" w:rsidRDefault="006A3F27" w:rsidP="00FC5C47">
            <w:pPr>
              <w:pStyle w:val="Tabletext"/>
              <w:jc w:val="right"/>
            </w:pPr>
            <w:r>
              <w:t xml:space="preserve">85 </w:t>
            </w:r>
            <w:r w:rsidR="00062A92">
              <w:t xml:space="preserve"> </w:t>
            </w:r>
            <w:r>
              <w:t>(100.0)</w:t>
            </w:r>
          </w:p>
        </w:tc>
      </w:tr>
    </w:tbl>
    <w:p w:rsidR="00396C33" w:rsidRPr="000538CC" w:rsidRDefault="00396C33" w:rsidP="00396C33">
      <w:pPr>
        <w:pStyle w:val="Source"/>
      </w:pPr>
      <w:r w:rsidRPr="000538CC">
        <w:t xml:space="preserve">Notes: </w:t>
      </w:r>
      <w:r w:rsidRPr="000538CC">
        <w:tab/>
      </w:r>
      <w:r>
        <w:t>Percentages have been rounded.</w:t>
      </w:r>
    </w:p>
    <w:p w:rsidR="00396C33" w:rsidRPr="00E97F90" w:rsidRDefault="00396C33" w:rsidP="00EC37B9">
      <w:pPr>
        <w:pStyle w:val="Source"/>
        <w:spacing w:before="0"/>
        <w:ind w:left="1134"/>
      </w:pPr>
      <w:r>
        <w:rPr>
          <w:vertAlign w:val="superscript"/>
        </w:rPr>
        <w:t>(a</w:t>
      </w:r>
      <w:r w:rsidRPr="00E97F90">
        <w:rPr>
          <w:vertAlign w:val="superscript"/>
        </w:rPr>
        <w:t>)</w:t>
      </w:r>
      <w:r w:rsidRPr="00E97F90">
        <w:t>A</w:t>
      </w:r>
      <w:r>
        <w:t xml:space="preserve">verage of </w:t>
      </w:r>
      <w:r w:rsidRPr="00E97F90">
        <w:t>2.1 motives</w:t>
      </w:r>
      <w:r>
        <w:t xml:space="preserve"> cited</w:t>
      </w:r>
      <w:r w:rsidRPr="00E97F90">
        <w:t>.</w:t>
      </w:r>
    </w:p>
    <w:p w:rsidR="00396C33" w:rsidRPr="00E97F90" w:rsidRDefault="00396C33" w:rsidP="00EC37B9">
      <w:pPr>
        <w:pStyle w:val="Source"/>
        <w:spacing w:before="0"/>
        <w:ind w:left="1134"/>
      </w:pPr>
      <w:r>
        <w:rPr>
          <w:vertAlign w:val="superscript"/>
        </w:rPr>
        <w:t>(b</w:t>
      </w:r>
      <w:r w:rsidRPr="00E97F90">
        <w:rPr>
          <w:vertAlign w:val="superscript"/>
        </w:rPr>
        <w:t>)</w:t>
      </w:r>
      <w:r w:rsidRPr="00E97F90">
        <w:t>A</w:t>
      </w:r>
      <w:r>
        <w:t xml:space="preserve">verage of </w:t>
      </w:r>
      <w:r w:rsidRPr="00E97F90">
        <w:t>2.0 motives</w:t>
      </w:r>
      <w:r>
        <w:t xml:space="preserve"> cited</w:t>
      </w:r>
      <w:r w:rsidRPr="00E97F90">
        <w:t>.</w:t>
      </w:r>
    </w:p>
    <w:p w:rsidR="00396C33" w:rsidRDefault="00396C33" w:rsidP="00EC37B9">
      <w:pPr>
        <w:pStyle w:val="Source"/>
        <w:spacing w:before="0"/>
        <w:ind w:firstLine="0"/>
      </w:pPr>
      <w:r>
        <w:rPr>
          <w:vertAlign w:val="superscript"/>
        </w:rPr>
        <w:t>(c</w:t>
      </w:r>
      <w:r w:rsidRPr="00797632">
        <w:rPr>
          <w:vertAlign w:val="superscript"/>
        </w:rPr>
        <w:t>)</w:t>
      </w:r>
      <w:r>
        <w:t>Average of 2.0 motives cited</w:t>
      </w:r>
      <w:r w:rsidR="006D0364">
        <w:t xml:space="preserve"> and i</w:t>
      </w:r>
      <w:r>
        <w:t>ncludes participants with missing data on apprenticeship or traineeship level.</w:t>
      </w:r>
    </w:p>
    <w:p w:rsidR="00396C33" w:rsidRPr="00E97F90" w:rsidRDefault="00396C33" w:rsidP="00EC37B9">
      <w:pPr>
        <w:pStyle w:val="Source"/>
        <w:spacing w:before="0"/>
        <w:ind w:left="1134"/>
      </w:pPr>
      <w:r>
        <w:rPr>
          <w:vertAlign w:val="superscript"/>
        </w:rPr>
        <w:t>(d</w:t>
      </w:r>
      <w:r w:rsidRPr="00E97F90">
        <w:rPr>
          <w:vertAlign w:val="superscript"/>
        </w:rPr>
        <w:t>)</w:t>
      </w:r>
      <w:r w:rsidRPr="00E97F90">
        <w:t>A</w:t>
      </w:r>
      <w:r>
        <w:t xml:space="preserve">verage of </w:t>
      </w:r>
      <w:r w:rsidRPr="00E97F90">
        <w:t>2.</w:t>
      </w:r>
      <w:r>
        <w:t>5</w:t>
      </w:r>
      <w:r w:rsidRPr="00E97F90">
        <w:t xml:space="preserve"> motives</w:t>
      </w:r>
      <w:r>
        <w:t xml:space="preserve"> cited</w:t>
      </w:r>
      <w:r w:rsidRPr="00E97F90">
        <w:t>.</w:t>
      </w:r>
    </w:p>
    <w:p w:rsidR="00396C33" w:rsidRPr="00E97F90" w:rsidRDefault="00396C33" w:rsidP="00EC37B9">
      <w:pPr>
        <w:pStyle w:val="Source"/>
        <w:spacing w:before="0"/>
        <w:ind w:left="1134"/>
      </w:pPr>
      <w:r>
        <w:rPr>
          <w:vertAlign w:val="superscript"/>
        </w:rPr>
        <w:t>(e</w:t>
      </w:r>
      <w:r w:rsidRPr="00E97F90">
        <w:rPr>
          <w:vertAlign w:val="superscript"/>
        </w:rPr>
        <w:t>)</w:t>
      </w:r>
      <w:r w:rsidRPr="00E97F90">
        <w:t>A</w:t>
      </w:r>
      <w:r>
        <w:t>verage of 1</w:t>
      </w:r>
      <w:r w:rsidRPr="00E97F90">
        <w:t>.</w:t>
      </w:r>
      <w:r>
        <w:t>7</w:t>
      </w:r>
      <w:r w:rsidRPr="00E97F90">
        <w:t xml:space="preserve"> motives</w:t>
      </w:r>
      <w:r>
        <w:t xml:space="preserve"> cited</w:t>
      </w:r>
      <w:r w:rsidRPr="00E97F90">
        <w:t>.</w:t>
      </w:r>
    </w:p>
    <w:p w:rsidR="00396C33" w:rsidRDefault="00396C33" w:rsidP="00EC37B9">
      <w:pPr>
        <w:pStyle w:val="Source"/>
        <w:spacing w:before="0"/>
        <w:ind w:firstLine="0"/>
      </w:pPr>
      <w:r>
        <w:rPr>
          <w:vertAlign w:val="superscript"/>
        </w:rPr>
        <w:t>(f</w:t>
      </w:r>
      <w:r w:rsidRPr="00797632">
        <w:rPr>
          <w:vertAlign w:val="superscript"/>
        </w:rPr>
        <w:t>)</w:t>
      </w:r>
      <w:r>
        <w:t>Average of 2.0 motives cited.</w:t>
      </w:r>
    </w:p>
    <w:p w:rsidR="005750D7" w:rsidRDefault="005750D7" w:rsidP="00EC37B9">
      <w:pPr>
        <w:spacing w:before="0" w:line="240" w:lineRule="auto"/>
      </w:pPr>
      <w:r>
        <w:br w:type="page"/>
      </w:r>
    </w:p>
    <w:p w:rsidR="00690A42" w:rsidRDefault="00690A42" w:rsidP="00734FB5">
      <w:pPr>
        <w:pStyle w:val="Heading1"/>
      </w:pPr>
      <w:bookmarkStart w:id="55" w:name="_Toc350259309"/>
      <w:r w:rsidRPr="0046057A">
        <w:lastRenderedPageBreak/>
        <w:t>Barriers and facilitators</w:t>
      </w:r>
      <w:bookmarkEnd w:id="55"/>
      <w:r>
        <w:t xml:space="preserve"> </w:t>
      </w:r>
    </w:p>
    <w:p w:rsidR="00637B67" w:rsidRDefault="00637B67" w:rsidP="00637B67">
      <w:pPr>
        <w:pStyle w:val="Heading2"/>
      </w:pPr>
      <w:bookmarkStart w:id="56" w:name="_Toc350259310"/>
      <w:r>
        <w:t>Overview</w:t>
      </w:r>
      <w:bookmarkEnd w:id="56"/>
    </w:p>
    <w:p w:rsidR="00F07443" w:rsidRDefault="00061E4A" w:rsidP="003F09C8">
      <w:pPr>
        <w:pStyle w:val="Text"/>
      </w:pPr>
      <w:r>
        <w:t>I</w:t>
      </w:r>
      <w:r w:rsidR="00CE1574" w:rsidRPr="00CE1574">
        <w:t>dentify</w:t>
      </w:r>
      <w:r>
        <w:t>ing</w:t>
      </w:r>
      <w:r w:rsidR="000D2B96" w:rsidRPr="00CE1574">
        <w:t xml:space="preserve"> the barriers and facilitators </w:t>
      </w:r>
      <w:r w:rsidR="003F09C8">
        <w:t>affecting</w:t>
      </w:r>
      <w:r w:rsidR="000D2B96" w:rsidRPr="00CE1574">
        <w:t xml:space="preserve"> course completion</w:t>
      </w:r>
      <w:r w:rsidR="00CE1574" w:rsidRPr="00CE1574">
        <w:t xml:space="preserve"> </w:t>
      </w:r>
      <w:r>
        <w:t>is important since this will</w:t>
      </w:r>
      <w:r w:rsidR="00CE1574" w:rsidRPr="00CE1574">
        <w:t xml:space="preserve"> enable</w:t>
      </w:r>
      <w:r>
        <w:t xml:space="preserve"> the provision of</w:t>
      </w:r>
      <w:r w:rsidR="00CE1574" w:rsidRPr="00CE1574">
        <w:t xml:space="preserve"> more targeted support</w:t>
      </w:r>
      <w:r>
        <w:t>. Important also</w:t>
      </w:r>
      <w:r w:rsidR="00CE1574" w:rsidRPr="00CE1574">
        <w:t xml:space="preserve"> </w:t>
      </w:r>
      <w:r>
        <w:t xml:space="preserve">is </w:t>
      </w:r>
      <w:r w:rsidR="004C5A63">
        <w:t>address</w:t>
      </w:r>
      <w:r>
        <w:t>ing</w:t>
      </w:r>
      <w:r w:rsidR="00CE1574" w:rsidRPr="00CE1574">
        <w:t xml:space="preserve"> </w:t>
      </w:r>
      <w:r>
        <w:t xml:space="preserve">the </w:t>
      </w:r>
      <w:r w:rsidR="00CE1574" w:rsidRPr="00CE1574">
        <w:t xml:space="preserve">inhibiting structures that preclude a large proportion of enrolled apprentices and </w:t>
      </w:r>
      <w:r w:rsidR="00CE1574" w:rsidRPr="00A13CB4">
        <w:t xml:space="preserve">trainees from graduating. </w:t>
      </w:r>
      <w:r w:rsidR="006242F5">
        <w:t xml:space="preserve">Enhancing the completion rates </w:t>
      </w:r>
      <w:r w:rsidR="006242F5" w:rsidRPr="006242F5">
        <w:t xml:space="preserve">of </w:t>
      </w:r>
      <w:r w:rsidR="000D2B96" w:rsidRPr="006242F5">
        <w:t>equity groups</w:t>
      </w:r>
      <w:r w:rsidR="00862D36">
        <w:t>,</w:t>
      </w:r>
      <w:r w:rsidR="000D2B96" w:rsidRPr="006242F5">
        <w:t xml:space="preserve"> such as people with disabilities</w:t>
      </w:r>
      <w:r w:rsidR="00862D36">
        <w:t>,</w:t>
      </w:r>
      <w:r w:rsidR="006242F5" w:rsidRPr="006242F5">
        <w:t xml:space="preserve"> will</w:t>
      </w:r>
      <w:r w:rsidR="006D12D0">
        <w:t xml:space="preserve"> address some of the significant disadvantages </w:t>
      </w:r>
      <w:r w:rsidR="003F09C8">
        <w:t>they</w:t>
      </w:r>
      <w:r w:rsidR="006D12D0">
        <w:t xml:space="preserve"> experienc</w:t>
      </w:r>
      <w:r w:rsidR="00A13CB4">
        <w:t>e across employment</w:t>
      </w:r>
      <w:r w:rsidR="006D12D0" w:rsidRPr="00862A73">
        <w:t>,</w:t>
      </w:r>
      <w:r w:rsidR="00A13CB4" w:rsidRPr="00862A73">
        <w:t xml:space="preserve"> income</w:t>
      </w:r>
      <w:r w:rsidR="006D12D0">
        <w:t xml:space="preserve">, social inclusion </w:t>
      </w:r>
      <w:r w:rsidR="006D12D0" w:rsidRPr="00A4683A">
        <w:t>and wellbeing (</w:t>
      </w:r>
      <w:r w:rsidR="00F716D2">
        <w:t>National VET Equity Advisory Council</w:t>
      </w:r>
      <w:r w:rsidR="00862A73" w:rsidRPr="00A4683A">
        <w:t xml:space="preserve"> 2011)</w:t>
      </w:r>
      <w:r>
        <w:t xml:space="preserve"> and</w:t>
      </w:r>
      <w:r w:rsidR="006D12D0">
        <w:t xml:space="preserve"> wil</w:t>
      </w:r>
      <w:r>
        <w:t xml:space="preserve">l also lead to significant cost </w:t>
      </w:r>
      <w:r w:rsidR="006D12D0">
        <w:t xml:space="preserve">savings for the government through reduced social welfare payments and increased tax </w:t>
      </w:r>
      <w:r w:rsidR="00862A73" w:rsidRPr="00862A73">
        <w:t>revenue</w:t>
      </w:r>
      <w:r w:rsidR="00862A73">
        <w:t xml:space="preserve"> as employment prospects improve (OECD 2003, 2007, 2010, 2012)</w:t>
      </w:r>
      <w:r w:rsidR="006D12D0">
        <w:t>.</w:t>
      </w:r>
    </w:p>
    <w:p w:rsidR="00D47965" w:rsidRDefault="005425FF" w:rsidP="003F09C8">
      <w:pPr>
        <w:pStyle w:val="Text"/>
      </w:pPr>
      <w:r>
        <w:t>Among the research participants</w:t>
      </w:r>
      <w:r w:rsidR="00A928AA">
        <w:t>,</w:t>
      </w:r>
      <w:r w:rsidR="000F20BA">
        <w:t xml:space="preserve"> 83.2% </w:t>
      </w:r>
      <w:r w:rsidR="00FF0231">
        <w:t xml:space="preserve">of graduates with disabilities </w:t>
      </w:r>
      <w:r w:rsidR="000F20BA">
        <w:t xml:space="preserve">reported at least one barrier </w:t>
      </w:r>
      <w:r w:rsidR="00F638D7">
        <w:t xml:space="preserve">to completion of their course </w:t>
      </w:r>
      <w:r w:rsidR="00FF0231">
        <w:t xml:space="preserve">compared </w:t>
      </w:r>
      <w:r w:rsidR="00061E4A">
        <w:t>with</w:t>
      </w:r>
      <w:r w:rsidR="00FF0231">
        <w:t xml:space="preserve"> 80.0%</w:t>
      </w:r>
      <w:r w:rsidR="00061E4A">
        <w:t xml:space="preserve"> of graduates without disabilities</w:t>
      </w:r>
      <w:r w:rsidR="00637B67">
        <w:t xml:space="preserve">. It is unknown </w:t>
      </w:r>
      <w:r w:rsidR="003F09C8">
        <w:t>whether</w:t>
      </w:r>
      <w:r w:rsidR="00637B67">
        <w:t xml:space="preserve"> participants who did not respond to this question experienced any barriers to course completion. The reported barriers have been summarised across five themes</w:t>
      </w:r>
      <w:r w:rsidR="003118E9">
        <w:t>, as presented in table 7; these have</w:t>
      </w:r>
      <w:r w:rsidR="00637B67">
        <w:t xml:space="preserve"> also been use</w:t>
      </w:r>
      <w:r w:rsidR="003118E9">
        <w:t>d to summarise facilitators in t</w:t>
      </w:r>
      <w:r w:rsidR="00637B67">
        <w:t xml:space="preserve">able 8. Among research participants, </w:t>
      </w:r>
      <w:r w:rsidR="006C3EFC">
        <w:t xml:space="preserve">93.8% of graduates with disabilities reported at least one facilitator compared with 92.9% of </w:t>
      </w:r>
      <w:r w:rsidR="00637B67">
        <w:t xml:space="preserve">participants without </w:t>
      </w:r>
      <w:r w:rsidR="003118E9">
        <w:t xml:space="preserve">a </w:t>
      </w:r>
      <w:r w:rsidR="00637B67">
        <w:t>disa</w:t>
      </w:r>
      <w:r w:rsidR="00637B67" w:rsidRPr="00637B67">
        <w:t xml:space="preserve">bility. </w:t>
      </w:r>
      <w:r w:rsidR="00637B67">
        <w:t>B</w:t>
      </w:r>
      <w:r w:rsidR="00637B67" w:rsidRPr="00637B67">
        <w:t xml:space="preserve">arriers and facilitators </w:t>
      </w:r>
      <w:r w:rsidR="003118E9">
        <w:t>have been cross-</w:t>
      </w:r>
      <w:r w:rsidR="00637B67">
        <w:t>coded to additional theme/s w</w:t>
      </w:r>
      <w:r w:rsidR="00F638D7">
        <w:t>h</w:t>
      </w:r>
      <w:r w:rsidR="00637B67">
        <w:t>ere appropriate</w:t>
      </w:r>
      <w:r w:rsidR="003118E9">
        <w:t xml:space="preserve"> and so the percentages in t</w:t>
      </w:r>
      <w:r w:rsidR="00F91592">
        <w:t>ables 7 and 8 are calculated</w:t>
      </w:r>
      <w:r w:rsidR="003F09C8">
        <w:t xml:space="preserve"> according to</w:t>
      </w:r>
      <w:r w:rsidR="00F91592">
        <w:t xml:space="preserve"> the total number of responses to the respective questions rather than the total number of participants in each group.</w:t>
      </w:r>
      <w:r w:rsidR="00637B67">
        <w:t xml:space="preserve"> In total, </w:t>
      </w:r>
      <w:r w:rsidR="003B5334">
        <w:t xml:space="preserve">the </w:t>
      </w:r>
      <w:r w:rsidR="00637B67">
        <w:t>graduates with disabilities reported</w:t>
      </w:r>
      <w:r w:rsidR="00817663" w:rsidRPr="00D47965">
        <w:t xml:space="preserve"> 844</w:t>
      </w:r>
      <w:r w:rsidR="00FF0231" w:rsidRPr="00D47965">
        <w:t xml:space="preserve"> </w:t>
      </w:r>
      <w:r w:rsidR="000D5D10">
        <w:t xml:space="preserve">barriers </w:t>
      </w:r>
      <w:r w:rsidR="00817663" w:rsidRPr="00D47965">
        <w:t xml:space="preserve">(average of 2.5 per respondent) compared with 161 barriers </w:t>
      </w:r>
      <w:r w:rsidR="00D80780">
        <w:t>reported by</w:t>
      </w:r>
      <w:r w:rsidR="003118E9">
        <w:t xml:space="preserve"> graduates without disabilities</w:t>
      </w:r>
      <w:r w:rsidR="00817663" w:rsidRPr="00D47965">
        <w:t xml:space="preserve"> (average of 2.3)</w:t>
      </w:r>
      <w:r w:rsidR="00637B67">
        <w:t xml:space="preserve">. </w:t>
      </w:r>
      <w:r w:rsidR="00012835">
        <w:t>There were</w:t>
      </w:r>
      <w:r w:rsidR="003118E9">
        <w:t xml:space="preserve"> 1</w:t>
      </w:r>
      <w:r w:rsidR="00817663" w:rsidRPr="00D47965">
        <w:t xml:space="preserve">061 facilitators </w:t>
      </w:r>
      <w:r w:rsidR="00012835">
        <w:t xml:space="preserve">identified by disability group participants </w:t>
      </w:r>
      <w:r w:rsidR="00817663" w:rsidRPr="00D47965">
        <w:t xml:space="preserve">(average of 2.8) compared with 209 facilitators </w:t>
      </w:r>
      <w:r w:rsidR="00012835">
        <w:t>in the comparison group</w:t>
      </w:r>
      <w:r w:rsidR="00817663" w:rsidRPr="00D47965">
        <w:t xml:space="preserve"> (average of 2.6). </w:t>
      </w:r>
    </w:p>
    <w:p w:rsidR="00862D36" w:rsidRDefault="00862D36" w:rsidP="000F20BA">
      <w:pPr>
        <w:pStyle w:val="Text"/>
      </w:pPr>
      <w:r>
        <w:t xml:space="preserve">It should be noted that only a small proportion of participants explicitly stated that there were no barriers to course completion. However, the proportion of participants in the comparison group reporting no </w:t>
      </w:r>
      <w:proofErr w:type="gramStart"/>
      <w:r>
        <w:t>barriers was</w:t>
      </w:r>
      <w:proofErr w:type="gramEnd"/>
      <w:r>
        <w:t xml:space="preserve"> almost double that of the proportion of participants in the disability group.</w:t>
      </w:r>
    </w:p>
    <w:p w:rsidR="000F20BA" w:rsidRDefault="003B5334" w:rsidP="000F20BA">
      <w:pPr>
        <w:pStyle w:val="tabletitle"/>
      </w:pPr>
      <w:bookmarkStart w:id="57" w:name="_Toc350259531"/>
      <w:r>
        <w:t>Table 7</w:t>
      </w:r>
      <w:r>
        <w:tab/>
        <w:t>Barriers to</w:t>
      </w:r>
      <w:r w:rsidR="000F20BA" w:rsidRPr="008473DF">
        <w:t xml:space="preserve"> course completion</w:t>
      </w:r>
      <w:bookmarkEnd w:id="5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3"/>
        <w:gridCol w:w="2289"/>
        <w:gridCol w:w="2291"/>
      </w:tblGrid>
      <w:tr w:rsidR="000F20BA" w:rsidRPr="00DA5451" w:rsidTr="0060201A">
        <w:trPr>
          <w:trHeight w:val="300"/>
        </w:trPr>
        <w:tc>
          <w:tcPr>
            <w:tcW w:w="2501" w:type="pct"/>
            <w:tcBorders>
              <w:top w:val="single" w:sz="4" w:space="0" w:color="auto"/>
            </w:tcBorders>
          </w:tcPr>
          <w:p w:rsidR="000F20BA" w:rsidRPr="00FC5C47" w:rsidRDefault="0085763E" w:rsidP="00FC5C47">
            <w:pPr>
              <w:pStyle w:val="Tablehead1"/>
            </w:pPr>
            <w:r w:rsidRPr="00FC5C47">
              <w:t>Theme</w:t>
            </w:r>
          </w:p>
        </w:tc>
        <w:tc>
          <w:tcPr>
            <w:tcW w:w="1249" w:type="pct"/>
            <w:tcBorders>
              <w:top w:val="single" w:sz="4" w:space="0" w:color="auto"/>
            </w:tcBorders>
            <w:tcMar>
              <w:right w:w="51" w:type="dxa"/>
            </w:tcMar>
          </w:tcPr>
          <w:p w:rsidR="000F20BA" w:rsidRPr="00FC5C47" w:rsidRDefault="000F20BA" w:rsidP="00FC5C47">
            <w:pPr>
              <w:pStyle w:val="Tablehead1"/>
              <w:jc w:val="right"/>
              <w:rPr>
                <w:bCs/>
              </w:rPr>
            </w:pPr>
            <w:r w:rsidRPr="00FC5C47">
              <w:rPr>
                <w:bCs/>
              </w:rPr>
              <w:t>Disability group</w:t>
            </w:r>
          </w:p>
        </w:tc>
        <w:tc>
          <w:tcPr>
            <w:tcW w:w="1250" w:type="pct"/>
            <w:tcBorders>
              <w:top w:val="single" w:sz="4" w:space="0" w:color="auto"/>
            </w:tcBorders>
            <w:tcMar>
              <w:right w:w="125" w:type="dxa"/>
            </w:tcMar>
          </w:tcPr>
          <w:p w:rsidR="000F20BA" w:rsidRPr="00FC5C47" w:rsidRDefault="000F20BA" w:rsidP="00FC5C47">
            <w:pPr>
              <w:pStyle w:val="Tablehead1"/>
              <w:jc w:val="right"/>
              <w:rPr>
                <w:bCs/>
              </w:rPr>
            </w:pPr>
            <w:r w:rsidRPr="00FC5C47">
              <w:rPr>
                <w:bCs/>
              </w:rPr>
              <w:t>Comparison group</w:t>
            </w:r>
          </w:p>
        </w:tc>
      </w:tr>
      <w:tr w:rsidR="0085763E" w:rsidRPr="00DA5451" w:rsidTr="0060201A">
        <w:trPr>
          <w:trHeight w:val="58"/>
        </w:trPr>
        <w:tc>
          <w:tcPr>
            <w:tcW w:w="2501" w:type="pct"/>
            <w:tcBorders>
              <w:bottom w:val="single" w:sz="4" w:space="0" w:color="auto"/>
            </w:tcBorders>
          </w:tcPr>
          <w:p w:rsidR="0085763E" w:rsidRPr="00DA5451" w:rsidRDefault="0085763E" w:rsidP="0085763E">
            <w:pPr>
              <w:pStyle w:val="Tablehead2"/>
              <w:jc w:val="center"/>
              <w:rPr>
                <w:bCs/>
              </w:rPr>
            </w:pPr>
          </w:p>
        </w:tc>
        <w:tc>
          <w:tcPr>
            <w:tcW w:w="1249" w:type="pct"/>
            <w:tcBorders>
              <w:bottom w:val="single" w:sz="4" w:space="0" w:color="auto"/>
            </w:tcBorders>
            <w:tcMar>
              <w:right w:w="51" w:type="dxa"/>
            </w:tcMar>
          </w:tcPr>
          <w:p w:rsidR="0085763E" w:rsidRPr="00871AB4" w:rsidRDefault="0085763E" w:rsidP="00DE6764">
            <w:pPr>
              <w:pStyle w:val="Tablehead2"/>
              <w:ind w:right="122"/>
              <w:jc w:val="right"/>
              <w:rPr>
                <w:bCs/>
              </w:rPr>
            </w:pPr>
            <w:proofErr w:type="gramStart"/>
            <w:r w:rsidRPr="00871AB4">
              <w:rPr>
                <w:bCs/>
              </w:rPr>
              <w:t>n</w:t>
            </w:r>
            <w:proofErr w:type="gramEnd"/>
            <w:r w:rsidRPr="00871AB4">
              <w:rPr>
                <w:bCs/>
              </w:rPr>
              <w:t xml:space="preserve"> </w:t>
            </w:r>
            <w:r w:rsidR="00DE6764">
              <w:rPr>
                <w:bCs/>
              </w:rPr>
              <w:t xml:space="preserve">     </w:t>
            </w:r>
            <w:r w:rsidRPr="00871AB4">
              <w:rPr>
                <w:bCs/>
              </w:rPr>
              <w:t>(%)</w:t>
            </w:r>
          </w:p>
        </w:tc>
        <w:tc>
          <w:tcPr>
            <w:tcW w:w="1250" w:type="pct"/>
            <w:tcBorders>
              <w:bottom w:val="single" w:sz="4" w:space="0" w:color="auto"/>
            </w:tcBorders>
            <w:tcMar>
              <w:right w:w="125" w:type="dxa"/>
            </w:tcMar>
          </w:tcPr>
          <w:p w:rsidR="0085763E" w:rsidRDefault="0085763E" w:rsidP="00FC5C47">
            <w:pPr>
              <w:pStyle w:val="Tablehead2"/>
              <w:jc w:val="right"/>
              <w:rPr>
                <w:bCs/>
              </w:rPr>
            </w:pPr>
            <w:proofErr w:type="gramStart"/>
            <w:r>
              <w:rPr>
                <w:bCs/>
              </w:rPr>
              <w:t>n</w:t>
            </w:r>
            <w:proofErr w:type="gramEnd"/>
            <w:r>
              <w:rPr>
                <w:bCs/>
              </w:rPr>
              <w:t xml:space="preserve"> </w:t>
            </w:r>
            <w:r w:rsidR="00B52516">
              <w:rPr>
                <w:bCs/>
              </w:rPr>
              <w:t xml:space="preserve">      </w:t>
            </w:r>
            <w:r>
              <w:rPr>
                <w:bCs/>
              </w:rPr>
              <w:t>(%)</w:t>
            </w:r>
          </w:p>
        </w:tc>
      </w:tr>
      <w:tr w:rsidR="00FF06A4" w:rsidRPr="00C53612">
        <w:tc>
          <w:tcPr>
            <w:tcW w:w="2501" w:type="pct"/>
          </w:tcPr>
          <w:p w:rsidR="00FF06A4" w:rsidRPr="00C53612" w:rsidRDefault="00FF06A4" w:rsidP="00FF06A4">
            <w:pPr>
              <w:pStyle w:val="Tabletext"/>
            </w:pPr>
            <w:r>
              <w:t>Lack of resources</w:t>
            </w:r>
          </w:p>
        </w:tc>
        <w:tc>
          <w:tcPr>
            <w:tcW w:w="1249" w:type="pct"/>
            <w:vAlign w:val="center"/>
          </w:tcPr>
          <w:p w:rsidR="00FF06A4" w:rsidRPr="00871AB4" w:rsidRDefault="00373E92" w:rsidP="00373E92">
            <w:pPr>
              <w:pStyle w:val="Tabletext"/>
              <w:tabs>
                <w:tab w:val="right" w:pos="1450"/>
                <w:tab w:val="right" w:pos="2017"/>
              </w:tabs>
            </w:pPr>
            <w:r>
              <w:tab/>
            </w:r>
            <w:r w:rsidR="00FF06A4" w:rsidRPr="00871AB4">
              <w:t>182</w:t>
            </w:r>
            <w:r>
              <w:tab/>
            </w:r>
            <w:r w:rsidR="00FF06A4" w:rsidRPr="00871AB4">
              <w:t>(49.3)</w:t>
            </w:r>
          </w:p>
        </w:tc>
        <w:tc>
          <w:tcPr>
            <w:tcW w:w="1250" w:type="pct"/>
            <w:vAlign w:val="center"/>
          </w:tcPr>
          <w:p w:rsidR="00FF06A4" w:rsidRPr="00871AB4" w:rsidRDefault="00373E92" w:rsidP="00373E92">
            <w:pPr>
              <w:pStyle w:val="Tabletext"/>
              <w:tabs>
                <w:tab w:val="right" w:pos="1469"/>
                <w:tab w:val="right" w:pos="2035"/>
              </w:tabs>
            </w:pPr>
            <w:r>
              <w:tab/>
            </w:r>
            <w:r w:rsidR="00FF06A4" w:rsidRPr="00871AB4">
              <w:t>51</w:t>
            </w:r>
            <w:r>
              <w:tab/>
            </w:r>
            <w:r w:rsidR="00FF06A4" w:rsidRPr="00871AB4">
              <w:t>(62.2)</w:t>
            </w:r>
          </w:p>
        </w:tc>
      </w:tr>
      <w:tr w:rsidR="000F20BA" w:rsidRPr="00C53612">
        <w:tc>
          <w:tcPr>
            <w:tcW w:w="2501" w:type="pct"/>
          </w:tcPr>
          <w:p w:rsidR="000F20BA" w:rsidRPr="00C53612" w:rsidRDefault="001D30D0" w:rsidP="00C96FAA">
            <w:pPr>
              <w:pStyle w:val="Tabletext"/>
            </w:pPr>
            <w:r>
              <w:t>Impact of disability, health</w:t>
            </w:r>
            <w:r w:rsidR="00134296">
              <w:t>,</w:t>
            </w:r>
            <w:r>
              <w:t xml:space="preserve"> and injury</w:t>
            </w:r>
          </w:p>
        </w:tc>
        <w:tc>
          <w:tcPr>
            <w:tcW w:w="1249" w:type="pct"/>
            <w:vAlign w:val="center"/>
          </w:tcPr>
          <w:p w:rsidR="000F20BA" w:rsidRPr="00871AB4" w:rsidRDefault="00373E92" w:rsidP="00373E92">
            <w:pPr>
              <w:pStyle w:val="Tabletext"/>
              <w:tabs>
                <w:tab w:val="right" w:pos="1450"/>
                <w:tab w:val="right" w:pos="2017"/>
              </w:tabs>
            </w:pPr>
            <w:r>
              <w:tab/>
            </w:r>
            <w:r w:rsidR="0085763E" w:rsidRPr="00871AB4">
              <w:t>168</w:t>
            </w:r>
            <w:r>
              <w:tab/>
            </w:r>
            <w:r w:rsidR="00031275" w:rsidRPr="00871AB4">
              <w:t>(</w:t>
            </w:r>
            <w:r w:rsidR="00871AB4" w:rsidRPr="00871AB4">
              <w:t>45.5</w:t>
            </w:r>
            <w:r w:rsidR="00031275" w:rsidRPr="00871AB4">
              <w:t>)</w:t>
            </w:r>
          </w:p>
        </w:tc>
        <w:tc>
          <w:tcPr>
            <w:tcW w:w="1250" w:type="pct"/>
            <w:vAlign w:val="center"/>
          </w:tcPr>
          <w:p w:rsidR="000F20BA" w:rsidRPr="00871AB4" w:rsidRDefault="00373E92" w:rsidP="00373E92">
            <w:pPr>
              <w:pStyle w:val="Tabletext"/>
              <w:tabs>
                <w:tab w:val="right" w:pos="1469"/>
                <w:tab w:val="right" w:pos="2035"/>
              </w:tabs>
            </w:pPr>
            <w:r>
              <w:tab/>
            </w:r>
            <w:r w:rsidR="0085763E" w:rsidRPr="00871AB4">
              <w:t>5</w:t>
            </w:r>
            <w:r>
              <w:tab/>
            </w:r>
            <w:r w:rsidR="004043CA" w:rsidRPr="00871AB4">
              <w:t>(</w:t>
            </w:r>
            <w:r w:rsidR="00871AB4" w:rsidRPr="00871AB4">
              <w:t>6.1</w:t>
            </w:r>
            <w:r w:rsidR="004043CA" w:rsidRPr="00871AB4">
              <w:t>)</w:t>
            </w:r>
          </w:p>
        </w:tc>
      </w:tr>
      <w:tr w:rsidR="000F20BA" w:rsidRPr="00C53612">
        <w:tc>
          <w:tcPr>
            <w:tcW w:w="2501" w:type="pct"/>
          </w:tcPr>
          <w:p w:rsidR="000F20BA" w:rsidRPr="00C53612" w:rsidRDefault="001D30D0" w:rsidP="00C96FAA">
            <w:pPr>
              <w:pStyle w:val="Tabletext"/>
            </w:pPr>
            <w:r>
              <w:t>Employment factors</w:t>
            </w:r>
          </w:p>
        </w:tc>
        <w:tc>
          <w:tcPr>
            <w:tcW w:w="1249" w:type="pct"/>
            <w:vAlign w:val="center"/>
          </w:tcPr>
          <w:p w:rsidR="000F20BA" w:rsidRPr="00871AB4" w:rsidRDefault="00373E92" w:rsidP="00373E92">
            <w:pPr>
              <w:pStyle w:val="Tabletext"/>
              <w:tabs>
                <w:tab w:val="right" w:pos="1450"/>
                <w:tab w:val="right" w:pos="2017"/>
              </w:tabs>
            </w:pPr>
            <w:r>
              <w:tab/>
            </w:r>
            <w:r w:rsidR="0085763E" w:rsidRPr="00871AB4">
              <w:t>117</w:t>
            </w:r>
            <w:r>
              <w:tab/>
            </w:r>
            <w:r w:rsidR="00031275" w:rsidRPr="00871AB4">
              <w:t>(</w:t>
            </w:r>
            <w:r w:rsidR="00871AB4" w:rsidRPr="00871AB4">
              <w:t>31.7</w:t>
            </w:r>
            <w:r w:rsidR="00031275" w:rsidRPr="00871AB4">
              <w:t>)</w:t>
            </w:r>
          </w:p>
        </w:tc>
        <w:tc>
          <w:tcPr>
            <w:tcW w:w="1250" w:type="pct"/>
            <w:vAlign w:val="center"/>
          </w:tcPr>
          <w:p w:rsidR="000F20BA" w:rsidRPr="00871AB4" w:rsidRDefault="00373E92" w:rsidP="00373E92">
            <w:pPr>
              <w:pStyle w:val="Tabletext"/>
              <w:tabs>
                <w:tab w:val="right" w:pos="1469"/>
                <w:tab w:val="right" w:pos="2035"/>
              </w:tabs>
            </w:pPr>
            <w:r>
              <w:tab/>
            </w:r>
            <w:r w:rsidR="0085763E" w:rsidRPr="00871AB4">
              <w:t>14</w:t>
            </w:r>
            <w:r>
              <w:tab/>
            </w:r>
            <w:r w:rsidR="004043CA" w:rsidRPr="00871AB4">
              <w:t>(</w:t>
            </w:r>
            <w:r w:rsidR="00871AB4" w:rsidRPr="00871AB4">
              <w:t>17.1</w:t>
            </w:r>
            <w:r w:rsidR="004043CA" w:rsidRPr="00871AB4">
              <w:t>)</w:t>
            </w:r>
          </w:p>
        </w:tc>
      </w:tr>
      <w:tr w:rsidR="000F20BA" w:rsidRPr="00C53612">
        <w:tc>
          <w:tcPr>
            <w:tcW w:w="2501" w:type="pct"/>
          </w:tcPr>
          <w:p w:rsidR="000F20BA" w:rsidRPr="00C53612" w:rsidRDefault="001D30D0" w:rsidP="00C96FAA">
            <w:pPr>
              <w:pStyle w:val="Tabletext"/>
            </w:pPr>
            <w:r>
              <w:t>Training and education factors</w:t>
            </w:r>
          </w:p>
        </w:tc>
        <w:tc>
          <w:tcPr>
            <w:tcW w:w="1249" w:type="pct"/>
            <w:vAlign w:val="center"/>
          </w:tcPr>
          <w:p w:rsidR="000F20BA" w:rsidRPr="00871AB4" w:rsidRDefault="00373E92" w:rsidP="00373E92">
            <w:pPr>
              <w:pStyle w:val="Tabletext"/>
              <w:tabs>
                <w:tab w:val="right" w:pos="1450"/>
                <w:tab w:val="right" w:pos="2017"/>
              </w:tabs>
            </w:pPr>
            <w:r>
              <w:tab/>
            </w:r>
            <w:r w:rsidR="0085763E" w:rsidRPr="00871AB4">
              <w:t>107</w:t>
            </w:r>
            <w:r>
              <w:tab/>
            </w:r>
            <w:r w:rsidR="00031275" w:rsidRPr="00871AB4">
              <w:t>(</w:t>
            </w:r>
            <w:r w:rsidR="00871AB4" w:rsidRPr="00871AB4">
              <w:t>30.0</w:t>
            </w:r>
            <w:r w:rsidR="00031275" w:rsidRPr="00871AB4">
              <w:t>)</w:t>
            </w:r>
          </w:p>
        </w:tc>
        <w:tc>
          <w:tcPr>
            <w:tcW w:w="1250" w:type="pct"/>
            <w:vAlign w:val="center"/>
          </w:tcPr>
          <w:p w:rsidR="000F20BA" w:rsidRPr="00871AB4" w:rsidRDefault="00373E92" w:rsidP="00373E92">
            <w:pPr>
              <w:pStyle w:val="Tabletext"/>
              <w:tabs>
                <w:tab w:val="right" w:pos="1469"/>
                <w:tab w:val="right" w:pos="2035"/>
              </w:tabs>
            </w:pPr>
            <w:r>
              <w:tab/>
            </w:r>
            <w:r w:rsidR="0085763E" w:rsidRPr="00871AB4">
              <w:t>26</w:t>
            </w:r>
            <w:r>
              <w:tab/>
            </w:r>
            <w:r w:rsidR="004043CA" w:rsidRPr="00871AB4">
              <w:t>(</w:t>
            </w:r>
            <w:r w:rsidR="00871AB4" w:rsidRPr="00871AB4">
              <w:t>31.7</w:t>
            </w:r>
            <w:r w:rsidR="004043CA" w:rsidRPr="00871AB4">
              <w:t>)</w:t>
            </w:r>
          </w:p>
        </w:tc>
      </w:tr>
      <w:tr w:rsidR="000F20BA" w:rsidRPr="00C53612">
        <w:tc>
          <w:tcPr>
            <w:tcW w:w="2501" w:type="pct"/>
          </w:tcPr>
          <w:p w:rsidR="000F20BA" w:rsidRPr="00C53612" w:rsidRDefault="00375ABF" w:rsidP="0085763E">
            <w:pPr>
              <w:pStyle w:val="Tabletext"/>
            </w:pPr>
            <w:r>
              <w:t>Negative</w:t>
            </w:r>
            <w:r w:rsidR="007137BE">
              <w:t xml:space="preserve"> motivations,</w:t>
            </w:r>
            <w:r w:rsidR="001D30D0">
              <w:t xml:space="preserve"> experience, and networks</w:t>
            </w:r>
          </w:p>
        </w:tc>
        <w:tc>
          <w:tcPr>
            <w:tcW w:w="1249" w:type="pct"/>
            <w:vAlign w:val="center"/>
          </w:tcPr>
          <w:p w:rsidR="000F20BA" w:rsidRPr="00871AB4" w:rsidRDefault="00373E92" w:rsidP="00373E92">
            <w:pPr>
              <w:pStyle w:val="Tabletext"/>
              <w:tabs>
                <w:tab w:val="right" w:pos="1450"/>
                <w:tab w:val="right" w:pos="2017"/>
              </w:tabs>
            </w:pPr>
            <w:r>
              <w:tab/>
            </w:r>
            <w:r w:rsidR="0085763E" w:rsidRPr="00871AB4">
              <w:t>74</w:t>
            </w:r>
            <w:r>
              <w:tab/>
            </w:r>
            <w:r w:rsidR="00031275" w:rsidRPr="00871AB4">
              <w:t>(</w:t>
            </w:r>
            <w:r w:rsidR="00871AB4" w:rsidRPr="00871AB4">
              <w:t>20.1</w:t>
            </w:r>
            <w:r w:rsidR="00031275" w:rsidRPr="00871AB4">
              <w:t>)</w:t>
            </w:r>
          </w:p>
        </w:tc>
        <w:tc>
          <w:tcPr>
            <w:tcW w:w="1250" w:type="pct"/>
            <w:vAlign w:val="center"/>
          </w:tcPr>
          <w:p w:rsidR="000F20BA" w:rsidRPr="00871AB4" w:rsidRDefault="00373E92" w:rsidP="00373E92">
            <w:pPr>
              <w:pStyle w:val="Tabletext"/>
              <w:tabs>
                <w:tab w:val="right" w:pos="1469"/>
                <w:tab w:val="right" w:pos="2035"/>
              </w:tabs>
            </w:pPr>
            <w:r>
              <w:tab/>
            </w:r>
            <w:r w:rsidR="0085763E" w:rsidRPr="00871AB4">
              <w:t>21</w:t>
            </w:r>
            <w:r>
              <w:tab/>
            </w:r>
            <w:r w:rsidR="004043CA" w:rsidRPr="00871AB4">
              <w:t>(</w:t>
            </w:r>
            <w:r w:rsidR="00871AB4" w:rsidRPr="00871AB4">
              <w:t>25.6</w:t>
            </w:r>
            <w:r w:rsidR="004043CA" w:rsidRPr="00871AB4">
              <w:t>)</w:t>
            </w:r>
          </w:p>
        </w:tc>
      </w:tr>
      <w:tr w:rsidR="0085763E" w:rsidRPr="00C53612">
        <w:tc>
          <w:tcPr>
            <w:tcW w:w="2501" w:type="pct"/>
          </w:tcPr>
          <w:p w:rsidR="0085763E" w:rsidRDefault="0085763E" w:rsidP="0085763E">
            <w:pPr>
              <w:pStyle w:val="Tabletext"/>
            </w:pPr>
            <w:r>
              <w:t>No barriers</w:t>
            </w:r>
          </w:p>
        </w:tc>
        <w:tc>
          <w:tcPr>
            <w:tcW w:w="1249" w:type="pct"/>
            <w:vAlign w:val="center"/>
          </w:tcPr>
          <w:p w:rsidR="0085763E" w:rsidRPr="00871AB4" w:rsidRDefault="00373E92" w:rsidP="00373E92">
            <w:pPr>
              <w:pStyle w:val="Tabletext"/>
              <w:tabs>
                <w:tab w:val="right" w:pos="1450"/>
                <w:tab w:val="right" w:pos="2017"/>
              </w:tabs>
            </w:pPr>
            <w:r>
              <w:tab/>
            </w:r>
            <w:r w:rsidR="0085763E" w:rsidRPr="00871AB4">
              <w:t>33</w:t>
            </w:r>
            <w:r>
              <w:tab/>
            </w:r>
            <w:r w:rsidR="00031275" w:rsidRPr="00871AB4">
              <w:t>(</w:t>
            </w:r>
            <w:r w:rsidR="00871AB4" w:rsidRPr="00871AB4">
              <w:t>8.9</w:t>
            </w:r>
            <w:r w:rsidR="00031275" w:rsidRPr="00871AB4">
              <w:t>)</w:t>
            </w:r>
          </w:p>
        </w:tc>
        <w:tc>
          <w:tcPr>
            <w:tcW w:w="1250" w:type="pct"/>
            <w:vAlign w:val="center"/>
          </w:tcPr>
          <w:p w:rsidR="0085763E" w:rsidRPr="00871AB4" w:rsidRDefault="00373E92" w:rsidP="00373E92">
            <w:pPr>
              <w:pStyle w:val="Tabletext"/>
              <w:tabs>
                <w:tab w:val="right" w:pos="1469"/>
                <w:tab w:val="right" w:pos="2035"/>
              </w:tabs>
            </w:pPr>
            <w:r>
              <w:tab/>
            </w:r>
            <w:r w:rsidR="0085763E" w:rsidRPr="00871AB4">
              <w:t>14</w:t>
            </w:r>
            <w:r>
              <w:tab/>
            </w:r>
            <w:r w:rsidR="004043CA" w:rsidRPr="00871AB4">
              <w:t>(</w:t>
            </w:r>
            <w:r w:rsidR="00871AB4" w:rsidRPr="00871AB4">
              <w:t>17.1</w:t>
            </w:r>
            <w:r w:rsidR="004043CA" w:rsidRPr="00871AB4">
              <w:t>)</w:t>
            </w:r>
          </w:p>
        </w:tc>
      </w:tr>
      <w:tr w:rsidR="0085763E" w:rsidRPr="00C53612">
        <w:tc>
          <w:tcPr>
            <w:tcW w:w="2501" w:type="pct"/>
            <w:tcBorders>
              <w:bottom w:val="single" w:sz="4" w:space="0" w:color="auto"/>
            </w:tcBorders>
          </w:tcPr>
          <w:p w:rsidR="0085763E" w:rsidRDefault="00F9770F" w:rsidP="0085763E">
            <w:pPr>
              <w:pStyle w:val="Tabletext"/>
            </w:pPr>
            <w:r>
              <w:t>All</w:t>
            </w:r>
          </w:p>
        </w:tc>
        <w:tc>
          <w:tcPr>
            <w:tcW w:w="1249" w:type="pct"/>
            <w:tcBorders>
              <w:bottom w:val="single" w:sz="4" w:space="0" w:color="auto"/>
            </w:tcBorders>
            <w:vAlign w:val="center"/>
          </w:tcPr>
          <w:p w:rsidR="0085763E" w:rsidRPr="00871AB4" w:rsidRDefault="00373E92" w:rsidP="00373E92">
            <w:pPr>
              <w:pStyle w:val="Tabletext"/>
              <w:tabs>
                <w:tab w:val="right" w:pos="1450"/>
                <w:tab w:val="right" w:pos="2017"/>
              </w:tabs>
            </w:pPr>
            <w:r>
              <w:tab/>
            </w:r>
            <w:r w:rsidR="0085763E" w:rsidRPr="00871AB4">
              <w:t>3</w:t>
            </w:r>
            <w:r w:rsidR="00871AB4" w:rsidRPr="00871AB4">
              <w:t>69</w:t>
            </w:r>
            <w:r>
              <w:tab/>
            </w:r>
            <w:r w:rsidR="0085763E" w:rsidRPr="00871AB4">
              <w:t>(100.0)</w:t>
            </w:r>
          </w:p>
        </w:tc>
        <w:tc>
          <w:tcPr>
            <w:tcW w:w="1250" w:type="pct"/>
            <w:tcBorders>
              <w:bottom w:val="single" w:sz="4" w:space="0" w:color="auto"/>
            </w:tcBorders>
            <w:vAlign w:val="center"/>
          </w:tcPr>
          <w:p w:rsidR="0085763E" w:rsidRPr="00871AB4" w:rsidRDefault="00373E92" w:rsidP="00373E92">
            <w:pPr>
              <w:pStyle w:val="Tabletext"/>
              <w:tabs>
                <w:tab w:val="right" w:pos="1469"/>
                <w:tab w:val="right" w:pos="2035"/>
              </w:tabs>
            </w:pPr>
            <w:r>
              <w:tab/>
            </w:r>
            <w:r w:rsidR="00871AB4" w:rsidRPr="00871AB4">
              <w:t>82</w:t>
            </w:r>
            <w:r>
              <w:tab/>
            </w:r>
            <w:r w:rsidR="0085763E" w:rsidRPr="00871AB4">
              <w:t>(100.0)</w:t>
            </w:r>
          </w:p>
        </w:tc>
      </w:tr>
    </w:tbl>
    <w:p w:rsidR="000F20BA" w:rsidRDefault="000F20BA" w:rsidP="000F20BA">
      <w:pPr>
        <w:pStyle w:val="Source"/>
      </w:pPr>
      <w:r w:rsidRPr="000538CC">
        <w:t xml:space="preserve">Note: </w:t>
      </w:r>
      <w:r w:rsidRPr="000538CC">
        <w:tab/>
      </w:r>
      <w:r>
        <w:t>Percentages have been rounded.</w:t>
      </w:r>
    </w:p>
    <w:p w:rsidR="00B52516" w:rsidRDefault="00B52516">
      <w:pPr>
        <w:spacing w:before="0" w:line="240" w:lineRule="auto"/>
      </w:pPr>
    </w:p>
    <w:p w:rsidR="00B52516" w:rsidRDefault="00B52516">
      <w:pPr>
        <w:spacing w:before="0" w:line="240" w:lineRule="auto"/>
      </w:pPr>
    </w:p>
    <w:p w:rsidR="00B52516" w:rsidRDefault="00B52516">
      <w:pPr>
        <w:spacing w:before="0" w:line="240" w:lineRule="auto"/>
      </w:pPr>
    </w:p>
    <w:p w:rsidR="00B52516" w:rsidRDefault="00B52516">
      <w:pPr>
        <w:spacing w:before="0" w:line="240" w:lineRule="auto"/>
      </w:pPr>
    </w:p>
    <w:p w:rsidR="00B52516" w:rsidRDefault="00B52516">
      <w:pPr>
        <w:spacing w:before="0" w:line="240" w:lineRule="auto"/>
      </w:pPr>
    </w:p>
    <w:p w:rsidR="00862D36" w:rsidRDefault="00862D36">
      <w:pPr>
        <w:spacing w:before="0" w:line="240" w:lineRule="auto"/>
        <w:rPr>
          <w:rFonts w:ascii="Tahoma" w:hAnsi="Tahoma"/>
          <w:b/>
          <w:sz w:val="17"/>
        </w:rPr>
      </w:pPr>
    </w:p>
    <w:p w:rsidR="007F4050" w:rsidRDefault="007F4050">
      <w:pPr>
        <w:spacing w:before="0" w:line="240" w:lineRule="auto"/>
        <w:rPr>
          <w:rFonts w:ascii="Tahoma" w:hAnsi="Tahoma"/>
          <w:b/>
          <w:sz w:val="17"/>
        </w:rPr>
      </w:pPr>
      <w:r>
        <w:br w:type="page"/>
      </w:r>
    </w:p>
    <w:p w:rsidR="000F20BA" w:rsidRDefault="000F20BA" w:rsidP="00B52516">
      <w:pPr>
        <w:pStyle w:val="tabletitle"/>
        <w:ind w:left="0" w:firstLine="0"/>
      </w:pPr>
      <w:bookmarkStart w:id="58" w:name="_Toc350259532"/>
      <w:r w:rsidRPr="008C3044">
        <w:lastRenderedPageBreak/>
        <w:t>Table 8</w:t>
      </w:r>
      <w:r w:rsidRPr="008C3044">
        <w:tab/>
        <w:t>Facilitators for course completion</w:t>
      </w:r>
      <w:bookmarkEnd w:id="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250"/>
        <w:gridCol w:w="2144"/>
      </w:tblGrid>
      <w:tr w:rsidR="000F20BA" w:rsidRPr="00DA5451" w:rsidTr="0060201A">
        <w:tc>
          <w:tcPr>
            <w:tcW w:w="4503" w:type="dxa"/>
            <w:tcBorders>
              <w:top w:val="single" w:sz="4" w:space="0" w:color="auto"/>
            </w:tcBorders>
          </w:tcPr>
          <w:p w:rsidR="000F20BA" w:rsidRPr="00DA5451" w:rsidRDefault="0085763E" w:rsidP="0085763E">
            <w:pPr>
              <w:pStyle w:val="Tablehead1"/>
              <w:rPr>
                <w:bCs/>
              </w:rPr>
            </w:pPr>
            <w:r>
              <w:rPr>
                <w:bCs/>
              </w:rPr>
              <w:t>Theme</w:t>
            </w:r>
          </w:p>
        </w:tc>
        <w:tc>
          <w:tcPr>
            <w:tcW w:w="2250" w:type="dxa"/>
            <w:tcBorders>
              <w:top w:val="single" w:sz="4" w:space="0" w:color="auto"/>
            </w:tcBorders>
          </w:tcPr>
          <w:p w:rsidR="000F20BA" w:rsidRPr="00DA5451" w:rsidRDefault="000F20BA" w:rsidP="00373E92">
            <w:pPr>
              <w:pStyle w:val="Tablehead1"/>
              <w:jc w:val="right"/>
              <w:rPr>
                <w:bCs/>
              </w:rPr>
            </w:pPr>
            <w:r w:rsidRPr="00DA5451">
              <w:rPr>
                <w:bCs/>
              </w:rPr>
              <w:t>Disability</w:t>
            </w:r>
            <w:r>
              <w:rPr>
                <w:bCs/>
              </w:rPr>
              <w:t xml:space="preserve"> group (%)</w:t>
            </w:r>
          </w:p>
        </w:tc>
        <w:tc>
          <w:tcPr>
            <w:tcW w:w="2144" w:type="dxa"/>
            <w:tcBorders>
              <w:top w:val="single" w:sz="4" w:space="0" w:color="auto"/>
            </w:tcBorders>
            <w:tcMar>
              <w:right w:w="125" w:type="dxa"/>
            </w:tcMar>
          </w:tcPr>
          <w:p w:rsidR="000F20BA" w:rsidRPr="00DA5451" w:rsidRDefault="000F20BA" w:rsidP="00373E92">
            <w:pPr>
              <w:pStyle w:val="Tablehead1"/>
              <w:jc w:val="right"/>
              <w:rPr>
                <w:bCs/>
              </w:rPr>
            </w:pPr>
            <w:r>
              <w:rPr>
                <w:bCs/>
              </w:rPr>
              <w:t>Comparison group (%)</w:t>
            </w:r>
          </w:p>
        </w:tc>
      </w:tr>
      <w:tr w:rsidR="0085763E" w:rsidRPr="00DA5451" w:rsidTr="0060201A">
        <w:trPr>
          <w:trHeight w:val="58"/>
        </w:trPr>
        <w:tc>
          <w:tcPr>
            <w:tcW w:w="4503" w:type="dxa"/>
            <w:tcBorders>
              <w:bottom w:val="single" w:sz="4" w:space="0" w:color="auto"/>
            </w:tcBorders>
          </w:tcPr>
          <w:p w:rsidR="0085763E" w:rsidRPr="00DA5451" w:rsidRDefault="0085763E" w:rsidP="00375ABF">
            <w:pPr>
              <w:pStyle w:val="Tablehead2"/>
              <w:jc w:val="center"/>
              <w:rPr>
                <w:bCs/>
              </w:rPr>
            </w:pPr>
          </w:p>
        </w:tc>
        <w:tc>
          <w:tcPr>
            <w:tcW w:w="2250" w:type="dxa"/>
            <w:tcBorders>
              <w:bottom w:val="single" w:sz="4" w:space="0" w:color="auto"/>
            </w:tcBorders>
          </w:tcPr>
          <w:p w:rsidR="0085763E" w:rsidRPr="00871AB4" w:rsidRDefault="0085763E" w:rsidP="00373E92">
            <w:pPr>
              <w:pStyle w:val="Tablehead2"/>
              <w:jc w:val="right"/>
              <w:rPr>
                <w:bCs/>
              </w:rPr>
            </w:pPr>
            <w:proofErr w:type="gramStart"/>
            <w:r w:rsidRPr="00871AB4">
              <w:rPr>
                <w:bCs/>
              </w:rPr>
              <w:t>n</w:t>
            </w:r>
            <w:proofErr w:type="gramEnd"/>
            <w:r w:rsidR="00B52516">
              <w:rPr>
                <w:bCs/>
              </w:rPr>
              <w:t xml:space="preserve">      </w:t>
            </w:r>
            <w:r w:rsidRPr="00871AB4">
              <w:rPr>
                <w:bCs/>
              </w:rPr>
              <w:t xml:space="preserve"> (%)</w:t>
            </w:r>
          </w:p>
        </w:tc>
        <w:tc>
          <w:tcPr>
            <w:tcW w:w="2144" w:type="dxa"/>
            <w:tcBorders>
              <w:bottom w:val="single" w:sz="4" w:space="0" w:color="auto"/>
            </w:tcBorders>
            <w:tcMar>
              <w:right w:w="125" w:type="dxa"/>
            </w:tcMar>
          </w:tcPr>
          <w:p w:rsidR="0085763E" w:rsidRDefault="0085763E" w:rsidP="00373E92">
            <w:pPr>
              <w:pStyle w:val="Tablehead2"/>
              <w:jc w:val="right"/>
              <w:rPr>
                <w:bCs/>
              </w:rPr>
            </w:pPr>
            <w:proofErr w:type="gramStart"/>
            <w:r>
              <w:rPr>
                <w:bCs/>
              </w:rPr>
              <w:t>n</w:t>
            </w:r>
            <w:proofErr w:type="gramEnd"/>
            <w:r w:rsidR="00B52516">
              <w:rPr>
                <w:bCs/>
              </w:rPr>
              <w:t xml:space="preserve">      </w:t>
            </w:r>
            <w:r>
              <w:rPr>
                <w:bCs/>
              </w:rPr>
              <w:t xml:space="preserve"> (%)</w:t>
            </w:r>
          </w:p>
        </w:tc>
      </w:tr>
      <w:tr w:rsidR="00FF06A4" w:rsidRPr="008C3044">
        <w:tc>
          <w:tcPr>
            <w:tcW w:w="4503" w:type="dxa"/>
          </w:tcPr>
          <w:p w:rsidR="00FF06A4" w:rsidRPr="00C53612" w:rsidRDefault="00FF06A4" w:rsidP="00FF06A4">
            <w:pPr>
              <w:pStyle w:val="Tabletext"/>
            </w:pPr>
            <w:r>
              <w:t>Positive motivations, experience, and networks</w:t>
            </w:r>
          </w:p>
        </w:tc>
        <w:tc>
          <w:tcPr>
            <w:tcW w:w="2250" w:type="dxa"/>
            <w:vAlign w:val="center"/>
          </w:tcPr>
          <w:p w:rsidR="00FF06A4" w:rsidRPr="00871AB4" w:rsidRDefault="00373E92" w:rsidP="00373E92">
            <w:pPr>
              <w:pStyle w:val="Tabletext"/>
              <w:tabs>
                <w:tab w:val="right" w:pos="1451"/>
                <w:tab w:val="right" w:pos="2018"/>
              </w:tabs>
            </w:pPr>
            <w:r>
              <w:tab/>
            </w:r>
            <w:r w:rsidR="00FF06A4" w:rsidRPr="00871AB4">
              <w:t>272</w:t>
            </w:r>
            <w:r>
              <w:tab/>
            </w:r>
            <w:r w:rsidR="00FF06A4" w:rsidRPr="00871AB4">
              <w:t>(70.8)</w:t>
            </w:r>
          </w:p>
        </w:tc>
        <w:tc>
          <w:tcPr>
            <w:tcW w:w="2144" w:type="dxa"/>
            <w:vAlign w:val="center"/>
          </w:tcPr>
          <w:p w:rsidR="00FF06A4" w:rsidRPr="008C3044" w:rsidRDefault="00373E92" w:rsidP="00373E92">
            <w:pPr>
              <w:pStyle w:val="Tabletext"/>
              <w:tabs>
                <w:tab w:val="right" w:pos="1327"/>
                <w:tab w:val="right" w:pos="1894"/>
              </w:tabs>
            </w:pPr>
            <w:r>
              <w:tab/>
            </w:r>
            <w:r w:rsidR="00FF06A4">
              <w:t>46</w:t>
            </w:r>
            <w:r>
              <w:tab/>
            </w:r>
            <w:r w:rsidR="00FF06A4">
              <w:t>(58.2)</w:t>
            </w:r>
          </w:p>
        </w:tc>
      </w:tr>
      <w:tr w:rsidR="00FF06A4" w:rsidRPr="008C3044">
        <w:tc>
          <w:tcPr>
            <w:tcW w:w="4503" w:type="dxa"/>
          </w:tcPr>
          <w:p w:rsidR="00FF06A4" w:rsidRPr="00C53612" w:rsidRDefault="00FF06A4" w:rsidP="00FF06A4">
            <w:pPr>
              <w:pStyle w:val="Tabletext"/>
            </w:pPr>
            <w:r>
              <w:t>Employment factors</w:t>
            </w:r>
          </w:p>
        </w:tc>
        <w:tc>
          <w:tcPr>
            <w:tcW w:w="2250" w:type="dxa"/>
            <w:vAlign w:val="center"/>
          </w:tcPr>
          <w:p w:rsidR="00FF06A4" w:rsidRPr="00871AB4" w:rsidRDefault="00373E92" w:rsidP="00373E92">
            <w:pPr>
              <w:pStyle w:val="Tabletext"/>
              <w:tabs>
                <w:tab w:val="right" w:pos="1451"/>
                <w:tab w:val="right" w:pos="2018"/>
              </w:tabs>
            </w:pPr>
            <w:r>
              <w:tab/>
            </w:r>
            <w:r w:rsidR="00FF06A4" w:rsidRPr="00871AB4">
              <w:t>200</w:t>
            </w:r>
            <w:r>
              <w:tab/>
            </w:r>
            <w:r w:rsidR="00FF06A4" w:rsidRPr="00871AB4">
              <w:t>(52.1)</w:t>
            </w:r>
          </w:p>
        </w:tc>
        <w:tc>
          <w:tcPr>
            <w:tcW w:w="2144" w:type="dxa"/>
            <w:vAlign w:val="center"/>
          </w:tcPr>
          <w:p w:rsidR="00FF06A4" w:rsidRPr="008C3044" w:rsidRDefault="00373E92" w:rsidP="00373E92">
            <w:pPr>
              <w:pStyle w:val="Tabletext"/>
              <w:tabs>
                <w:tab w:val="right" w:pos="1327"/>
                <w:tab w:val="right" w:pos="1894"/>
              </w:tabs>
            </w:pPr>
            <w:r>
              <w:tab/>
            </w:r>
            <w:r w:rsidR="00FF06A4">
              <w:t>55</w:t>
            </w:r>
            <w:r>
              <w:tab/>
            </w:r>
            <w:r w:rsidR="00FF06A4">
              <w:t>(69.6)</w:t>
            </w:r>
          </w:p>
        </w:tc>
      </w:tr>
      <w:tr w:rsidR="00FF06A4" w:rsidRPr="008C3044">
        <w:tc>
          <w:tcPr>
            <w:tcW w:w="4503" w:type="dxa"/>
          </w:tcPr>
          <w:p w:rsidR="00FF06A4" w:rsidRPr="00C53612" w:rsidRDefault="00FF06A4" w:rsidP="00FF06A4">
            <w:pPr>
              <w:pStyle w:val="Tabletext"/>
            </w:pPr>
            <w:r>
              <w:t>Training and education factors</w:t>
            </w:r>
          </w:p>
        </w:tc>
        <w:tc>
          <w:tcPr>
            <w:tcW w:w="2250" w:type="dxa"/>
            <w:vAlign w:val="center"/>
          </w:tcPr>
          <w:p w:rsidR="00FF06A4" w:rsidRPr="00871AB4" w:rsidRDefault="00373E92" w:rsidP="00373E92">
            <w:pPr>
              <w:pStyle w:val="Tabletext"/>
              <w:tabs>
                <w:tab w:val="right" w:pos="1451"/>
                <w:tab w:val="right" w:pos="2018"/>
              </w:tabs>
            </w:pPr>
            <w:r>
              <w:tab/>
            </w:r>
            <w:r w:rsidR="00FF06A4" w:rsidRPr="00871AB4">
              <w:t>195</w:t>
            </w:r>
            <w:r>
              <w:tab/>
            </w:r>
            <w:r w:rsidR="00FF06A4" w:rsidRPr="00871AB4">
              <w:t>(50.8)</w:t>
            </w:r>
          </w:p>
        </w:tc>
        <w:tc>
          <w:tcPr>
            <w:tcW w:w="2144" w:type="dxa"/>
            <w:vAlign w:val="center"/>
          </w:tcPr>
          <w:p w:rsidR="00FF06A4" w:rsidRPr="008C3044" w:rsidRDefault="00373E92" w:rsidP="00373E92">
            <w:pPr>
              <w:pStyle w:val="Tabletext"/>
              <w:tabs>
                <w:tab w:val="right" w:pos="1327"/>
                <w:tab w:val="right" w:pos="1894"/>
              </w:tabs>
            </w:pPr>
            <w:r>
              <w:tab/>
            </w:r>
            <w:r w:rsidR="00FF06A4">
              <w:t>33</w:t>
            </w:r>
            <w:r>
              <w:tab/>
            </w:r>
            <w:r w:rsidR="00FF06A4">
              <w:t>(41.8)</w:t>
            </w:r>
          </w:p>
        </w:tc>
      </w:tr>
      <w:tr w:rsidR="00FF06A4" w:rsidRPr="008C3044">
        <w:tc>
          <w:tcPr>
            <w:tcW w:w="4503" w:type="dxa"/>
          </w:tcPr>
          <w:p w:rsidR="00FF06A4" w:rsidRPr="00C53612" w:rsidRDefault="00FF06A4" w:rsidP="00FF06A4">
            <w:pPr>
              <w:pStyle w:val="Tabletext"/>
            </w:pPr>
            <w:r>
              <w:t>Receiving resources</w:t>
            </w:r>
          </w:p>
        </w:tc>
        <w:tc>
          <w:tcPr>
            <w:tcW w:w="2250" w:type="dxa"/>
            <w:vAlign w:val="center"/>
          </w:tcPr>
          <w:p w:rsidR="00FF06A4" w:rsidRPr="00871AB4" w:rsidRDefault="00373E92" w:rsidP="00373E92">
            <w:pPr>
              <w:pStyle w:val="Tabletext"/>
              <w:tabs>
                <w:tab w:val="right" w:pos="1451"/>
                <w:tab w:val="right" w:pos="2018"/>
              </w:tabs>
            </w:pPr>
            <w:r>
              <w:tab/>
            </w:r>
            <w:r w:rsidR="00FF06A4" w:rsidRPr="00871AB4">
              <w:t>139</w:t>
            </w:r>
            <w:r>
              <w:tab/>
            </w:r>
            <w:r w:rsidR="00FF06A4" w:rsidRPr="00871AB4">
              <w:t>(36.2)</w:t>
            </w:r>
          </w:p>
        </w:tc>
        <w:tc>
          <w:tcPr>
            <w:tcW w:w="2144" w:type="dxa"/>
            <w:vAlign w:val="center"/>
          </w:tcPr>
          <w:p w:rsidR="00FF06A4" w:rsidRPr="008C3044" w:rsidRDefault="00373E92" w:rsidP="00373E92">
            <w:pPr>
              <w:pStyle w:val="Tabletext"/>
              <w:tabs>
                <w:tab w:val="right" w:pos="1327"/>
                <w:tab w:val="right" w:pos="1894"/>
              </w:tabs>
            </w:pPr>
            <w:r>
              <w:tab/>
            </w:r>
            <w:r w:rsidR="00FF06A4">
              <w:t>32</w:t>
            </w:r>
            <w:r>
              <w:tab/>
            </w:r>
            <w:r w:rsidR="00FF06A4">
              <w:t>(40.5)</w:t>
            </w:r>
          </w:p>
        </w:tc>
      </w:tr>
      <w:tr w:rsidR="001D30D0" w:rsidRPr="008C3044">
        <w:tc>
          <w:tcPr>
            <w:tcW w:w="4503" w:type="dxa"/>
          </w:tcPr>
          <w:p w:rsidR="001D30D0" w:rsidRPr="00C53612" w:rsidRDefault="0085763E" w:rsidP="00375ABF">
            <w:pPr>
              <w:pStyle w:val="Tabletext"/>
            </w:pPr>
            <w:r>
              <w:t>Addressing d</w:t>
            </w:r>
            <w:r w:rsidR="001D30D0">
              <w:t>isability, health</w:t>
            </w:r>
            <w:r w:rsidR="00134296">
              <w:t>,</w:t>
            </w:r>
            <w:r w:rsidR="001D30D0">
              <w:t xml:space="preserve"> and injury</w:t>
            </w:r>
          </w:p>
        </w:tc>
        <w:tc>
          <w:tcPr>
            <w:tcW w:w="2250" w:type="dxa"/>
            <w:vAlign w:val="center"/>
          </w:tcPr>
          <w:p w:rsidR="001D30D0" w:rsidRPr="00871AB4" w:rsidRDefault="00373E92" w:rsidP="00373E92">
            <w:pPr>
              <w:pStyle w:val="Tabletext"/>
              <w:tabs>
                <w:tab w:val="right" w:pos="1451"/>
                <w:tab w:val="right" w:pos="2018"/>
              </w:tabs>
            </w:pPr>
            <w:r>
              <w:tab/>
            </w:r>
            <w:r w:rsidR="001A322C">
              <w:t>21</w:t>
            </w:r>
            <w:r>
              <w:tab/>
            </w:r>
            <w:r w:rsidR="0036723C" w:rsidRPr="00871AB4">
              <w:t>(</w:t>
            </w:r>
            <w:r w:rsidR="001A322C">
              <w:t>5.5</w:t>
            </w:r>
            <w:r w:rsidR="0036723C" w:rsidRPr="00871AB4">
              <w:t>)</w:t>
            </w:r>
          </w:p>
        </w:tc>
        <w:tc>
          <w:tcPr>
            <w:tcW w:w="2144" w:type="dxa"/>
            <w:vAlign w:val="center"/>
          </w:tcPr>
          <w:p w:rsidR="001D30D0" w:rsidRPr="008C3044" w:rsidRDefault="00373E92" w:rsidP="00373E92">
            <w:pPr>
              <w:pStyle w:val="Tabletext"/>
              <w:tabs>
                <w:tab w:val="right" w:pos="1327"/>
                <w:tab w:val="right" w:pos="1894"/>
              </w:tabs>
            </w:pPr>
            <w:r>
              <w:tab/>
            </w:r>
            <w:r w:rsidR="0085763E">
              <w:t>-</w:t>
            </w:r>
          </w:p>
        </w:tc>
      </w:tr>
      <w:tr w:rsidR="0085763E" w:rsidRPr="008C3044">
        <w:tc>
          <w:tcPr>
            <w:tcW w:w="4503" w:type="dxa"/>
          </w:tcPr>
          <w:p w:rsidR="0085763E" w:rsidRDefault="0085763E" w:rsidP="00375ABF">
            <w:pPr>
              <w:pStyle w:val="Tabletext"/>
            </w:pPr>
            <w:r>
              <w:t>No facilitators</w:t>
            </w:r>
          </w:p>
        </w:tc>
        <w:tc>
          <w:tcPr>
            <w:tcW w:w="2250" w:type="dxa"/>
            <w:vAlign w:val="center"/>
          </w:tcPr>
          <w:p w:rsidR="0085763E" w:rsidRPr="00871AB4" w:rsidRDefault="00373E92" w:rsidP="00373E92">
            <w:pPr>
              <w:pStyle w:val="Tabletext"/>
              <w:tabs>
                <w:tab w:val="right" w:pos="1451"/>
                <w:tab w:val="right" w:pos="2018"/>
              </w:tabs>
            </w:pPr>
            <w:r>
              <w:tab/>
            </w:r>
            <w:r w:rsidR="0085763E" w:rsidRPr="00871AB4">
              <w:t>5</w:t>
            </w:r>
            <w:r>
              <w:tab/>
            </w:r>
            <w:r w:rsidR="0036723C" w:rsidRPr="00871AB4">
              <w:t>(</w:t>
            </w:r>
            <w:r w:rsidR="00871AB4" w:rsidRPr="00871AB4">
              <w:t>1.3</w:t>
            </w:r>
            <w:r w:rsidR="0036723C" w:rsidRPr="00871AB4">
              <w:t>)</w:t>
            </w:r>
          </w:p>
        </w:tc>
        <w:tc>
          <w:tcPr>
            <w:tcW w:w="2144" w:type="dxa"/>
            <w:vAlign w:val="center"/>
          </w:tcPr>
          <w:p w:rsidR="0085763E" w:rsidRPr="008C3044" w:rsidRDefault="00373E92" w:rsidP="00373E92">
            <w:pPr>
              <w:pStyle w:val="Tabletext"/>
              <w:tabs>
                <w:tab w:val="right" w:pos="1327"/>
                <w:tab w:val="right" w:pos="1894"/>
              </w:tabs>
            </w:pPr>
            <w:r>
              <w:tab/>
            </w:r>
            <w:r w:rsidR="0085763E">
              <w:t>-</w:t>
            </w:r>
          </w:p>
        </w:tc>
      </w:tr>
      <w:tr w:rsidR="0085763E" w:rsidRPr="008C3044">
        <w:tc>
          <w:tcPr>
            <w:tcW w:w="4503" w:type="dxa"/>
            <w:tcBorders>
              <w:bottom w:val="single" w:sz="4" w:space="0" w:color="auto"/>
            </w:tcBorders>
          </w:tcPr>
          <w:p w:rsidR="0085763E" w:rsidRDefault="00F9770F" w:rsidP="00375ABF">
            <w:pPr>
              <w:pStyle w:val="Tabletext"/>
            </w:pPr>
            <w:r>
              <w:t>All</w:t>
            </w:r>
          </w:p>
        </w:tc>
        <w:tc>
          <w:tcPr>
            <w:tcW w:w="2250" w:type="dxa"/>
            <w:tcBorders>
              <w:bottom w:val="single" w:sz="4" w:space="0" w:color="auto"/>
            </w:tcBorders>
            <w:vAlign w:val="center"/>
          </w:tcPr>
          <w:p w:rsidR="0085763E" w:rsidRPr="00871AB4" w:rsidRDefault="00373E92" w:rsidP="00373E92">
            <w:pPr>
              <w:pStyle w:val="Tabletext"/>
              <w:tabs>
                <w:tab w:val="right" w:pos="1451"/>
                <w:tab w:val="right" w:pos="2018"/>
              </w:tabs>
            </w:pPr>
            <w:r>
              <w:tab/>
            </w:r>
            <w:r w:rsidR="0085763E" w:rsidRPr="00871AB4">
              <w:t>3</w:t>
            </w:r>
            <w:r w:rsidR="00871AB4" w:rsidRPr="00871AB4">
              <w:t>84</w:t>
            </w:r>
            <w:r>
              <w:tab/>
            </w:r>
            <w:r w:rsidR="0085763E" w:rsidRPr="00871AB4">
              <w:t>(100.0)</w:t>
            </w:r>
          </w:p>
        </w:tc>
        <w:tc>
          <w:tcPr>
            <w:tcW w:w="2144" w:type="dxa"/>
            <w:tcBorders>
              <w:bottom w:val="single" w:sz="4" w:space="0" w:color="auto"/>
            </w:tcBorders>
            <w:vAlign w:val="center"/>
          </w:tcPr>
          <w:p w:rsidR="0085763E" w:rsidRPr="008C3044" w:rsidRDefault="00373E92" w:rsidP="00373E92">
            <w:pPr>
              <w:pStyle w:val="Tabletext"/>
              <w:tabs>
                <w:tab w:val="right" w:pos="1327"/>
                <w:tab w:val="right" w:pos="1894"/>
              </w:tabs>
            </w:pPr>
            <w:r>
              <w:tab/>
            </w:r>
            <w:r w:rsidR="0085763E">
              <w:t>79</w:t>
            </w:r>
            <w:r>
              <w:tab/>
            </w:r>
            <w:r w:rsidR="00031275">
              <w:t>(100.0)</w:t>
            </w:r>
          </w:p>
        </w:tc>
      </w:tr>
    </w:tbl>
    <w:p w:rsidR="0085763E" w:rsidRDefault="0085763E" w:rsidP="0085763E">
      <w:pPr>
        <w:pStyle w:val="Source"/>
      </w:pPr>
      <w:r w:rsidRPr="000538CC">
        <w:t>Note</w:t>
      </w:r>
      <w:r>
        <w:t>s</w:t>
      </w:r>
      <w:r w:rsidRPr="000538CC">
        <w:t xml:space="preserve">: </w:t>
      </w:r>
      <w:r w:rsidRPr="000538CC">
        <w:tab/>
      </w:r>
      <w:r>
        <w:t>Percentages have been rounded.</w:t>
      </w:r>
    </w:p>
    <w:p w:rsidR="0085763E" w:rsidRPr="000538CC" w:rsidRDefault="0085763E" w:rsidP="0085763E">
      <w:pPr>
        <w:pStyle w:val="Source"/>
      </w:pPr>
      <w:r>
        <w:tab/>
        <w:t xml:space="preserve">A dash (-) represents a true zero. </w:t>
      </w:r>
    </w:p>
    <w:p w:rsidR="003D10DB" w:rsidRDefault="000402C2" w:rsidP="00373E92">
      <w:pPr>
        <w:pStyle w:val="Text"/>
        <w:spacing w:line="290" w:lineRule="exact"/>
        <w:ind w:right="0"/>
      </w:pPr>
      <w:r w:rsidRPr="009F4943">
        <w:t xml:space="preserve">Table 9 </w:t>
      </w:r>
      <w:r w:rsidR="003B5334">
        <w:t>indicates</w:t>
      </w:r>
      <w:r w:rsidRPr="009F4943">
        <w:t xml:space="preserve"> </w:t>
      </w:r>
      <w:r w:rsidR="003118E9">
        <w:t xml:space="preserve">the </w:t>
      </w:r>
      <w:r w:rsidRPr="009F4943">
        <w:t>organisations supporting the apprentices and trainees.</w:t>
      </w:r>
      <w:r w:rsidR="003D10DB" w:rsidRPr="009F4943">
        <w:t xml:space="preserve"> Similar proportions of participants in the disability group and comparison group reported being supported by at least one organisation, 82.9% and 83.5% for graduates with dis</w:t>
      </w:r>
      <w:r w:rsidR="003118E9">
        <w:t>abilities and without disabilities</w:t>
      </w:r>
      <w:r w:rsidR="003D10DB" w:rsidRPr="009F4943">
        <w:t xml:space="preserve"> respectively. It should be noted that the majority of comparison group participants were recruited through </w:t>
      </w:r>
      <w:r w:rsidR="00791EA1">
        <w:t>group training organisation</w:t>
      </w:r>
      <w:r w:rsidR="003D10DB" w:rsidRPr="009F4943">
        <w:t xml:space="preserve">s, which may account for the large proportion of comparison group participants indicating </w:t>
      </w:r>
      <w:r w:rsidR="003118E9">
        <w:t>that they received</w:t>
      </w:r>
      <w:r w:rsidR="003D10DB" w:rsidRPr="009F4943">
        <w:t xml:space="preserve"> support from </w:t>
      </w:r>
      <w:r w:rsidR="00791EA1">
        <w:t>group training organisation</w:t>
      </w:r>
      <w:r w:rsidR="003D10DB" w:rsidRPr="009F4943">
        <w:t>s (57.7%) compared with participants in the disability group (21.8%).</w:t>
      </w:r>
      <w:r w:rsidR="003D10DB">
        <w:t xml:space="preserve"> </w:t>
      </w:r>
      <w:r w:rsidR="00FA07B3">
        <w:t>The role of the s</w:t>
      </w:r>
      <w:r w:rsidR="003118E9">
        <w:t>ources of support described in t</w:t>
      </w:r>
      <w:r w:rsidR="00FA07B3">
        <w:t>able 9 will be included in the discussion of barriers and facilitators.</w:t>
      </w:r>
    </w:p>
    <w:p w:rsidR="00FA07B3" w:rsidRDefault="00B82EB4" w:rsidP="00373E92">
      <w:pPr>
        <w:pStyle w:val="Text"/>
        <w:spacing w:line="290" w:lineRule="exact"/>
        <w:ind w:right="0"/>
      </w:pPr>
      <w:r>
        <w:t>In t</w:t>
      </w:r>
      <w:r w:rsidR="00FA07B3">
        <w:t xml:space="preserve">he remainder of this chapter the reported barriers and facilitators within each of </w:t>
      </w:r>
      <w:r w:rsidR="00FA07B3" w:rsidRPr="00FA07B3">
        <w:t>the five identified themes</w:t>
      </w:r>
      <w:r>
        <w:t xml:space="preserve"> will be discussed</w:t>
      </w:r>
      <w:r w:rsidR="00182082">
        <w:t xml:space="preserve"> (su</w:t>
      </w:r>
      <w:r w:rsidR="00FA4106">
        <w:t>b</w:t>
      </w:r>
      <w:r w:rsidR="006C623C">
        <w:t xml:space="preserve">themes are listed in appendices </w:t>
      </w:r>
      <w:r w:rsidR="00182082">
        <w:t>A</w:t>
      </w:r>
      <w:r w:rsidR="006C623C">
        <w:t xml:space="preserve"> and B</w:t>
      </w:r>
      <w:r w:rsidR="00182082">
        <w:t>)</w:t>
      </w:r>
      <w:r w:rsidR="00FA07B3" w:rsidRPr="00FA07B3">
        <w:t>. It should be noted that</w:t>
      </w:r>
      <w:r w:rsidR="003118E9">
        <w:t>,</w:t>
      </w:r>
      <w:r w:rsidR="00FA07B3" w:rsidRPr="00FA07B3">
        <w:t xml:space="preserve"> while some barriers and facilitators are common across the broader VET apprenticeship and traineeship population, others are clearly related to the presence of a disability. It should also be noted that areas which were challenging for some participants acted as facilitators for others. It is clear that the most important facilitator reported among participants was supportive and understanding individuals or agencies willing to provide flexible</w:t>
      </w:r>
      <w:r w:rsidR="00D80780">
        <w:t>,</w:t>
      </w:r>
      <w:r w:rsidR="00FA07B3" w:rsidRPr="00FA07B3">
        <w:t xml:space="preserve"> individualised support tailored to the </w:t>
      </w:r>
      <w:r w:rsidR="00FA07B3" w:rsidRPr="00B30CED">
        <w:t xml:space="preserve">individuals’ needs. This </w:t>
      </w:r>
      <w:r w:rsidR="00B30CED" w:rsidRPr="00B30CED">
        <w:t>included emotional and</w:t>
      </w:r>
      <w:r w:rsidR="00FA07B3" w:rsidRPr="00B30CED">
        <w:t xml:space="preserve"> practical</w:t>
      </w:r>
      <w:r w:rsidR="00B30CED" w:rsidRPr="00B30CED">
        <w:t xml:space="preserve"> </w:t>
      </w:r>
      <w:r w:rsidR="000D5D10">
        <w:t xml:space="preserve">support </w:t>
      </w:r>
      <w:r w:rsidR="00B30CED" w:rsidRPr="00B30CED">
        <w:t>and encompassed both the</w:t>
      </w:r>
      <w:r w:rsidR="00FA07B3" w:rsidRPr="00B30CED">
        <w:t xml:space="preserve"> training and workplace environments.</w:t>
      </w:r>
      <w:r w:rsidR="008B5E3F" w:rsidRPr="00B30CED">
        <w:t xml:space="preserve"> </w:t>
      </w:r>
      <w:r w:rsidR="00FA07B3" w:rsidRPr="00B30CED">
        <w:t xml:space="preserve">Support came from friends and family, supervisors and co-workers, </w:t>
      </w:r>
      <w:r w:rsidR="00CA661F">
        <w:t>disability employment services</w:t>
      </w:r>
      <w:r w:rsidR="00FA07B3" w:rsidRPr="00B30CED">
        <w:t xml:space="preserve">, </w:t>
      </w:r>
      <w:r w:rsidR="00791EA1">
        <w:t>group training organisation</w:t>
      </w:r>
      <w:r w:rsidR="00FA07B3" w:rsidRPr="00B30CED">
        <w:t xml:space="preserve">s and other employers/host employers, TAFE or other </w:t>
      </w:r>
      <w:r w:rsidR="003118E9">
        <w:t>registered training organisations</w:t>
      </w:r>
      <w:r w:rsidR="00FA07B3" w:rsidRPr="00B30CED">
        <w:t xml:space="preserve"> and disability </w:t>
      </w:r>
      <w:r w:rsidR="003118E9">
        <w:t xml:space="preserve">liaison officers </w:t>
      </w:r>
      <w:r w:rsidR="00FA07B3" w:rsidRPr="00B30CED">
        <w:t>in TAFE or</w:t>
      </w:r>
      <w:r w:rsidR="00FA07B3" w:rsidRPr="00FA07B3">
        <w:t xml:space="preserve"> other organisations, assessors and trainers. </w:t>
      </w:r>
    </w:p>
    <w:p w:rsidR="000402C2" w:rsidRPr="006D0364" w:rsidRDefault="000402C2" w:rsidP="000402C2">
      <w:pPr>
        <w:pStyle w:val="tabletitle"/>
      </w:pPr>
      <w:bookmarkStart w:id="59" w:name="_Toc350259533"/>
      <w:r w:rsidRPr="006D0364">
        <w:t xml:space="preserve">Table </w:t>
      </w:r>
      <w:r>
        <w:t>9</w:t>
      </w:r>
      <w:r w:rsidRPr="006D0364">
        <w:tab/>
      </w:r>
      <w:r>
        <w:t>Sources of supports</w:t>
      </w:r>
      <w:bookmarkEnd w:id="5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4"/>
        <w:gridCol w:w="1271"/>
        <w:gridCol w:w="1273"/>
        <w:gridCol w:w="1279"/>
        <w:gridCol w:w="1279"/>
        <w:gridCol w:w="1277"/>
        <w:gridCol w:w="1273"/>
      </w:tblGrid>
      <w:tr w:rsidR="000402C2" w:rsidRPr="001C32FA">
        <w:trPr>
          <w:trHeight w:val="190"/>
        </w:trPr>
        <w:tc>
          <w:tcPr>
            <w:tcW w:w="817" w:type="pct"/>
            <w:tcBorders>
              <w:top w:val="single" w:sz="4" w:space="0" w:color="auto"/>
            </w:tcBorders>
          </w:tcPr>
          <w:p w:rsidR="000402C2" w:rsidRPr="00E17D80" w:rsidRDefault="00C96FAA" w:rsidP="00C96FAA">
            <w:pPr>
              <w:pStyle w:val="Tablehead1"/>
            </w:pPr>
            <w:r>
              <w:t>Sources of support</w:t>
            </w:r>
          </w:p>
        </w:tc>
        <w:tc>
          <w:tcPr>
            <w:tcW w:w="2090" w:type="pct"/>
            <w:gridSpan w:val="3"/>
            <w:tcBorders>
              <w:top w:val="single" w:sz="4" w:space="0" w:color="auto"/>
            </w:tcBorders>
            <w:vAlign w:val="center"/>
          </w:tcPr>
          <w:p w:rsidR="000402C2" w:rsidRPr="004D192B" w:rsidRDefault="000402C2" w:rsidP="00C96FAA">
            <w:pPr>
              <w:pStyle w:val="Tablehead1"/>
              <w:jc w:val="center"/>
              <w:rPr>
                <w:bCs/>
              </w:rPr>
            </w:pPr>
            <w:r w:rsidRPr="004D192B">
              <w:rPr>
                <w:bCs/>
              </w:rPr>
              <w:t xml:space="preserve">Graduates with </w:t>
            </w:r>
            <w:r>
              <w:rPr>
                <w:bCs/>
              </w:rPr>
              <w:t>disabilities</w:t>
            </w:r>
          </w:p>
        </w:tc>
        <w:tc>
          <w:tcPr>
            <w:tcW w:w="2093" w:type="pct"/>
            <w:gridSpan w:val="3"/>
            <w:tcBorders>
              <w:top w:val="single" w:sz="4" w:space="0" w:color="auto"/>
            </w:tcBorders>
            <w:vAlign w:val="center"/>
          </w:tcPr>
          <w:p w:rsidR="000402C2" w:rsidRPr="001C32FA" w:rsidRDefault="000402C2" w:rsidP="00C96FAA">
            <w:pPr>
              <w:pStyle w:val="Tablehead1"/>
              <w:jc w:val="center"/>
              <w:rPr>
                <w:bCs/>
              </w:rPr>
            </w:pPr>
            <w:r>
              <w:rPr>
                <w:bCs/>
              </w:rPr>
              <w:t>Comparison group</w:t>
            </w:r>
          </w:p>
        </w:tc>
      </w:tr>
      <w:tr w:rsidR="000402C2" w:rsidRPr="001C32FA" w:rsidTr="00807759">
        <w:trPr>
          <w:trHeight w:val="190"/>
        </w:trPr>
        <w:tc>
          <w:tcPr>
            <w:tcW w:w="817" w:type="pct"/>
            <w:vMerge w:val="restart"/>
          </w:tcPr>
          <w:p w:rsidR="000402C2" w:rsidRPr="00E748CC" w:rsidRDefault="000402C2" w:rsidP="00C96FAA">
            <w:pPr>
              <w:pStyle w:val="Tablehead1"/>
              <w:jc w:val="center"/>
              <w:rPr>
                <w:bCs/>
              </w:rPr>
            </w:pPr>
          </w:p>
        </w:tc>
        <w:tc>
          <w:tcPr>
            <w:tcW w:w="695" w:type="pct"/>
          </w:tcPr>
          <w:p w:rsidR="000402C2" w:rsidRPr="00E748CC" w:rsidRDefault="000402C2" w:rsidP="00FC5C47">
            <w:pPr>
              <w:pStyle w:val="Tablehead2"/>
              <w:jc w:val="right"/>
              <w:rPr>
                <w:bCs/>
              </w:rPr>
            </w:pPr>
            <w:r w:rsidRPr="00E748CC">
              <w:rPr>
                <w:bCs/>
              </w:rPr>
              <w:t>Apprentices</w:t>
            </w:r>
            <w:r w:rsidRPr="00356408">
              <w:rPr>
                <w:bCs/>
                <w:vertAlign w:val="superscript"/>
              </w:rPr>
              <w:t>(</w:t>
            </w:r>
            <w:r>
              <w:rPr>
                <w:bCs/>
                <w:vertAlign w:val="superscript"/>
              </w:rPr>
              <w:t>a</w:t>
            </w:r>
            <w:r w:rsidRPr="00356408">
              <w:rPr>
                <w:bCs/>
                <w:vertAlign w:val="superscript"/>
              </w:rPr>
              <w:t>)</w:t>
            </w:r>
          </w:p>
        </w:tc>
        <w:tc>
          <w:tcPr>
            <w:tcW w:w="696" w:type="pct"/>
            <w:tcMar>
              <w:right w:w="125" w:type="dxa"/>
            </w:tcMar>
          </w:tcPr>
          <w:p w:rsidR="000402C2" w:rsidRPr="001C32FA" w:rsidRDefault="000402C2" w:rsidP="00DE6764">
            <w:pPr>
              <w:pStyle w:val="Tablehead2"/>
              <w:tabs>
                <w:tab w:val="clear" w:pos="992"/>
              </w:tabs>
              <w:jc w:val="right"/>
              <w:rPr>
                <w:bCs/>
              </w:rPr>
            </w:pPr>
            <w:r w:rsidRPr="001C32FA">
              <w:rPr>
                <w:bCs/>
              </w:rPr>
              <w:t>Trainees</w:t>
            </w:r>
            <w:r w:rsidRPr="004B0235">
              <w:rPr>
                <w:bCs/>
                <w:vertAlign w:val="superscript"/>
              </w:rPr>
              <w:t>(b)</w:t>
            </w:r>
          </w:p>
        </w:tc>
        <w:tc>
          <w:tcPr>
            <w:tcW w:w="699" w:type="pct"/>
            <w:tcMar>
              <w:right w:w="142" w:type="dxa"/>
            </w:tcMar>
          </w:tcPr>
          <w:p w:rsidR="000402C2" w:rsidRPr="001C32FA" w:rsidRDefault="000402C2" w:rsidP="00FC5C47">
            <w:pPr>
              <w:pStyle w:val="Tablehead2"/>
              <w:jc w:val="right"/>
              <w:rPr>
                <w:bCs/>
              </w:rPr>
            </w:pPr>
            <w:r>
              <w:rPr>
                <w:bCs/>
              </w:rPr>
              <w:t>All</w:t>
            </w:r>
            <w:r>
              <w:rPr>
                <w:bCs/>
                <w:vertAlign w:val="superscript"/>
              </w:rPr>
              <w:t>(c</w:t>
            </w:r>
            <w:r w:rsidRPr="001C32FA">
              <w:rPr>
                <w:bCs/>
                <w:vertAlign w:val="superscript"/>
              </w:rPr>
              <w:t>)</w:t>
            </w:r>
          </w:p>
        </w:tc>
        <w:tc>
          <w:tcPr>
            <w:tcW w:w="699" w:type="pct"/>
          </w:tcPr>
          <w:p w:rsidR="000402C2" w:rsidRPr="001C32FA" w:rsidRDefault="000402C2" w:rsidP="00FC5C47">
            <w:pPr>
              <w:pStyle w:val="Tablehead2"/>
              <w:jc w:val="right"/>
              <w:rPr>
                <w:bCs/>
              </w:rPr>
            </w:pPr>
            <w:r w:rsidRPr="001C32FA">
              <w:rPr>
                <w:bCs/>
              </w:rPr>
              <w:t>Apprentices</w:t>
            </w:r>
            <w:r w:rsidRPr="00E97F90">
              <w:rPr>
                <w:vertAlign w:val="superscript"/>
              </w:rPr>
              <w:t>(d)</w:t>
            </w:r>
          </w:p>
        </w:tc>
        <w:tc>
          <w:tcPr>
            <w:tcW w:w="698" w:type="pct"/>
          </w:tcPr>
          <w:p w:rsidR="000402C2" w:rsidRPr="001C32FA" w:rsidRDefault="000402C2" w:rsidP="00FC5C47">
            <w:pPr>
              <w:pStyle w:val="Tablehead2"/>
              <w:jc w:val="right"/>
              <w:rPr>
                <w:bCs/>
              </w:rPr>
            </w:pPr>
            <w:r w:rsidRPr="001C32FA">
              <w:rPr>
                <w:bCs/>
              </w:rPr>
              <w:t>Trainees</w:t>
            </w:r>
            <w:r w:rsidRPr="00E97F90">
              <w:rPr>
                <w:vertAlign w:val="superscript"/>
              </w:rPr>
              <w:t>(e)</w:t>
            </w:r>
          </w:p>
        </w:tc>
        <w:tc>
          <w:tcPr>
            <w:tcW w:w="696" w:type="pct"/>
          </w:tcPr>
          <w:p w:rsidR="000402C2" w:rsidRPr="001C32FA" w:rsidRDefault="000402C2" w:rsidP="00FC5C47">
            <w:pPr>
              <w:pStyle w:val="Tablehead2"/>
              <w:jc w:val="right"/>
              <w:rPr>
                <w:bCs/>
              </w:rPr>
            </w:pPr>
            <w:r>
              <w:rPr>
                <w:bCs/>
              </w:rPr>
              <w:t>Al</w:t>
            </w:r>
            <w:r w:rsidRPr="001C32FA">
              <w:rPr>
                <w:bCs/>
              </w:rPr>
              <w:t>l</w:t>
            </w:r>
            <w:r>
              <w:rPr>
                <w:vertAlign w:val="superscript"/>
              </w:rPr>
              <w:t>(f</w:t>
            </w:r>
            <w:r w:rsidRPr="00E97F90">
              <w:rPr>
                <w:vertAlign w:val="superscript"/>
              </w:rPr>
              <w:t>)</w:t>
            </w:r>
          </w:p>
        </w:tc>
      </w:tr>
      <w:tr w:rsidR="000402C2" w:rsidRPr="00862AF9" w:rsidTr="00807759">
        <w:trPr>
          <w:trHeight w:val="190"/>
        </w:trPr>
        <w:tc>
          <w:tcPr>
            <w:tcW w:w="817" w:type="pct"/>
            <w:vMerge/>
            <w:tcBorders>
              <w:bottom w:val="single" w:sz="4" w:space="0" w:color="auto"/>
            </w:tcBorders>
          </w:tcPr>
          <w:p w:rsidR="000402C2" w:rsidRPr="00E748CC" w:rsidRDefault="000402C2" w:rsidP="00C96FAA">
            <w:pPr>
              <w:pStyle w:val="Tablehead2"/>
            </w:pPr>
          </w:p>
        </w:tc>
        <w:tc>
          <w:tcPr>
            <w:tcW w:w="695" w:type="pct"/>
            <w:tcBorders>
              <w:bottom w:val="single" w:sz="4" w:space="0" w:color="auto"/>
            </w:tcBorders>
          </w:tcPr>
          <w:p w:rsidR="000402C2" w:rsidRPr="00E748CC" w:rsidRDefault="000402C2" w:rsidP="00FC5C47">
            <w:pPr>
              <w:pStyle w:val="Tablehead2"/>
              <w:jc w:val="right"/>
            </w:pPr>
            <w:proofErr w:type="gramStart"/>
            <w:r w:rsidRPr="00E748CC">
              <w:t>n</w:t>
            </w:r>
            <w:proofErr w:type="gramEnd"/>
            <w:r w:rsidR="00B52516">
              <w:t xml:space="preserve">    </w:t>
            </w:r>
            <w:r w:rsidRPr="00E748CC">
              <w:t xml:space="preserve"> (%)</w:t>
            </w:r>
          </w:p>
        </w:tc>
        <w:tc>
          <w:tcPr>
            <w:tcW w:w="696" w:type="pct"/>
            <w:tcBorders>
              <w:bottom w:val="single" w:sz="4" w:space="0" w:color="auto"/>
            </w:tcBorders>
            <w:tcMar>
              <w:right w:w="125" w:type="dxa"/>
            </w:tcMar>
          </w:tcPr>
          <w:p w:rsidR="000402C2" w:rsidRPr="00862AF9" w:rsidRDefault="000402C2" w:rsidP="00DE6764">
            <w:pPr>
              <w:pStyle w:val="Tablehead2"/>
              <w:tabs>
                <w:tab w:val="clear" w:pos="992"/>
              </w:tabs>
              <w:jc w:val="right"/>
            </w:pPr>
            <w:proofErr w:type="gramStart"/>
            <w:r>
              <w:t>n</w:t>
            </w:r>
            <w:proofErr w:type="gramEnd"/>
            <w:r>
              <w:t xml:space="preserve"> </w:t>
            </w:r>
            <w:r w:rsidR="00B52516">
              <w:t xml:space="preserve">       </w:t>
            </w:r>
            <w:r>
              <w:t>(%)</w:t>
            </w:r>
          </w:p>
        </w:tc>
        <w:tc>
          <w:tcPr>
            <w:tcW w:w="699" w:type="pct"/>
            <w:tcBorders>
              <w:bottom w:val="single" w:sz="4" w:space="0" w:color="auto"/>
            </w:tcBorders>
            <w:tcMar>
              <w:right w:w="142" w:type="dxa"/>
            </w:tcMar>
          </w:tcPr>
          <w:p w:rsidR="000402C2" w:rsidRPr="00862AF9" w:rsidRDefault="000402C2" w:rsidP="00FC5C47">
            <w:pPr>
              <w:pStyle w:val="Tablehead2"/>
              <w:jc w:val="right"/>
            </w:pPr>
            <w:proofErr w:type="gramStart"/>
            <w:r>
              <w:t>n</w:t>
            </w:r>
            <w:proofErr w:type="gramEnd"/>
            <w:r w:rsidR="00B52516">
              <w:t xml:space="preserve">       </w:t>
            </w:r>
            <w:r>
              <w:t xml:space="preserve"> (%)</w:t>
            </w:r>
          </w:p>
        </w:tc>
        <w:tc>
          <w:tcPr>
            <w:tcW w:w="699" w:type="pct"/>
            <w:tcBorders>
              <w:bottom w:val="single" w:sz="4" w:space="0" w:color="auto"/>
            </w:tcBorders>
          </w:tcPr>
          <w:p w:rsidR="000402C2" w:rsidRPr="00862AF9" w:rsidRDefault="000402C2" w:rsidP="00FC5C47">
            <w:pPr>
              <w:pStyle w:val="Tablehead2"/>
              <w:jc w:val="right"/>
            </w:pPr>
            <w:proofErr w:type="gramStart"/>
            <w:r>
              <w:t>n</w:t>
            </w:r>
            <w:proofErr w:type="gramEnd"/>
            <w:r w:rsidR="00B52516">
              <w:t xml:space="preserve">      </w:t>
            </w:r>
            <w:r>
              <w:t xml:space="preserve"> (%)</w:t>
            </w:r>
          </w:p>
        </w:tc>
        <w:tc>
          <w:tcPr>
            <w:tcW w:w="698" w:type="pct"/>
            <w:tcBorders>
              <w:bottom w:val="single" w:sz="4" w:space="0" w:color="auto"/>
            </w:tcBorders>
          </w:tcPr>
          <w:p w:rsidR="000402C2" w:rsidRPr="00862AF9" w:rsidRDefault="000402C2" w:rsidP="00FC5C47">
            <w:pPr>
              <w:pStyle w:val="Tablehead2"/>
              <w:jc w:val="right"/>
            </w:pPr>
            <w:proofErr w:type="gramStart"/>
            <w:r>
              <w:t>n</w:t>
            </w:r>
            <w:proofErr w:type="gramEnd"/>
            <w:r>
              <w:t xml:space="preserve"> </w:t>
            </w:r>
            <w:r w:rsidR="00B52516">
              <w:t xml:space="preserve">      </w:t>
            </w:r>
            <w:r>
              <w:t>(%)</w:t>
            </w:r>
          </w:p>
        </w:tc>
        <w:tc>
          <w:tcPr>
            <w:tcW w:w="696" w:type="pct"/>
            <w:tcBorders>
              <w:bottom w:val="single" w:sz="4" w:space="0" w:color="auto"/>
            </w:tcBorders>
          </w:tcPr>
          <w:p w:rsidR="000402C2" w:rsidRPr="00862AF9" w:rsidRDefault="000402C2" w:rsidP="00FC5C47">
            <w:pPr>
              <w:pStyle w:val="Tablehead2"/>
              <w:jc w:val="right"/>
            </w:pPr>
            <w:proofErr w:type="gramStart"/>
            <w:r>
              <w:t>n</w:t>
            </w:r>
            <w:proofErr w:type="gramEnd"/>
            <w:r>
              <w:t xml:space="preserve"> </w:t>
            </w:r>
            <w:r w:rsidR="00B52516">
              <w:t xml:space="preserve">     </w:t>
            </w:r>
            <w:r>
              <w:t>(%)</w:t>
            </w:r>
          </w:p>
        </w:tc>
      </w:tr>
      <w:tr w:rsidR="000402C2" w:rsidRPr="00862AF9">
        <w:tc>
          <w:tcPr>
            <w:tcW w:w="817" w:type="pct"/>
            <w:tcBorders>
              <w:top w:val="single" w:sz="4" w:space="0" w:color="auto"/>
            </w:tcBorders>
          </w:tcPr>
          <w:p w:rsidR="000402C2" w:rsidRPr="001B42BF" w:rsidRDefault="000402C2" w:rsidP="00C96FAA">
            <w:pPr>
              <w:pStyle w:val="Tabletext"/>
            </w:pPr>
            <w:r>
              <w:t>DES</w:t>
            </w:r>
          </w:p>
        </w:tc>
        <w:tc>
          <w:tcPr>
            <w:tcW w:w="695" w:type="pct"/>
            <w:tcBorders>
              <w:top w:val="single" w:sz="4" w:space="0" w:color="auto"/>
            </w:tcBorders>
          </w:tcPr>
          <w:p w:rsidR="000402C2" w:rsidRPr="001B42BF" w:rsidRDefault="005B7503" w:rsidP="005B7503">
            <w:pPr>
              <w:pStyle w:val="Tabletext"/>
              <w:tabs>
                <w:tab w:val="right" w:pos="521"/>
                <w:tab w:val="right" w:pos="1049"/>
              </w:tabs>
            </w:pPr>
            <w:r>
              <w:tab/>
            </w:r>
            <w:r w:rsidR="00D87A33">
              <w:t>29</w:t>
            </w:r>
            <w:r>
              <w:tab/>
            </w:r>
            <w:r w:rsidR="00D87A33">
              <w:t>(32.6)</w:t>
            </w:r>
          </w:p>
        </w:tc>
        <w:tc>
          <w:tcPr>
            <w:tcW w:w="696" w:type="pct"/>
            <w:tcBorders>
              <w:top w:val="single" w:sz="4" w:space="0" w:color="auto"/>
            </w:tcBorders>
          </w:tcPr>
          <w:p w:rsidR="000402C2" w:rsidRPr="001B42BF" w:rsidRDefault="005B7503" w:rsidP="005B7503">
            <w:pPr>
              <w:pStyle w:val="Tabletext"/>
              <w:tabs>
                <w:tab w:val="right" w:pos="406"/>
                <w:tab w:val="right" w:pos="1027"/>
              </w:tabs>
            </w:pPr>
            <w:r>
              <w:tab/>
            </w:r>
            <w:r w:rsidR="00D87A33">
              <w:t>101</w:t>
            </w:r>
            <w:r>
              <w:tab/>
            </w:r>
            <w:r w:rsidR="001E1062">
              <w:t>(41.4)</w:t>
            </w:r>
          </w:p>
        </w:tc>
        <w:tc>
          <w:tcPr>
            <w:tcW w:w="699" w:type="pct"/>
            <w:tcBorders>
              <w:top w:val="single" w:sz="4" w:space="0" w:color="auto"/>
            </w:tcBorders>
          </w:tcPr>
          <w:p w:rsidR="000402C2" w:rsidRPr="004D192B" w:rsidRDefault="005B7503" w:rsidP="005B7503">
            <w:pPr>
              <w:pStyle w:val="Tabletext"/>
              <w:tabs>
                <w:tab w:val="right" w:pos="414"/>
                <w:tab w:val="right" w:pos="1006"/>
              </w:tabs>
              <w:rPr>
                <w:highlight w:val="yellow"/>
              </w:rPr>
            </w:pPr>
            <w:r>
              <w:tab/>
            </w:r>
            <w:r w:rsidR="00B81A1A" w:rsidRPr="00B81A1A">
              <w:t>130</w:t>
            </w:r>
            <w:r>
              <w:tab/>
            </w:r>
            <w:r w:rsidR="00B81A1A" w:rsidRPr="00B81A1A">
              <w:t>(38.8)</w:t>
            </w:r>
          </w:p>
        </w:tc>
        <w:tc>
          <w:tcPr>
            <w:tcW w:w="699" w:type="pct"/>
            <w:tcBorders>
              <w:top w:val="single" w:sz="4" w:space="0" w:color="auto"/>
            </w:tcBorders>
          </w:tcPr>
          <w:p w:rsidR="000402C2" w:rsidRPr="00515E4B" w:rsidRDefault="005B7503" w:rsidP="005B7503">
            <w:pPr>
              <w:pStyle w:val="Tabletext"/>
              <w:tabs>
                <w:tab w:val="right" w:pos="451"/>
                <w:tab w:val="right" w:pos="1028"/>
              </w:tabs>
            </w:pPr>
            <w:r>
              <w:tab/>
            </w:r>
            <w:r>
              <w:tab/>
            </w:r>
            <w:r w:rsidR="00E65535">
              <w:t>n/a</w:t>
            </w:r>
          </w:p>
        </w:tc>
        <w:tc>
          <w:tcPr>
            <w:tcW w:w="698" w:type="pct"/>
            <w:tcBorders>
              <w:top w:val="single" w:sz="4" w:space="0" w:color="auto"/>
            </w:tcBorders>
          </w:tcPr>
          <w:p w:rsidR="000402C2" w:rsidRPr="00862AF9" w:rsidRDefault="005B7503" w:rsidP="005B7503">
            <w:pPr>
              <w:pStyle w:val="Tabletext"/>
              <w:tabs>
                <w:tab w:val="right" w:pos="462"/>
                <w:tab w:val="right" w:pos="1039"/>
              </w:tabs>
              <w:jc w:val="right"/>
            </w:pPr>
            <w:r>
              <w:tab/>
            </w:r>
            <w:r w:rsidR="00E65535">
              <w:t>n/a</w:t>
            </w:r>
          </w:p>
        </w:tc>
        <w:tc>
          <w:tcPr>
            <w:tcW w:w="696" w:type="pct"/>
            <w:tcBorders>
              <w:top w:val="single" w:sz="4" w:space="0" w:color="auto"/>
            </w:tcBorders>
          </w:tcPr>
          <w:p w:rsidR="000402C2" w:rsidRPr="00862AF9" w:rsidRDefault="005B7503" w:rsidP="005B7503">
            <w:pPr>
              <w:pStyle w:val="Tabletext"/>
              <w:tabs>
                <w:tab w:val="right" w:pos="483"/>
                <w:tab w:val="right" w:pos="1049"/>
              </w:tabs>
              <w:jc w:val="right"/>
            </w:pPr>
            <w:r>
              <w:tab/>
            </w:r>
            <w:r w:rsidR="00B81A1A">
              <w:t>n/a</w:t>
            </w:r>
          </w:p>
        </w:tc>
      </w:tr>
      <w:tr w:rsidR="000402C2" w:rsidRPr="00862AF9">
        <w:tc>
          <w:tcPr>
            <w:tcW w:w="817" w:type="pct"/>
          </w:tcPr>
          <w:p w:rsidR="000402C2" w:rsidRPr="001B42BF" w:rsidRDefault="000402C2" w:rsidP="00C96FAA">
            <w:pPr>
              <w:pStyle w:val="Tabletext"/>
            </w:pPr>
            <w:r>
              <w:t>GTO</w:t>
            </w:r>
          </w:p>
        </w:tc>
        <w:tc>
          <w:tcPr>
            <w:tcW w:w="695" w:type="pct"/>
          </w:tcPr>
          <w:p w:rsidR="000402C2" w:rsidRPr="001B42BF" w:rsidRDefault="005B7503" w:rsidP="005B7503">
            <w:pPr>
              <w:pStyle w:val="Tabletext"/>
              <w:tabs>
                <w:tab w:val="right" w:pos="521"/>
                <w:tab w:val="right" w:pos="1049"/>
              </w:tabs>
            </w:pPr>
            <w:r>
              <w:tab/>
            </w:r>
            <w:r w:rsidR="00D87A33">
              <w:t>25</w:t>
            </w:r>
            <w:r>
              <w:tab/>
            </w:r>
            <w:r w:rsidR="00D87A33">
              <w:t>(28.1)</w:t>
            </w:r>
          </w:p>
        </w:tc>
        <w:tc>
          <w:tcPr>
            <w:tcW w:w="696" w:type="pct"/>
          </w:tcPr>
          <w:p w:rsidR="000402C2" w:rsidRPr="001B42BF" w:rsidRDefault="005B7503" w:rsidP="005B7503">
            <w:pPr>
              <w:pStyle w:val="Tabletext"/>
              <w:tabs>
                <w:tab w:val="right" w:pos="406"/>
                <w:tab w:val="right" w:pos="1027"/>
              </w:tabs>
            </w:pPr>
            <w:r>
              <w:tab/>
            </w:r>
            <w:r w:rsidR="00D87A33">
              <w:t>48</w:t>
            </w:r>
            <w:r>
              <w:tab/>
            </w:r>
            <w:r w:rsidR="001E1062">
              <w:t>(19.7)</w:t>
            </w:r>
          </w:p>
        </w:tc>
        <w:tc>
          <w:tcPr>
            <w:tcW w:w="699" w:type="pct"/>
          </w:tcPr>
          <w:p w:rsidR="000402C2" w:rsidRPr="00370096" w:rsidRDefault="005B7503" w:rsidP="005B7503">
            <w:pPr>
              <w:pStyle w:val="Tabletext"/>
              <w:tabs>
                <w:tab w:val="right" w:pos="414"/>
                <w:tab w:val="right" w:pos="1006"/>
              </w:tabs>
            </w:pPr>
            <w:r>
              <w:tab/>
            </w:r>
            <w:r w:rsidR="00B81A1A">
              <w:t>73</w:t>
            </w:r>
            <w:r>
              <w:tab/>
            </w:r>
            <w:r w:rsidR="00B81A1A">
              <w:t>(21.8)</w:t>
            </w:r>
          </w:p>
        </w:tc>
        <w:tc>
          <w:tcPr>
            <w:tcW w:w="699" w:type="pct"/>
          </w:tcPr>
          <w:p w:rsidR="000402C2" w:rsidRPr="00515E4B" w:rsidRDefault="005B7503" w:rsidP="005B7503">
            <w:pPr>
              <w:pStyle w:val="Tabletext"/>
              <w:tabs>
                <w:tab w:val="right" w:pos="451"/>
                <w:tab w:val="right" w:pos="1028"/>
              </w:tabs>
            </w:pPr>
            <w:r>
              <w:tab/>
            </w:r>
            <w:r w:rsidR="00E65535">
              <w:t>13</w:t>
            </w:r>
            <w:r>
              <w:tab/>
            </w:r>
            <w:r w:rsidR="00E65535">
              <w:t>(65.0)</w:t>
            </w:r>
          </w:p>
        </w:tc>
        <w:tc>
          <w:tcPr>
            <w:tcW w:w="698" w:type="pct"/>
          </w:tcPr>
          <w:p w:rsidR="000402C2" w:rsidRPr="00515E4B" w:rsidRDefault="005B7503" w:rsidP="005B7503">
            <w:pPr>
              <w:pStyle w:val="Tabletext"/>
              <w:tabs>
                <w:tab w:val="right" w:pos="462"/>
                <w:tab w:val="right" w:pos="1039"/>
              </w:tabs>
            </w:pPr>
            <w:r>
              <w:tab/>
            </w:r>
            <w:r w:rsidR="00E65535">
              <w:t>28</w:t>
            </w:r>
            <w:r>
              <w:tab/>
            </w:r>
            <w:r w:rsidR="009946A0">
              <w:t>(54.9)</w:t>
            </w:r>
          </w:p>
        </w:tc>
        <w:tc>
          <w:tcPr>
            <w:tcW w:w="696" w:type="pct"/>
          </w:tcPr>
          <w:p w:rsidR="000402C2" w:rsidRPr="00700993" w:rsidRDefault="005B7503" w:rsidP="005B7503">
            <w:pPr>
              <w:pStyle w:val="Tabletext"/>
              <w:tabs>
                <w:tab w:val="right" w:pos="483"/>
                <w:tab w:val="right" w:pos="1049"/>
              </w:tabs>
            </w:pPr>
            <w:r>
              <w:tab/>
            </w:r>
            <w:r w:rsidR="00B81A1A">
              <w:t>41</w:t>
            </w:r>
            <w:r>
              <w:tab/>
            </w:r>
            <w:r w:rsidR="00B81A1A">
              <w:t>(57.7)</w:t>
            </w:r>
          </w:p>
        </w:tc>
      </w:tr>
      <w:tr w:rsidR="000402C2" w:rsidRPr="00862AF9">
        <w:tc>
          <w:tcPr>
            <w:tcW w:w="817" w:type="pct"/>
          </w:tcPr>
          <w:p w:rsidR="000402C2" w:rsidRPr="001B42BF" w:rsidRDefault="000402C2" w:rsidP="00C96FAA">
            <w:pPr>
              <w:pStyle w:val="Tabletext"/>
            </w:pPr>
            <w:r>
              <w:t>TAFE</w:t>
            </w:r>
          </w:p>
        </w:tc>
        <w:tc>
          <w:tcPr>
            <w:tcW w:w="695" w:type="pct"/>
          </w:tcPr>
          <w:p w:rsidR="000402C2" w:rsidRPr="001B42BF" w:rsidRDefault="005B7503" w:rsidP="005B7503">
            <w:pPr>
              <w:pStyle w:val="Tabletext"/>
              <w:tabs>
                <w:tab w:val="right" w:pos="521"/>
                <w:tab w:val="right" w:pos="1049"/>
              </w:tabs>
            </w:pPr>
            <w:r>
              <w:tab/>
            </w:r>
            <w:r w:rsidR="00D87A33">
              <w:t>61</w:t>
            </w:r>
            <w:r>
              <w:tab/>
            </w:r>
            <w:r w:rsidR="00D87A33">
              <w:t>(68.5)</w:t>
            </w:r>
          </w:p>
        </w:tc>
        <w:tc>
          <w:tcPr>
            <w:tcW w:w="696" w:type="pct"/>
          </w:tcPr>
          <w:p w:rsidR="000402C2" w:rsidRPr="001B42BF" w:rsidRDefault="005B7503" w:rsidP="005B7503">
            <w:pPr>
              <w:pStyle w:val="Tabletext"/>
              <w:tabs>
                <w:tab w:val="right" w:pos="406"/>
                <w:tab w:val="right" w:pos="1027"/>
              </w:tabs>
            </w:pPr>
            <w:r>
              <w:tab/>
            </w:r>
            <w:r w:rsidR="00D87A33">
              <w:t>76</w:t>
            </w:r>
            <w:r>
              <w:tab/>
            </w:r>
            <w:r w:rsidR="001E1062">
              <w:t>(31.1)</w:t>
            </w:r>
          </w:p>
        </w:tc>
        <w:tc>
          <w:tcPr>
            <w:tcW w:w="699" w:type="pct"/>
          </w:tcPr>
          <w:p w:rsidR="00B81A1A" w:rsidRPr="00B81A1A" w:rsidRDefault="005B7503" w:rsidP="005B7503">
            <w:pPr>
              <w:pStyle w:val="Tabletext"/>
              <w:tabs>
                <w:tab w:val="right" w:pos="414"/>
                <w:tab w:val="right" w:pos="1006"/>
              </w:tabs>
            </w:pPr>
            <w:r>
              <w:tab/>
            </w:r>
            <w:r w:rsidR="00B81A1A">
              <w:t>139</w:t>
            </w:r>
            <w:r>
              <w:tab/>
            </w:r>
            <w:r w:rsidR="00B81A1A">
              <w:t>(41.5)</w:t>
            </w:r>
          </w:p>
        </w:tc>
        <w:tc>
          <w:tcPr>
            <w:tcW w:w="699" w:type="pct"/>
          </w:tcPr>
          <w:p w:rsidR="000402C2" w:rsidRPr="00515E4B" w:rsidRDefault="005B7503" w:rsidP="005B7503">
            <w:pPr>
              <w:pStyle w:val="Tabletext"/>
              <w:tabs>
                <w:tab w:val="right" w:pos="451"/>
                <w:tab w:val="right" w:pos="1028"/>
              </w:tabs>
            </w:pPr>
            <w:r>
              <w:tab/>
            </w:r>
            <w:r w:rsidR="00E65535">
              <w:t>9</w:t>
            </w:r>
            <w:r>
              <w:tab/>
            </w:r>
            <w:r w:rsidR="00E65535">
              <w:t>(45.0)</w:t>
            </w:r>
          </w:p>
        </w:tc>
        <w:tc>
          <w:tcPr>
            <w:tcW w:w="698" w:type="pct"/>
          </w:tcPr>
          <w:p w:rsidR="000402C2" w:rsidRPr="00515E4B" w:rsidRDefault="005B7503" w:rsidP="005B7503">
            <w:pPr>
              <w:pStyle w:val="Tabletext"/>
              <w:tabs>
                <w:tab w:val="right" w:pos="462"/>
                <w:tab w:val="right" w:pos="1039"/>
              </w:tabs>
            </w:pPr>
            <w:r>
              <w:tab/>
            </w:r>
            <w:r w:rsidR="00E65535">
              <w:t>13</w:t>
            </w:r>
            <w:r>
              <w:tab/>
            </w:r>
            <w:r w:rsidR="009946A0">
              <w:t>(24.5)</w:t>
            </w:r>
          </w:p>
        </w:tc>
        <w:tc>
          <w:tcPr>
            <w:tcW w:w="696" w:type="pct"/>
          </w:tcPr>
          <w:p w:rsidR="000402C2" w:rsidRPr="00700993" w:rsidRDefault="005B7503" w:rsidP="005B7503">
            <w:pPr>
              <w:pStyle w:val="Tabletext"/>
              <w:tabs>
                <w:tab w:val="right" w:pos="483"/>
                <w:tab w:val="right" w:pos="1049"/>
              </w:tabs>
            </w:pPr>
            <w:r>
              <w:tab/>
            </w:r>
            <w:r w:rsidR="00B81A1A">
              <w:t>22</w:t>
            </w:r>
            <w:r>
              <w:tab/>
            </w:r>
            <w:r w:rsidR="00B81A1A">
              <w:t>(31.0)</w:t>
            </w:r>
          </w:p>
        </w:tc>
      </w:tr>
      <w:tr w:rsidR="000402C2" w:rsidRPr="00862AF9">
        <w:tc>
          <w:tcPr>
            <w:tcW w:w="817" w:type="pct"/>
          </w:tcPr>
          <w:p w:rsidR="000402C2" w:rsidRPr="001B42BF" w:rsidRDefault="000402C2" w:rsidP="00C96FAA">
            <w:pPr>
              <w:pStyle w:val="Tabletext"/>
            </w:pPr>
            <w:r>
              <w:t>Employer/host employer</w:t>
            </w:r>
          </w:p>
        </w:tc>
        <w:tc>
          <w:tcPr>
            <w:tcW w:w="695" w:type="pct"/>
          </w:tcPr>
          <w:p w:rsidR="000402C2" w:rsidRPr="001B42BF" w:rsidRDefault="005B7503" w:rsidP="005B7503">
            <w:pPr>
              <w:pStyle w:val="Tabletext"/>
              <w:tabs>
                <w:tab w:val="right" w:pos="521"/>
                <w:tab w:val="right" w:pos="1049"/>
              </w:tabs>
            </w:pPr>
            <w:r>
              <w:tab/>
            </w:r>
            <w:r w:rsidR="00D87A33">
              <w:t>19</w:t>
            </w:r>
            <w:r>
              <w:tab/>
            </w:r>
            <w:r w:rsidR="00D87A33">
              <w:t>(21.3)</w:t>
            </w:r>
          </w:p>
        </w:tc>
        <w:tc>
          <w:tcPr>
            <w:tcW w:w="696" w:type="pct"/>
          </w:tcPr>
          <w:p w:rsidR="000402C2" w:rsidRPr="001B42BF" w:rsidRDefault="005B7503" w:rsidP="005B7503">
            <w:pPr>
              <w:pStyle w:val="Tabletext"/>
              <w:tabs>
                <w:tab w:val="right" w:pos="406"/>
                <w:tab w:val="right" w:pos="1027"/>
              </w:tabs>
            </w:pPr>
            <w:r>
              <w:tab/>
            </w:r>
            <w:r w:rsidR="00D87A33">
              <w:t>117</w:t>
            </w:r>
            <w:r>
              <w:tab/>
            </w:r>
            <w:r w:rsidR="001E1062">
              <w:t>(48.0)</w:t>
            </w:r>
          </w:p>
        </w:tc>
        <w:tc>
          <w:tcPr>
            <w:tcW w:w="699" w:type="pct"/>
          </w:tcPr>
          <w:p w:rsidR="000402C2" w:rsidRPr="00370096" w:rsidRDefault="005B7503" w:rsidP="005B7503">
            <w:pPr>
              <w:pStyle w:val="Tabletext"/>
              <w:tabs>
                <w:tab w:val="right" w:pos="414"/>
                <w:tab w:val="right" w:pos="1006"/>
              </w:tabs>
            </w:pPr>
            <w:r>
              <w:tab/>
            </w:r>
            <w:r w:rsidR="00B81A1A">
              <w:t>137</w:t>
            </w:r>
            <w:r>
              <w:tab/>
            </w:r>
            <w:r w:rsidR="00B81A1A">
              <w:t>(40.9)</w:t>
            </w:r>
          </w:p>
        </w:tc>
        <w:tc>
          <w:tcPr>
            <w:tcW w:w="699" w:type="pct"/>
          </w:tcPr>
          <w:p w:rsidR="000402C2" w:rsidRPr="00515E4B" w:rsidRDefault="005B7503" w:rsidP="005B7503">
            <w:pPr>
              <w:pStyle w:val="Tabletext"/>
              <w:tabs>
                <w:tab w:val="right" w:pos="451"/>
                <w:tab w:val="right" w:pos="1028"/>
              </w:tabs>
            </w:pPr>
            <w:r>
              <w:tab/>
            </w:r>
            <w:r w:rsidR="00E65535">
              <w:t>9</w:t>
            </w:r>
            <w:r>
              <w:tab/>
            </w:r>
            <w:r w:rsidR="00E65535">
              <w:t>(45.0)</w:t>
            </w:r>
          </w:p>
        </w:tc>
        <w:tc>
          <w:tcPr>
            <w:tcW w:w="698" w:type="pct"/>
          </w:tcPr>
          <w:p w:rsidR="000402C2" w:rsidRPr="00515E4B" w:rsidRDefault="005B7503" w:rsidP="005B7503">
            <w:pPr>
              <w:pStyle w:val="Tabletext"/>
              <w:tabs>
                <w:tab w:val="right" w:pos="462"/>
                <w:tab w:val="right" w:pos="1039"/>
              </w:tabs>
            </w:pPr>
            <w:r>
              <w:tab/>
            </w:r>
            <w:r w:rsidR="00E65535">
              <w:t>37</w:t>
            </w:r>
            <w:r>
              <w:tab/>
            </w:r>
            <w:r w:rsidR="009946A0">
              <w:t>(72.5)</w:t>
            </w:r>
          </w:p>
        </w:tc>
        <w:tc>
          <w:tcPr>
            <w:tcW w:w="696" w:type="pct"/>
          </w:tcPr>
          <w:p w:rsidR="000402C2" w:rsidRPr="00700993" w:rsidRDefault="005B7503" w:rsidP="005B7503">
            <w:pPr>
              <w:pStyle w:val="Tabletext"/>
              <w:tabs>
                <w:tab w:val="right" w:pos="483"/>
                <w:tab w:val="right" w:pos="1049"/>
              </w:tabs>
            </w:pPr>
            <w:r>
              <w:tab/>
            </w:r>
            <w:r w:rsidR="00B81A1A">
              <w:t>46</w:t>
            </w:r>
            <w:r>
              <w:tab/>
            </w:r>
            <w:r w:rsidR="00B81A1A">
              <w:t>(64.8)</w:t>
            </w:r>
          </w:p>
        </w:tc>
      </w:tr>
      <w:tr w:rsidR="000402C2" w:rsidRPr="00862AF9">
        <w:tc>
          <w:tcPr>
            <w:tcW w:w="817" w:type="pct"/>
          </w:tcPr>
          <w:p w:rsidR="000402C2" w:rsidRPr="001B42BF" w:rsidRDefault="000402C2" w:rsidP="00C96FAA">
            <w:pPr>
              <w:pStyle w:val="Tabletext"/>
            </w:pPr>
            <w:r>
              <w:t>Other</w:t>
            </w:r>
          </w:p>
        </w:tc>
        <w:tc>
          <w:tcPr>
            <w:tcW w:w="695" w:type="pct"/>
          </w:tcPr>
          <w:p w:rsidR="000402C2" w:rsidRPr="001B42BF" w:rsidRDefault="005B7503" w:rsidP="005B7503">
            <w:pPr>
              <w:pStyle w:val="Tabletext"/>
              <w:tabs>
                <w:tab w:val="right" w:pos="521"/>
                <w:tab w:val="right" w:pos="1049"/>
              </w:tabs>
            </w:pPr>
            <w:r>
              <w:tab/>
            </w:r>
            <w:r w:rsidR="00D87A33">
              <w:t>3</w:t>
            </w:r>
            <w:r>
              <w:tab/>
            </w:r>
            <w:r w:rsidR="00D87A33">
              <w:t>(3.4)</w:t>
            </w:r>
          </w:p>
        </w:tc>
        <w:tc>
          <w:tcPr>
            <w:tcW w:w="696" w:type="pct"/>
          </w:tcPr>
          <w:p w:rsidR="000402C2" w:rsidRPr="001B42BF" w:rsidRDefault="005B7503" w:rsidP="005B7503">
            <w:pPr>
              <w:pStyle w:val="Tabletext"/>
              <w:tabs>
                <w:tab w:val="right" w:pos="406"/>
                <w:tab w:val="right" w:pos="1027"/>
              </w:tabs>
            </w:pPr>
            <w:r>
              <w:tab/>
            </w:r>
            <w:r w:rsidR="00D87A33">
              <w:t>17</w:t>
            </w:r>
            <w:r>
              <w:tab/>
            </w:r>
            <w:r w:rsidR="001E1062">
              <w:t>(7.0)</w:t>
            </w:r>
          </w:p>
        </w:tc>
        <w:tc>
          <w:tcPr>
            <w:tcW w:w="699" w:type="pct"/>
          </w:tcPr>
          <w:p w:rsidR="000402C2" w:rsidRPr="00370096" w:rsidRDefault="005B7503" w:rsidP="005B7503">
            <w:pPr>
              <w:pStyle w:val="Tabletext"/>
              <w:tabs>
                <w:tab w:val="right" w:pos="414"/>
                <w:tab w:val="right" w:pos="1006"/>
              </w:tabs>
            </w:pPr>
            <w:r>
              <w:tab/>
            </w:r>
            <w:r w:rsidR="00B81A1A">
              <w:t>20</w:t>
            </w:r>
            <w:r>
              <w:tab/>
            </w:r>
            <w:r w:rsidR="00B81A1A">
              <w:t>(6.0)</w:t>
            </w:r>
          </w:p>
        </w:tc>
        <w:tc>
          <w:tcPr>
            <w:tcW w:w="699" w:type="pct"/>
          </w:tcPr>
          <w:p w:rsidR="000402C2" w:rsidRPr="00515E4B" w:rsidRDefault="005B7503" w:rsidP="005B7503">
            <w:pPr>
              <w:pStyle w:val="Tabletext"/>
              <w:tabs>
                <w:tab w:val="right" w:pos="451"/>
                <w:tab w:val="right" w:pos="1028"/>
              </w:tabs>
            </w:pPr>
            <w:r>
              <w:tab/>
            </w:r>
            <w:r w:rsidR="00E65535">
              <w:t>-</w:t>
            </w:r>
          </w:p>
        </w:tc>
        <w:tc>
          <w:tcPr>
            <w:tcW w:w="698" w:type="pct"/>
          </w:tcPr>
          <w:p w:rsidR="000402C2" w:rsidRPr="00515E4B" w:rsidRDefault="005B7503" w:rsidP="005B7503">
            <w:pPr>
              <w:pStyle w:val="Tabletext"/>
              <w:tabs>
                <w:tab w:val="right" w:pos="462"/>
                <w:tab w:val="right" w:pos="1039"/>
              </w:tabs>
            </w:pPr>
            <w:r>
              <w:tab/>
            </w:r>
            <w:r w:rsidR="00E65535">
              <w:t>3</w:t>
            </w:r>
            <w:r>
              <w:tab/>
            </w:r>
            <w:r w:rsidR="009946A0">
              <w:t>(5.9)</w:t>
            </w:r>
          </w:p>
        </w:tc>
        <w:tc>
          <w:tcPr>
            <w:tcW w:w="696" w:type="pct"/>
          </w:tcPr>
          <w:p w:rsidR="000402C2" w:rsidRPr="00700993" w:rsidRDefault="005B7503" w:rsidP="005B7503">
            <w:pPr>
              <w:pStyle w:val="Tabletext"/>
              <w:tabs>
                <w:tab w:val="right" w:pos="483"/>
                <w:tab w:val="right" w:pos="1049"/>
              </w:tabs>
            </w:pPr>
            <w:r>
              <w:tab/>
            </w:r>
            <w:r w:rsidR="00B81A1A">
              <w:t>3</w:t>
            </w:r>
            <w:r>
              <w:tab/>
            </w:r>
            <w:r w:rsidR="00B81A1A">
              <w:t>(4.2)</w:t>
            </w:r>
          </w:p>
        </w:tc>
      </w:tr>
      <w:tr w:rsidR="00B81A1A" w:rsidRPr="00862AF9">
        <w:tc>
          <w:tcPr>
            <w:tcW w:w="817" w:type="pct"/>
            <w:tcBorders>
              <w:bottom w:val="single" w:sz="4" w:space="0" w:color="auto"/>
            </w:tcBorders>
          </w:tcPr>
          <w:p w:rsidR="00B81A1A" w:rsidRDefault="00F9770F" w:rsidP="00C96FAA">
            <w:pPr>
              <w:pStyle w:val="Tabletext"/>
            </w:pPr>
            <w:r>
              <w:t>All</w:t>
            </w:r>
          </w:p>
        </w:tc>
        <w:tc>
          <w:tcPr>
            <w:tcW w:w="695" w:type="pct"/>
            <w:tcBorders>
              <w:bottom w:val="single" w:sz="4" w:space="0" w:color="auto"/>
            </w:tcBorders>
          </w:tcPr>
          <w:p w:rsidR="00B81A1A" w:rsidRPr="001B42BF" w:rsidRDefault="005B7503" w:rsidP="005B7503">
            <w:pPr>
              <w:pStyle w:val="Tabletext"/>
              <w:tabs>
                <w:tab w:val="right" w:pos="521"/>
                <w:tab w:val="right" w:pos="1049"/>
              </w:tabs>
            </w:pPr>
            <w:r>
              <w:tab/>
            </w:r>
            <w:r w:rsidR="00D87A33">
              <w:t>89</w:t>
            </w:r>
            <w:r>
              <w:tab/>
            </w:r>
            <w:r w:rsidR="00D87A33">
              <w:t>(100.0)</w:t>
            </w:r>
          </w:p>
        </w:tc>
        <w:tc>
          <w:tcPr>
            <w:tcW w:w="696" w:type="pct"/>
            <w:tcBorders>
              <w:bottom w:val="single" w:sz="4" w:space="0" w:color="auto"/>
            </w:tcBorders>
          </w:tcPr>
          <w:p w:rsidR="00B81A1A" w:rsidRPr="001B42BF" w:rsidRDefault="005B7503" w:rsidP="005B7503">
            <w:pPr>
              <w:pStyle w:val="Tabletext"/>
              <w:tabs>
                <w:tab w:val="right" w:pos="406"/>
                <w:tab w:val="right" w:pos="1027"/>
              </w:tabs>
            </w:pPr>
            <w:r>
              <w:tab/>
            </w:r>
            <w:r w:rsidR="00D87A33">
              <w:t>244</w:t>
            </w:r>
            <w:r>
              <w:tab/>
            </w:r>
            <w:r w:rsidR="00D87A33">
              <w:t>(100.0)</w:t>
            </w:r>
          </w:p>
        </w:tc>
        <w:tc>
          <w:tcPr>
            <w:tcW w:w="699" w:type="pct"/>
            <w:tcBorders>
              <w:bottom w:val="single" w:sz="4" w:space="0" w:color="auto"/>
            </w:tcBorders>
          </w:tcPr>
          <w:p w:rsidR="00B81A1A" w:rsidRDefault="005B7503" w:rsidP="005B7503">
            <w:pPr>
              <w:pStyle w:val="Tabletext"/>
              <w:tabs>
                <w:tab w:val="right" w:pos="414"/>
                <w:tab w:val="right" w:pos="1006"/>
              </w:tabs>
            </w:pPr>
            <w:r>
              <w:tab/>
            </w:r>
            <w:r w:rsidR="00B81A1A">
              <w:t>335</w:t>
            </w:r>
            <w:r>
              <w:tab/>
            </w:r>
            <w:r w:rsidR="00B81A1A">
              <w:t>(100.0)</w:t>
            </w:r>
          </w:p>
        </w:tc>
        <w:tc>
          <w:tcPr>
            <w:tcW w:w="699" w:type="pct"/>
            <w:tcBorders>
              <w:bottom w:val="single" w:sz="4" w:space="0" w:color="auto"/>
            </w:tcBorders>
          </w:tcPr>
          <w:p w:rsidR="00B81A1A" w:rsidRPr="00515E4B" w:rsidRDefault="005B7503" w:rsidP="005B7503">
            <w:pPr>
              <w:pStyle w:val="Tabletext"/>
              <w:tabs>
                <w:tab w:val="right" w:pos="451"/>
                <w:tab w:val="right" w:pos="1028"/>
              </w:tabs>
            </w:pPr>
            <w:r>
              <w:tab/>
            </w:r>
            <w:r w:rsidR="00E65535">
              <w:t>20</w:t>
            </w:r>
            <w:r>
              <w:tab/>
            </w:r>
            <w:r w:rsidR="00E65535">
              <w:t>(100.0)</w:t>
            </w:r>
          </w:p>
        </w:tc>
        <w:tc>
          <w:tcPr>
            <w:tcW w:w="698" w:type="pct"/>
            <w:tcBorders>
              <w:bottom w:val="single" w:sz="4" w:space="0" w:color="auto"/>
            </w:tcBorders>
          </w:tcPr>
          <w:p w:rsidR="00B81A1A" w:rsidRPr="00515E4B" w:rsidRDefault="005B7503" w:rsidP="005B7503">
            <w:pPr>
              <w:pStyle w:val="Tabletext"/>
              <w:tabs>
                <w:tab w:val="right" w:pos="462"/>
                <w:tab w:val="right" w:pos="1039"/>
              </w:tabs>
            </w:pPr>
            <w:r>
              <w:tab/>
            </w:r>
            <w:r w:rsidR="00E65535">
              <w:t>51</w:t>
            </w:r>
            <w:r>
              <w:tab/>
            </w:r>
            <w:r w:rsidR="00E65535">
              <w:t>(100.0)</w:t>
            </w:r>
          </w:p>
        </w:tc>
        <w:tc>
          <w:tcPr>
            <w:tcW w:w="696" w:type="pct"/>
            <w:tcBorders>
              <w:bottom w:val="single" w:sz="4" w:space="0" w:color="auto"/>
            </w:tcBorders>
          </w:tcPr>
          <w:p w:rsidR="00B81A1A" w:rsidRPr="00700993" w:rsidRDefault="005B7503" w:rsidP="005B7503">
            <w:pPr>
              <w:pStyle w:val="Tabletext"/>
              <w:tabs>
                <w:tab w:val="right" w:pos="483"/>
                <w:tab w:val="right" w:pos="1049"/>
              </w:tabs>
            </w:pPr>
            <w:r>
              <w:tab/>
            </w:r>
            <w:r w:rsidR="00B81A1A">
              <w:t>71</w:t>
            </w:r>
            <w:r>
              <w:tab/>
            </w:r>
            <w:r w:rsidR="00B81A1A">
              <w:t>(100.0)</w:t>
            </w:r>
          </w:p>
        </w:tc>
      </w:tr>
    </w:tbl>
    <w:p w:rsidR="000402C2" w:rsidRPr="000538CC" w:rsidRDefault="000402C2" w:rsidP="000402C2">
      <w:pPr>
        <w:pStyle w:val="Source"/>
      </w:pPr>
      <w:r w:rsidRPr="000538CC">
        <w:t xml:space="preserve">Notes: </w:t>
      </w:r>
      <w:r w:rsidRPr="000538CC">
        <w:tab/>
      </w:r>
      <w:r>
        <w:t>Percentages have been rounded.</w:t>
      </w:r>
    </w:p>
    <w:p w:rsidR="000402C2" w:rsidRPr="00E97F90" w:rsidRDefault="000402C2" w:rsidP="000402C2">
      <w:pPr>
        <w:pStyle w:val="Source"/>
        <w:ind w:left="1134"/>
      </w:pPr>
      <w:r>
        <w:rPr>
          <w:vertAlign w:val="superscript"/>
        </w:rPr>
        <w:t>(a</w:t>
      </w:r>
      <w:r w:rsidRPr="00E97F90">
        <w:rPr>
          <w:vertAlign w:val="superscript"/>
        </w:rPr>
        <w:t>)</w:t>
      </w:r>
      <w:r w:rsidRPr="00E97F90">
        <w:t>A</w:t>
      </w:r>
      <w:r>
        <w:t xml:space="preserve">verage of </w:t>
      </w:r>
      <w:r w:rsidR="00D87A33">
        <w:t>1.5</w:t>
      </w:r>
      <w:r w:rsidRPr="00E97F90">
        <w:t xml:space="preserve"> </w:t>
      </w:r>
      <w:r>
        <w:t>sources of supports cited</w:t>
      </w:r>
      <w:r w:rsidRPr="00E97F90">
        <w:t>.</w:t>
      </w:r>
    </w:p>
    <w:p w:rsidR="000402C2" w:rsidRPr="00E97F90" w:rsidRDefault="000402C2" w:rsidP="000402C2">
      <w:pPr>
        <w:pStyle w:val="Source"/>
        <w:ind w:left="1134"/>
      </w:pPr>
      <w:r>
        <w:rPr>
          <w:vertAlign w:val="superscript"/>
        </w:rPr>
        <w:t>(b</w:t>
      </w:r>
      <w:r w:rsidRPr="00E97F90">
        <w:rPr>
          <w:vertAlign w:val="superscript"/>
        </w:rPr>
        <w:t>)</w:t>
      </w:r>
      <w:r w:rsidRPr="00E97F90">
        <w:t>A</w:t>
      </w:r>
      <w:r>
        <w:t xml:space="preserve">verage of </w:t>
      </w:r>
      <w:r w:rsidR="00D87A33">
        <w:t>1</w:t>
      </w:r>
      <w:r>
        <w:t>.</w:t>
      </w:r>
      <w:r w:rsidR="00D87A33">
        <w:t>5</w:t>
      </w:r>
      <w:r w:rsidRPr="00E97F90">
        <w:t xml:space="preserve"> </w:t>
      </w:r>
      <w:r>
        <w:t>sources of supports cited</w:t>
      </w:r>
      <w:r w:rsidRPr="00E97F90">
        <w:t>.</w:t>
      </w:r>
    </w:p>
    <w:p w:rsidR="000402C2" w:rsidRDefault="000402C2" w:rsidP="000402C2">
      <w:pPr>
        <w:pStyle w:val="Source"/>
        <w:ind w:firstLine="0"/>
      </w:pPr>
      <w:r>
        <w:rPr>
          <w:vertAlign w:val="superscript"/>
        </w:rPr>
        <w:t>(c</w:t>
      </w:r>
      <w:r w:rsidRPr="00797632">
        <w:rPr>
          <w:vertAlign w:val="superscript"/>
        </w:rPr>
        <w:t>)</w:t>
      </w:r>
      <w:r>
        <w:t xml:space="preserve">Average of </w:t>
      </w:r>
      <w:r w:rsidR="00B81A1A">
        <w:t>1</w:t>
      </w:r>
      <w:r>
        <w:t>.</w:t>
      </w:r>
      <w:r w:rsidR="00B81A1A">
        <w:t>5</w:t>
      </w:r>
      <w:r>
        <w:t xml:space="preserve"> sources of supports cited and includes participants with missing data o</w:t>
      </w:r>
      <w:r w:rsidR="00B52516">
        <w:t xml:space="preserve">n apprenticeship or traineeship </w:t>
      </w:r>
      <w:r>
        <w:t>level.</w:t>
      </w:r>
    </w:p>
    <w:p w:rsidR="000402C2" w:rsidRPr="00E97F90" w:rsidRDefault="000402C2" w:rsidP="000402C2">
      <w:pPr>
        <w:pStyle w:val="Source"/>
        <w:ind w:left="1134"/>
      </w:pPr>
      <w:r>
        <w:rPr>
          <w:vertAlign w:val="superscript"/>
        </w:rPr>
        <w:t>(d</w:t>
      </w:r>
      <w:r w:rsidRPr="00E97F90">
        <w:rPr>
          <w:vertAlign w:val="superscript"/>
        </w:rPr>
        <w:t>)</w:t>
      </w:r>
      <w:r w:rsidRPr="00E97F90">
        <w:t>A</w:t>
      </w:r>
      <w:r>
        <w:t xml:space="preserve">verage of </w:t>
      </w:r>
      <w:r w:rsidR="00E65535">
        <w:t>1.6</w:t>
      </w:r>
      <w:r w:rsidRPr="00E97F90">
        <w:t xml:space="preserve"> </w:t>
      </w:r>
      <w:r>
        <w:t>sources of supports cited</w:t>
      </w:r>
      <w:r w:rsidRPr="00E97F90">
        <w:t>.</w:t>
      </w:r>
    </w:p>
    <w:p w:rsidR="000402C2" w:rsidRPr="00E97F90" w:rsidRDefault="000402C2" w:rsidP="000402C2">
      <w:pPr>
        <w:pStyle w:val="Source"/>
        <w:ind w:left="1134"/>
      </w:pPr>
      <w:r>
        <w:rPr>
          <w:vertAlign w:val="superscript"/>
        </w:rPr>
        <w:t>(e</w:t>
      </w:r>
      <w:r w:rsidRPr="00E97F90">
        <w:rPr>
          <w:vertAlign w:val="superscript"/>
        </w:rPr>
        <w:t>)</w:t>
      </w:r>
      <w:r w:rsidRPr="00E97F90">
        <w:t>A</w:t>
      </w:r>
      <w:r>
        <w:t xml:space="preserve">verage of </w:t>
      </w:r>
      <w:r w:rsidR="003B3044">
        <w:t>1.6</w:t>
      </w:r>
      <w:r w:rsidR="00AF0BDA">
        <w:t xml:space="preserve"> </w:t>
      </w:r>
      <w:r>
        <w:t>sources of supports cited</w:t>
      </w:r>
      <w:r w:rsidRPr="00E97F90">
        <w:t>.</w:t>
      </w:r>
    </w:p>
    <w:p w:rsidR="000402C2" w:rsidRDefault="000402C2" w:rsidP="000402C2">
      <w:pPr>
        <w:pStyle w:val="Source"/>
        <w:ind w:firstLine="0"/>
      </w:pPr>
      <w:r>
        <w:rPr>
          <w:vertAlign w:val="superscript"/>
        </w:rPr>
        <w:t>(f</w:t>
      </w:r>
      <w:r w:rsidRPr="00797632">
        <w:rPr>
          <w:vertAlign w:val="superscript"/>
        </w:rPr>
        <w:t>)</w:t>
      </w:r>
      <w:r>
        <w:t xml:space="preserve">Average of </w:t>
      </w:r>
      <w:r w:rsidR="00B81A1A">
        <w:t>1.6</w:t>
      </w:r>
      <w:r>
        <w:t xml:space="preserve"> sources of supports cited.</w:t>
      </w:r>
    </w:p>
    <w:p w:rsidR="00214B7D" w:rsidRDefault="00214B7D" w:rsidP="00214B7D">
      <w:pPr>
        <w:pStyle w:val="Heading2"/>
      </w:pPr>
      <w:bookmarkStart w:id="60" w:name="_Toc350259311"/>
      <w:r>
        <w:lastRenderedPageBreak/>
        <w:t>Resources</w:t>
      </w:r>
      <w:bookmarkEnd w:id="60"/>
    </w:p>
    <w:p w:rsidR="00214B7D" w:rsidRDefault="003118E9" w:rsidP="00373E92">
      <w:pPr>
        <w:pStyle w:val="Text"/>
        <w:spacing w:line="290" w:lineRule="exact"/>
        <w:ind w:right="0"/>
      </w:pPr>
      <w:r>
        <w:t>As described in t</w:t>
      </w:r>
      <w:r w:rsidR="00214B7D" w:rsidRPr="00CB7B06">
        <w:t xml:space="preserve">able 7, a larger proportion of participants in the comparison group </w:t>
      </w:r>
      <w:r w:rsidR="00214B7D">
        <w:t>(62.2%) reported the lack of resource</w:t>
      </w:r>
      <w:r w:rsidR="00B82EB4">
        <w:t>s</w:t>
      </w:r>
      <w:r w:rsidR="00214B7D" w:rsidRPr="00CB7B06">
        <w:t xml:space="preserve"> as a barrier </w:t>
      </w:r>
      <w:r w:rsidR="00B82EB4">
        <w:t>to</w:t>
      </w:r>
      <w:r w:rsidR="00214B7D" w:rsidRPr="00CB7B06">
        <w:t xml:space="preserve"> course completion than participants in the disability group</w:t>
      </w:r>
      <w:r w:rsidR="00214B7D">
        <w:t xml:space="preserve"> (49.3%)</w:t>
      </w:r>
      <w:r w:rsidR="00214B7D" w:rsidRPr="00CB7B06">
        <w:t xml:space="preserve">. Factors </w:t>
      </w:r>
      <w:r>
        <w:t>encompassed by</w:t>
      </w:r>
      <w:r w:rsidR="00214B7D" w:rsidRPr="00CB7B06">
        <w:t xml:space="preserve"> this theme were the most prominent barriers </w:t>
      </w:r>
      <w:r>
        <w:t>to</w:t>
      </w:r>
      <w:r w:rsidR="00214B7D" w:rsidRPr="00CB7B06">
        <w:t xml:space="preserve"> course completion among graduates, irrespective of disability status. </w:t>
      </w:r>
      <w:r w:rsidR="00B82EB4">
        <w:t>Issues</w:t>
      </w:r>
      <w:r>
        <w:t xml:space="preserve"> relating</w:t>
      </w:r>
      <w:r w:rsidR="00214B7D">
        <w:t xml:space="preserve"> to the lack of time and other non-financial resources were also reported. </w:t>
      </w:r>
    </w:p>
    <w:p w:rsidR="00214B7D" w:rsidRDefault="00214B7D" w:rsidP="00373E92">
      <w:pPr>
        <w:pStyle w:val="Text"/>
        <w:spacing w:line="290" w:lineRule="exact"/>
        <w:ind w:right="0"/>
      </w:pPr>
      <w:r w:rsidRPr="00CB7B06">
        <w:t xml:space="preserve">Common challenges reported by the participants included poor training wages and </w:t>
      </w:r>
      <w:r w:rsidR="003118E9">
        <w:t xml:space="preserve">the </w:t>
      </w:r>
      <w:r w:rsidRPr="00CB7B06">
        <w:t>cost of equipment or tools required for the training</w:t>
      </w:r>
      <w:r>
        <w:t>.</w:t>
      </w:r>
      <w:r w:rsidRPr="00CC6C09">
        <w:t xml:space="preserve"> </w:t>
      </w:r>
      <w:r>
        <w:t>Receiving additional resources and being able to make flexible arrangements were common facilitators reported by participants in both the disability and comparison grou</w:t>
      </w:r>
      <w:r w:rsidR="003118E9">
        <w:t>ps. Graduates without disabilities</w:t>
      </w:r>
      <w:r>
        <w:t>, however, cited such facilitators more frequently than participants with disabilities. Facilitators included government allowances to buy tools and equipment and support by the employer</w:t>
      </w:r>
      <w:r w:rsidR="003118E9">
        <w:t>,</w:t>
      </w:r>
      <w:r>
        <w:t xml:space="preserve"> such as allocated paid time to study.</w:t>
      </w:r>
      <w:r w:rsidRPr="00CC6C09">
        <w:t xml:space="preserve"> </w:t>
      </w:r>
      <w:r>
        <w:t>It has been suggested that</w:t>
      </w:r>
      <w:r w:rsidR="003118E9">
        <w:t xml:space="preserve"> poor training wages contributes</w:t>
      </w:r>
      <w:r>
        <w:t xml:space="preserve"> to the attrition of apprentices and trainees (Snell &amp; Hart 2008)</w:t>
      </w:r>
      <w:r w:rsidR="003118E9">
        <w:t>,</w:t>
      </w:r>
      <w:r>
        <w:t xml:space="preserve"> as some withdraw from th</w:t>
      </w:r>
      <w:r w:rsidR="003118E9">
        <w:t>eir courses to undertake better-</w:t>
      </w:r>
      <w:r>
        <w:t xml:space="preserve">paid unskilled or semi-skilled jobs. Particularly in industries or workplaces where apprentices and trainees undertake similar jobs as unskilled labourers, this inequity in salaries is a barrier </w:t>
      </w:r>
      <w:r w:rsidR="003118E9">
        <w:t>to</w:t>
      </w:r>
      <w:r>
        <w:t xml:space="preserve"> course completion among all apprentices and trainees. </w:t>
      </w:r>
    </w:p>
    <w:p w:rsidR="00214B7D" w:rsidRDefault="00214B7D" w:rsidP="00373E92">
      <w:pPr>
        <w:pStyle w:val="Text"/>
        <w:spacing w:line="290" w:lineRule="exact"/>
        <w:ind w:right="0"/>
      </w:pPr>
      <w:r>
        <w:t>R</w:t>
      </w:r>
      <w:r w:rsidRPr="00EC27F4">
        <w:t xml:space="preserve">esearch participants </w:t>
      </w:r>
      <w:r>
        <w:t>also cited</w:t>
      </w:r>
      <w:r w:rsidRPr="00EC27F4">
        <w:t xml:space="preserve"> the lack </w:t>
      </w:r>
      <w:r w:rsidRPr="0037105E">
        <w:t xml:space="preserve">of </w:t>
      </w:r>
      <w:proofErr w:type="gramStart"/>
      <w:r w:rsidRPr="0037105E">
        <w:t>time</w:t>
      </w:r>
      <w:r w:rsidR="00B5189B">
        <w:t>,</w:t>
      </w:r>
      <w:proofErr w:type="gramEnd"/>
      <w:r w:rsidRPr="0037105E">
        <w:t xml:space="preserve"> feeling rushed</w:t>
      </w:r>
      <w:r>
        <w:t xml:space="preserve"> and associated stress </w:t>
      </w:r>
      <w:r w:rsidRPr="0037105E">
        <w:t>as barriers. A male trainee in the disability group stated that he ‘struggled working long hours and then coming home to study was hard [when he] was tired’. There were also other demands on time, such as ‘family commitment’, and for some this was compounded by ‘health conditions’ a</w:t>
      </w:r>
      <w:r w:rsidRPr="00DE4990">
        <w:t>nd ‘working hours [were] too much due to … disability’. With the exception of the compounding factors of health conditions and disability, graduates in the comparison group reported the same barriers</w:t>
      </w:r>
      <w:r>
        <w:t xml:space="preserve">. </w:t>
      </w:r>
    </w:p>
    <w:p w:rsidR="00214B7D" w:rsidRDefault="00214B7D" w:rsidP="00373E92">
      <w:pPr>
        <w:pStyle w:val="Text"/>
        <w:spacing w:line="290" w:lineRule="exact"/>
        <w:ind w:right="0"/>
      </w:pPr>
      <w:r w:rsidRPr="0037105E">
        <w:t xml:space="preserve">Participants also reported </w:t>
      </w:r>
      <w:r w:rsidR="00B82EB4">
        <w:t>transport difficulties</w:t>
      </w:r>
      <w:r>
        <w:t>:</w:t>
      </w:r>
      <w:r w:rsidRPr="0037105E">
        <w:t xml:space="preserve"> not having a driving licence, poor public transport and the amount of time commu</w:t>
      </w:r>
      <w:r w:rsidR="00B82EB4">
        <w:t xml:space="preserve">ting to training, work or work </w:t>
      </w:r>
      <w:r w:rsidRPr="0037105E">
        <w:t xml:space="preserve">sites were challenges for course completion. A male traineeship graduate in the disability group indicated that he </w:t>
      </w:r>
      <w:proofErr w:type="gramStart"/>
      <w:r w:rsidRPr="0037105E">
        <w:t>‘</w:t>
      </w:r>
      <w:proofErr w:type="spellStart"/>
      <w:r w:rsidRPr="0037105E">
        <w:t>rel</w:t>
      </w:r>
      <w:proofErr w:type="spellEnd"/>
      <w:r w:rsidRPr="0037105E">
        <w:t>[</w:t>
      </w:r>
      <w:proofErr w:type="spellStart"/>
      <w:proofErr w:type="gramEnd"/>
      <w:r w:rsidRPr="0037105E">
        <w:t>ied</w:t>
      </w:r>
      <w:proofErr w:type="spellEnd"/>
      <w:r w:rsidRPr="0037105E">
        <w:t xml:space="preserve">] on others for transport’. This may be more challenging in certain industries that require people to commute outside normal </w:t>
      </w:r>
      <w:r w:rsidR="003118E9" w:rsidRPr="0037105E">
        <w:t xml:space="preserve">public transport </w:t>
      </w:r>
      <w:r w:rsidRPr="0037105E">
        <w:t>operating hours or in areas with limited public transport facilities.</w:t>
      </w:r>
    </w:p>
    <w:p w:rsidR="00214B7D" w:rsidRDefault="00214B7D" w:rsidP="00373E92">
      <w:pPr>
        <w:pStyle w:val="Text"/>
        <w:spacing w:line="290" w:lineRule="exact"/>
        <w:ind w:right="0"/>
      </w:pPr>
      <w:r>
        <w:t>The barriers and facilitators described in this section outline challenges that are likely to be common across the apprenticeship and traineeship population as they relate to some of the fundamental structures of this form of training. A larger proportion</w:t>
      </w:r>
      <w:r w:rsidR="003118E9">
        <w:t xml:space="preserve"> of graduates without disabilities</w:t>
      </w:r>
      <w:r>
        <w:t xml:space="preserve"> cited barriers in this theme</w:t>
      </w:r>
      <w:r w:rsidR="003118E9">
        <w:t>,</w:t>
      </w:r>
      <w:r>
        <w:t xml:space="preserve"> although about half of the graduates with disabilities also cited barriers related to </w:t>
      </w:r>
      <w:r w:rsidR="003118E9">
        <w:t xml:space="preserve">a </w:t>
      </w:r>
      <w:r>
        <w:t xml:space="preserve">lack of resources, opportunity or flexibility. </w:t>
      </w:r>
    </w:p>
    <w:p w:rsidR="009F4943" w:rsidRDefault="009F4943" w:rsidP="009F4943">
      <w:pPr>
        <w:pStyle w:val="Heading2"/>
      </w:pPr>
      <w:bookmarkStart w:id="61" w:name="_Toc350259312"/>
      <w:r>
        <w:t>Disability, health and injury</w:t>
      </w:r>
      <w:bookmarkEnd w:id="61"/>
    </w:p>
    <w:p w:rsidR="00B12AE5" w:rsidRPr="00B12AE5" w:rsidRDefault="000301DF" w:rsidP="00373E92">
      <w:pPr>
        <w:pStyle w:val="Text"/>
        <w:spacing w:line="290" w:lineRule="exact"/>
        <w:ind w:right="0"/>
      </w:pPr>
      <w:r w:rsidRPr="000301DF">
        <w:t>A</w:t>
      </w:r>
      <w:r w:rsidR="00D80780">
        <w:t>lthough</w:t>
      </w:r>
      <w:r w:rsidRPr="000301DF">
        <w:t xml:space="preserve"> a small number of comparison group participants indicated poor health and injury as a bar</w:t>
      </w:r>
      <w:r>
        <w:t xml:space="preserve">rier to course completion, the analysis of this theme will only </w:t>
      </w:r>
      <w:r w:rsidR="00143F5D">
        <w:t>address</w:t>
      </w:r>
      <w:r>
        <w:t xml:space="preserve"> graduates with disabilities. A</w:t>
      </w:r>
      <w:r w:rsidR="000C7328">
        <w:t xml:space="preserve">lmost half the participants with disabilities reported that their disabilities were a barrier to their </w:t>
      </w:r>
      <w:r w:rsidR="000C7328" w:rsidRPr="000C7328">
        <w:t xml:space="preserve">course completion. </w:t>
      </w:r>
      <w:r w:rsidR="0072725F">
        <w:t xml:space="preserve">The most prominent </w:t>
      </w:r>
      <w:r w:rsidR="0072725F" w:rsidRPr="00B12AE5">
        <w:t>s</w:t>
      </w:r>
      <w:r w:rsidR="000C7328" w:rsidRPr="00B12AE5">
        <w:t>ubtheme</w:t>
      </w:r>
      <w:r w:rsidR="00B12AE5" w:rsidRPr="00B12AE5">
        <w:t xml:space="preserve"> </w:t>
      </w:r>
      <w:r w:rsidR="00143F5D">
        <w:t>concerned issues</w:t>
      </w:r>
      <w:r w:rsidR="000C7328" w:rsidRPr="00B12AE5">
        <w:t xml:space="preserve"> </w:t>
      </w:r>
      <w:r w:rsidR="00143F5D">
        <w:t xml:space="preserve">of </w:t>
      </w:r>
      <w:r w:rsidR="000C7328" w:rsidRPr="00B12AE5">
        <w:t>litera</w:t>
      </w:r>
      <w:r w:rsidR="00B5189B">
        <w:t>c</w:t>
      </w:r>
      <w:r w:rsidR="000C7328" w:rsidRPr="00B12AE5">
        <w:t>y and/or numeracy (half of all barriers within this theme)</w:t>
      </w:r>
      <w:r w:rsidR="00B12AE5" w:rsidRPr="00B12AE5">
        <w:t>. In addition, participants reported barriers a</w:t>
      </w:r>
      <w:r w:rsidR="00143F5D">
        <w:t>ssociated with</w:t>
      </w:r>
      <w:r w:rsidR="00B12AE5" w:rsidRPr="00B12AE5">
        <w:t xml:space="preserve"> the built environment; </w:t>
      </w:r>
      <w:r w:rsidR="00B82EB4">
        <w:t xml:space="preserve">a </w:t>
      </w:r>
      <w:r w:rsidR="00B12AE5" w:rsidRPr="00B12AE5">
        <w:t xml:space="preserve">lack of assistive technology; discomfort, pain, and health problems; and challenges from sensory disability and communication. They </w:t>
      </w:r>
      <w:r w:rsidR="00143F5D">
        <w:t xml:space="preserve">indicated that </w:t>
      </w:r>
      <w:r w:rsidR="00143F5D" w:rsidRPr="00B12AE5">
        <w:t xml:space="preserve">adjustments to the built environment, </w:t>
      </w:r>
      <w:r w:rsidR="00B82EB4">
        <w:t xml:space="preserve">the </w:t>
      </w:r>
      <w:r w:rsidR="00143F5D" w:rsidRPr="00B12AE5">
        <w:t xml:space="preserve">provision of assistive technology, medication, availability of interpreters, adjustment to the training material or format, and </w:t>
      </w:r>
      <w:r w:rsidR="00143F5D">
        <w:t>the provision of</w:t>
      </w:r>
      <w:r w:rsidR="00143F5D" w:rsidRPr="00B12AE5">
        <w:t xml:space="preserve"> additional training support such as tutors or note-takers</w:t>
      </w:r>
      <w:r w:rsidR="00143F5D">
        <w:t xml:space="preserve"> </w:t>
      </w:r>
      <w:r w:rsidR="00B84F46">
        <w:t>assisted</w:t>
      </w:r>
      <w:r w:rsidR="00143F5D">
        <w:t xml:space="preserve"> them to complete their courses</w:t>
      </w:r>
      <w:r w:rsidR="00B12AE5" w:rsidRPr="00B12AE5">
        <w:t xml:space="preserve">. </w:t>
      </w:r>
      <w:r w:rsidR="00B12AE5">
        <w:t xml:space="preserve">However, the majority of these </w:t>
      </w:r>
      <w:r w:rsidR="00B82EB4">
        <w:t xml:space="preserve">facilitators were not coded </w:t>
      </w:r>
      <w:r w:rsidR="00B12AE5">
        <w:t xml:space="preserve">in the disability, health, and injury theme as they related specifically to education and training </w:t>
      </w:r>
      <w:r w:rsidR="00B12AE5">
        <w:lastRenderedPageBreak/>
        <w:t xml:space="preserve">or workplace factors. This </w:t>
      </w:r>
      <w:r w:rsidR="008D2975">
        <w:t>reinforces the argument that the environment determines whether a condition is disabling</w:t>
      </w:r>
      <w:r w:rsidR="004C0776">
        <w:t xml:space="preserve"> and supports</w:t>
      </w:r>
      <w:r w:rsidR="008D2975">
        <w:t xml:space="preserve"> such as techn</w:t>
      </w:r>
      <w:r w:rsidR="004C0776">
        <w:t>ology and aids, adjustments to teaching material, access</w:t>
      </w:r>
      <w:r w:rsidR="00B82EB4">
        <w:t xml:space="preserve"> to tutors, adjustments to work </w:t>
      </w:r>
      <w:r w:rsidR="004C0776">
        <w:t>tasks, or</w:t>
      </w:r>
      <w:r w:rsidR="008D2975">
        <w:t xml:space="preserve"> </w:t>
      </w:r>
      <w:r w:rsidR="00B82EB4">
        <w:t>adjustments to the built</w:t>
      </w:r>
      <w:r w:rsidR="004C0776">
        <w:t xml:space="preserve"> environment will </w:t>
      </w:r>
      <w:r w:rsidR="00143F5D">
        <w:t xml:space="preserve">reduce </w:t>
      </w:r>
      <w:r w:rsidR="004C0776">
        <w:t>the impact of disability</w:t>
      </w:r>
      <w:r w:rsidR="00A67947">
        <w:t xml:space="preserve"> (</w:t>
      </w:r>
      <w:r w:rsidR="00F716D2">
        <w:t>National VET Equity Advisory Council</w:t>
      </w:r>
      <w:r w:rsidR="00862A73">
        <w:t xml:space="preserve"> 2011</w:t>
      </w:r>
      <w:r w:rsidR="00A67947">
        <w:t>)</w:t>
      </w:r>
      <w:r w:rsidR="004C0776">
        <w:t xml:space="preserve">. </w:t>
      </w:r>
      <w:r w:rsidR="00A67947">
        <w:t xml:space="preserve">Barriers related to the impact of disability, health and </w:t>
      </w:r>
      <w:proofErr w:type="gramStart"/>
      <w:r w:rsidR="00A67947">
        <w:t>injury are</w:t>
      </w:r>
      <w:proofErr w:type="gramEnd"/>
      <w:r w:rsidR="00A67947">
        <w:t xml:space="preserve"> therefore better understood within the context of the employment factors or training and education factors</w:t>
      </w:r>
      <w:r w:rsidR="00EF0D39">
        <w:t xml:space="preserve"> and are explored further together with the facilitators within these themes</w:t>
      </w:r>
      <w:r w:rsidR="00A67947">
        <w:t xml:space="preserve">. </w:t>
      </w:r>
    </w:p>
    <w:p w:rsidR="001D30D0" w:rsidRDefault="001D30D0" w:rsidP="001D30D0">
      <w:pPr>
        <w:pStyle w:val="Heading2"/>
      </w:pPr>
      <w:bookmarkStart w:id="62" w:name="_Toc350259313"/>
      <w:r>
        <w:t>Employment factors</w:t>
      </w:r>
      <w:bookmarkEnd w:id="62"/>
    </w:p>
    <w:p w:rsidR="000F5B73" w:rsidRPr="000F5B73" w:rsidRDefault="00F04507" w:rsidP="00B82EB4">
      <w:pPr>
        <w:pStyle w:val="Text"/>
      </w:pPr>
      <w:r>
        <w:t xml:space="preserve">Participants reported a range of barriers and facilitators related to employment factors. This section will mainly </w:t>
      </w:r>
      <w:r w:rsidR="00143F5D">
        <w:t>look at</w:t>
      </w:r>
      <w:r>
        <w:t xml:space="preserve"> barriers </w:t>
      </w:r>
      <w:r w:rsidR="00B5189B">
        <w:t>associated with</w:t>
      </w:r>
      <w:r>
        <w:t xml:space="preserve"> experiences of harassment and bullying, and </w:t>
      </w:r>
      <w:r w:rsidR="00143F5D">
        <w:t xml:space="preserve">the </w:t>
      </w:r>
      <w:r>
        <w:t xml:space="preserve">facilitators related to supportive work environments and the benefit of work-based training. </w:t>
      </w:r>
      <w:r w:rsidR="00143F5D">
        <w:t>As illustrated in t</w:t>
      </w:r>
      <w:r w:rsidR="008F2CF6" w:rsidRPr="00BA2BFD">
        <w:t xml:space="preserve">able 7, the proportion of participants in the disability group reporting barriers related to employment factors was almost double </w:t>
      </w:r>
      <w:r w:rsidR="008F2CF6" w:rsidRPr="00F04507">
        <w:t xml:space="preserve">that of participants in the comparison group. </w:t>
      </w:r>
      <w:r w:rsidR="00B82EB4">
        <w:t>On the other hand</w:t>
      </w:r>
      <w:r w:rsidR="00BA2BFD" w:rsidRPr="00F04507">
        <w:t xml:space="preserve">, a much larger proportion of comparison group participants reported facilitators among employment factors than </w:t>
      </w:r>
      <w:r w:rsidR="00B82EB4">
        <w:t xml:space="preserve">did </w:t>
      </w:r>
      <w:r w:rsidR="00BA2BFD" w:rsidRPr="000F5B73">
        <w:t>disability group participants</w:t>
      </w:r>
      <w:r w:rsidR="00143F5D">
        <w:t>,</w:t>
      </w:r>
      <w:r w:rsidR="000F5B73" w:rsidRPr="000F5B73">
        <w:t xml:space="preserve"> as illustrated in</w:t>
      </w:r>
      <w:r w:rsidR="00143F5D">
        <w:t xml:space="preserve"> t</w:t>
      </w:r>
      <w:r w:rsidR="00BA2BFD" w:rsidRPr="000F5B73">
        <w:t>able</w:t>
      </w:r>
      <w:r w:rsidR="00F2169B" w:rsidRPr="000F5B73">
        <w:t xml:space="preserve"> 8</w:t>
      </w:r>
      <w:r w:rsidRPr="000F5B73">
        <w:t xml:space="preserve">. </w:t>
      </w:r>
    </w:p>
    <w:p w:rsidR="00FA07B3" w:rsidRDefault="00676CF9" w:rsidP="00FA07B3">
      <w:pPr>
        <w:pStyle w:val="Text"/>
      </w:pPr>
      <w:r w:rsidRPr="000F5B73">
        <w:t xml:space="preserve">Among participants with disabilities, </w:t>
      </w:r>
      <w:r w:rsidR="00143F5D">
        <w:t xml:space="preserve">the </w:t>
      </w:r>
      <w:r w:rsidR="000F5B73" w:rsidRPr="000F5B73">
        <w:t xml:space="preserve">barriers were most commonly associated with </w:t>
      </w:r>
      <w:r w:rsidRPr="000F5B73">
        <w:t xml:space="preserve">workloads (one-third of barriers within this theme), while for comparison group participants </w:t>
      </w:r>
      <w:r w:rsidR="00143F5D">
        <w:t xml:space="preserve">the </w:t>
      </w:r>
      <w:r w:rsidR="000F5B73" w:rsidRPr="000F5B73">
        <w:t xml:space="preserve">employment factor barriers related to </w:t>
      </w:r>
      <w:r w:rsidRPr="000F5B73">
        <w:t>loss of employment opportunities (almost one-third). Additional barriers included poor workplace experiences such as harassment and bullying</w:t>
      </w:r>
      <w:r w:rsidR="00143F5D">
        <w:t>,</w:t>
      </w:r>
      <w:r w:rsidRPr="000F5B73">
        <w:t xml:space="preserve"> which graduates with disabilities were much more likely to report, and practical barriers</w:t>
      </w:r>
      <w:r w:rsidR="000F5B73" w:rsidRPr="000F5B73">
        <w:t>.</w:t>
      </w:r>
    </w:p>
    <w:p w:rsidR="00676CF9" w:rsidRPr="00F2169B" w:rsidRDefault="00375ABF" w:rsidP="00CE586A">
      <w:pPr>
        <w:pStyle w:val="Text"/>
      </w:pPr>
      <w:r w:rsidRPr="00375ABF">
        <w:t xml:space="preserve">Despite </w:t>
      </w:r>
      <w:r w:rsidR="00143F5D">
        <w:t xml:space="preserve">the </w:t>
      </w:r>
      <w:r w:rsidRPr="00375ABF">
        <w:t xml:space="preserve">comparison group participants reporting facilitating employment factors more frequently than </w:t>
      </w:r>
      <w:r w:rsidR="00143F5D">
        <w:t xml:space="preserve">the </w:t>
      </w:r>
      <w:r w:rsidRPr="00375ABF">
        <w:t>disability group participants, more than half the graduates with disabilities reported work-related facilitators</w:t>
      </w:r>
      <w:r w:rsidR="00F2169B">
        <w:t xml:space="preserve"> (69.6% and 52.1% respectively)</w:t>
      </w:r>
      <w:r w:rsidR="00143F5D">
        <w:t>,</w:t>
      </w:r>
      <w:r w:rsidR="00F2169B">
        <w:t xml:space="preserve"> as </w:t>
      </w:r>
      <w:r w:rsidR="00143F5D">
        <w:t>recorded in t</w:t>
      </w:r>
      <w:r w:rsidR="00F2169B" w:rsidRPr="00F2169B">
        <w:t>able 8</w:t>
      </w:r>
      <w:r w:rsidRPr="00F2169B">
        <w:t xml:space="preserve">. </w:t>
      </w:r>
      <w:r w:rsidR="00F2169B" w:rsidRPr="00F2169B">
        <w:t>T</w:t>
      </w:r>
      <w:r w:rsidR="00262E21" w:rsidRPr="00F2169B">
        <w:t xml:space="preserve">he absolute majority of the facilitators identified for both the disability and comparison groups were </w:t>
      </w:r>
      <w:r w:rsidR="00F2169B" w:rsidRPr="00F2169B">
        <w:t>generic or unspecified</w:t>
      </w:r>
      <w:r w:rsidR="00262E21" w:rsidRPr="00F2169B">
        <w:t xml:space="preserve"> </w:t>
      </w:r>
      <w:r w:rsidR="00F2169B" w:rsidRPr="00F2169B">
        <w:t xml:space="preserve">but illustrative of supportive work environments and cultures </w:t>
      </w:r>
      <w:r w:rsidR="00262E21" w:rsidRPr="00F2169B">
        <w:t xml:space="preserve">(including </w:t>
      </w:r>
      <w:r w:rsidR="00F2169B" w:rsidRPr="00F2169B">
        <w:t>specifying</w:t>
      </w:r>
      <w:r w:rsidR="00262E21" w:rsidRPr="00F2169B">
        <w:t xml:space="preserve"> support</w:t>
      </w:r>
      <w:r w:rsidR="00F2169B" w:rsidRPr="00F2169B">
        <w:t>ive and understanding c</w:t>
      </w:r>
      <w:r w:rsidR="00CE586A">
        <w:t>olleagues, co-workers</w:t>
      </w:r>
      <w:r w:rsidR="00262E21" w:rsidRPr="00F2169B">
        <w:t xml:space="preserve"> and supervisors)</w:t>
      </w:r>
      <w:r w:rsidR="00F2169B" w:rsidRPr="00F2169B">
        <w:t xml:space="preserve">. In addition, both groups highlighted the </w:t>
      </w:r>
      <w:r w:rsidR="00CE586A">
        <w:t>value</w:t>
      </w:r>
      <w:r w:rsidR="00F2169B" w:rsidRPr="00F2169B">
        <w:t xml:space="preserve"> of work-based training.</w:t>
      </w:r>
      <w:r w:rsidRPr="00F2169B">
        <w:t xml:space="preserve"> </w:t>
      </w:r>
    </w:p>
    <w:p w:rsidR="00C71FAF" w:rsidRDefault="00C71FAF" w:rsidP="00C71FAF">
      <w:pPr>
        <w:pStyle w:val="Heading3"/>
      </w:pPr>
      <w:r w:rsidRPr="00F2169B">
        <w:t>Bullying</w:t>
      </w:r>
    </w:p>
    <w:p w:rsidR="00FA07B3" w:rsidRPr="00EF0D39" w:rsidRDefault="00676CF9" w:rsidP="00F26765">
      <w:pPr>
        <w:pStyle w:val="Text"/>
      </w:pPr>
      <w:r>
        <w:t xml:space="preserve">The </w:t>
      </w:r>
      <w:r w:rsidR="00FA07B3" w:rsidRPr="00EF0D39">
        <w:t>experience of bullying and harassment were made explicit by some</w:t>
      </w:r>
      <w:r>
        <w:t xml:space="preserve"> participants</w:t>
      </w:r>
      <w:r w:rsidR="00143F5D">
        <w:t>,</w:t>
      </w:r>
      <w:r w:rsidR="00FA07B3" w:rsidRPr="00EF0D39">
        <w:t xml:space="preserve"> while other</w:t>
      </w:r>
      <w:r>
        <w:t>s</w:t>
      </w:r>
      <w:r w:rsidR="00FA07B3" w:rsidRPr="00EF0D39">
        <w:t xml:space="preserve"> articulated it as ‘difficulties’, ‘lack of understanding’, and ‘unfair treatment’. The 42 graduates with disabilities who reported b</w:t>
      </w:r>
      <w:r w:rsidR="00F26765">
        <w:t xml:space="preserve">ullying or similar barriers </w:t>
      </w:r>
      <w:r w:rsidR="00FA07B3" w:rsidRPr="00EF0D39">
        <w:t xml:space="preserve">in employment and </w:t>
      </w:r>
      <w:r w:rsidR="00F26765">
        <w:t xml:space="preserve">in the </w:t>
      </w:r>
      <w:r w:rsidR="00FA07B3" w:rsidRPr="00EF0D39">
        <w:t xml:space="preserve">workplace represented 10.4% of all participants with disabilities. </w:t>
      </w:r>
      <w:r w:rsidR="00F26765">
        <w:t>By</w:t>
      </w:r>
      <w:r w:rsidR="00FA07B3" w:rsidRPr="00EF0D39">
        <w:t xml:space="preserve"> comparison, five (5.9%) of </w:t>
      </w:r>
      <w:r w:rsidR="00CE586A">
        <w:t xml:space="preserve">the </w:t>
      </w:r>
      <w:r w:rsidR="00FA07B3" w:rsidRPr="00EF0D39">
        <w:t>participants in the compari</w:t>
      </w:r>
      <w:r w:rsidR="00F26765">
        <w:t xml:space="preserve">son group reported barriers </w:t>
      </w:r>
      <w:r w:rsidR="00FA07B3" w:rsidRPr="00EF0D39">
        <w:t xml:space="preserve">in this subtheme. </w:t>
      </w:r>
      <w:r w:rsidR="00D80780">
        <w:t>A</w:t>
      </w:r>
      <w:r w:rsidR="00FA07B3" w:rsidRPr="00EF0D39">
        <w:t xml:space="preserve"> total of 9.6% of all research participants (includ</w:t>
      </w:r>
      <w:r w:rsidR="00862D36">
        <w:t>ing</w:t>
      </w:r>
      <w:r w:rsidR="00FA07B3" w:rsidRPr="00EF0D39">
        <w:t xml:space="preserve"> those who did not specify any barriers) </w:t>
      </w:r>
      <w:r w:rsidR="00F26765">
        <w:t>claimed they had experienced incidents in</w:t>
      </w:r>
      <w:r w:rsidR="00FA07B3" w:rsidRPr="00EF0D39">
        <w:t xml:space="preserve"> employment and </w:t>
      </w:r>
      <w:r w:rsidR="00F26765">
        <w:t xml:space="preserve">in the </w:t>
      </w:r>
      <w:r w:rsidR="00FA07B3" w:rsidRPr="00EF0D39">
        <w:t xml:space="preserve">workplace </w:t>
      </w:r>
      <w:r w:rsidR="00F26765">
        <w:t>that</w:t>
      </w:r>
      <w:r w:rsidR="00FA07B3" w:rsidRPr="00EF0D39">
        <w:t xml:space="preserve"> could be interpreted as bullying. Graduates with disabilities were almost twice as likely to report barriers within this area</w:t>
      </w:r>
      <w:r w:rsidR="0094388B">
        <w:t xml:space="preserve"> and also reported that the employers had a ‘lack of understanding’ </w:t>
      </w:r>
      <w:r w:rsidR="00F26765">
        <w:t>about</w:t>
      </w:r>
      <w:r w:rsidR="0094388B">
        <w:t xml:space="preserve"> their disabilities</w:t>
      </w:r>
      <w:r w:rsidR="00FA07B3" w:rsidRPr="00EF0D39">
        <w:t xml:space="preserve">. </w:t>
      </w:r>
    </w:p>
    <w:p w:rsidR="00FA07B3" w:rsidRPr="00EF0D39" w:rsidRDefault="00862D36" w:rsidP="00CE586A">
      <w:pPr>
        <w:pStyle w:val="Text"/>
      </w:pPr>
      <w:r>
        <w:t>In</w:t>
      </w:r>
      <w:r w:rsidRPr="00EF0D39">
        <w:t xml:space="preserve">terviews provided valuable insight into some of the in-training experiences </w:t>
      </w:r>
      <w:r w:rsidR="00F26765">
        <w:t>of</w:t>
      </w:r>
      <w:r w:rsidRPr="00EF0D39">
        <w:t xml:space="preserve"> the apprenticeship and traineeship graduates with disabilities. </w:t>
      </w:r>
      <w:r w:rsidR="00FA07B3" w:rsidRPr="00EF0D39">
        <w:t xml:space="preserve">An </w:t>
      </w:r>
      <w:r w:rsidR="000C3B99">
        <w:t>example</w:t>
      </w:r>
      <w:r w:rsidR="00FA07B3" w:rsidRPr="00EF0D39">
        <w:t xml:space="preserve"> of </w:t>
      </w:r>
      <w:r w:rsidR="00F26765">
        <w:t xml:space="preserve">a participant experiencing </w:t>
      </w:r>
      <w:r w:rsidR="00FA07B3" w:rsidRPr="00EF0D39">
        <w:t xml:space="preserve">bullying </w:t>
      </w:r>
      <w:r w:rsidR="00F26765">
        <w:t>from</w:t>
      </w:r>
      <w:r w:rsidR="000C3B99">
        <w:t xml:space="preserve"> co-workers and supervisors </w:t>
      </w:r>
      <w:r w:rsidR="00FA07B3" w:rsidRPr="00EF0D39">
        <w:t xml:space="preserve">while undertaking training was </w:t>
      </w:r>
      <w:r w:rsidR="00F26765">
        <w:t>recounted</w:t>
      </w:r>
      <w:r w:rsidR="00FA07B3" w:rsidRPr="00EF0D39">
        <w:t xml:space="preserve"> by a male butcher </w:t>
      </w:r>
      <w:r w:rsidR="00CE586A" w:rsidRPr="00EF0D39">
        <w:t xml:space="preserve">in his late teens </w:t>
      </w:r>
      <w:r w:rsidR="00FA07B3" w:rsidRPr="00EF0D39">
        <w:t xml:space="preserve">with sensory impairments. This participant believed work had </w:t>
      </w:r>
      <w:r w:rsidR="00F26765">
        <w:t>helped him to mature</w:t>
      </w:r>
      <w:r w:rsidR="00FA07B3" w:rsidRPr="00EF0D39">
        <w:t xml:space="preserve"> and given him a clearer direction. </w:t>
      </w:r>
      <w:r w:rsidR="00F26765">
        <w:t>His aim was</w:t>
      </w:r>
      <w:r w:rsidR="00FA07B3" w:rsidRPr="00EF0D39">
        <w:t xml:space="preserve"> to open his own shop and he receive</w:t>
      </w:r>
      <w:r w:rsidR="00EF0D39">
        <w:t>d</w:t>
      </w:r>
      <w:r w:rsidR="00FA07B3" w:rsidRPr="00EF0D39">
        <w:t xml:space="preserve"> strong family support through some </w:t>
      </w:r>
      <w:r w:rsidR="00FA07B3" w:rsidRPr="00EF0D39">
        <w:lastRenderedPageBreak/>
        <w:t>unpleasant experiences. A</w:t>
      </w:r>
      <w:r w:rsidR="00D80780">
        <w:t xml:space="preserve"> </w:t>
      </w:r>
      <w:r w:rsidR="00AB452E">
        <w:t>female participant</w:t>
      </w:r>
      <w:r w:rsidR="00FA07B3" w:rsidRPr="00EF0D39">
        <w:t xml:space="preserve"> also conveyed </w:t>
      </w:r>
      <w:r w:rsidR="00F06356">
        <w:t xml:space="preserve">her </w:t>
      </w:r>
      <w:r w:rsidR="00FA07B3" w:rsidRPr="00EF0D39">
        <w:t xml:space="preserve">experiences of being bullied during some of </w:t>
      </w:r>
      <w:r w:rsidR="00CE586A">
        <w:t xml:space="preserve">her </w:t>
      </w:r>
      <w:r w:rsidR="00CE586A" w:rsidRPr="00EF0D39">
        <w:t>apprenticeship</w:t>
      </w:r>
      <w:r w:rsidR="00CE586A">
        <w:t xml:space="preserve"> </w:t>
      </w:r>
      <w:r w:rsidR="00FA07B3" w:rsidRPr="00EF0D39">
        <w:t>placements and also in the workplace following graduation. In some cases this was subtle, such as being excluded socially by co-workers, but she also felt harassed an</w:t>
      </w:r>
      <w:r w:rsidR="00EF0D39">
        <w:t>d bullied by the employer. S</w:t>
      </w:r>
      <w:r w:rsidR="00FA07B3" w:rsidRPr="00EF0D39">
        <w:t>ubsequently, through perseverance and family support,</w:t>
      </w:r>
      <w:r w:rsidR="00EF0D39">
        <w:t xml:space="preserve"> she</w:t>
      </w:r>
      <w:r w:rsidR="00CE586A">
        <w:t xml:space="preserve"> opened her own business, eventually hoping</w:t>
      </w:r>
      <w:r w:rsidR="00FA07B3" w:rsidRPr="00EF0D39">
        <w:t xml:space="preserve"> to be able to employ apprentice</w:t>
      </w:r>
      <w:r w:rsidR="000C3B99">
        <w:t>s</w:t>
      </w:r>
      <w:r w:rsidR="00FA07B3" w:rsidRPr="00EF0D39">
        <w:t xml:space="preserve"> and provide supportive mentorship, which she </w:t>
      </w:r>
      <w:r w:rsidR="00EF0D39">
        <w:t xml:space="preserve">felt </w:t>
      </w:r>
      <w:r w:rsidR="00886EE6">
        <w:t xml:space="preserve">she had </w:t>
      </w:r>
      <w:r w:rsidR="00FA07B3" w:rsidRPr="00EF0D39">
        <w:t>not receive</w:t>
      </w:r>
      <w:r w:rsidR="00EF0D39">
        <w:t>d during her own training</w:t>
      </w:r>
      <w:r w:rsidR="00FA07B3" w:rsidRPr="00EF0D39">
        <w:t>.</w:t>
      </w:r>
    </w:p>
    <w:p w:rsidR="00FA07B3" w:rsidRPr="00EF0D39" w:rsidRDefault="00FA07B3" w:rsidP="00CE586A">
      <w:pPr>
        <w:pStyle w:val="Text"/>
      </w:pPr>
      <w:r w:rsidRPr="00EF0D39">
        <w:t xml:space="preserve">Although the proportion of research participants experiencing bullying was much higher among graduates with disabilities, it has been suggested that apprentices and trainees </w:t>
      </w:r>
      <w:r w:rsidR="00EF0D39">
        <w:t xml:space="preserve">in general </w:t>
      </w:r>
      <w:r w:rsidRPr="00EF0D39">
        <w:t xml:space="preserve">are susceptible </w:t>
      </w:r>
      <w:r w:rsidR="00EF0D39">
        <w:t>to</w:t>
      </w:r>
      <w:r w:rsidRPr="00EF0D39">
        <w:t xml:space="preserve"> bullying. </w:t>
      </w:r>
      <w:r w:rsidR="00EF0D39">
        <w:t>Two s</w:t>
      </w:r>
      <w:r w:rsidRPr="00EF0D39">
        <w:t xml:space="preserve">tudies into experiences </w:t>
      </w:r>
      <w:r w:rsidR="00EF0D39">
        <w:t>of</w:t>
      </w:r>
      <w:r w:rsidRPr="00EF0D39">
        <w:t xml:space="preserve"> first year apprentices (not trainees) in Victoria </w:t>
      </w:r>
      <w:r w:rsidR="00EF0D39">
        <w:t>indicate</w:t>
      </w:r>
      <w:r w:rsidR="007D78B0">
        <w:t>d</w:t>
      </w:r>
      <w:r w:rsidRPr="00EF0D39">
        <w:t xml:space="preserve"> that about one-third had experienced bullying and almost two-thirds knew of other apprentices </w:t>
      </w:r>
      <w:r w:rsidR="00886EE6">
        <w:t>who had been</w:t>
      </w:r>
      <w:r w:rsidRPr="00EF0D39">
        <w:t xml:space="preserve"> bullied (du </w:t>
      </w:r>
      <w:proofErr w:type="spellStart"/>
      <w:r w:rsidRPr="00EF0D39">
        <w:t>Plessis</w:t>
      </w:r>
      <w:proofErr w:type="spellEnd"/>
      <w:r w:rsidRPr="00EF0D39">
        <w:t xml:space="preserve"> &amp; </w:t>
      </w:r>
      <w:proofErr w:type="spellStart"/>
      <w:r w:rsidRPr="00EF0D39">
        <w:t>Corney</w:t>
      </w:r>
      <w:proofErr w:type="spellEnd"/>
      <w:r w:rsidRPr="00EF0D39">
        <w:t xml:space="preserve"> 2011). </w:t>
      </w:r>
      <w:r w:rsidR="00EF0D39">
        <w:t>A</w:t>
      </w:r>
      <w:r w:rsidRPr="00EF0D39">
        <w:t xml:space="preserve">pprentices </w:t>
      </w:r>
      <w:r w:rsidR="00EF0D39">
        <w:t>were</w:t>
      </w:r>
      <w:r w:rsidRPr="00EF0D39">
        <w:t xml:space="preserve"> more likely to experience bullying </w:t>
      </w:r>
      <w:r w:rsidR="007D78B0">
        <w:t>and</w:t>
      </w:r>
      <w:r w:rsidRPr="00EF0D39">
        <w:t xml:space="preserve"> less likely to report </w:t>
      </w:r>
      <w:r w:rsidR="007D78B0">
        <w:t>it</w:t>
      </w:r>
      <w:r w:rsidRPr="00EF0D39">
        <w:t xml:space="preserve"> than other employee groups</w:t>
      </w:r>
      <w:r w:rsidR="007D78B0">
        <w:t>. B</w:t>
      </w:r>
      <w:r w:rsidRPr="00EF0D39">
        <w:t xml:space="preserve">ullying </w:t>
      </w:r>
      <w:r w:rsidR="007D78B0">
        <w:t xml:space="preserve">was identified as a contributing factor </w:t>
      </w:r>
      <w:r w:rsidR="00CE586A">
        <w:t>in</w:t>
      </w:r>
      <w:r w:rsidR="007D78B0">
        <w:t xml:space="preserve"> the attrition </w:t>
      </w:r>
      <w:r w:rsidRPr="00EF0D39">
        <w:t>of apprentices (</w:t>
      </w:r>
      <w:r w:rsidR="00F06356" w:rsidRPr="00EF0D39">
        <w:t xml:space="preserve">du </w:t>
      </w:r>
      <w:proofErr w:type="spellStart"/>
      <w:r w:rsidR="00F06356" w:rsidRPr="00EF0D39">
        <w:t>Plessis</w:t>
      </w:r>
      <w:proofErr w:type="spellEnd"/>
      <w:r w:rsidR="00F06356" w:rsidRPr="00EF0D39">
        <w:t xml:space="preserve"> &amp; </w:t>
      </w:r>
      <w:proofErr w:type="spellStart"/>
      <w:r w:rsidR="00F06356" w:rsidRPr="00EF0D39">
        <w:t>Corney</w:t>
      </w:r>
      <w:proofErr w:type="spellEnd"/>
      <w:r w:rsidR="00F06356" w:rsidRPr="00EF0D39">
        <w:t xml:space="preserve"> 2011</w:t>
      </w:r>
      <w:r w:rsidRPr="00EF0D39">
        <w:t xml:space="preserve">). </w:t>
      </w:r>
    </w:p>
    <w:p w:rsidR="00C71FAF" w:rsidRPr="0094388B" w:rsidRDefault="0094388B" w:rsidP="00C71FAF">
      <w:pPr>
        <w:pStyle w:val="Heading3"/>
      </w:pPr>
      <w:r>
        <w:t>S</w:t>
      </w:r>
      <w:r w:rsidRPr="0094388B">
        <w:t xml:space="preserve">upportive work environments </w:t>
      </w:r>
      <w:r>
        <w:t>and w</w:t>
      </w:r>
      <w:r w:rsidR="00C71FAF" w:rsidRPr="0094388B">
        <w:t>ork-based training</w:t>
      </w:r>
    </w:p>
    <w:p w:rsidR="00ED1735" w:rsidRDefault="00E65786" w:rsidP="00CE586A">
      <w:pPr>
        <w:pStyle w:val="Text"/>
      </w:pPr>
      <w:r w:rsidRPr="00E65786">
        <w:t xml:space="preserve">Although a minority of research participants reported work environments </w:t>
      </w:r>
      <w:r w:rsidR="00CE586A">
        <w:t>where</w:t>
      </w:r>
      <w:r w:rsidRPr="00E65786">
        <w:t xml:space="preserve"> they</w:t>
      </w:r>
      <w:r w:rsidR="00F06356">
        <w:t xml:space="preserve"> had</w:t>
      </w:r>
      <w:r w:rsidRPr="00E65786">
        <w:t xml:space="preserve"> experienced harassment and bullying, the majority identified employment factors as facilitating their course completion. It is interesting to note that a much larger proportion of graduates in the comparison group</w:t>
      </w:r>
      <w:r w:rsidR="00D80780">
        <w:t xml:space="preserve"> (69.6%)</w:t>
      </w:r>
      <w:r w:rsidRPr="00E65786">
        <w:t xml:space="preserve"> identified facilitators in the work environment compared with graduates in the disability group</w:t>
      </w:r>
      <w:r w:rsidR="00D80780">
        <w:t xml:space="preserve"> (52.1%)</w:t>
      </w:r>
      <w:r w:rsidRPr="00E65786">
        <w:t xml:space="preserve">. </w:t>
      </w:r>
      <w:r w:rsidR="00345843">
        <w:t>For graduates with disabilities, t</w:t>
      </w:r>
      <w:r w:rsidRPr="00E65786">
        <w:t xml:space="preserve">his included supportive managers and supervisors, helpful co-workers, the provision of assistive technology and other modifications to the work environment, and the provision of both emotional and practical support. The accessibility of support and flexibility of work were also important. Some participants found inspiration or encouragement in </w:t>
      </w:r>
      <w:r w:rsidR="00CE586A">
        <w:t>managers’ and colleagues’</w:t>
      </w:r>
      <w:r w:rsidR="00CE586A" w:rsidRPr="00E65786">
        <w:t xml:space="preserve"> </w:t>
      </w:r>
      <w:r w:rsidR="00F06356" w:rsidRPr="00E65786">
        <w:t xml:space="preserve">belief </w:t>
      </w:r>
      <w:r w:rsidRPr="00E65786">
        <w:t xml:space="preserve">in their ability to complete their courses. A female trainee in the disability group stated that she had </w:t>
      </w:r>
      <w:r w:rsidR="00CE586A">
        <w:t>experienced ongoing</w:t>
      </w:r>
      <w:r w:rsidRPr="00E65786">
        <w:t xml:space="preserve"> support from her employer</w:t>
      </w:r>
      <w:r w:rsidR="00F06356">
        <w:t>,</w:t>
      </w:r>
      <w:r w:rsidRPr="00E65786">
        <w:t xml:space="preserve"> which </w:t>
      </w:r>
      <w:r w:rsidR="00F06356">
        <w:t xml:space="preserve">had </w:t>
      </w:r>
      <w:r w:rsidRPr="00E65786">
        <w:t xml:space="preserve">helped her </w:t>
      </w:r>
      <w:r w:rsidR="00F06356">
        <w:t xml:space="preserve">to </w:t>
      </w:r>
      <w:r w:rsidRPr="00E65786">
        <w:t>complete her course. Participants also indicated that the training structure was rewarding and suitable. A male apprentice in the disability group stated that ‘the hands</w:t>
      </w:r>
      <w:r w:rsidR="00345843">
        <w:t>-</w:t>
      </w:r>
      <w:r w:rsidRPr="00E65786">
        <w:t>on aspect of the [training]’ was beneficial and he felt ‘successful’ in his training area.</w:t>
      </w:r>
      <w:r>
        <w:t xml:space="preserve"> </w:t>
      </w:r>
    </w:p>
    <w:p w:rsidR="0094388B" w:rsidRPr="00F62D23" w:rsidRDefault="00F31BA0" w:rsidP="00C1624F">
      <w:pPr>
        <w:pStyle w:val="Text"/>
      </w:pPr>
      <w:r>
        <w:t>A female trainee in the disability group stated: ‘work was rewarding as I made lots of friends and made lots of great food’</w:t>
      </w:r>
      <w:r w:rsidR="00F06356">
        <w:t>,</w:t>
      </w:r>
      <w:r>
        <w:t xml:space="preserve"> while a male trainee in the comparison group stated that his ‘host company was really great, gave me some really good support and I was promoted seven months into my traineeship’. Supportive work environments included </w:t>
      </w:r>
      <w:r w:rsidR="00F06356">
        <w:t>the establishment by colleagues of</w:t>
      </w:r>
      <w:r>
        <w:t xml:space="preserve"> supportive relationships</w:t>
      </w:r>
      <w:r w:rsidR="00F06356">
        <w:t>,</w:t>
      </w:r>
      <w:r>
        <w:t xml:space="preserve"> being recogni</w:t>
      </w:r>
      <w:r w:rsidR="00F06356">
        <w:t>sed as members of the work team</w:t>
      </w:r>
      <w:r>
        <w:t xml:space="preserve"> and recognition of achievements. Research participants in both the disability and comparison groups also specified the on-the-job training as beneficial. A female trainee in the disability group elaborated on the benefit of on-the-job training: ‘On-the-job training makes theory and practice </w:t>
      </w:r>
      <w:r w:rsidRPr="00195E67">
        <w:t xml:space="preserve">fit together for greater understanding’. </w:t>
      </w:r>
      <w:r w:rsidR="00FA07B3" w:rsidRPr="00195E67">
        <w:t>Work-based training is one of the hallmarks of apprenticeships and traineeships</w:t>
      </w:r>
      <w:r w:rsidRPr="00195E67">
        <w:t xml:space="preserve"> and this form of </w:t>
      </w:r>
      <w:r w:rsidR="00195E67" w:rsidRPr="00195E67">
        <w:t xml:space="preserve">training </w:t>
      </w:r>
      <w:r w:rsidR="00C1624F">
        <w:t>is extremely useful</w:t>
      </w:r>
      <w:r w:rsidR="00195E67" w:rsidRPr="00F62D23">
        <w:t xml:space="preserve"> for people with disabilities (Lewis, </w:t>
      </w:r>
      <w:proofErr w:type="spellStart"/>
      <w:r w:rsidR="00195E67" w:rsidRPr="00F62D23">
        <w:t>Thoresen</w:t>
      </w:r>
      <w:proofErr w:type="spellEnd"/>
      <w:r w:rsidR="00195E67" w:rsidRPr="00F62D23">
        <w:t xml:space="preserve"> &amp; Cocks 2011</w:t>
      </w:r>
      <w:r w:rsidR="00F62D23" w:rsidRPr="00F62D23">
        <w:t>a, 2011b</w:t>
      </w:r>
      <w:r w:rsidR="00195E67" w:rsidRPr="00F62D23">
        <w:t>)</w:t>
      </w:r>
      <w:r w:rsidR="00A6632D" w:rsidRPr="00F62D23">
        <w:t xml:space="preserve">. </w:t>
      </w:r>
    </w:p>
    <w:p w:rsidR="0056562C" w:rsidRDefault="009F5F28" w:rsidP="00C1624F">
      <w:pPr>
        <w:pStyle w:val="Text"/>
      </w:pPr>
      <w:r w:rsidRPr="009F5F28">
        <w:t xml:space="preserve">The majority of workplace facilitators </w:t>
      </w:r>
      <w:r w:rsidR="00C1624F">
        <w:t>involved</w:t>
      </w:r>
      <w:r w:rsidRPr="009F5F28">
        <w:t xml:space="preserve"> support from manager</w:t>
      </w:r>
      <w:r w:rsidR="00DC14A3">
        <w:t>s</w:t>
      </w:r>
      <w:r w:rsidR="00C1624F">
        <w:t>, staff members, co-workers</w:t>
      </w:r>
      <w:r w:rsidRPr="009F5F28">
        <w:t xml:space="preserve"> and other apprentices or trainees</w:t>
      </w:r>
      <w:r w:rsidR="00DC14A3">
        <w:t xml:space="preserve"> in </w:t>
      </w:r>
      <w:r w:rsidRPr="009F5F28">
        <w:t>the work environment</w:t>
      </w:r>
      <w:r w:rsidR="00C1624F">
        <w:t>,</w:t>
      </w:r>
      <w:r w:rsidR="00DC14A3">
        <w:t xml:space="preserve"> </w:t>
      </w:r>
      <w:r w:rsidR="00C1624F">
        <w:t>reflecting</w:t>
      </w:r>
      <w:r w:rsidR="00DC14A3">
        <w:t xml:space="preserve"> </w:t>
      </w:r>
      <w:r w:rsidR="0056562C">
        <w:t>the apprentices and trainees</w:t>
      </w:r>
      <w:r w:rsidR="00C1624F">
        <w:t>’</w:t>
      </w:r>
      <w:r w:rsidR="0056562C">
        <w:t xml:space="preserve"> </w:t>
      </w:r>
      <w:r w:rsidR="00C1624F">
        <w:t>social integration</w:t>
      </w:r>
      <w:r w:rsidR="0056562C">
        <w:t xml:space="preserve"> into their work environments during their courses. The relationship between social and economic outcomes among research participants will be investigated in the subsequent waves of this research project, but </w:t>
      </w:r>
      <w:r w:rsidR="00C1624F">
        <w:t>the issues associated</w:t>
      </w:r>
      <w:r w:rsidR="0056562C">
        <w:t xml:space="preserve"> </w:t>
      </w:r>
      <w:r w:rsidR="00C1624F">
        <w:t xml:space="preserve">with the </w:t>
      </w:r>
      <w:r w:rsidR="0056562C">
        <w:t xml:space="preserve">barriers </w:t>
      </w:r>
      <w:r w:rsidR="00C1624F">
        <w:t xml:space="preserve">to </w:t>
      </w:r>
      <w:r w:rsidR="0056562C">
        <w:t xml:space="preserve">and facilitators </w:t>
      </w:r>
      <w:r w:rsidR="00C1624F">
        <w:t>of</w:t>
      </w:r>
      <w:r w:rsidR="0056562C">
        <w:t xml:space="preserve"> course completions su</w:t>
      </w:r>
      <w:r w:rsidR="00C1624F">
        <w:t xml:space="preserve">ggest that social inclusion </w:t>
      </w:r>
      <w:r w:rsidR="0056562C">
        <w:t>in the work environment facilitated completions</w:t>
      </w:r>
      <w:r w:rsidR="00C1624F">
        <w:t>,</w:t>
      </w:r>
      <w:r w:rsidR="0056562C">
        <w:t xml:space="preserve"> while social exclusion, particularly harassment and bullying, were significant barriers. </w:t>
      </w:r>
    </w:p>
    <w:p w:rsidR="00676CF9" w:rsidRPr="00AB718B" w:rsidRDefault="0056562C" w:rsidP="00D17A2D">
      <w:pPr>
        <w:pStyle w:val="Text"/>
      </w:pPr>
      <w:r w:rsidRPr="00451EA4">
        <w:lastRenderedPageBreak/>
        <w:t>One</w:t>
      </w:r>
      <w:r w:rsidR="009F5F28" w:rsidRPr="00451EA4">
        <w:t xml:space="preserve">-third of </w:t>
      </w:r>
      <w:r w:rsidR="00C1624F">
        <w:t xml:space="preserve">the </w:t>
      </w:r>
      <w:r w:rsidR="009F5F28" w:rsidRPr="00451EA4">
        <w:t xml:space="preserve">participants with disabilities </w:t>
      </w:r>
      <w:r w:rsidRPr="00451EA4">
        <w:t xml:space="preserve">reported </w:t>
      </w:r>
      <w:r w:rsidR="009F5F28" w:rsidRPr="00451EA4">
        <w:t>recei</w:t>
      </w:r>
      <w:r w:rsidRPr="00451EA4">
        <w:t>ving</w:t>
      </w:r>
      <w:r w:rsidR="009F5F28" w:rsidRPr="00451EA4">
        <w:t xml:space="preserve"> support from </w:t>
      </w:r>
      <w:r w:rsidR="00CA661F">
        <w:t>disability employment services</w:t>
      </w:r>
      <w:r w:rsidR="00791EA1">
        <w:t xml:space="preserve"> </w:t>
      </w:r>
      <w:r w:rsidRPr="00451EA4">
        <w:t>during their courses</w:t>
      </w:r>
      <w:r w:rsidR="009F5F28" w:rsidRPr="00451EA4">
        <w:t xml:space="preserve">. </w:t>
      </w:r>
      <w:r w:rsidR="00451EA4" w:rsidRPr="00451EA4">
        <w:t xml:space="preserve">Although </w:t>
      </w:r>
      <w:r w:rsidR="00CE586A">
        <w:t>these organisations</w:t>
      </w:r>
      <w:r w:rsidR="00791EA1">
        <w:t xml:space="preserve"> </w:t>
      </w:r>
      <w:r w:rsidR="00451EA4" w:rsidRPr="00451EA4">
        <w:t>traditionally support people with disabilities in the workplace, t</w:t>
      </w:r>
      <w:r w:rsidR="009F5F28" w:rsidRPr="00451EA4">
        <w:t>h</w:t>
      </w:r>
      <w:r w:rsidR="00C1624F">
        <w:t>eir</w:t>
      </w:r>
      <w:r w:rsidR="009F5F28" w:rsidRPr="00451EA4">
        <w:t xml:space="preserve"> support </w:t>
      </w:r>
      <w:r w:rsidR="00AB4AE3" w:rsidRPr="00451EA4">
        <w:t xml:space="preserve">can </w:t>
      </w:r>
      <w:r w:rsidR="00451EA4" w:rsidRPr="00451EA4">
        <w:t>also be extended to the</w:t>
      </w:r>
      <w:r w:rsidR="00AB4AE3" w:rsidRPr="00451EA4">
        <w:t xml:space="preserve"> education</w:t>
      </w:r>
      <w:r w:rsidR="00451EA4" w:rsidRPr="00451EA4">
        <w:t xml:space="preserve"> and training</w:t>
      </w:r>
      <w:r w:rsidR="00AB4AE3" w:rsidRPr="00451EA4">
        <w:t xml:space="preserve"> environment</w:t>
      </w:r>
      <w:r w:rsidR="00CE586A">
        <w:t>. M</w:t>
      </w:r>
      <w:r w:rsidR="00AB4AE3" w:rsidRPr="00451EA4">
        <w:t xml:space="preserve">ost graduates with disabilities </w:t>
      </w:r>
      <w:r w:rsidR="00CE586A">
        <w:t xml:space="preserve">did </w:t>
      </w:r>
      <w:r w:rsidR="00AB4AE3" w:rsidRPr="00451EA4">
        <w:t xml:space="preserve">not specify </w:t>
      </w:r>
      <w:r w:rsidR="00CE586A">
        <w:t>the</w:t>
      </w:r>
      <w:r w:rsidR="00652C9E" w:rsidRPr="00451EA4">
        <w:t xml:space="preserve"> dimension/s of their training </w:t>
      </w:r>
      <w:r w:rsidR="00CE586A">
        <w:t xml:space="preserve">in which </w:t>
      </w:r>
      <w:r w:rsidR="00652C9E" w:rsidRPr="00451EA4">
        <w:t xml:space="preserve">they </w:t>
      </w:r>
      <w:r w:rsidR="00CE586A">
        <w:t xml:space="preserve">had </w:t>
      </w:r>
      <w:r w:rsidR="00652C9E" w:rsidRPr="00451EA4">
        <w:t xml:space="preserve">received </w:t>
      </w:r>
      <w:r w:rsidR="00CA661F">
        <w:t>disability employment services</w:t>
      </w:r>
      <w:r w:rsidR="00791EA1">
        <w:t xml:space="preserve"> </w:t>
      </w:r>
      <w:r w:rsidR="00652C9E" w:rsidRPr="00451EA4">
        <w:t xml:space="preserve">support. </w:t>
      </w:r>
      <w:r w:rsidR="00791EA1">
        <w:t xml:space="preserve">Disability </w:t>
      </w:r>
      <w:r w:rsidR="00CA661F">
        <w:t>e</w:t>
      </w:r>
      <w:r w:rsidR="00791EA1">
        <w:t xml:space="preserve">mployment </w:t>
      </w:r>
      <w:r w:rsidR="00CA661F">
        <w:t>s</w:t>
      </w:r>
      <w:r w:rsidR="00791EA1">
        <w:t xml:space="preserve">ervices </w:t>
      </w:r>
      <w:r w:rsidR="00CE586A">
        <w:t xml:space="preserve">organisations are </w:t>
      </w:r>
      <w:r w:rsidR="00451EA4">
        <w:t>funded b</w:t>
      </w:r>
      <w:r w:rsidR="00C1624F">
        <w:t>y the Australian G</w:t>
      </w:r>
      <w:r w:rsidR="00451EA4">
        <w:t xml:space="preserve">overnment to support eligible people with disabilities to find and maintain employment. </w:t>
      </w:r>
      <w:r w:rsidR="001B7C5B">
        <w:t>The compl</w:t>
      </w:r>
      <w:r w:rsidR="00541A8D">
        <w:t>e</w:t>
      </w:r>
      <w:r w:rsidR="001B7C5B">
        <w:t xml:space="preserve">mentary support from </w:t>
      </w:r>
      <w:r w:rsidR="00CA661F">
        <w:t>disability employment services</w:t>
      </w:r>
      <w:r w:rsidR="001B7C5B">
        <w:t xml:space="preserve"> and support from </w:t>
      </w:r>
      <w:r w:rsidR="00791EA1">
        <w:t>group training organisation</w:t>
      </w:r>
      <w:r w:rsidR="001B7C5B">
        <w:t xml:space="preserve">s </w:t>
      </w:r>
      <w:r w:rsidR="00AB452E">
        <w:t>or</w:t>
      </w:r>
      <w:r w:rsidR="001B7C5B">
        <w:t xml:space="preserve"> other organisations with specialist knowledge of apprenticeships and traineeships has been identified as a successful strategy </w:t>
      </w:r>
      <w:r w:rsidR="00C1624F">
        <w:t>in</w:t>
      </w:r>
      <w:r w:rsidR="001B7C5B">
        <w:t xml:space="preserve"> </w:t>
      </w:r>
      <w:r w:rsidR="00C1624F">
        <w:t>improving the</w:t>
      </w:r>
      <w:r w:rsidR="001B7C5B">
        <w:t xml:space="preserve"> completion rates </w:t>
      </w:r>
      <w:r w:rsidR="00C1624F">
        <w:t>of</w:t>
      </w:r>
      <w:r w:rsidR="001B7C5B">
        <w:t xml:space="preserve"> apprentices and trainees with disabilities (Lewis, </w:t>
      </w:r>
      <w:proofErr w:type="spellStart"/>
      <w:r w:rsidR="001B7C5B">
        <w:t>Thoresen</w:t>
      </w:r>
      <w:proofErr w:type="spellEnd"/>
      <w:r w:rsidR="001B7C5B">
        <w:t xml:space="preserve"> &amp; Cocks 2011a). </w:t>
      </w:r>
      <w:r w:rsidR="00C1624F">
        <w:t xml:space="preserve">Support from </w:t>
      </w:r>
      <w:r w:rsidR="00CA661F">
        <w:t>disability employment services</w:t>
      </w:r>
      <w:r w:rsidR="00791EA1">
        <w:t xml:space="preserve"> </w:t>
      </w:r>
      <w:r w:rsidR="00C1624F">
        <w:t>in relation to</w:t>
      </w:r>
      <w:r w:rsidR="001B7C5B">
        <w:t xml:space="preserve"> the </w:t>
      </w:r>
      <w:r w:rsidR="00C1624F">
        <w:t>training component</w:t>
      </w:r>
      <w:r w:rsidR="00B37A5E">
        <w:t xml:space="preserve"> is particularly i</w:t>
      </w:r>
      <w:r w:rsidR="00C1624F">
        <w:t xml:space="preserve">mportant when the </w:t>
      </w:r>
      <w:r w:rsidR="00B37A5E">
        <w:t xml:space="preserve">views </w:t>
      </w:r>
      <w:r w:rsidR="00C1624F">
        <w:t>on</w:t>
      </w:r>
      <w:r w:rsidR="00B37A5E">
        <w:t xml:space="preserve"> competencies or training approaches </w:t>
      </w:r>
      <w:r w:rsidR="00C1624F">
        <w:t xml:space="preserve">differ </w:t>
      </w:r>
      <w:r w:rsidR="00B37A5E">
        <w:t xml:space="preserve">between the employer and assessors from TAFE or other </w:t>
      </w:r>
      <w:r w:rsidR="00791EA1">
        <w:t>registered training organisation</w:t>
      </w:r>
      <w:r w:rsidR="00B37A5E">
        <w:t>s.</w:t>
      </w:r>
    </w:p>
    <w:p w:rsidR="001D30D0" w:rsidRDefault="001D30D0" w:rsidP="001D30D0">
      <w:pPr>
        <w:pStyle w:val="Heading2"/>
      </w:pPr>
      <w:bookmarkStart w:id="63" w:name="_Toc350259314"/>
      <w:r>
        <w:t>Training and educational factors</w:t>
      </w:r>
      <w:bookmarkEnd w:id="63"/>
    </w:p>
    <w:p w:rsidR="00B165AD" w:rsidRDefault="00541A8D" w:rsidP="00F63DB2">
      <w:pPr>
        <w:pStyle w:val="Text"/>
      </w:pPr>
      <w:r>
        <w:t>A</w:t>
      </w:r>
      <w:r w:rsidR="00B165AD" w:rsidRPr="00B165AD">
        <w:t xml:space="preserve"> similar proportion of graduates with disabilities</w:t>
      </w:r>
      <w:r>
        <w:t xml:space="preserve"> (30%) and</w:t>
      </w:r>
      <w:r w:rsidR="00B165AD" w:rsidRPr="00B165AD">
        <w:t xml:space="preserve"> graduates without disabilities</w:t>
      </w:r>
      <w:r>
        <w:t xml:space="preserve"> (31</w:t>
      </w:r>
      <w:r w:rsidR="00182082">
        <w:t>.7</w:t>
      </w:r>
      <w:r>
        <w:t>%)</w:t>
      </w:r>
      <w:r w:rsidR="00B165AD" w:rsidRPr="00B165AD">
        <w:t xml:space="preserve"> reported barriers across training and educational factors</w:t>
      </w:r>
      <w:r w:rsidR="00C1624F">
        <w:t xml:space="preserve"> (t</w:t>
      </w:r>
      <w:r>
        <w:t>able 7)</w:t>
      </w:r>
      <w:r w:rsidR="00B165AD" w:rsidRPr="00B165AD">
        <w:t>.</w:t>
      </w:r>
      <w:r w:rsidR="00B165AD">
        <w:t xml:space="preserve"> However, a much large</w:t>
      </w:r>
      <w:r w:rsidR="000C3B99">
        <w:t>r</w:t>
      </w:r>
      <w:r w:rsidR="00B165AD">
        <w:t xml:space="preserve"> proportion of graduates with disabilities</w:t>
      </w:r>
      <w:r>
        <w:t xml:space="preserve"> (50.8%) t</w:t>
      </w:r>
      <w:r w:rsidR="00F63DB2">
        <w:t>han graduates without disabilities</w:t>
      </w:r>
      <w:r>
        <w:t xml:space="preserve"> (41.8%)</w:t>
      </w:r>
      <w:r w:rsidR="00B165AD">
        <w:t xml:space="preserve"> reported facilitators related to training and education factors t</w:t>
      </w:r>
      <w:r w:rsidR="00F63DB2">
        <w:t>han graduates without disabilities</w:t>
      </w:r>
      <w:r w:rsidR="009030B3">
        <w:t xml:space="preserve"> </w:t>
      </w:r>
      <w:r>
        <w:t>(</w:t>
      </w:r>
      <w:r w:rsidR="00F63DB2">
        <w:t>t</w:t>
      </w:r>
      <w:r w:rsidR="009030B3">
        <w:t>able 8</w:t>
      </w:r>
      <w:r>
        <w:t>)</w:t>
      </w:r>
      <w:r w:rsidR="00B165AD">
        <w:t>.</w:t>
      </w:r>
      <w:r w:rsidR="003909A0">
        <w:t xml:space="preserve"> </w:t>
      </w:r>
      <w:r w:rsidR="009030B3">
        <w:t>Graduates with disabilities also reported receiving support from TAFE more frequently t</w:t>
      </w:r>
      <w:r w:rsidR="00D17A2D">
        <w:t>han graduates without disabilities</w:t>
      </w:r>
      <w:r w:rsidR="00F63DB2">
        <w:t>, as shown in t</w:t>
      </w:r>
      <w:r w:rsidR="009030B3">
        <w:t>able 9.</w:t>
      </w:r>
    </w:p>
    <w:p w:rsidR="003909A0" w:rsidRDefault="00F63DB2" w:rsidP="00DB5D22">
      <w:pPr>
        <w:pStyle w:val="Text"/>
      </w:pPr>
      <w:r>
        <w:t xml:space="preserve">Training and educational barriers </w:t>
      </w:r>
      <w:r w:rsidR="009030B3">
        <w:t>included limited access to lecture</w:t>
      </w:r>
      <w:r w:rsidR="00345843">
        <w:t>r</w:t>
      </w:r>
      <w:r w:rsidR="009030B3">
        <w:t xml:space="preserve">s and tutors, </w:t>
      </w:r>
      <w:r w:rsidR="00DB5D22">
        <w:t>assessments and workbooks</w:t>
      </w:r>
      <w:r w:rsidR="00C405C1">
        <w:t xml:space="preserve"> </w:t>
      </w:r>
      <w:r w:rsidR="009030B3">
        <w:t>and</w:t>
      </w:r>
      <w:r w:rsidR="00DB5D22">
        <w:t>,</w:t>
      </w:r>
      <w:r w:rsidR="009030B3">
        <w:t xml:space="preserve"> </w:t>
      </w:r>
      <w:r w:rsidR="00DB5D22">
        <w:t xml:space="preserve">for participants with disabilities, issues associated with </w:t>
      </w:r>
      <w:r w:rsidR="009030B3">
        <w:t xml:space="preserve">numeracy and literacy. </w:t>
      </w:r>
      <w:r w:rsidR="00443F26" w:rsidRPr="00443F26">
        <w:t xml:space="preserve">Some participants indicated that they had limited opportunities, were not given relevant or broad enough tasks for the training, or that the work tasks and demands from the employer were of little relevance to the training course. Some participants found the discrepancies between the training and workplace approaches to specific tasks challenging, </w:t>
      </w:r>
      <w:r w:rsidR="00DB5D22">
        <w:t>with</w:t>
      </w:r>
      <w:r w:rsidR="00443F26" w:rsidRPr="00443F26">
        <w:t xml:space="preserve"> </w:t>
      </w:r>
      <w:r w:rsidR="00345843">
        <w:t xml:space="preserve">the </w:t>
      </w:r>
      <w:r w:rsidR="00443F26" w:rsidRPr="00443F26">
        <w:t xml:space="preserve">TAFE lecturer or training material stipulating a specific approach to tasks </w:t>
      </w:r>
      <w:r w:rsidR="00DB5D22">
        <w:t>but</w:t>
      </w:r>
      <w:r w:rsidR="00443F26" w:rsidRPr="00443F26">
        <w:t xml:space="preserve"> </w:t>
      </w:r>
      <w:r w:rsidR="00DB5D22">
        <w:t>with the employer requiring</w:t>
      </w:r>
      <w:r w:rsidR="00443F26" w:rsidRPr="00443F26">
        <w:t xml:space="preserve"> a different approach.</w:t>
      </w:r>
      <w:r w:rsidR="00443F26">
        <w:t xml:space="preserve"> </w:t>
      </w:r>
      <w:r w:rsidR="003909A0">
        <w:t xml:space="preserve">Facilitators included individuals within the training network such as tutors and lecturers; the course content, material and structure; and collaborative learning. </w:t>
      </w:r>
      <w:r w:rsidR="00541A8D">
        <w:t>G</w:t>
      </w:r>
      <w:r w:rsidR="003909A0">
        <w:t xml:space="preserve">raduates with disabilities identified additional supports </w:t>
      </w:r>
      <w:r w:rsidR="00DB5D22">
        <w:t>that</w:t>
      </w:r>
      <w:r w:rsidR="003909A0">
        <w:t xml:space="preserve"> address</w:t>
      </w:r>
      <w:r w:rsidR="00541A8D">
        <w:t>ed</w:t>
      </w:r>
      <w:r w:rsidR="003909A0">
        <w:t xml:space="preserve"> the impact of their disability</w:t>
      </w:r>
      <w:r w:rsidR="00DB5D22">
        <w:t>. These</w:t>
      </w:r>
      <w:r w:rsidR="003909A0">
        <w:t xml:space="preserve"> included assistive technology, adjustment</w:t>
      </w:r>
      <w:r w:rsidR="00541A8D">
        <w:t>s</w:t>
      </w:r>
      <w:r w:rsidR="003909A0">
        <w:t xml:space="preserve"> to</w:t>
      </w:r>
      <w:r w:rsidR="00DB5D22">
        <w:t xml:space="preserve"> the built environment</w:t>
      </w:r>
      <w:r w:rsidR="003909A0">
        <w:t xml:space="preserve"> and</w:t>
      </w:r>
      <w:r w:rsidR="00DB5D22">
        <w:t>,</w:t>
      </w:r>
      <w:r w:rsidR="003909A0">
        <w:t xml:space="preserve"> more frequently, resources and support </w:t>
      </w:r>
      <w:r w:rsidR="00DB5D22">
        <w:t>related to</w:t>
      </w:r>
      <w:r w:rsidR="003909A0">
        <w:t xml:space="preserve"> literacy and numeracy</w:t>
      </w:r>
      <w:r w:rsidR="00DB5D22">
        <w:t>,</w:t>
      </w:r>
      <w:r w:rsidR="003909A0">
        <w:t xml:space="preserve"> which included additional </w:t>
      </w:r>
      <w:r w:rsidR="00AB452E">
        <w:t>tutoring a</w:t>
      </w:r>
      <w:r w:rsidR="00541A8D">
        <w:t>nd</w:t>
      </w:r>
      <w:r w:rsidR="003909A0">
        <w:t xml:space="preserve"> note-takers.</w:t>
      </w:r>
    </w:p>
    <w:p w:rsidR="00045FCE" w:rsidRDefault="00045FCE" w:rsidP="00045FCE">
      <w:pPr>
        <w:pStyle w:val="Heading3"/>
      </w:pPr>
      <w:r>
        <w:t>Training providers</w:t>
      </w:r>
    </w:p>
    <w:p w:rsidR="00DA62BB" w:rsidRDefault="00DB5D22" w:rsidP="00D17A2D">
      <w:pPr>
        <w:pStyle w:val="Text"/>
      </w:pPr>
      <w:r>
        <w:t>Of</w:t>
      </w:r>
      <w:r w:rsidR="00B45692">
        <w:t xml:space="preserve"> the participants identifying </w:t>
      </w:r>
      <w:r w:rsidR="00D17A2D">
        <w:t xml:space="preserve">the </w:t>
      </w:r>
      <w:r w:rsidR="00B45692">
        <w:t xml:space="preserve">barriers </w:t>
      </w:r>
      <w:r>
        <w:t>associated with</w:t>
      </w:r>
      <w:r w:rsidR="00B45692">
        <w:t xml:space="preserve"> training and educational factors, around one-third </w:t>
      </w:r>
      <w:r w:rsidR="00443F26">
        <w:t xml:space="preserve">of </w:t>
      </w:r>
      <w:r w:rsidR="00D17A2D">
        <w:t xml:space="preserve">the </w:t>
      </w:r>
      <w:r w:rsidR="00443F26">
        <w:t xml:space="preserve">graduates </w:t>
      </w:r>
      <w:r w:rsidR="00B45692">
        <w:t xml:space="preserve">in both the disability and comparison groups </w:t>
      </w:r>
      <w:r w:rsidR="00D17A2D">
        <w:t>experienced</w:t>
      </w:r>
      <w:r w:rsidR="00B45692">
        <w:t xml:space="preserve"> challenges with the training prov</w:t>
      </w:r>
      <w:r w:rsidR="00D17A2D">
        <w:t>iders, for example, with</w:t>
      </w:r>
      <w:r>
        <w:t xml:space="preserve"> lecturers, tutors</w:t>
      </w:r>
      <w:r w:rsidR="00B45692">
        <w:t xml:space="preserve"> and assessors. </w:t>
      </w:r>
      <w:r w:rsidR="005737EC">
        <w:t>A handful of</w:t>
      </w:r>
      <w:r w:rsidR="00591DED">
        <w:t xml:space="preserve"> graduates with disabilities identified ‘lack of assistance and understanding’</w:t>
      </w:r>
      <w:r w:rsidR="00443F26">
        <w:t xml:space="preserve">, </w:t>
      </w:r>
      <w:r w:rsidR="00D17A2D">
        <w:t xml:space="preserve">they </w:t>
      </w:r>
      <w:r w:rsidR="00443F26">
        <w:t>f</w:t>
      </w:r>
      <w:r w:rsidR="00D17A2D">
        <w:t>elt being discriminated against</w:t>
      </w:r>
      <w:r w:rsidR="00591DED">
        <w:t xml:space="preserve"> and being </w:t>
      </w:r>
      <w:r w:rsidR="00443F26">
        <w:t>‘</w:t>
      </w:r>
      <w:r w:rsidR="00591DED">
        <w:t>look</w:t>
      </w:r>
      <w:r w:rsidR="00443F26">
        <w:t>[</w:t>
      </w:r>
      <w:proofErr w:type="spellStart"/>
      <w:r w:rsidR="00591DED">
        <w:t>ed</w:t>
      </w:r>
      <w:proofErr w:type="spellEnd"/>
      <w:r w:rsidR="00443F26">
        <w:t>]</w:t>
      </w:r>
      <w:r w:rsidR="00591DED">
        <w:t xml:space="preserve"> down on</w:t>
      </w:r>
      <w:r w:rsidR="00443F26">
        <w:t>’</w:t>
      </w:r>
      <w:r w:rsidR="00591DED">
        <w:t xml:space="preserve"> because of little industry experience</w:t>
      </w:r>
      <w:r w:rsidR="005737EC">
        <w:t>. It is unclear whether these barriers were similar to those viewed as instances of harassment and bullying</w:t>
      </w:r>
      <w:r>
        <w:t>,</w:t>
      </w:r>
      <w:r w:rsidR="005737EC">
        <w:t xml:space="preserve"> reported among the employment factors. More common </w:t>
      </w:r>
      <w:r w:rsidR="00591DED">
        <w:t>barrier</w:t>
      </w:r>
      <w:r>
        <w:t xml:space="preserve">s related to training providers, where it was felt that </w:t>
      </w:r>
      <w:r w:rsidR="00591DED">
        <w:t>insufficient or inconsistent access to lecturers and tutors</w:t>
      </w:r>
      <w:r>
        <w:t xml:space="preserve"> was made available</w:t>
      </w:r>
      <w:r w:rsidR="00591DED">
        <w:t xml:space="preserve">. </w:t>
      </w:r>
      <w:r w:rsidR="00443F26">
        <w:t>The</w:t>
      </w:r>
      <w:r w:rsidR="005737EC">
        <w:t>se</w:t>
      </w:r>
      <w:r w:rsidR="00443F26">
        <w:t xml:space="preserve"> barriers were similar across the disability and comparison groups. There were also similarities across the two groups </w:t>
      </w:r>
      <w:r w:rsidR="00541A8D">
        <w:t>regarding</w:t>
      </w:r>
      <w:r w:rsidR="00443F26">
        <w:t xml:space="preserve"> the </w:t>
      </w:r>
      <w:r w:rsidR="00BF08BD">
        <w:t>forms of support provided by the training providers</w:t>
      </w:r>
      <w:r>
        <w:t>,</w:t>
      </w:r>
      <w:r w:rsidR="00BF08BD">
        <w:t xml:space="preserve"> although a larger proportion of graduates with disabilities </w:t>
      </w:r>
      <w:r w:rsidR="00BF08BD">
        <w:lastRenderedPageBreak/>
        <w:t>reported facilitators related to this theme than graduates without disabilit</w:t>
      </w:r>
      <w:r>
        <w:t>ies</w:t>
      </w:r>
      <w:r w:rsidR="00BF08BD">
        <w:t xml:space="preserve">. As was the case </w:t>
      </w:r>
      <w:r w:rsidR="00541A8D">
        <w:t>regarding</w:t>
      </w:r>
      <w:r w:rsidR="00BF08BD">
        <w:t xml:space="preserve"> the work environment, support in the training environment </w:t>
      </w:r>
      <w:r w:rsidR="00DB3DF3">
        <w:t xml:space="preserve">for graduates with disabilities </w:t>
      </w:r>
      <w:r w:rsidR="00BF08BD">
        <w:t>was usually provided</w:t>
      </w:r>
      <w:r w:rsidR="00D17A2D">
        <w:t xml:space="preserve"> by teachers, lecturers, tutors</w:t>
      </w:r>
      <w:r w:rsidR="00BF08BD">
        <w:t xml:space="preserve"> and disability liaison officers. </w:t>
      </w:r>
      <w:r w:rsidR="003F232C">
        <w:t>Interview participants also i</w:t>
      </w:r>
      <w:r w:rsidR="00D17A2D">
        <w:t>ndicated</w:t>
      </w:r>
      <w:r w:rsidR="003F232C">
        <w:t xml:space="preserve"> that they received support from their training and educational provider. A male train</w:t>
      </w:r>
      <w:r w:rsidR="00DB3DF3">
        <w:t>eeship graduate with</w:t>
      </w:r>
      <w:r w:rsidR="006F6AAF">
        <w:t xml:space="preserve"> a</w:t>
      </w:r>
      <w:r w:rsidR="00DB3DF3">
        <w:t xml:space="preserve"> disability</w:t>
      </w:r>
      <w:r w:rsidR="003F232C">
        <w:t xml:space="preserve"> who had undertaken his course </w:t>
      </w:r>
      <w:r w:rsidR="00DB3DF3">
        <w:t>through VET in Schools</w:t>
      </w:r>
      <w:r w:rsidR="003F232C">
        <w:t xml:space="preserve"> </w:t>
      </w:r>
      <w:r w:rsidR="00DB3DF3">
        <w:t>claimed</w:t>
      </w:r>
      <w:r w:rsidR="003F232C">
        <w:t xml:space="preserve"> </w:t>
      </w:r>
      <w:r w:rsidR="00541A8D">
        <w:t>that</w:t>
      </w:r>
      <w:r w:rsidR="000C3B99">
        <w:t xml:space="preserve"> </w:t>
      </w:r>
      <w:r w:rsidR="00DB3DF3">
        <w:t>the wrap</w:t>
      </w:r>
      <w:r w:rsidR="003F232C">
        <w:t xml:space="preserve">around support he had received from </w:t>
      </w:r>
      <w:r w:rsidR="00CA661F">
        <w:t>disability employment services</w:t>
      </w:r>
      <w:r w:rsidR="003F232C">
        <w:t xml:space="preserve">, </w:t>
      </w:r>
      <w:r w:rsidR="00DB3DF3">
        <w:t xml:space="preserve">the </w:t>
      </w:r>
      <w:r w:rsidR="00791EA1">
        <w:t>group training organisation</w:t>
      </w:r>
      <w:r w:rsidR="00DB3DF3">
        <w:t>, TAFE</w:t>
      </w:r>
      <w:r w:rsidR="003F232C">
        <w:t xml:space="preserve"> and his high school </w:t>
      </w:r>
      <w:r w:rsidR="00DB3DF3">
        <w:t xml:space="preserve">had </w:t>
      </w:r>
      <w:r w:rsidR="003F232C">
        <w:t xml:space="preserve">significantly </w:t>
      </w:r>
      <w:r w:rsidR="00DB3DF3">
        <w:t>helped him to complete his course</w:t>
      </w:r>
      <w:r w:rsidR="003F232C">
        <w:t>.</w:t>
      </w:r>
    </w:p>
    <w:p w:rsidR="00045FCE" w:rsidRPr="00732592" w:rsidRDefault="00045FCE" w:rsidP="00045FCE">
      <w:pPr>
        <w:pStyle w:val="Heading3"/>
      </w:pPr>
      <w:r w:rsidRPr="00732592">
        <w:t>Numeracy and literacy</w:t>
      </w:r>
    </w:p>
    <w:p w:rsidR="0039725B" w:rsidRPr="0039725B" w:rsidRDefault="00732592" w:rsidP="00D17A2D">
      <w:pPr>
        <w:pStyle w:val="Text"/>
      </w:pPr>
      <w:r w:rsidRPr="00732592">
        <w:t>One-quarter of all research participants with disabilities reported barriers related to numeracy and literacy</w:t>
      </w:r>
      <w:r w:rsidR="00DB3DF3">
        <w:t>,</w:t>
      </w:r>
      <w:r w:rsidRPr="00732592">
        <w:t xml:space="preserve"> reflect</w:t>
      </w:r>
      <w:r w:rsidR="00D17A2D">
        <w:t>ing</w:t>
      </w:r>
      <w:r w:rsidRPr="00732592">
        <w:t xml:space="preserve"> </w:t>
      </w:r>
      <w:r w:rsidR="0039725B">
        <w:t xml:space="preserve">the </w:t>
      </w:r>
      <w:r w:rsidR="00FA07B3" w:rsidRPr="00732592">
        <w:t>high proportion of participants with intellectual and/or learning disabilities. One participant noted that ‘some of the big words mean the simplest things but they use big words’</w:t>
      </w:r>
      <w:r w:rsidR="00DB3DF3">
        <w:t>,</w:t>
      </w:r>
      <w:r w:rsidR="00FA07B3" w:rsidRPr="00732592">
        <w:t xml:space="preserve"> </w:t>
      </w:r>
      <w:r w:rsidR="00FA07B3" w:rsidRPr="0039725B">
        <w:t>while another participant indicated that he knew ‘the answer in [his] head’ but he had difficulties ‘understanding how to address individual questions’.</w:t>
      </w:r>
      <w:r w:rsidRPr="0039725B">
        <w:t xml:space="preserve"> </w:t>
      </w:r>
      <w:r w:rsidR="00DB3DF3">
        <w:t>Consequently the provision of</w:t>
      </w:r>
      <w:r w:rsidR="00D17A2D">
        <w:t xml:space="preserve"> support with reading, writing</w:t>
      </w:r>
      <w:r w:rsidRPr="0039725B">
        <w:t xml:space="preserve"> and communication was a major facilitator for course completion. Graduates with disabilities identi</w:t>
      </w:r>
      <w:r w:rsidR="00DB3DF3">
        <w:t>fied individual teachers, classmates, counsellors</w:t>
      </w:r>
      <w:r w:rsidRPr="0039725B">
        <w:t xml:space="preserve"> and tutors as providing this form of support. One apprentice stated that the ‘TAFE teachers were committed to their job’, which he found ‘very helpful’, and that their </w:t>
      </w:r>
      <w:r w:rsidR="0039725B" w:rsidRPr="0039725B">
        <w:t>‘</w:t>
      </w:r>
      <w:r w:rsidRPr="0039725B">
        <w:t>understanding, patience and commitment to getting [him] through the apprenticeship and obtaining the skills [he] needed’ was what helped him complete his course.</w:t>
      </w:r>
      <w:r w:rsidR="0039725B">
        <w:t xml:space="preserve"> </w:t>
      </w:r>
      <w:r w:rsidR="00EA2931">
        <w:t>Two</w:t>
      </w:r>
      <w:r w:rsidR="0039725B">
        <w:t xml:space="preserve"> graduates in the comparison group also identified poor literacy skills as barrier</w:t>
      </w:r>
      <w:r w:rsidR="00541A8D">
        <w:t>s</w:t>
      </w:r>
      <w:r w:rsidR="0039725B">
        <w:t xml:space="preserve"> to course completion</w:t>
      </w:r>
      <w:r w:rsidR="00EA2931">
        <w:t xml:space="preserve">. One of the graduates without </w:t>
      </w:r>
      <w:r w:rsidR="00DB3DF3">
        <w:t xml:space="preserve">a </w:t>
      </w:r>
      <w:r w:rsidR="00EA2931">
        <w:t xml:space="preserve">disability stated explicitly that this was a result of his </w:t>
      </w:r>
      <w:r w:rsidR="0039725B">
        <w:t>non-English speaking background.</w:t>
      </w:r>
    </w:p>
    <w:p w:rsidR="00EC27F4" w:rsidRDefault="00182082" w:rsidP="00DB3DF3">
      <w:pPr>
        <w:pStyle w:val="Text"/>
      </w:pPr>
      <w:r>
        <w:t>Almost 40%</w:t>
      </w:r>
      <w:r w:rsidR="00732592" w:rsidRPr="00EC27F4">
        <w:t xml:space="preserve"> of graduates with disabilities declar</w:t>
      </w:r>
      <w:r w:rsidR="00541A8D">
        <w:t>ed</w:t>
      </w:r>
      <w:r w:rsidR="00732592" w:rsidRPr="00EC27F4">
        <w:t xml:space="preserve"> an intellectual or learning disability, </w:t>
      </w:r>
      <w:r w:rsidR="00DB3DF3">
        <w:t>which mean</w:t>
      </w:r>
      <w:r w:rsidR="006F6AAF">
        <w:t>s</w:t>
      </w:r>
      <w:r w:rsidR="00DB3DF3">
        <w:t xml:space="preserve"> that </w:t>
      </w:r>
      <w:r w:rsidR="00732592" w:rsidRPr="00EC27F4">
        <w:t xml:space="preserve">support to enhance </w:t>
      </w:r>
      <w:r w:rsidR="00DB3DF3">
        <w:t xml:space="preserve">the </w:t>
      </w:r>
      <w:r w:rsidR="00732592" w:rsidRPr="00EC27F4">
        <w:t xml:space="preserve">accessibility of the training </w:t>
      </w:r>
      <w:proofErr w:type="gramStart"/>
      <w:r w:rsidR="00732592" w:rsidRPr="00EC27F4">
        <w:t>material</w:t>
      </w:r>
      <w:proofErr w:type="gramEnd"/>
      <w:r w:rsidR="00732592" w:rsidRPr="00EC27F4">
        <w:t xml:space="preserve"> was crucial for many participants. Support was also required for participants with other disabili</w:t>
      </w:r>
      <w:r w:rsidR="00DB3DF3">
        <w:t>ties; for example,</w:t>
      </w:r>
      <w:r w:rsidR="00732592" w:rsidRPr="00EC27F4">
        <w:t xml:space="preserve"> adaptive technology, including specialised computer software, interpreters, or having material or the environment brailed</w:t>
      </w:r>
      <w:r w:rsidR="00DB3DF3" w:rsidRPr="00DB3DF3">
        <w:t xml:space="preserve"> </w:t>
      </w:r>
      <w:r w:rsidR="00DB3DF3">
        <w:t xml:space="preserve">for those with </w:t>
      </w:r>
      <w:r w:rsidR="00DB3DF3" w:rsidRPr="00EC27F4">
        <w:t>hearing and vision impairments</w:t>
      </w:r>
      <w:r w:rsidR="00DB3DF3">
        <w:t>. The lack</w:t>
      </w:r>
      <w:r w:rsidR="00D17A2D">
        <w:t>, delay</w:t>
      </w:r>
      <w:r w:rsidR="00732592" w:rsidRPr="00EC27F4">
        <w:t xml:space="preserve"> or malfunction of such supports was a major barrier for these participants. </w:t>
      </w:r>
    </w:p>
    <w:p w:rsidR="001D30D0" w:rsidRPr="00270E8F" w:rsidRDefault="00041195" w:rsidP="001D30D0">
      <w:pPr>
        <w:pStyle w:val="Heading2"/>
      </w:pPr>
      <w:bookmarkStart w:id="64" w:name="_Toc350259315"/>
      <w:r w:rsidRPr="00270E8F">
        <w:t>M</w:t>
      </w:r>
      <w:r w:rsidR="007137BE" w:rsidRPr="00270E8F">
        <w:t>otivations</w:t>
      </w:r>
      <w:r w:rsidR="006F6AAF">
        <w:t>, experience</w:t>
      </w:r>
      <w:r w:rsidR="001D30D0" w:rsidRPr="00270E8F">
        <w:t xml:space="preserve"> and networks</w:t>
      </w:r>
      <w:bookmarkEnd w:id="64"/>
    </w:p>
    <w:p w:rsidR="008B5E3F" w:rsidRDefault="00A2259C" w:rsidP="00DB3DF3">
      <w:pPr>
        <w:pStyle w:val="Text"/>
      </w:pPr>
      <w:r w:rsidRPr="00270E8F">
        <w:t xml:space="preserve">One-fifth of the participants in the disability group and one-quarter of </w:t>
      </w:r>
      <w:r w:rsidR="00DB3DF3">
        <w:t xml:space="preserve">the </w:t>
      </w:r>
      <w:r w:rsidRPr="00270E8F">
        <w:t xml:space="preserve">participants in the comparison group reported barriers related to </w:t>
      </w:r>
      <w:r w:rsidR="00DB3DF3">
        <w:t xml:space="preserve">their </w:t>
      </w:r>
      <w:r w:rsidRPr="00270E8F">
        <w:t xml:space="preserve">lack of motivation and </w:t>
      </w:r>
      <w:r w:rsidR="00DB3DF3">
        <w:t xml:space="preserve">a </w:t>
      </w:r>
      <w:r w:rsidRPr="00270E8F">
        <w:t xml:space="preserve">lack of support or competing family demands. </w:t>
      </w:r>
      <w:r w:rsidR="00270E8F" w:rsidRPr="00270E8F">
        <w:t xml:space="preserve">However, the proportion of participants, particularly graduates with disabilities, who reported positive motivations and experiences as well as support from their family and others in their networks as facilitators for their course completions, is remarkable. More than </w:t>
      </w:r>
      <w:r w:rsidR="00DB3DF3">
        <w:t>70%</w:t>
      </w:r>
      <w:r w:rsidR="00270E8F" w:rsidRPr="00270E8F">
        <w:t xml:space="preserve"> of participants in the disability group and almost </w:t>
      </w:r>
      <w:r w:rsidR="00DB3DF3">
        <w:t>60%</w:t>
      </w:r>
      <w:r w:rsidR="00270E8F" w:rsidRPr="00270E8F">
        <w:t xml:space="preserve"> of participants in the comparison group identified their own motivations and perseverance; prior or positive experiences; and support from family, friends, acquaintances, and others as enable</w:t>
      </w:r>
      <w:r w:rsidR="00ED3809">
        <w:t>r</w:t>
      </w:r>
      <w:r w:rsidR="00270E8F" w:rsidRPr="00270E8F">
        <w:t xml:space="preserve">s. </w:t>
      </w:r>
    </w:p>
    <w:p w:rsidR="009D7249" w:rsidRDefault="008B5E3F" w:rsidP="00DB3DF3">
      <w:pPr>
        <w:pStyle w:val="Text"/>
      </w:pPr>
      <w:r>
        <w:t>A</w:t>
      </w:r>
      <w:r w:rsidR="00270E8F" w:rsidRPr="00270E8F">
        <w:t>l</w:t>
      </w:r>
      <w:r w:rsidR="009D7249" w:rsidRPr="00270E8F">
        <w:t xml:space="preserve">though formal support provided by </w:t>
      </w:r>
      <w:r w:rsidR="00791EA1">
        <w:t>registered training organisation</w:t>
      </w:r>
      <w:r w:rsidR="00D17A2D">
        <w:t>s</w:t>
      </w:r>
      <w:r w:rsidR="009D7249" w:rsidRPr="00270E8F">
        <w:t xml:space="preserve">, </w:t>
      </w:r>
      <w:r w:rsidR="00CA661F">
        <w:t>disability employment services</w:t>
      </w:r>
      <w:r w:rsidR="009D7249" w:rsidRPr="00270E8F">
        <w:t xml:space="preserve">, the employer or host employer </w:t>
      </w:r>
      <w:r w:rsidR="007D1D27">
        <w:t>were</w:t>
      </w:r>
      <w:r w:rsidR="009D7249" w:rsidRPr="00270E8F">
        <w:t xml:space="preserve"> crucial, informal support </w:t>
      </w:r>
      <w:r w:rsidR="007D1D27">
        <w:t>was</w:t>
      </w:r>
      <w:r w:rsidR="009D7249" w:rsidRPr="00270E8F">
        <w:t xml:space="preserve"> </w:t>
      </w:r>
      <w:r w:rsidR="00270E8F" w:rsidRPr="00270E8F">
        <w:t>also</w:t>
      </w:r>
      <w:r w:rsidR="009D7249" w:rsidRPr="00270E8F">
        <w:t xml:space="preserve"> important. Often, when the formal supports were inadequate, informal supports could compensate and mitigate adverse outcomes. Informal supports came f</w:t>
      </w:r>
      <w:r w:rsidR="00DB3DF3">
        <w:t>rom friends, family, co-workers</w:t>
      </w:r>
      <w:r w:rsidR="009D7249" w:rsidRPr="00270E8F">
        <w:t xml:space="preserve"> and others who personally worked towards the best outcomes for the person. Some participants </w:t>
      </w:r>
      <w:r w:rsidR="00270E8F" w:rsidRPr="00270E8F">
        <w:t xml:space="preserve">in the disability group </w:t>
      </w:r>
      <w:r w:rsidR="009D7249" w:rsidRPr="00270E8F">
        <w:t xml:space="preserve">reported that the work or training environment expected family, co-workers, or other people in their personal network to provide </w:t>
      </w:r>
      <w:r w:rsidR="00D17A2D">
        <w:lastRenderedPageBreak/>
        <w:t xml:space="preserve">the </w:t>
      </w:r>
      <w:r w:rsidR="009D7249" w:rsidRPr="00270E8F">
        <w:t>support</w:t>
      </w:r>
      <w:r w:rsidR="00D17A2D">
        <w:t xml:space="preserve"> that would</w:t>
      </w:r>
      <w:r w:rsidR="009D7249" w:rsidRPr="00270E8F">
        <w:t xml:space="preserve"> normally would be required of the employer or trainer. This included ada</w:t>
      </w:r>
      <w:r w:rsidR="00DB3DF3">
        <w:t xml:space="preserve">pting training material or work </w:t>
      </w:r>
      <w:r w:rsidR="009D7249" w:rsidRPr="00270E8F">
        <w:t xml:space="preserve">tasks into a </w:t>
      </w:r>
      <w:r w:rsidR="00DB3DF3">
        <w:t>suitable</w:t>
      </w:r>
      <w:r w:rsidR="009D7249" w:rsidRPr="00270E8F">
        <w:t xml:space="preserve"> format.</w:t>
      </w:r>
    </w:p>
    <w:p w:rsidR="00992244" w:rsidRDefault="004A5442" w:rsidP="000549D4">
      <w:pPr>
        <w:pStyle w:val="Text"/>
      </w:pPr>
      <w:r>
        <w:t xml:space="preserve">Social exclusion is more common among people with disabilities than </w:t>
      </w:r>
      <w:r w:rsidR="00E361A6">
        <w:t>among those</w:t>
      </w:r>
      <w:r>
        <w:t xml:space="preserve"> w</w:t>
      </w:r>
      <w:r w:rsidR="00A4683A">
        <w:t xml:space="preserve">ithout </w:t>
      </w:r>
      <w:r w:rsidR="00A9747C">
        <w:t xml:space="preserve">(Australian Government 2009; </w:t>
      </w:r>
      <w:r w:rsidR="00240831">
        <w:t xml:space="preserve">Department of Families, Housing, Community Services and Indigenous Affairs </w:t>
      </w:r>
      <w:r w:rsidR="00A9747C">
        <w:t xml:space="preserve"> 2011; National People with Disabilities and Carers Council &amp; </w:t>
      </w:r>
      <w:r w:rsidR="00240831">
        <w:t xml:space="preserve">Department of Families, Housing, Community </w:t>
      </w:r>
      <w:r w:rsidR="006F6AAF">
        <w:t>Services and Indigenous Affairs</w:t>
      </w:r>
      <w:r w:rsidR="00A9747C">
        <w:t xml:space="preserve"> 2009). E</w:t>
      </w:r>
      <w:r w:rsidR="00A4683A">
        <w:t>n</w:t>
      </w:r>
      <w:r w:rsidR="00E361A6">
        <w:t>suring</w:t>
      </w:r>
      <w:r w:rsidR="00A4683A">
        <w:t xml:space="preserve"> social inclusion</w:t>
      </w:r>
      <w:r>
        <w:t xml:space="preserve"> </w:t>
      </w:r>
      <w:r w:rsidR="00D17A2D">
        <w:t xml:space="preserve">for people with disabilities </w:t>
      </w:r>
      <w:r w:rsidR="00A9747C">
        <w:t xml:space="preserve">can also improve </w:t>
      </w:r>
      <w:r w:rsidR="00D17A2D">
        <w:t xml:space="preserve">their </w:t>
      </w:r>
      <w:r w:rsidR="00A9747C">
        <w:t>other outcomes</w:t>
      </w:r>
      <w:r>
        <w:t xml:space="preserve">. The importance of social networks, or social capital, as facilitators for the graduates with disabilities supports this paradigm. </w:t>
      </w:r>
      <w:r w:rsidR="007D1D27">
        <w:t>E</w:t>
      </w:r>
      <w:r>
        <w:t>mployment generally</w:t>
      </w:r>
      <w:r w:rsidR="00345843">
        <w:t>,</w:t>
      </w:r>
      <w:r>
        <w:t xml:space="preserve"> and completing apprenticeships and traineeships specifically</w:t>
      </w:r>
      <w:r w:rsidR="00345843">
        <w:t>,</w:t>
      </w:r>
      <w:r>
        <w:t xml:space="preserve"> can enhance social inclusion for people with disabilities</w:t>
      </w:r>
      <w:r w:rsidR="00947B6F">
        <w:t xml:space="preserve">. </w:t>
      </w:r>
    </w:p>
    <w:p w:rsidR="006B2F3B" w:rsidRDefault="006B2F3B">
      <w:pPr>
        <w:spacing w:before="0" w:line="240" w:lineRule="auto"/>
      </w:pPr>
      <w:r>
        <w:br w:type="page"/>
      </w:r>
    </w:p>
    <w:p w:rsidR="009177B2" w:rsidRDefault="009177B2" w:rsidP="00BF0AC4">
      <w:pPr>
        <w:pStyle w:val="Heading1"/>
      </w:pPr>
      <w:bookmarkStart w:id="65" w:name="_Toc350259316"/>
      <w:r w:rsidRPr="005C343A">
        <w:lastRenderedPageBreak/>
        <w:t>Enhancing support structures</w:t>
      </w:r>
      <w:bookmarkEnd w:id="65"/>
      <w:r w:rsidRPr="005C343A">
        <w:t xml:space="preserve"> </w:t>
      </w:r>
    </w:p>
    <w:p w:rsidR="000C3AF3" w:rsidRDefault="00D17A2D" w:rsidP="00E2079D">
      <w:pPr>
        <w:pStyle w:val="Text"/>
      </w:pPr>
      <w:r>
        <w:t>While a</w:t>
      </w:r>
      <w:r w:rsidR="00947B6F">
        <w:t xml:space="preserve"> number of </w:t>
      </w:r>
      <w:r w:rsidR="00E361A6">
        <w:t xml:space="preserve">the </w:t>
      </w:r>
      <w:r w:rsidR="00947B6F">
        <w:t xml:space="preserve">key barriers and facilitators </w:t>
      </w:r>
      <w:r>
        <w:t>affecting</w:t>
      </w:r>
      <w:r w:rsidR="00947B6F">
        <w:t xml:space="preserve"> course completion hav</w:t>
      </w:r>
      <w:r>
        <w:t>e been identified in this study,</w:t>
      </w:r>
      <w:r w:rsidR="00947B6F">
        <w:t xml:space="preserve"> </w:t>
      </w:r>
      <w:r w:rsidR="00E361A6">
        <w:t>strengthening</w:t>
      </w:r>
      <w:r w:rsidR="007E643A">
        <w:t xml:space="preserve"> the support structures </w:t>
      </w:r>
      <w:r w:rsidR="00E361A6">
        <w:t xml:space="preserve">is </w:t>
      </w:r>
      <w:r>
        <w:t xml:space="preserve">equally </w:t>
      </w:r>
      <w:r w:rsidR="00E361A6">
        <w:t>likely to assist</w:t>
      </w:r>
      <w:r w:rsidR="007E643A">
        <w:t xml:space="preserve"> more apprenti</w:t>
      </w:r>
      <w:r w:rsidR="00E361A6">
        <w:t>ces and trainees with disabilities to complete</w:t>
      </w:r>
      <w:r w:rsidR="007E643A">
        <w:t xml:space="preserve"> their courses. The compl</w:t>
      </w:r>
      <w:r w:rsidR="007D1D27">
        <w:t>e</w:t>
      </w:r>
      <w:r w:rsidR="007E643A">
        <w:t xml:space="preserve">mentary expertise of </w:t>
      </w:r>
      <w:r w:rsidR="00CA661F">
        <w:t>disability employment services</w:t>
      </w:r>
      <w:r w:rsidR="00791EA1">
        <w:t xml:space="preserve"> </w:t>
      </w:r>
      <w:r w:rsidR="007E643A">
        <w:t xml:space="preserve">and </w:t>
      </w:r>
      <w:r w:rsidR="00791EA1">
        <w:t>group training organisation</w:t>
      </w:r>
      <w:r w:rsidR="007E643A">
        <w:t>s ha</w:t>
      </w:r>
      <w:r w:rsidR="00345843">
        <w:t>s</w:t>
      </w:r>
      <w:r w:rsidR="007E643A">
        <w:t xml:space="preserve"> previously been identified as a key success strategy </w:t>
      </w:r>
      <w:r w:rsidR="00E2079D">
        <w:t>in</w:t>
      </w:r>
      <w:r w:rsidR="00E361A6">
        <w:t xml:space="preserve"> the</w:t>
      </w:r>
      <w:r w:rsidR="007E643A">
        <w:t xml:space="preserve"> improve</w:t>
      </w:r>
      <w:r w:rsidR="00E361A6">
        <w:t>ment of</w:t>
      </w:r>
      <w:r w:rsidR="007E643A">
        <w:t xml:space="preserve"> course completions for apprentices and trainees with disabilit</w:t>
      </w:r>
      <w:r w:rsidR="00E361A6">
        <w:t>ies</w:t>
      </w:r>
      <w:r w:rsidR="007E643A">
        <w:t xml:space="preserve"> across three sequential research projects carried out by EDGE Employment Solutions</w:t>
      </w:r>
      <w:r w:rsidR="005D509E">
        <w:t>,</w:t>
      </w:r>
      <w:r w:rsidR="007E643A">
        <w:t xml:space="preserve"> </w:t>
      </w:r>
      <w:r w:rsidR="000F38AD">
        <w:t xml:space="preserve">including two national projects in partnership with </w:t>
      </w:r>
      <w:r w:rsidR="007E643A">
        <w:t xml:space="preserve">Group Training Australia (Lewis, </w:t>
      </w:r>
      <w:proofErr w:type="spellStart"/>
      <w:r w:rsidR="007E643A">
        <w:t>Thoresen</w:t>
      </w:r>
      <w:proofErr w:type="spellEnd"/>
      <w:r w:rsidR="007E643A">
        <w:t xml:space="preserve"> &amp; Cocks 2011a). Among the best practices identified </w:t>
      </w:r>
      <w:r w:rsidR="00A07A42">
        <w:t xml:space="preserve">in </w:t>
      </w:r>
      <w:r w:rsidR="000F38AD">
        <w:t xml:space="preserve">the first national project </w:t>
      </w:r>
      <w:r w:rsidR="007E643A">
        <w:t xml:space="preserve">was the joint support and marketing of apprentices and trainees to host employers as well as the formalisation of agreements between </w:t>
      </w:r>
      <w:r w:rsidR="00CA661F">
        <w:t>disability employment services</w:t>
      </w:r>
      <w:r w:rsidR="00791EA1">
        <w:t xml:space="preserve"> </w:t>
      </w:r>
      <w:r w:rsidR="007E643A">
        <w:t xml:space="preserve">and </w:t>
      </w:r>
      <w:r w:rsidR="00791EA1">
        <w:t>group training organisation</w:t>
      </w:r>
      <w:r w:rsidR="007E643A">
        <w:t xml:space="preserve">s through memorandums of understanding. </w:t>
      </w:r>
      <w:r w:rsidR="000C3AF3">
        <w:t>Among the research participants with disabilities</w:t>
      </w:r>
      <w:r w:rsidR="000F38AD">
        <w:t xml:space="preserve"> in the current study,</w:t>
      </w:r>
      <w:r w:rsidR="000C3AF3">
        <w:t xml:space="preserve"> however, only 21 graduates</w:t>
      </w:r>
      <w:r w:rsidR="006F6AAF">
        <w:t>,</w:t>
      </w:r>
      <w:r w:rsidR="000C3AF3">
        <w:t xml:space="preserve"> or 5.2%</w:t>
      </w:r>
      <w:r w:rsidR="006F6AAF">
        <w:t>,</w:t>
      </w:r>
      <w:r w:rsidR="000C3AF3">
        <w:t xml:space="preserve"> </w:t>
      </w:r>
      <w:r w:rsidR="00E2079D">
        <w:t>reported</w:t>
      </w:r>
      <w:r w:rsidR="000C3AF3">
        <w:t xml:space="preserve"> that they </w:t>
      </w:r>
      <w:r w:rsidR="00E2079D">
        <w:t>had been</w:t>
      </w:r>
      <w:r w:rsidR="006F6AAF">
        <w:t xml:space="preserve"> supported by both</w:t>
      </w:r>
      <w:r w:rsidR="000C3AF3">
        <w:t xml:space="preserve"> </w:t>
      </w:r>
      <w:r w:rsidR="00CA661F">
        <w:t>disability employment services</w:t>
      </w:r>
      <w:r w:rsidR="00791EA1">
        <w:t xml:space="preserve"> </w:t>
      </w:r>
      <w:r w:rsidR="000C3AF3">
        <w:t xml:space="preserve">and a </w:t>
      </w:r>
      <w:r w:rsidR="00791EA1">
        <w:t>group training organisation</w:t>
      </w:r>
      <w:r w:rsidR="000C3AF3">
        <w:t xml:space="preserve"> during their training. </w:t>
      </w:r>
    </w:p>
    <w:p w:rsidR="005C343A" w:rsidRPr="00B9031D" w:rsidRDefault="00E2079D" w:rsidP="00E2079D">
      <w:pPr>
        <w:pStyle w:val="Text"/>
      </w:pPr>
      <w:r>
        <w:t>In a commissioned study t</w:t>
      </w:r>
      <w:r w:rsidR="005579C7">
        <w:t>he</w:t>
      </w:r>
      <w:r w:rsidR="005D509E">
        <w:t xml:space="preserve"> National VET Equity Advisory Council</w:t>
      </w:r>
      <w:r w:rsidR="005579C7">
        <w:t xml:space="preserve"> highlight</w:t>
      </w:r>
      <w:r w:rsidR="00A07A42">
        <w:t>ed</w:t>
      </w:r>
      <w:r w:rsidR="005579C7">
        <w:t xml:space="preserve"> the benefits </w:t>
      </w:r>
      <w:r>
        <w:t>to the community —</w:t>
      </w:r>
      <w:r w:rsidR="006F6AAF">
        <w:t xml:space="preserve"> </w:t>
      </w:r>
      <w:r w:rsidR="005579C7">
        <w:t>in excess of $12 billion in 2020</w:t>
      </w:r>
      <w:r>
        <w:t xml:space="preserve"> —</w:t>
      </w:r>
      <w:r w:rsidR="005579C7">
        <w:t xml:space="preserve"> if barriers </w:t>
      </w:r>
      <w:r w:rsidR="005D509E">
        <w:t>to</w:t>
      </w:r>
      <w:r w:rsidR="005579C7">
        <w:t xml:space="preserve"> VET participation, completion and employment transitions were eliminated for people with disabilities and Indigenous Australians. </w:t>
      </w:r>
      <w:r w:rsidR="005D509E">
        <w:t xml:space="preserve">The </w:t>
      </w:r>
      <w:r w:rsidR="00F716D2">
        <w:t>National VET Equity Advisory Council</w:t>
      </w:r>
      <w:r w:rsidR="005579C7">
        <w:t xml:space="preserve"> also highlight</w:t>
      </w:r>
      <w:r w:rsidR="00A07A42">
        <w:t>ed</w:t>
      </w:r>
      <w:r w:rsidR="005579C7">
        <w:t xml:space="preserve"> the importance of establishing and building strong partnerships between agencies that support </w:t>
      </w:r>
      <w:r w:rsidR="005579C7" w:rsidRPr="00B9031D">
        <w:t>disadvantaged people to undertake and complete VET. Strategies include</w:t>
      </w:r>
      <w:r w:rsidR="00A07A42">
        <w:t>d</w:t>
      </w:r>
      <w:r w:rsidR="005579C7" w:rsidRPr="00B9031D">
        <w:t xml:space="preserve"> ‘holistic case management’</w:t>
      </w:r>
      <w:r w:rsidR="005D509E">
        <w:t>,</w:t>
      </w:r>
      <w:r w:rsidR="005579C7" w:rsidRPr="00B9031D">
        <w:t xml:space="preserve"> with a particular emphasis on </w:t>
      </w:r>
      <w:r w:rsidR="00791EA1">
        <w:t>registered training organisation</w:t>
      </w:r>
      <w:r w:rsidR="005579C7" w:rsidRPr="00B9031D">
        <w:t>s such as TAFE</w:t>
      </w:r>
      <w:r w:rsidR="005D509E">
        <w:t xml:space="preserve"> institute</w:t>
      </w:r>
      <w:r w:rsidR="005579C7" w:rsidRPr="00B9031D">
        <w:t xml:space="preserve">s </w:t>
      </w:r>
      <w:r w:rsidR="002A3258" w:rsidRPr="00B9031D">
        <w:t>(</w:t>
      </w:r>
      <w:r w:rsidR="00F716D2">
        <w:t>National VET Equity Advisory Council</w:t>
      </w:r>
      <w:r w:rsidR="002A3258" w:rsidRPr="00B9031D">
        <w:t xml:space="preserve"> 2011). </w:t>
      </w:r>
    </w:p>
    <w:p w:rsidR="00B9031D" w:rsidRPr="00B9031D" w:rsidRDefault="00D1353F" w:rsidP="007660FE">
      <w:pPr>
        <w:pStyle w:val="Text"/>
      </w:pPr>
      <w:r w:rsidRPr="00B9031D">
        <w:t xml:space="preserve">It is clear that support was the single most important factor facilitating course completions among </w:t>
      </w:r>
      <w:r w:rsidR="005579C7" w:rsidRPr="00B9031D">
        <w:t>research participants</w:t>
      </w:r>
      <w:r w:rsidRPr="00B9031D">
        <w:t xml:space="preserve"> with disa</w:t>
      </w:r>
      <w:r w:rsidR="005D509E">
        <w:t>bilities. The provider</w:t>
      </w:r>
      <w:r w:rsidR="006F6AAF">
        <w:t xml:space="preserve"> and the</w:t>
      </w:r>
      <w:r w:rsidR="005D509E">
        <w:t xml:space="preserve"> content</w:t>
      </w:r>
      <w:r w:rsidRPr="00B9031D">
        <w:t xml:space="preserve"> and role of this support varied greatly</w:t>
      </w:r>
      <w:r w:rsidR="00BB4920" w:rsidRPr="00B9031D">
        <w:t xml:space="preserve"> among research participants</w:t>
      </w:r>
      <w:r w:rsidRPr="00B9031D">
        <w:t xml:space="preserve">. Extensive support was provided by individuals in formal capacities from </w:t>
      </w:r>
      <w:r w:rsidR="00CA661F">
        <w:t>disability employment services</w:t>
      </w:r>
      <w:r w:rsidRPr="00B9031D">
        <w:t xml:space="preserve">, </w:t>
      </w:r>
      <w:r w:rsidR="00791EA1">
        <w:t>group training organisation</w:t>
      </w:r>
      <w:r w:rsidRPr="00B9031D">
        <w:t>s, TAFE, and</w:t>
      </w:r>
      <w:r w:rsidR="00BC25E0" w:rsidRPr="00B9031D">
        <w:t xml:space="preserve"> the employer/host employer</w:t>
      </w:r>
      <w:r w:rsidR="00E2079D">
        <w:t>,</w:t>
      </w:r>
      <w:r w:rsidR="00BC25E0" w:rsidRPr="00B9031D">
        <w:t xml:space="preserve"> and </w:t>
      </w:r>
      <w:r w:rsidR="005D509E">
        <w:t xml:space="preserve">in </w:t>
      </w:r>
      <w:r w:rsidR="00BC25E0" w:rsidRPr="00B9031D">
        <w:t>informal roles such</w:t>
      </w:r>
      <w:r w:rsidR="005D509E">
        <w:t xml:space="preserve"> as family, friends, co-workers</w:t>
      </w:r>
      <w:r w:rsidR="00BC25E0" w:rsidRPr="00B9031D">
        <w:t xml:space="preserve"> and other apprentices and trainees. </w:t>
      </w:r>
      <w:r w:rsidR="00B9031D">
        <w:t xml:space="preserve">The importance of informal supports is that they can </w:t>
      </w:r>
      <w:r w:rsidR="005D509E">
        <w:t>reduce</w:t>
      </w:r>
      <w:r w:rsidR="00B9031D">
        <w:t xml:space="preserve"> poor </w:t>
      </w:r>
      <w:r w:rsidR="00B9031D" w:rsidRPr="00B9031D">
        <w:t xml:space="preserve">outcomes when the formal supports are inadequate. The support </w:t>
      </w:r>
      <w:r w:rsidR="005D509E">
        <w:t>provided by parents, co-workers</w:t>
      </w:r>
      <w:r w:rsidR="00B9031D" w:rsidRPr="00B9031D">
        <w:t xml:space="preserve"> and friends </w:t>
      </w:r>
      <w:r w:rsidR="007660FE">
        <w:t>with</w:t>
      </w:r>
      <w:r w:rsidR="00B9031D" w:rsidRPr="00B9031D">
        <w:t xml:space="preserve"> </w:t>
      </w:r>
      <w:r w:rsidR="005D509E">
        <w:t xml:space="preserve">work and training </w:t>
      </w:r>
      <w:r w:rsidR="00B9031D" w:rsidRPr="00B9031D">
        <w:t xml:space="preserve">tasks when formal supports from the training or work environments were insufficient </w:t>
      </w:r>
      <w:r w:rsidR="007660FE">
        <w:t>assisted the</w:t>
      </w:r>
      <w:r w:rsidR="00A07A42">
        <w:t xml:space="preserve"> </w:t>
      </w:r>
      <w:r w:rsidR="00B9031D" w:rsidRPr="00B9031D">
        <w:t>apprentices and trainees in this study</w:t>
      </w:r>
      <w:r w:rsidR="007660FE">
        <w:t xml:space="preserve"> to complete</w:t>
      </w:r>
      <w:r w:rsidR="00B9031D" w:rsidRPr="00B9031D">
        <w:t xml:space="preserve">. </w:t>
      </w:r>
    </w:p>
    <w:p w:rsidR="00C204B1" w:rsidRPr="00B9031D" w:rsidRDefault="003662F5" w:rsidP="00E2079D">
      <w:pPr>
        <w:pStyle w:val="Text"/>
      </w:pPr>
      <w:r w:rsidRPr="00B9031D">
        <w:t xml:space="preserve">Enhancing these </w:t>
      </w:r>
      <w:r w:rsidR="00C72B96" w:rsidRPr="00B9031D">
        <w:t xml:space="preserve">support structures </w:t>
      </w:r>
      <w:r w:rsidR="00271F38" w:rsidRPr="00B9031D">
        <w:t xml:space="preserve">will </w:t>
      </w:r>
      <w:r w:rsidR="00C72B96" w:rsidRPr="00B9031D">
        <w:t xml:space="preserve">benefit apprentices and trainees with disabilities. It may be advantageous to continue </w:t>
      </w:r>
      <w:r w:rsidR="00E2079D">
        <w:t xml:space="preserve">to </w:t>
      </w:r>
      <w:r w:rsidR="00C72B96" w:rsidRPr="00B9031D">
        <w:t>encourag</w:t>
      </w:r>
      <w:r w:rsidR="00E2079D">
        <w:t>e</w:t>
      </w:r>
      <w:r w:rsidR="00C72B96" w:rsidRPr="00B9031D">
        <w:t xml:space="preserve"> </w:t>
      </w:r>
      <w:r w:rsidR="0080127A">
        <w:t xml:space="preserve">the </w:t>
      </w:r>
      <w:r w:rsidR="00C72B96" w:rsidRPr="00B9031D">
        <w:t xml:space="preserve">joint support of apprentices and trainees with disabilities by </w:t>
      </w:r>
      <w:r w:rsidR="00CA661F">
        <w:t>disability employment services</w:t>
      </w:r>
      <w:r w:rsidR="00791EA1">
        <w:t xml:space="preserve"> </w:t>
      </w:r>
      <w:r w:rsidR="00C72B96" w:rsidRPr="00B9031D">
        <w:t xml:space="preserve">and </w:t>
      </w:r>
      <w:r w:rsidR="00791EA1">
        <w:t>group training organisation</w:t>
      </w:r>
      <w:r w:rsidR="00C72B96" w:rsidRPr="00B9031D">
        <w:t xml:space="preserve">s. </w:t>
      </w:r>
      <w:r w:rsidR="0024574F" w:rsidRPr="00B9031D">
        <w:t xml:space="preserve">Support </w:t>
      </w:r>
      <w:r w:rsidR="0080127A">
        <w:t>for establishing</w:t>
      </w:r>
      <w:r w:rsidR="0024574F" w:rsidRPr="00B9031D">
        <w:t xml:space="preserve"> and mentor</w:t>
      </w:r>
      <w:r w:rsidR="0080127A">
        <w:t>ing</w:t>
      </w:r>
      <w:r w:rsidR="0024574F" w:rsidRPr="00B9031D">
        <w:t xml:space="preserve"> partnerships may be required. </w:t>
      </w:r>
      <w:r w:rsidR="00271F38" w:rsidRPr="00B9031D">
        <w:t xml:space="preserve">A national project </w:t>
      </w:r>
      <w:r w:rsidR="0080127A">
        <w:t>in which</w:t>
      </w:r>
      <w:r w:rsidR="00271F38" w:rsidRPr="00B9031D">
        <w:t xml:space="preserve"> </w:t>
      </w:r>
      <w:r w:rsidR="00CA661F">
        <w:t>disability employment services</w:t>
      </w:r>
      <w:r w:rsidR="00791EA1">
        <w:t xml:space="preserve"> </w:t>
      </w:r>
      <w:r w:rsidR="00271F38" w:rsidRPr="00B9031D">
        <w:t xml:space="preserve">and </w:t>
      </w:r>
      <w:r w:rsidR="00791EA1">
        <w:t>group training organisation</w:t>
      </w:r>
      <w:r w:rsidR="00271F38" w:rsidRPr="00B9031D">
        <w:t xml:space="preserve">s </w:t>
      </w:r>
      <w:r w:rsidR="0080127A">
        <w:t>established</w:t>
      </w:r>
      <w:r w:rsidR="00271F38" w:rsidRPr="00B9031D">
        <w:t xml:space="preserve"> pa</w:t>
      </w:r>
      <w:r w:rsidR="0080127A">
        <w:t>rtnerships, recruited, employed</w:t>
      </w:r>
      <w:r w:rsidR="00271F38" w:rsidRPr="00B9031D">
        <w:t xml:space="preserve"> and supported apprentices and trainees with disabilities achieved</w:t>
      </w:r>
      <w:r w:rsidR="00E2079D">
        <w:t xml:space="preserve"> completion rates exceeding those</w:t>
      </w:r>
      <w:r w:rsidR="00271F38" w:rsidRPr="00B9031D">
        <w:t xml:space="preserve"> of apprentices and trainees without disabil</w:t>
      </w:r>
      <w:r w:rsidR="0080127A">
        <w:t>ities</w:t>
      </w:r>
      <w:r w:rsidR="00271F38" w:rsidRPr="00B9031D">
        <w:t xml:space="preserve"> (Lewis, </w:t>
      </w:r>
      <w:proofErr w:type="spellStart"/>
      <w:r w:rsidR="00271F38" w:rsidRPr="00B9031D">
        <w:t>Thoresen</w:t>
      </w:r>
      <w:proofErr w:type="spellEnd"/>
      <w:r w:rsidR="00271F38" w:rsidRPr="00B9031D">
        <w:t xml:space="preserve"> &amp; Cocks 2011a).</w:t>
      </w:r>
      <w:r w:rsidR="00C72B96" w:rsidRPr="00B9031D">
        <w:t xml:space="preserve"> </w:t>
      </w:r>
      <w:r w:rsidR="00271F38" w:rsidRPr="00B9031D">
        <w:t xml:space="preserve">The project provided financial incentives for </w:t>
      </w:r>
      <w:r w:rsidR="00CA661F">
        <w:t>disability employment services</w:t>
      </w:r>
      <w:r w:rsidR="00791EA1">
        <w:t xml:space="preserve"> </w:t>
      </w:r>
      <w:r w:rsidR="00271F38" w:rsidRPr="00B9031D">
        <w:t xml:space="preserve">and </w:t>
      </w:r>
      <w:r w:rsidR="00791EA1">
        <w:t>group training organisation</w:t>
      </w:r>
      <w:r w:rsidR="00271F38" w:rsidRPr="00B9031D">
        <w:t xml:space="preserve">s to form partnerships, disseminated information </w:t>
      </w:r>
      <w:r w:rsidR="0080127A">
        <w:t xml:space="preserve">to participating organisations </w:t>
      </w:r>
      <w:r w:rsidR="00E2079D">
        <w:t>on</w:t>
      </w:r>
      <w:r w:rsidR="00271F38" w:rsidRPr="00B9031D">
        <w:t xml:space="preserve"> success stories an</w:t>
      </w:r>
      <w:r w:rsidR="0080127A">
        <w:t>d strategies</w:t>
      </w:r>
      <w:r w:rsidR="00E2079D">
        <w:t>,</w:t>
      </w:r>
      <w:r w:rsidR="00271F38" w:rsidRPr="00B9031D">
        <w:t xml:space="preserve"> and provided ‘hot-desk’ telephone support to organisations experiencing challenges. </w:t>
      </w:r>
      <w:r w:rsidR="00FE32EC" w:rsidRPr="00B9031D">
        <w:t>The project was only funded to support a total of 20 partnerships across two rounds and was concluded in 2008</w:t>
      </w:r>
      <w:r w:rsidR="0080127A">
        <w:t>,</w:t>
      </w:r>
      <w:r w:rsidR="00FE32EC" w:rsidRPr="00B9031D">
        <w:t xml:space="preserve"> although some organisations were at that stage continuing their partnerships on their own accord. </w:t>
      </w:r>
    </w:p>
    <w:p w:rsidR="00833871" w:rsidRDefault="007B711A" w:rsidP="000549D4">
      <w:pPr>
        <w:pStyle w:val="Text"/>
      </w:pPr>
      <w:r w:rsidRPr="00B9031D">
        <w:lastRenderedPageBreak/>
        <w:t>This study has identified that family, friends, col</w:t>
      </w:r>
      <w:r w:rsidR="0080127A">
        <w:t>leagues</w:t>
      </w:r>
      <w:r w:rsidRPr="00B9031D">
        <w:t xml:space="preserve"> and other informal supports play </w:t>
      </w:r>
      <w:r w:rsidR="0080127A">
        <w:t xml:space="preserve">pivotal roles in facilitating course </w:t>
      </w:r>
      <w:r w:rsidRPr="00B9031D">
        <w:t xml:space="preserve">completions among apprentices and trainees, </w:t>
      </w:r>
      <w:r w:rsidR="0080127A">
        <w:t>and particularly</w:t>
      </w:r>
      <w:r w:rsidRPr="00B9031D">
        <w:t xml:space="preserve"> so for apprentices and trainees with disabilities. </w:t>
      </w:r>
      <w:r w:rsidR="00951A0A" w:rsidRPr="00B9031D">
        <w:t xml:space="preserve">In the context of </w:t>
      </w:r>
      <w:r w:rsidR="0080127A">
        <w:t>the latter</w:t>
      </w:r>
      <w:r w:rsidR="00951A0A" w:rsidRPr="00B9031D">
        <w:t>, programs to e</w:t>
      </w:r>
      <w:r w:rsidR="00ED3D74" w:rsidRPr="00B9031D">
        <w:t>nhance informal supports can be challenging. It may be better to blur the boundaries between formal and informal supports through</w:t>
      </w:r>
      <w:r w:rsidR="0080127A">
        <w:t>,</w:t>
      </w:r>
      <w:r w:rsidR="00ED3D74" w:rsidRPr="00B9031D">
        <w:t xml:space="preserve"> for example</w:t>
      </w:r>
      <w:r w:rsidR="0080127A">
        <w:t>,</w:t>
      </w:r>
      <w:r w:rsidR="00ED3D74" w:rsidRPr="00B9031D">
        <w:t xml:space="preserve"> mentoring programs </w:t>
      </w:r>
      <w:r w:rsidR="0080127A">
        <w:t xml:space="preserve">conducted </w:t>
      </w:r>
      <w:r w:rsidR="00ED3D74" w:rsidRPr="00B9031D">
        <w:t xml:space="preserve">by </w:t>
      </w:r>
      <w:r w:rsidR="00CA661F">
        <w:t>disability employment services</w:t>
      </w:r>
      <w:r w:rsidR="00ED3D74" w:rsidRPr="00B9031D">
        <w:t xml:space="preserve">, </w:t>
      </w:r>
      <w:r w:rsidR="00791EA1">
        <w:t>group training organisation</w:t>
      </w:r>
      <w:r w:rsidR="000549D4">
        <w:t>s, TAFE</w:t>
      </w:r>
      <w:r w:rsidR="00ED3D74" w:rsidRPr="00B9031D">
        <w:t xml:space="preserve"> and employers. Given the low completion rate </w:t>
      </w:r>
      <w:r w:rsidR="0080127A">
        <w:t xml:space="preserve">even </w:t>
      </w:r>
      <w:r w:rsidR="00ED3D74" w:rsidRPr="00B9031D">
        <w:t>among apprentices and trainees without disabilit</w:t>
      </w:r>
      <w:r w:rsidR="0080127A">
        <w:t>ies</w:t>
      </w:r>
      <w:r w:rsidR="00ED3D74" w:rsidRPr="00B9031D">
        <w:t xml:space="preserve">, this may be </w:t>
      </w:r>
      <w:r w:rsidR="000549D4">
        <w:t>an approach that benefits</w:t>
      </w:r>
      <w:r w:rsidR="00ED3D74" w:rsidRPr="00B9031D">
        <w:t xml:space="preserve"> all apprentices and trainees. </w:t>
      </w:r>
      <w:r w:rsidR="00504DEF" w:rsidRPr="00B9031D">
        <w:t>The National VET Equity Advisory Council has welcomed moves by the government to better integrate employment and training</w:t>
      </w:r>
      <w:r w:rsidR="0080127A">
        <w:t>,</w:t>
      </w:r>
      <w:r w:rsidR="00504DEF" w:rsidRPr="00B9031D">
        <w:t xml:space="preserve"> which may include closer collaborations between </w:t>
      </w:r>
      <w:r w:rsidR="00CA661F">
        <w:t>disability employment services</w:t>
      </w:r>
      <w:r w:rsidR="00791EA1">
        <w:t xml:space="preserve"> </w:t>
      </w:r>
      <w:r w:rsidR="00504DEF" w:rsidRPr="00B9031D">
        <w:t xml:space="preserve">and </w:t>
      </w:r>
      <w:r w:rsidR="00791EA1">
        <w:t>registered training organisation</w:t>
      </w:r>
      <w:r w:rsidR="00504DEF" w:rsidRPr="00B9031D">
        <w:t>s (</w:t>
      </w:r>
      <w:r w:rsidR="00F716D2">
        <w:t>National VET Equity Advisory Council</w:t>
      </w:r>
      <w:r w:rsidR="00504DEF" w:rsidRPr="00B9031D">
        <w:t xml:space="preserve"> 2011). </w:t>
      </w:r>
      <w:r w:rsidR="00ED3D74" w:rsidRPr="00B9031D">
        <w:t xml:space="preserve">The role of informal supports </w:t>
      </w:r>
      <w:r w:rsidR="0080127A">
        <w:t>identified by</w:t>
      </w:r>
      <w:r w:rsidR="00ED3D74" w:rsidRPr="00B9031D">
        <w:t xml:space="preserve"> the research participants, however, highlights the importance of social inclusion for </w:t>
      </w:r>
      <w:r w:rsidR="0080127A">
        <w:t xml:space="preserve">the </w:t>
      </w:r>
      <w:r w:rsidR="00ED3D74" w:rsidRPr="00B9031D">
        <w:t>social and economic outcome</w:t>
      </w:r>
      <w:r w:rsidR="00833871">
        <w:t>s for people with disabilities.</w:t>
      </w:r>
    </w:p>
    <w:p w:rsidR="00EC27F4" w:rsidRPr="00ED3D74" w:rsidRDefault="009177B2" w:rsidP="000549D4">
      <w:pPr>
        <w:pStyle w:val="Text"/>
      </w:pPr>
      <w:r w:rsidRPr="00342FC3">
        <w:t xml:space="preserve">Further research into the social and economic outcomes </w:t>
      </w:r>
      <w:r w:rsidR="000549D4">
        <w:t>of</w:t>
      </w:r>
      <w:r w:rsidRPr="00342FC3">
        <w:t xml:space="preserve"> the apprenticeship and traineeship graduates with disabilities participating in this research project will take place. </w:t>
      </w:r>
      <w:r w:rsidR="00ED3D74" w:rsidRPr="00342FC3">
        <w:t xml:space="preserve">Outcomes will be mapped longitudinally and investigation into </w:t>
      </w:r>
      <w:r w:rsidRPr="00342FC3">
        <w:t>if</w:t>
      </w:r>
      <w:r w:rsidR="00ED3D74" w:rsidRPr="00342FC3">
        <w:t xml:space="preserve"> and how this changes over time</w:t>
      </w:r>
      <w:r w:rsidR="006F6AAF">
        <w:t>,</w:t>
      </w:r>
      <w:r w:rsidRPr="00342FC3">
        <w:t xml:space="preserve"> as well as the relationship between social and economic outcomes</w:t>
      </w:r>
      <w:r w:rsidR="006F6AAF">
        <w:t>,</w:t>
      </w:r>
      <w:r w:rsidR="00ED3D74" w:rsidRPr="00342FC3">
        <w:t xml:space="preserve"> will be carried out</w:t>
      </w:r>
      <w:r w:rsidRPr="00342FC3">
        <w:t>.</w:t>
      </w:r>
    </w:p>
    <w:p w:rsidR="006205F8" w:rsidRDefault="006205F8">
      <w:pPr>
        <w:spacing w:before="0" w:line="240" w:lineRule="auto"/>
      </w:pPr>
      <w:r>
        <w:br w:type="page"/>
      </w:r>
    </w:p>
    <w:p w:rsidR="006205F8" w:rsidRDefault="0058786E" w:rsidP="006205F8">
      <w:pPr>
        <w:pStyle w:val="Heading1"/>
      </w:pPr>
      <w:bookmarkStart w:id="66" w:name="_Toc350259317"/>
      <w:r w:rsidRPr="00ED3D74">
        <w:lastRenderedPageBreak/>
        <w:t>C</w:t>
      </w:r>
      <w:r w:rsidR="006205F8" w:rsidRPr="00ED3D74">
        <w:t>onclusions</w:t>
      </w:r>
      <w:bookmarkEnd w:id="66"/>
    </w:p>
    <w:p w:rsidR="002D2012" w:rsidRDefault="002F5980" w:rsidP="00833871">
      <w:pPr>
        <w:pStyle w:val="Text"/>
      </w:pPr>
      <w:r>
        <w:t xml:space="preserve">People with disabilities experience both social and economic exclusion (Australian Government 2009; </w:t>
      </w:r>
      <w:r w:rsidR="00240831">
        <w:t xml:space="preserve">Department of Families, Housing, Community Services and Indigenous Affairs </w:t>
      </w:r>
      <w:r>
        <w:t xml:space="preserve">2011; OECD 2003, 2007, 2010, 2012). Increasing </w:t>
      </w:r>
      <w:r w:rsidR="00833871">
        <w:t xml:space="preserve">the available </w:t>
      </w:r>
      <w:r>
        <w:t xml:space="preserve">employment opportunities can redress social and economic disadvantage. </w:t>
      </w:r>
      <w:r w:rsidR="002D2012">
        <w:t xml:space="preserve">Apprenticeships and traineeships </w:t>
      </w:r>
      <w:r>
        <w:t>have been identified as</w:t>
      </w:r>
      <w:r w:rsidR="002D2012">
        <w:t xml:space="preserve"> very</w:t>
      </w:r>
      <w:r w:rsidR="00AB452E">
        <w:t xml:space="preserve"> </w:t>
      </w:r>
      <w:r w:rsidR="007D1D27">
        <w:t>effective</w:t>
      </w:r>
      <w:r w:rsidR="002D2012">
        <w:t xml:space="preserve"> employment pathways for people with disabilities. Although almost one in five Australians ha</w:t>
      </w:r>
      <w:r w:rsidR="00833871">
        <w:t>s a</w:t>
      </w:r>
      <w:r w:rsidR="002D2012">
        <w:t xml:space="preserve"> disabilit</w:t>
      </w:r>
      <w:r w:rsidR="00833871">
        <w:t>y</w:t>
      </w:r>
      <w:r w:rsidR="002D2012">
        <w:t xml:space="preserve"> (ABS 2010b), apprenticeship and traineeship graduates with disabilities only accounted for between 1.2% and 2.0% of apprenticeship and traineeship completions for any given year between 1998 and 2010 (NCVER 2011c).</w:t>
      </w:r>
      <w:r w:rsidR="000D5D10">
        <w:t xml:space="preserve"> </w:t>
      </w:r>
      <w:r w:rsidR="00C87C52">
        <w:t>Both lower participation rates and completion rates contribute to this (NCVER 2011c).</w:t>
      </w:r>
      <w:r w:rsidR="002D2012">
        <w:t xml:space="preserve"> Even when adjusting for the lower disability prevalence among younger Australians</w:t>
      </w:r>
      <w:r w:rsidR="00833871">
        <w:t>,</w:t>
      </w:r>
      <w:r w:rsidR="002D2012">
        <w:t xml:space="preserve"> who </w:t>
      </w:r>
      <w:r w:rsidR="00C87C52">
        <w:t>are more likely to undertake apprenticeships and traineeships</w:t>
      </w:r>
      <w:r w:rsidR="002D2012">
        <w:t xml:space="preserve">, people with </w:t>
      </w:r>
      <w:proofErr w:type="gramStart"/>
      <w:r w:rsidR="002D2012">
        <w:t>disabilities</w:t>
      </w:r>
      <w:proofErr w:type="gramEnd"/>
      <w:r w:rsidR="002D2012">
        <w:t xml:space="preserve"> are significantly underrepresented. </w:t>
      </w:r>
      <w:r w:rsidR="00C87C52">
        <w:t>This is despite similar outcomes following graduation for apprentices and trai</w:t>
      </w:r>
      <w:r w:rsidR="006F6AAF">
        <w:t>nees with and without disabili</w:t>
      </w:r>
      <w:r w:rsidR="004A13AA">
        <w:t>ti</w:t>
      </w:r>
      <w:r w:rsidR="006F6AAF">
        <w:t>es</w:t>
      </w:r>
      <w:r w:rsidR="00C87C52">
        <w:t xml:space="preserve"> (Ball &amp; John 2005).</w:t>
      </w:r>
      <w:r>
        <w:t xml:space="preserve"> Identifying barriers </w:t>
      </w:r>
      <w:r w:rsidR="00833871">
        <w:t xml:space="preserve">to </w:t>
      </w:r>
      <w:r>
        <w:t>and facilitators for course completion</w:t>
      </w:r>
      <w:r w:rsidR="00FB220E">
        <w:t xml:space="preserve"> is crucial to </w:t>
      </w:r>
      <w:r w:rsidR="00833871">
        <w:t>the development of</w:t>
      </w:r>
      <w:r w:rsidR="00FB220E">
        <w:t xml:space="preserve"> strategies </w:t>
      </w:r>
      <w:r w:rsidR="00833871">
        <w:t>for increasing</w:t>
      </w:r>
      <w:r w:rsidR="00FB220E">
        <w:t xml:space="preserve"> </w:t>
      </w:r>
      <w:r w:rsidR="00833871">
        <w:t xml:space="preserve">the </w:t>
      </w:r>
      <w:r w:rsidR="00FB220E">
        <w:t xml:space="preserve">completion rates </w:t>
      </w:r>
      <w:r w:rsidR="00833871">
        <w:t>of</w:t>
      </w:r>
      <w:r w:rsidR="00FB220E">
        <w:t xml:space="preserve"> apprentices and trainees with disabilities. </w:t>
      </w:r>
    </w:p>
    <w:p w:rsidR="008B5E3F" w:rsidRDefault="005709FD" w:rsidP="00833871">
      <w:pPr>
        <w:pStyle w:val="Text"/>
      </w:pPr>
      <w:r>
        <w:t xml:space="preserve">This research report </w:t>
      </w:r>
      <w:r w:rsidR="00833871">
        <w:t>examined the</w:t>
      </w:r>
      <w:r>
        <w:t xml:space="preserve"> barriers and facilitators </w:t>
      </w:r>
      <w:r w:rsidR="00833871">
        <w:t>experienced</w:t>
      </w:r>
      <w:r>
        <w:t xml:space="preserve"> by a cohort of 404 apprenticeship and traineeship graduates with disabilities and drew comparisons with responses from a smaller group of 85 graduates without disabilit</w:t>
      </w:r>
      <w:r w:rsidR="00833871">
        <w:t>ies</w:t>
      </w:r>
      <w:r>
        <w:t xml:space="preserve">. </w:t>
      </w:r>
      <w:r w:rsidR="008B5E3F">
        <w:t>These findings may differ from the experiences of apprentices and trainees who do not complete their courses</w:t>
      </w:r>
      <w:r w:rsidR="00552394">
        <w:t xml:space="preserve">. </w:t>
      </w:r>
    </w:p>
    <w:p w:rsidR="0021005E" w:rsidRDefault="005709FD" w:rsidP="000549D4">
      <w:pPr>
        <w:pStyle w:val="Text"/>
      </w:pPr>
      <w:r>
        <w:t>There were</w:t>
      </w:r>
      <w:r w:rsidR="007A1FA5">
        <w:t xml:space="preserve"> many similarit</w:t>
      </w:r>
      <w:r w:rsidR="00EC28A6">
        <w:t>ies</w:t>
      </w:r>
      <w:r w:rsidR="007A1FA5">
        <w:t xml:space="preserve"> across the </w:t>
      </w:r>
      <w:r w:rsidR="008B5E3F">
        <w:t>disability and comparison</w:t>
      </w:r>
      <w:r w:rsidR="007A1FA5">
        <w:t xml:space="preserve"> groups</w:t>
      </w:r>
      <w:r w:rsidR="00833871">
        <w:t>,</w:t>
      </w:r>
      <w:r w:rsidR="00FF4757">
        <w:t xml:space="preserve"> although </w:t>
      </w:r>
      <w:r w:rsidR="000549D4">
        <w:t xml:space="preserve">the </w:t>
      </w:r>
      <w:r w:rsidR="00FF4757">
        <w:t>barrier</w:t>
      </w:r>
      <w:r w:rsidR="00833871">
        <w:t>s related to disability, health</w:t>
      </w:r>
      <w:r w:rsidR="00FF4757">
        <w:t xml:space="preserve"> and injury were specific to the disability group. </w:t>
      </w:r>
      <w:r w:rsidR="0021005E">
        <w:t xml:space="preserve">A large proportion of participants in both the disability and comparison group reported barriers </w:t>
      </w:r>
      <w:r w:rsidR="000549D4">
        <w:t>associated with</w:t>
      </w:r>
      <w:r w:rsidR="0021005E">
        <w:t xml:space="preserve"> </w:t>
      </w:r>
      <w:r w:rsidR="00833871">
        <w:t>a lack of resources, opportunity</w:t>
      </w:r>
      <w:r w:rsidR="0021005E">
        <w:t xml:space="preserve"> or flexibility. Howev</w:t>
      </w:r>
      <w:r w:rsidR="00833871">
        <w:t>er, graduates without disabilities</w:t>
      </w:r>
      <w:r w:rsidR="0021005E">
        <w:t xml:space="preserve"> reported barriers related to this theme more frequently. The impact of training wages is reflected in this theme and it is clear that this is a recurring challenge which contributes to the high attrition of apprentices and trainee</w:t>
      </w:r>
      <w:r w:rsidR="00833871">
        <w:t>s who do not graduate (Snell &amp; H</w:t>
      </w:r>
      <w:r w:rsidR="0021005E">
        <w:t>art 2</w:t>
      </w:r>
      <w:r w:rsidR="00833871">
        <w:t xml:space="preserve">008). Increasing </w:t>
      </w:r>
      <w:r w:rsidR="0021005E">
        <w:t>resources, opportunit</w:t>
      </w:r>
      <w:r w:rsidR="00833871">
        <w:t>ies</w:t>
      </w:r>
      <w:r w:rsidR="0021005E">
        <w:t xml:space="preserve"> and flexibility for apprentices and trainees is likely to enhance completion rates gener</w:t>
      </w:r>
      <w:r w:rsidR="00833871">
        <w:t>ally</w:t>
      </w:r>
      <w:r w:rsidR="0021005E">
        <w:t xml:space="preserve">. </w:t>
      </w:r>
      <w:r w:rsidR="000549D4">
        <w:t>At</w:t>
      </w:r>
      <w:r w:rsidR="0021005E">
        <w:t xml:space="preserve"> a </w:t>
      </w:r>
      <w:r w:rsidR="00833871">
        <w:t>time</w:t>
      </w:r>
      <w:r w:rsidR="0021005E">
        <w:t xml:space="preserve"> </w:t>
      </w:r>
      <w:r w:rsidR="000549D4">
        <w:t xml:space="preserve">when there are </w:t>
      </w:r>
      <w:r w:rsidR="0021005E">
        <w:t xml:space="preserve">skills shortages in selective industries (Oliver 2011), and uncertainty regarding future skills shortages, a review </w:t>
      </w:r>
      <w:r w:rsidR="00833871">
        <w:t>to examine the impact of increased remuneration on improving</w:t>
      </w:r>
      <w:r w:rsidR="0021005E">
        <w:t xml:space="preserve"> apprenticeship and traineeship completion rates </w:t>
      </w:r>
      <w:r w:rsidR="004477CA">
        <w:t>may be warranted,</w:t>
      </w:r>
      <w:r w:rsidR="0021005E">
        <w:t xml:space="preserve"> </w:t>
      </w:r>
      <w:r w:rsidR="004477CA">
        <w:t>although this</w:t>
      </w:r>
      <w:r w:rsidR="0021005E">
        <w:t xml:space="preserve"> strategy </w:t>
      </w:r>
      <w:r w:rsidR="004477CA">
        <w:t>is not the most appropriate for increasing</w:t>
      </w:r>
      <w:r w:rsidR="006F6AAF">
        <w:t xml:space="preserve"> the</w:t>
      </w:r>
      <w:r w:rsidR="0021005E">
        <w:t xml:space="preserve"> participation and completion rates for apprentices and train</w:t>
      </w:r>
      <w:r w:rsidR="004477CA">
        <w:t>ees with disabilities</w:t>
      </w:r>
      <w:r w:rsidR="0021005E">
        <w:t>.</w:t>
      </w:r>
    </w:p>
    <w:p w:rsidR="00DD6285" w:rsidRDefault="0021005E" w:rsidP="000549D4">
      <w:pPr>
        <w:pStyle w:val="Text"/>
        <w:rPr>
          <w:highlight w:val="yellow"/>
        </w:rPr>
      </w:pPr>
      <w:r>
        <w:t xml:space="preserve">A larger proportion of graduates with disabilities reported barriers related to employment factors than </w:t>
      </w:r>
      <w:r w:rsidR="004477CA">
        <w:t>those without disabilities</w:t>
      </w:r>
      <w:r>
        <w:t xml:space="preserve">. </w:t>
      </w:r>
      <w:r w:rsidR="00453EC3">
        <w:t xml:space="preserve">Participants in the disability group were also twice as likely to report </w:t>
      </w:r>
      <w:r w:rsidR="000549D4">
        <w:t>incidents</w:t>
      </w:r>
      <w:r w:rsidR="00453EC3">
        <w:t xml:space="preserve"> of harassment or bullying as participants in the comparison group. While research has found </w:t>
      </w:r>
      <w:r w:rsidR="006F6AAF">
        <w:t xml:space="preserve">the </w:t>
      </w:r>
      <w:r w:rsidR="00453EC3">
        <w:t xml:space="preserve">bullying of apprentices to be frequent and may include </w:t>
      </w:r>
      <w:r w:rsidR="004477CA">
        <w:t>elements of initiation</w:t>
      </w:r>
      <w:r w:rsidR="00453EC3">
        <w:t xml:space="preserve"> (du </w:t>
      </w:r>
      <w:proofErr w:type="spellStart"/>
      <w:r w:rsidR="00453EC3">
        <w:t>Plessis</w:t>
      </w:r>
      <w:proofErr w:type="spellEnd"/>
      <w:r w:rsidR="00453EC3">
        <w:t xml:space="preserve"> &amp; </w:t>
      </w:r>
      <w:proofErr w:type="spellStart"/>
      <w:r w:rsidR="00453EC3">
        <w:t>Corney</w:t>
      </w:r>
      <w:proofErr w:type="spellEnd"/>
      <w:r w:rsidR="00453EC3">
        <w:t xml:space="preserve"> 2011)</w:t>
      </w:r>
      <w:r w:rsidR="00DD6285">
        <w:t xml:space="preserve">, additional supports </w:t>
      </w:r>
      <w:r w:rsidR="00DD6285" w:rsidRPr="00DD6285">
        <w:t>for employers of apprenti</w:t>
      </w:r>
      <w:r w:rsidR="004477CA">
        <w:t>ces and trainees with disabilities</w:t>
      </w:r>
      <w:r w:rsidR="00DD6285" w:rsidRPr="00DD6285">
        <w:t xml:space="preserve"> may </w:t>
      </w:r>
      <w:r w:rsidR="004477CA">
        <w:t>improve</w:t>
      </w:r>
      <w:r w:rsidR="00DD6285" w:rsidRPr="00DD6285">
        <w:t xml:space="preserve"> post-training outcomes. This could include education and training </w:t>
      </w:r>
      <w:r w:rsidR="004477CA">
        <w:t>for</w:t>
      </w:r>
      <w:r w:rsidR="00DD6285" w:rsidRPr="00DD6285">
        <w:t xml:space="preserve"> managers and work colleagues, </w:t>
      </w:r>
      <w:r w:rsidR="004477CA">
        <w:t>meeting</w:t>
      </w:r>
      <w:r w:rsidR="00DD6285" w:rsidRPr="00DD6285">
        <w:t xml:space="preserve"> costs for reasonable workplace modifications, and providing individualised support for the apprentices and trainees with disabilit</w:t>
      </w:r>
      <w:r w:rsidR="004477CA">
        <w:t>ies</w:t>
      </w:r>
      <w:r w:rsidR="00DD6285" w:rsidRPr="00DD6285">
        <w:t>. While providing financial incentives for employers to hire apprentices and trainees with disabilit</w:t>
      </w:r>
      <w:r w:rsidR="004477CA">
        <w:t>ies</w:t>
      </w:r>
      <w:r w:rsidR="00DD6285" w:rsidRPr="00DD6285">
        <w:t xml:space="preserve"> may increase training opportunities, employers also require increased knowledge and skills to train and support apprentices and trainees with disabilit</w:t>
      </w:r>
      <w:r w:rsidR="008D5EDE">
        <w:t>ies</w:t>
      </w:r>
      <w:r w:rsidR="00DD6285" w:rsidRPr="00DD6285">
        <w:t>, particularly if the disability is complex</w:t>
      </w:r>
      <w:r w:rsidR="00397291">
        <w:t xml:space="preserve"> (or if they have multiple disabilities)</w:t>
      </w:r>
      <w:r w:rsidR="00DD6285" w:rsidRPr="00DD6285">
        <w:t xml:space="preserve">. </w:t>
      </w:r>
      <w:r w:rsidR="00791EA1">
        <w:t xml:space="preserve">Disability </w:t>
      </w:r>
      <w:r w:rsidR="00CA661F">
        <w:t>e</w:t>
      </w:r>
      <w:r w:rsidR="00791EA1">
        <w:t xml:space="preserve">mployment </w:t>
      </w:r>
      <w:r w:rsidR="00CA661F">
        <w:t>s</w:t>
      </w:r>
      <w:r w:rsidR="00791EA1">
        <w:t xml:space="preserve">ervices </w:t>
      </w:r>
      <w:r w:rsidR="00B84F46">
        <w:t xml:space="preserve">and </w:t>
      </w:r>
      <w:r w:rsidR="00F03E33">
        <w:t xml:space="preserve">group training organisations </w:t>
      </w:r>
      <w:r w:rsidR="00DD6285">
        <w:t xml:space="preserve">are important actors </w:t>
      </w:r>
      <w:r w:rsidR="004477CA">
        <w:t>in</w:t>
      </w:r>
      <w:r w:rsidR="00DD6285">
        <w:t xml:space="preserve"> support</w:t>
      </w:r>
      <w:r w:rsidR="004477CA">
        <w:t>ing</w:t>
      </w:r>
      <w:r w:rsidR="00DD6285">
        <w:t xml:space="preserve"> employers of people with </w:t>
      </w:r>
      <w:r w:rsidR="00DD6285">
        <w:lastRenderedPageBreak/>
        <w:t>disabilities</w:t>
      </w:r>
      <w:r w:rsidR="004477CA">
        <w:t>;</w:t>
      </w:r>
      <w:r w:rsidR="00DD6285">
        <w:t xml:space="preserve"> strengthening </w:t>
      </w:r>
      <w:r w:rsidR="004477CA">
        <w:t xml:space="preserve">the </w:t>
      </w:r>
      <w:r w:rsidR="00DD6285">
        <w:t xml:space="preserve">partnerships between organisations </w:t>
      </w:r>
      <w:r w:rsidR="004477CA">
        <w:t xml:space="preserve">such as </w:t>
      </w:r>
      <w:r w:rsidR="00F03E33">
        <w:t>those</w:t>
      </w:r>
      <w:r w:rsidR="004477CA">
        <w:t xml:space="preserve"> whose role is to </w:t>
      </w:r>
      <w:r w:rsidR="00DD6285">
        <w:t>support apprentices and trainees will further enhance outcomes.</w:t>
      </w:r>
    </w:p>
    <w:p w:rsidR="00DD6285" w:rsidRPr="00FB220E" w:rsidRDefault="00DD6285" w:rsidP="000549D4">
      <w:pPr>
        <w:pStyle w:val="Text"/>
      </w:pPr>
      <w:r w:rsidRPr="00FB220E">
        <w:t xml:space="preserve">Despite previous research having identified </w:t>
      </w:r>
      <w:r w:rsidR="004477CA">
        <w:t xml:space="preserve">the success of </w:t>
      </w:r>
      <w:r w:rsidRPr="00FB220E">
        <w:t xml:space="preserve">collaborative support between organisations with complementary expertise, </w:t>
      </w:r>
      <w:r w:rsidR="00342FC3">
        <w:t xml:space="preserve">only </w:t>
      </w:r>
      <w:r>
        <w:t xml:space="preserve">a very small proportion of participants reported being supported by both </w:t>
      </w:r>
      <w:r w:rsidR="00CA661F">
        <w:t>disability employment services</w:t>
      </w:r>
      <w:r w:rsidR="00791EA1">
        <w:t xml:space="preserve"> </w:t>
      </w:r>
      <w:r>
        <w:t xml:space="preserve">and a </w:t>
      </w:r>
      <w:r w:rsidR="00791EA1">
        <w:t>group training organisation</w:t>
      </w:r>
      <w:r>
        <w:t xml:space="preserve">. Additional facilitation to encourage organisations to support apprentices and trainees collaboratively may be warranted. This may include reviewing current funding and rating arrangements for </w:t>
      </w:r>
      <w:r w:rsidR="00CA661F">
        <w:t>disability employment services</w:t>
      </w:r>
      <w:r w:rsidR="00791EA1">
        <w:t xml:space="preserve"> </w:t>
      </w:r>
      <w:r w:rsidR="00F03E33">
        <w:t>that support</w:t>
      </w:r>
      <w:r>
        <w:t xml:space="preserve"> apprentices and trainees with disabilities. </w:t>
      </w:r>
      <w:r w:rsidR="00D5583B">
        <w:t xml:space="preserve">It may also be appropriate to </w:t>
      </w:r>
      <w:r w:rsidR="00342FC3">
        <w:t>arrange partnerships between</w:t>
      </w:r>
      <w:r w:rsidR="00D5583B">
        <w:t xml:space="preserve"> </w:t>
      </w:r>
      <w:r w:rsidR="00CA661F">
        <w:t>disability employment services</w:t>
      </w:r>
      <w:r w:rsidR="00791EA1">
        <w:t xml:space="preserve"> </w:t>
      </w:r>
      <w:r w:rsidR="00D5583B">
        <w:t xml:space="preserve">and </w:t>
      </w:r>
      <w:r w:rsidR="00791EA1">
        <w:t>group training organisation</w:t>
      </w:r>
      <w:r w:rsidR="00342FC3">
        <w:t>s</w:t>
      </w:r>
      <w:r w:rsidR="00D5583B">
        <w:t>.</w:t>
      </w:r>
    </w:p>
    <w:p w:rsidR="00A94E9E" w:rsidRDefault="00D5583B" w:rsidP="00342FC3">
      <w:pPr>
        <w:pStyle w:val="Text"/>
      </w:pPr>
      <w:r>
        <w:t>Similar proportions of apprentices and trainees in the disability and comparison groups reported barriers related t</w:t>
      </w:r>
      <w:r w:rsidR="00342FC3">
        <w:t>o training and education</w:t>
      </w:r>
      <w:r>
        <w:t xml:space="preserve">. However, more participants among the graduates with disabilities reported support from </w:t>
      </w:r>
      <w:r w:rsidR="00791EA1">
        <w:t>registered training organisation</w:t>
      </w:r>
      <w:r>
        <w:t xml:space="preserve">s, particularly </w:t>
      </w:r>
      <w:r w:rsidR="00F9293F">
        <w:t xml:space="preserve">from </w:t>
      </w:r>
      <w:r>
        <w:t xml:space="preserve">lecturers, tutors, disability liaison officers, and fellow students at TAFE as facilitating their course completions. </w:t>
      </w:r>
      <w:r w:rsidR="003F232C">
        <w:t xml:space="preserve">Although this study did not investigate the role of </w:t>
      </w:r>
      <w:r w:rsidR="00791EA1">
        <w:t>registered training organisation</w:t>
      </w:r>
      <w:r w:rsidR="003F232C">
        <w:t>s and TAFE</w:t>
      </w:r>
      <w:r w:rsidR="00342FC3">
        <w:t xml:space="preserve"> institute</w:t>
      </w:r>
      <w:r w:rsidR="003F232C">
        <w:t xml:space="preserve">s specifically, partnerships between </w:t>
      </w:r>
      <w:r w:rsidR="00CA661F">
        <w:t>disability employment services</w:t>
      </w:r>
      <w:r w:rsidR="00791EA1">
        <w:t xml:space="preserve"> </w:t>
      </w:r>
      <w:r w:rsidR="003F232C">
        <w:t xml:space="preserve">and </w:t>
      </w:r>
      <w:r w:rsidR="00791EA1">
        <w:t>registered training organisation</w:t>
      </w:r>
      <w:r w:rsidR="003F232C">
        <w:t>s or TAFE</w:t>
      </w:r>
      <w:r w:rsidR="00342FC3">
        <w:t xml:space="preserve"> institutes</w:t>
      </w:r>
      <w:r w:rsidR="003F232C">
        <w:t xml:space="preserve"> will also benefit apprentices and trainees with disabilities (Lewis, </w:t>
      </w:r>
      <w:proofErr w:type="spellStart"/>
      <w:r w:rsidR="003F232C">
        <w:t>Thoresen</w:t>
      </w:r>
      <w:proofErr w:type="spellEnd"/>
      <w:r w:rsidR="003F232C">
        <w:t xml:space="preserve"> &amp; Cocks 2011a). </w:t>
      </w:r>
      <w:r w:rsidR="00791EA1">
        <w:t xml:space="preserve">Disability </w:t>
      </w:r>
      <w:r w:rsidR="00CA661F">
        <w:t>e</w:t>
      </w:r>
      <w:r w:rsidR="00791EA1">
        <w:t xml:space="preserve">mployment </w:t>
      </w:r>
      <w:r w:rsidR="00CA661F">
        <w:t>s</w:t>
      </w:r>
      <w:r w:rsidR="00791EA1">
        <w:t xml:space="preserve">ervices </w:t>
      </w:r>
      <w:r w:rsidR="00B26336">
        <w:t>can offer valuable insight into adaptive technology and other strategies</w:t>
      </w:r>
      <w:r w:rsidR="00342FC3">
        <w:t xml:space="preserve"> to</w:t>
      </w:r>
      <w:r w:rsidR="00B26336">
        <w:t xml:space="preserve"> support apprentices and trainees with disabilities in the training and educational environment as well as </w:t>
      </w:r>
      <w:r w:rsidR="00342FC3">
        <w:t xml:space="preserve">in </w:t>
      </w:r>
      <w:r w:rsidR="00B26336">
        <w:t xml:space="preserve">the employment environment. </w:t>
      </w:r>
      <w:r w:rsidR="00906173">
        <w:t>Further investigation into this may be warranted.</w:t>
      </w:r>
    </w:p>
    <w:p w:rsidR="00364A60" w:rsidRDefault="009C6A72" w:rsidP="00342FC3">
      <w:pPr>
        <w:pStyle w:val="Text"/>
        <w:rPr>
          <w:highlight w:val="yellow"/>
        </w:rPr>
      </w:pPr>
      <w:r w:rsidRPr="009C6A72">
        <w:t xml:space="preserve">The most significant facilitating factor for completion reported among apprentices and trainees with </w:t>
      </w:r>
      <w:r w:rsidRPr="00364A60">
        <w:t xml:space="preserve">disabilities was </w:t>
      </w:r>
      <w:r w:rsidR="00342FC3">
        <w:t xml:space="preserve">the </w:t>
      </w:r>
      <w:r w:rsidRPr="00364A60">
        <w:t xml:space="preserve">support provided by </w:t>
      </w:r>
      <w:r w:rsidR="009C07E7" w:rsidRPr="00364A60">
        <w:t xml:space="preserve">individuals, including </w:t>
      </w:r>
      <w:r w:rsidR="00342FC3">
        <w:t>family, friends</w:t>
      </w:r>
      <w:r w:rsidR="00CA584D">
        <w:t xml:space="preserve"> and colleagues</w:t>
      </w:r>
      <w:r w:rsidRPr="00364A60">
        <w:t>.</w:t>
      </w:r>
      <w:r w:rsidR="00DB28F1" w:rsidRPr="00364A60">
        <w:t xml:space="preserve"> </w:t>
      </w:r>
      <w:r w:rsidR="00364A60" w:rsidRPr="00364A60">
        <w:t xml:space="preserve">This included </w:t>
      </w:r>
      <w:r w:rsidR="00342FC3">
        <w:t>extensive emotional, practical</w:t>
      </w:r>
      <w:r w:rsidR="00DB28F1" w:rsidRPr="00364A60">
        <w:t xml:space="preserve"> and material support</w:t>
      </w:r>
      <w:r w:rsidR="00364A60" w:rsidRPr="00364A60">
        <w:t xml:space="preserve">. </w:t>
      </w:r>
      <w:r w:rsidR="00CA584D">
        <w:t>People in formal rol</w:t>
      </w:r>
      <w:r w:rsidR="00342FC3">
        <w:t>es, such as employers, trainers</w:t>
      </w:r>
      <w:r w:rsidR="00CA584D">
        <w:t xml:space="preserve"> and support workers from </w:t>
      </w:r>
      <w:r w:rsidR="00CA661F">
        <w:t>disability employment services</w:t>
      </w:r>
      <w:r w:rsidR="00CA584D">
        <w:t xml:space="preserve">, </w:t>
      </w:r>
      <w:r w:rsidR="00791EA1">
        <w:t>group training organisation</w:t>
      </w:r>
      <w:r w:rsidR="00342FC3">
        <w:t>s</w:t>
      </w:r>
      <w:r w:rsidR="00CA584D">
        <w:t xml:space="preserve"> and </w:t>
      </w:r>
      <w:r w:rsidR="00791EA1">
        <w:t>registered training organisation</w:t>
      </w:r>
      <w:r w:rsidR="00CA584D">
        <w:t>s or TAFE</w:t>
      </w:r>
      <w:r w:rsidR="00342FC3">
        <w:t xml:space="preserve"> institute</w:t>
      </w:r>
      <w:r w:rsidR="00CA584D">
        <w:t>s also provided extensive support.</w:t>
      </w:r>
      <w:r w:rsidR="0053342C">
        <w:t xml:space="preserve"> It is </w:t>
      </w:r>
      <w:r w:rsidR="00342FC3">
        <w:t>generally assumed</w:t>
      </w:r>
      <w:r w:rsidR="0053342C">
        <w:t xml:space="preserve"> that economic outcomes </w:t>
      </w:r>
      <w:r w:rsidR="00342FC3">
        <w:t xml:space="preserve">for people with disabilities </w:t>
      </w:r>
      <w:r w:rsidR="0053342C">
        <w:t>such as employment facilitate social outcomes</w:t>
      </w:r>
      <w:r w:rsidR="00342FC3">
        <w:t>,</w:t>
      </w:r>
      <w:r w:rsidR="0053342C">
        <w:t xml:space="preserve"> such as increased social inclusion. However, the facilitating role </w:t>
      </w:r>
      <w:r w:rsidR="00342FC3">
        <w:t xml:space="preserve">played by </w:t>
      </w:r>
      <w:r w:rsidR="0053342C">
        <w:t xml:space="preserve">participants’ personal networks </w:t>
      </w:r>
      <w:r w:rsidR="00342FC3">
        <w:t>in</w:t>
      </w:r>
      <w:r w:rsidR="0053342C">
        <w:t xml:space="preserve"> course completion also suggests that social networks and personal relationships are important for employment outcomes such as apprenticeship and traineeship completions. Further investigation into social and economic outcomes as well as the interrelationship between these will take place in the subsequent waves of this research project.</w:t>
      </w:r>
    </w:p>
    <w:p w:rsidR="006205F8" w:rsidRPr="00364A60" w:rsidRDefault="006205F8" w:rsidP="00364A60">
      <w:pPr>
        <w:pStyle w:val="Text"/>
      </w:pPr>
      <w:r>
        <w:br w:type="page"/>
      </w:r>
    </w:p>
    <w:p w:rsidR="00A50895" w:rsidRDefault="00A50895" w:rsidP="00A50895">
      <w:pPr>
        <w:pStyle w:val="Heading1"/>
      </w:pPr>
      <w:bookmarkStart w:id="67" w:name="_Toc456000800"/>
      <w:bookmarkStart w:id="68" w:name="_Toc457122465"/>
      <w:bookmarkStart w:id="69" w:name="_Toc188077643"/>
      <w:bookmarkStart w:id="70" w:name="_Toc350259318"/>
      <w:r>
        <w:lastRenderedPageBreak/>
        <w:t>References</w:t>
      </w:r>
      <w:bookmarkEnd w:id="67"/>
      <w:bookmarkEnd w:id="68"/>
      <w:bookmarkEnd w:id="69"/>
      <w:bookmarkEnd w:id="70"/>
    </w:p>
    <w:p w:rsidR="00501099" w:rsidRPr="00501099" w:rsidRDefault="00AA4B54" w:rsidP="00AA4B54">
      <w:pPr>
        <w:pStyle w:val="References"/>
      </w:pPr>
      <w:r>
        <w:t>ABS (Australian Bureau of Statistics)</w:t>
      </w:r>
      <w:r w:rsidR="00501099">
        <w:t xml:space="preserve"> 2009, </w:t>
      </w:r>
      <w:r w:rsidR="00501099">
        <w:rPr>
          <w:i/>
        </w:rPr>
        <w:t xml:space="preserve">Labour force survey standard products and data item guide, </w:t>
      </w:r>
      <w:r>
        <w:rPr>
          <w:iCs/>
        </w:rPr>
        <w:t>cat.no.</w:t>
      </w:r>
      <w:r w:rsidRPr="00AA4B54">
        <w:rPr>
          <w:iCs/>
        </w:rPr>
        <w:t>6103.0</w:t>
      </w:r>
      <w:r>
        <w:rPr>
          <w:iCs/>
        </w:rPr>
        <w:t>,</w:t>
      </w:r>
      <w:r>
        <w:rPr>
          <w:i/>
        </w:rPr>
        <w:t xml:space="preserve"> </w:t>
      </w:r>
      <w:r w:rsidR="00501099">
        <w:t>ABS, Canberra</w:t>
      </w:r>
      <w:r w:rsidR="00325D86">
        <w:t>,</w:t>
      </w:r>
      <w:r w:rsidR="00325D86" w:rsidRPr="00325D86">
        <w:t xml:space="preserve"> </w:t>
      </w:r>
      <w:r w:rsidR="00325D86">
        <w:t>viewed 19 March 2012, &lt;</w:t>
      </w:r>
      <w:r w:rsidR="00325D86" w:rsidRPr="00325D86">
        <w:t>www.abs.gov.au/ausstats/abs@.nsf/mf/6103.0</w:t>
      </w:r>
      <w:r w:rsidR="00325D86">
        <w:t>&gt;.</w:t>
      </w:r>
    </w:p>
    <w:p w:rsidR="00726D65" w:rsidRPr="00BC3937" w:rsidRDefault="00F45FD1" w:rsidP="00F45FD1">
      <w:pPr>
        <w:pStyle w:val="References"/>
      </w:pPr>
      <w:r>
        <w:t>——</w:t>
      </w:r>
      <w:r w:rsidR="00726D65">
        <w:t>2010a,</w:t>
      </w:r>
      <w:r>
        <w:rPr>
          <w:i/>
        </w:rPr>
        <w:t xml:space="preserve"> </w:t>
      </w:r>
      <w:r w:rsidR="00726D65">
        <w:rPr>
          <w:i/>
        </w:rPr>
        <w:t>Australian social trends December 2010, moving house</w:t>
      </w:r>
      <w:r w:rsidR="00726D65">
        <w:t xml:space="preserve">, </w:t>
      </w:r>
      <w:r>
        <w:t>cat.no.</w:t>
      </w:r>
      <w:r w:rsidRPr="00F45FD1">
        <w:rPr>
          <w:iCs/>
        </w:rPr>
        <w:t>4102.0</w:t>
      </w:r>
      <w:r>
        <w:rPr>
          <w:iCs/>
        </w:rPr>
        <w:t>,</w:t>
      </w:r>
      <w:r>
        <w:rPr>
          <w:i/>
        </w:rPr>
        <w:t xml:space="preserve"> </w:t>
      </w:r>
      <w:r w:rsidR="00726D65">
        <w:t>ABS, Canberra,</w:t>
      </w:r>
      <w:r w:rsidR="00726D65" w:rsidRPr="00325D86">
        <w:t xml:space="preserve"> </w:t>
      </w:r>
      <w:r w:rsidR="00726D65">
        <w:t>viewed 7 August 2012, &lt;</w:t>
      </w:r>
      <w:r w:rsidR="00726D65" w:rsidRPr="00726D65">
        <w:t>www.ausstats.abs.gov.au/ausstats/subscriber.nsf/0/1EC236296D59BBAACA2577F80010E159/$File/41020_housingmobility2010.pdf</w:t>
      </w:r>
      <w:r w:rsidR="00726D65">
        <w:t>&gt;.</w:t>
      </w:r>
    </w:p>
    <w:p w:rsidR="00BC3937" w:rsidRPr="00BC3937" w:rsidRDefault="00501099" w:rsidP="00F45FD1">
      <w:pPr>
        <w:pStyle w:val="References"/>
      </w:pPr>
      <w:r>
        <w:t>——</w:t>
      </w:r>
      <w:r w:rsidR="00BC3937">
        <w:t>2010</w:t>
      </w:r>
      <w:r w:rsidR="00726D65">
        <w:t>b</w:t>
      </w:r>
      <w:r w:rsidR="00BC3937">
        <w:t>,</w:t>
      </w:r>
      <w:r w:rsidR="00BC3937">
        <w:rPr>
          <w:i/>
        </w:rPr>
        <w:t xml:space="preserve"> Disability, ageing, and carers, Australia, summary of findings</w:t>
      </w:r>
      <w:r w:rsidR="00BC3937">
        <w:t xml:space="preserve">, </w:t>
      </w:r>
      <w:r w:rsidR="00F45FD1">
        <w:t>cat.no.</w:t>
      </w:r>
      <w:r w:rsidR="00F45FD1" w:rsidRPr="00F45FD1">
        <w:rPr>
          <w:iCs/>
        </w:rPr>
        <w:t>4430.0</w:t>
      </w:r>
      <w:r w:rsidR="00F45FD1">
        <w:rPr>
          <w:iCs/>
        </w:rPr>
        <w:t>,</w:t>
      </w:r>
      <w:r w:rsidR="00F45FD1">
        <w:rPr>
          <w:i/>
        </w:rPr>
        <w:t xml:space="preserve"> </w:t>
      </w:r>
      <w:r w:rsidR="00BC3937">
        <w:t>ABS, Canberra</w:t>
      </w:r>
      <w:r w:rsidR="00325D86">
        <w:t>,</w:t>
      </w:r>
      <w:r w:rsidR="00325D86" w:rsidRPr="00325D86">
        <w:t xml:space="preserve"> </w:t>
      </w:r>
      <w:r w:rsidR="00325D86">
        <w:t>viewed 19 March 2012, &lt;</w:t>
      </w:r>
      <w:r w:rsidR="00EF18E6" w:rsidRPr="00EF18E6">
        <w:t>www.ausstats.abs.gov.au/ausstats/subscriber.nsf/0/9C2B94626F0FAC62CA2577FA0011C431/$File/44300_2009.pdf</w:t>
      </w:r>
      <w:r w:rsidR="00325D86">
        <w:t>&gt;.</w:t>
      </w:r>
    </w:p>
    <w:p w:rsidR="005674C6" w:rsidRDefault="00F45FD1" w:rsidP="00F45FD1">
      <w:pPr>
        <w:pStyle w:val="References"/>
      </w:pPr>
      <w:proofErr w:type="gramStart"/>
      <w:r>
        <w:t>——</w:t>
      </w:r>
      <w:r w:rsidR="00BC3937">
        <w:t>2011,</w:t>
      </w:r>
      <w:r>
        <w:rPr>
          <w:i/>
        </w:rPr>
        <w:t xml:space="preserve"> </w:t>
      </w:r>
      <w:r w:rsidR="005674C6">
        <w:rPr>
          <w:i/>
        </w:rPr>
        <w:t>Disability, Australia, 2009,</w:t>
      </w:r>
      <w:r w:rsidR="005674C6">
        <w:t xml:space="preserve"> </w:t>
      </w:r>
      <w:r>
        <w:t>cat.no.</w:t>
      </w:r>
      <w:r w:rsidRPr="00F45FD1">
        <w:rPr>
          <w:iCs/>
        </w:rPr>
        <w:t>4446.0</w:t>
      </w:r>
      <w:r>
        <w:rPr>
          <w:iCs/>
        </w:rPr>
        <w:t>,</w:t>
      </w:r>
      <w:r>
        <w:rPr>
          <w:i/>
        </w:rPr>
        <w:t xml:space="preserve"> </w:t>
      </w:r>
      <w:r w:rsidR="005674C6">
        <w:t>ABS, Canberra</w:t>
      </w:r>
      <w:r w:rsidR="00EF18E6">
        <w:t>, viewed 19 March 2012, &lt;</w:t>
      </w:r>
      <w:r w:rsidR="00EF18E6" w:rsidRPr="00EF18E6">
        <w:t>www.abs.gov.au/AUSSTATS/abs@.nsf/DetailsPage/4446.02009?OpenDocument</w:t>
      </w:r>
      <w:r w:rsidR="00EF18E6">
        <w:t>&gt;.</w:t>
      </w:r>
      <w:proofErr w:type="gramEnd"/>
    </w:p>
    <w:p w:rsidR="00F45FD1" w:rsidRPr="00E30388" w:rsidRDefault="00F45FD1" w:rsidP="00F45FD1">
      <w:pPr>
        <w:pStyle w:val="References"/>
      </w:pPr>
      <w:r>
        <w:t xml:space="preserve">ANTA (Australian National Training Authority) 2000, </w:t>
      </w:r>
      <w:r>
        <w:rPr>
          <w:i/>
        </w:rPr>
        <w:t>Bridging pathways: national strategy from 2000 until 2005: the national strategy for increasing opportunities for people with a disability in vocational education and training</w:t>
      </w:r>
      <w:r>
        <w:t>, ANTA, Brisbane,</w:t>
      </w:r>
      <w:r w:rsidRPr="00040B53">
        <w:t xml:space="preserve"> </w:t>
      </w:r>
      <w:r>
        <w:t>viewed 4 April 2012, &lt;</w:t>
      </w:r>
      <w:r w:rsidRPr="00851D79">
        <w:t>www.dest.gov.au/NR/rdonlyres/3C0412FD-6898-46B5-B333-E19359C1D10F/11001/bridgingPathwaysNationalStrategy.pdf</w:t>
      </w:r>
      <w:r>
        <w:t>&gt;.</w:t>
      </w:r>
    </w:p>
    <w:p w:rsidR="00040B53" w:rsidRPr="00E30388" w:rsidRDefault="00E3741E" w:rsidP="00040B53">
      <w:pPr>
        <w:pStyle w:val="References"/>
      </w:pPr>
      <w:proofErr w:type="gramStart"/>
      <w:r>
        <w:t>Australian Institute of Health and Welfare</w:t>
      </w:r>
      <w:r w:rsidR="00CA7736">
        <w:t xml:space="preserve"> 2009, </w:t>
      </w:r>
      <w:r w:rsidR="00CA7736">
        <w:rPr>
          <w:i/>
        </w:rPr>
        <w:t>Australia’s welfare,</w:t>
      </w:r>
      <w:r w:rsidR="00CA7736">
        <w:t xml:space="preserve"> AIHW, Canberra</w:t>
      </w:r>
      <w:r w:rsidR="00040B53">
        <w:t>.</w:t>
      </w:r>
      <w:proofErr w:type="gramEnd"/>
    </w:p>
    <w:p w:rsidR="00040B53" w:rsidRPr="00E30388" w:rsidRDefault="00F45FD1" w:rsidP="00040B53">
      <w:pPr>
        <w:pStyle w:val="References"/>
      </w:pPr>
      <w:r>
        <w:t>Australian Government</w:t>
      </w:r>
      <w:r w:rsidR="001A66D5">
        <w:t xml:space="preserve"> 2009, </w:t>
      </w:r>
      <w:r w:rsidR="001A66D5">
        <w:rPr>
          <w:i/>
        </w:rPr>
        <w:t>A stronger, fairer Australia, national statement on social inclusion,</w:t>
      </w:r>
      <w:r w:rsidR="001A66D5">
        <w:t xml:space="preserve"> Commonwealth of Australia, Canberra</w:t>
      </w:r>
      <w:r w:rsidR="00040B53">
        <w:t>, viewed 4 April 2012, &lt;</w:t>
      </w:r>
      <w:r w:rsidR="00851D79" w:rsidRPr="00851D79">
        <w:t>www.socialinclusion.gov.au/sites/www.socialinclusion.gov.au/files/publications/pdf/report_stronger_fairer_australia.pdf</w:t>
      </w:r>
      <w:r w:rsidR="00040B53">
        <w:t>&gt;.</w:t>
      </w:r>
    </w:p>
    <w:p w:rsidR="009F698A" w:rsidRPr="009F698A" w:rsidRDefault="009F698A" w:rsidP="004E6F27">
      <w:pPr>
        <w:pStyle w:val="References"/>
      </w:pPr>
      <w:r>
        <w:t xml:space="preserve">Ball, K 2004, </w:t>
      </w:r>
      <w:r w:rsidR="00F45FD1">
        <w:t>‘</w:t>
      </w:r>
      <w:r w:rsidRPr="009F698A">
        <w:t>Factors influencing completion of apprenticeships and traineeships</w:t>
      </w:r>
      <w:r w:rsidR="00F45FD1">
        <w:t>’</w:t>
      </w:r>
      <w:r w:rsidRPr="009F698A">
        <w:t xml:space="preserve">, </w:t>
      </w:r>
      <w:r w:rsidRPr="00F9293F">
        <w:rPr>
          <w:iCs/>
        </w:rPr>
        <w:t>Australian Labour Market Research Workshop,</w:t>
      </w:r>
      <w:r>
        <w:t xml:space="preserve"> Perth</w:t>
      </w:r>
      <w:r w:rsidR="00F45FD1">
        <w:t>, 6−</w:t>
      </w:r>
      <w:r>
        <w:t>7 December 2004, viewed 7 August 2012, &lt;</w:t>
      </w:r>
      <w:r w:rsidRPr="009F698A">
        <w:t>www.voced.edu.au/content/ngv25148</w:t>
      </w:r>
      <w:r>
        <w:t>&gt;</w:t>
      </w:r>
      <w:r w:rsidR="00F45FD1">
        <w:t>.</w:t>
      </w:r>
    </w:p>
    <w:p w:rsidR="00991A89" w:rsidRPr="00E30388" w:rsidRDefault="00E30388" w:rsidP="004E6F27">
      <w:pPr>
        <w:pStyle w:val="References"/>
      </w:pPr>
      <w:r>
        <w:t xml:space="preserve">Ball, K &amp; </w:t>
      </w:r>
      <w:r w:rsidR="00C12104">
        <w:t>John</w:t>
      </w:r>
      <w:r>
        <w:t xml:space="preserve">, </w:t>
      </w:r>
      <w:r w:rsidR="00C12104">
        <w:t>D</w:t>
      </w:r>
      <w:r>
        <w:t xml:space="preserve"> 2005, </w:t>
      </w:r>
      <w:r>
        <w:rPr>
          <w:i/>
        </w:rPr>
        <w:t>Apprenticeship and traineeship completion rates,</w:t>
      </w:r>
      <w:r w:rsidR="00991A89">
        <w:t xml:space="preserve"> NCVER, Adelaide, viewed 4 April 2012, &lt;</w:t>
      </w:r>
      <w:r w:rsidR="00991A89" w:rsidRPr="00991A89">
        <w:t>www.ncver.edu.au/publications/1582.html</w:t>
      </w:r>
      <w:r w:rsidR="00991A89">
        <w:t>&gt;.</w:t>
      </w:r>
    </w:p>
    <w:p w:rsidR="00D4063E" w:rsidRPr="00D4063E" w:rsidRDefault="0086322C" w:rsidP="00D4063E">
      <w:pPr>
        <w:pStyle w:val="References"/>
      </w:pPr>
      <w:proofErr w:type="spellStart"/>
      <w:proofErr w:type="gramStart"/>
      <w:r>
        <w:t>Bagshaw</w:t>
      </w:r>
      <w:proofErr w:type="spellEnd"/>
      <w:r>
        <w:t>, M &amp;</w:t>
      </w:r>
      <w:r w:rsidR="00D4063E">
        <w:t xml:space="preserve"> Fowler, C </w:t>
      </w:r>
      <w:r>
        <w:t xml:space="preserve">2008, </w:t>
      </w:r>
      <w:r w:rsidR="00D4063E" w:rsidRPr="0086322C">
        <w:rPr>
          <w:i/>
        </w:rPr>
        <w:t>National VET Disability Advisory Taskfo</w:t>
      </w:r>
      <w:r w:rsidR="00D4063E" w:rsidRPr="00F03E33">
        <w:rPr>
          <w:i/>
          <w:iCs/>
        </w:rPr>
        <w:t xml:space="preserve">rce </w:t>
      </w:r>
      <w:r w:rsidRPr="00F03E33">
        <w:rPr>
          <w:i/>
          <w:iCs/>
        </w:rPr>
        <w:t>f</w:t>
      </w:r>
      <w:r w:rsidR="00D4063E" w:rsidRPr="00F03E33">
        <w:rPr>
          <w:i/>
          <w:iCs/>
        </w:rPr>
        <w:t>ina</w:t>
      </w:r>
      <w:r w:rsidR="00D4063E">
        <w:rPr>
          <w:i/>
        </w:rPr>
        <w:t>l report and recommendations</w:t>
      </w:r>
      <w:r w:rsidR="00D4063E">
        <w:t>, viewed March 2012, &lt;</w:t>
      </w:r>
      <w:r w:rsidR="00D4063E" w:rsidRPr="00D4063E">
        <w:t>www.dest.gov.au/NR/rdonlyres/9BF34871-8282-4CDA-9931-F133777E9016/25870/NVDAT_Final_report_2008.pdf</w:t>
      </w:r>
      <w:r w:rsidR="00D4063E">
        <w:t>&gt;.</w:t>
      </w:r>
      <w:proofErr w:type="gramEnd"/>
    </w:p>
    <w:p w:rsidR="00795EC5" w:rsidRPr="00795EC5" w:rsidRDefault="00795EC5" w:rsidP="004E6F27">
      <w:pPr>
        <w:pStyle w:val="References"/>
      </w:pPr>
      <w:r>
        <w:t xml:space="preserve">Bednarz, A 2012, </w:t>
      </w:r>
      <w:proofErr w:type="gramStart"/>
      <w:r>
        <w:rPr>
          <w:i/>
        </w:rPr>
        <w:t>Lifting</w:t>
      </w:r>
      <w:proofErr w:type="gramEnd"/>
      <w:r>
        <w:rPr>
          <w:i/>
        </w:rPr>
        <w:t xml:space="preserve"> the lid on completion rates in the VET sector: how they are defined and derived</w:t>
      </w:r>
      <w:r>
        <w:t>, NCVER, Adelaide</w:t>
      </w:r>
      <w:r w:rsidR="00991A89">
        <w:t>,</w:t>
      </w:r>
      <w:r w:rsidR="00991A89" w:rsidRPr="00991A89">
        <w:t xml:space="preserve"> </w:t>
      </w:r>
      <w:r w:rsidR="00991A89">
        <w:t>viewed 4 April 2012, &lt;</w:t>
      </w:r>
      <w:r w:rsidR="00991A89" w:rsidRPr="00991A89">
        <w:t>www.ncver.edu.au/publications/2467.html</w:t>
      </w:r>
      <w:r w:rsidR="00991A89">
        <w:t>&gt;.</w:t>
      </w:r>
    </w:p>
    <w:p w:rsidR="00A13CB4" w:rsidRPr="00504DEF" w:rsidRDefault="00A13CB4" w:rsidP="004E6F27">
      <w:pPr>
        <w:pStyle w:val="References"/>
      </w:pPr>
      <w:r>
        <w:t>Cavallaro, T</w:t>
      </w:r>
      <w:r w:rsidR="00504DEF">
        <w:t xml:space="preserve">, Foley, P, Saunders, J &amp; </w:t>
      </w:r>
      <w:proofErr w:type="spellStart"/>
      <w:r w:rsidR="00504DEF">
        <w:t>Bowma</w:t>
      </w:r>
      <w:proofErr w:type="spellEnd"/>
      <w:r w:rsidR="00504DEF">
        <w:t xml:space="preserve">, K 2005, </w:t>
      </w:r>
      <w:r w:rsidR="00504DEF">
        <w:rPr>
          <w:i/>
        </w:rPr>
        <w:t>People with a disability in vocational education and training: a statistical compendium</w:t>
      </w:r>
      <w:r w:rsidR="00504DEF">
        <w:t xml:space="preserve">, NCVER, Adelaide. </w:t>
      </w:r>
    </w:p>
    <w:p w:rsidR="00D94238" w:rsidRPr="00D94238" w:rsidRDefault="005C3D99" w:rsidP="004E6F27">
      <w:pPr>
        <w:pStyle w:val="References"/>
      </w:pPr>
      <w:r>
        <w:t>Cocks, E &amp; Harvey, T</w:t>
      </w:r>
      <w:r w:rsidR="00D94238">
        <w:t xml:space="preserve"> 2008, </w:t>
      </w:r>
      <w:r w:rsidR="00D94238">
        <w:rPr>
          <w:i/>
        </w:rPr>
        <w:t>Employment/day options interface research project: final report,</w:t>
      </w:r>
      <w:r w:rsidR="00D94238">
        <w:t xml:space="preserve"> School of Occupational Therapy and Social Work, Centre for Research into Disability and Society, Curtin University of Technology</w:t>
      </w:r>
      <w:r w:rsidR="00F45FD1">
        <w:t>, Perth</w:t>
      </w:r>
      <w:r w:rsidR="00D94238">
        <w:t>.</w:t>
      </w:r>
    </w:p>
    <w:p w:rsidR="003D06F8" w:rsidRPr="003D06F8" w:rsidRDefault="003D06F8" w:rsidP="004E6F27">
      <w:pPr>
        <w:pStyle w:val="References"/>
      </w:pPr>
      <w:proofErr w:type="spellStart"/>
      <w:r>
        <w:t>Corbiere</w:t>
      </w:r>
      <w:proofErr w:type="spellEnd"/>
      <w:r>
        <w:t xml:space="preserve">, M &amp; </w:t>
      </w:r>
      <w:proofErr w:type="spellStart"/>
      <w:r>
        <w:t>Lecomte</w:t>
      </w:r>
      <w:proofErr w:type="spellEnd"/>
      <w:r>
        <w:t xml:space="preserve">, T 2009, ‘Vocational service offered to people with severe mental illness’, </w:t>
      </w:r>
      <w:r>
        <w:rPr>
          <w:i/>
        </w:rPr>
        <w:t>Journal of Mental Health</w:t>
      </w:r>
      <w:r w:rsidR="00F45FD1">
        <w:t>, vol.18, no.1, pp.38—</w:t>
      </w:r>
      <w:r>
        <w:t>50.</w:t>
      </w:r>
    </w:p>
    <w:p w:rsidR="00E6709F" w:rsidRPr="00CA38DD" w:rsidRDefault="00E6709F" w:rsidP="004E6F27">
      <w:pPr>
        <w:pStyle w:val="References"/>
      </w:pPr>
      <w:r w:rsidRPr="00CA38DD">
        <w:t xml:space="preserve">du </w:t>
      </w:r>
      <w:proofErr w:type="spellStart"/>
      <w:r w:rsidRPr="00CA38DD">
        <w:t>Plessis</w:t>
      </w:r>
      <w:proofErr w:type="spellEnd"/>
      <w:r w:rsidR="00CA38DD" w:rsidRPr="00CA38DD">
        <w:t xml:space="preserve">, K &amp; </w:t>
      </w:r>
      <w:proofErr w:type="spellStart"/>
      <w:r w:rsidR="00CA38DD" w:rsidRPr="00CA38DD">
        <w:t>Corney</w:t>
      </w:r>
      <w:proofErr w:type="spellEnd"/>
      <w:r w:rsidR="00CA38DD" w:rsidRPr="00CA38DD">
        <w:t>, T 2011, ‘Blue-</w:t>
      </w:r>
      <w:r w:rsidR="00F45FD1">
        <w:t>collar apprentices and bullying: e</w:t>
      </w:r>
      <w:r w:rsidR="00CA38DD" w:rsidRPr="00CA38DD">
        <w:t>xperiences of bullying and its relation to</w:t>
      </w:r>
      <w:r w:rsidR="00CA38DD">
        <w:t xml:space="preserve"> resilience, satisfaction and self-rated health’, in </w:t>
      </w:r>
      <w:r w:rsidR="00F45FD1">
        <w:t xml:space="preserve">T </w:t>
      </w:r>
      <w:proofErr w:type="spellStart"/>
      <w:r w:rsidR="00F45FD1">
        <w:t>Corney</w:t>
      </w:r>
      <w:proofErr w:type="spellEnd"/>
      <w:r w:rsidR="00CA38DD">
        <w:t xml:space="preserve"> &amp; </w:t>
      </w:r>
      <w:r w:rsidR="00F45FD1">
        <w:t xml:space="preserve">K du </w:t>
      </w:r>
      <w:proofErr w:type="spellStart"/>
      <w:r w:rsidR="00F45FD1">
        <w:t>Plessis</w:t>
      </w:r>
      <w:proofErr w:type="spellEnd"/>
      <w:r w:rsidR="00CA38DD">
        <w:t xml:space="preserve"> (eds), </w:t>
      </w:r>
      <w:r w:rsidR="00F45FD1">
        <w:rPr>
          <w:i/>
        </w:rPr>
        <w:t>Apprentices —</w:t>
      </w:r>
      <w:r w:rsidR="00CA38DD">
        <w:rPr>
          <w:i/>
        </w:rPr>
        <w:t xml:space="preserve"> young people in transition</w:t>
      </w:r>
      <w:r w:rsidR="00CA38DD">
        <w:t xml:space="preserve">, </w:t>
      </w:r>
      <w:proofErr w:type="spellStart"/>
      <w:r w:rsidR="00CA38DD">
        <w:t>Incolink</w:t>
      </w:r>
      <w:proofErr w:type="spellEnd"/>
      <w:r w:rsidR="00CA38DD">
        <w:t xml:space="preserve"> &amp; Australian Clearinghouse for Youth Studies, Carlton and Hobart.</w:t>
      </w:r>
    </w:p>
    <w:p w:rsidR="00860D31" w:rsidRDefault="00860D31" w:rsidP="004E6F27">
      <w:pPr>
        <w:pStyle w:val="References"/>
      </w:pPr>
      <w:proofErr w:type="spellStart"/>
      <w:proofErr w:type="gramStart"/>
      <w:r>
        <w:t>Eggleton</w:t>
      </w:r>
      <w:proofErr w:type="spellEnd"/>
      <w:r>
        <w:t xml:space="preserve">, I, Robertson, S, Ryan, J &amp; </w:t>
      </w:r>
      <w:proofErr w:type="spellStart"/>
      <w:r>
        <w:t>Kober</w:t>
      </w:r>
      <w:proofErr w:type="spellEnd"/>
      <w:r>
        <w:t xml:space="preserve"> 1999, ‘The impact of employment on the quality of life of people with an intellectual disability’, </w:t>
      </w:r>
      <w:r>
        <w:rPr>
          <w:i/>
        </w:rPr>
        <w:t>Journal of Vocational Rehabilitation,</w:t>
      </w:r>
      <w:r w:rsidR="00F45FD1">
        <w:t xml:space="preserve"> vol.13, no.2, pp.95—</w:t>
      </w:r>
      <w:r>
        <w:t>107.</w:t>
      </w:r>
      <w:proofErr w:type="gramEnd"/>
    </w:p>
    <w:p w:rsidR="00860D31" w:rsidRPr="007C1F63" w:rsidRDefault="00860D31" w:rsidP="004E6F27">
      <w:pPr>
        <w:pStyle w:val="References"/>
      </w:pPr>
      <w:proofErr w:type="spellStart"/>
      <w:r>
        <w:t>Jiranek</w:t>
      </w:r>
      <w:proofErr w:type="spellEnd"/>
      <w:r>
        <w:t>, D &amp; Kirby</w:t>
      </w:r>
      <w:r w:rsidR="00F03E33">
        <w:t>,</w:t>
      </w:r>
      <w:r>
        <w:t xml:space="preserve"> N </w:t>
      </w:r>
      <w:r w:rsidR="007C1F63">
        <w:t xml:space="preserve">1990, ‘The job satisfaction and/or psychological well being of young adults with an intellectual disability and nondisabled young adults in either sheltered employment, competitive employment or unemployment’, </w:t>
      </w:r>
      <w:r w:rsidR="007C1F63">
        <w:rPr>
          <w:i/>
        </w:rPr>
        <w:t xml:space="preserve">Journal of Intellectual &amp; Developmental Disability, </w:t>
      </w:r>
      <w:r w:rsidR="00F45FD1">
        <w:t>vol.16</w:t>
      </w:r>
      <w:r w:rsidR="00F03E33">
        <w:t>,</w:t>
      </w:r>
      <w:r w:rsidR="00F45FD1">
        <w:t xml:space="preserve"> no.2, pp.133—</w:t>
      </w:r>
      <w:r w:rsidR="007C1F63">
        <w:t>48.</w:t>
      </w:r>
    </w:p>
    <w:p w:rsidR="00EB7E6E" w:rsidRPr="00EB7E6E" w:rsidRDefault="00240831" w:rsidP="004E6F27">
      <w:pPr>
        <w:pStyle w:val="References"/>
      </w:pPr>
      <w:r>
        <w:t xml:space="preserve">Department of Families, Housing, Community </w:t>
      </w:r>
      <w:r w:rsidR="00F45FD1">
        <w:t xml:space="preserve">Services and Indigenous Affairs </w:t>
      </w:r>
      <w:r w:rsidR="00EB7E6E">
        <w:t xml:space="preserve">2011, </w:t>
      </w:r>
      <w:r w:rsidR="00EB7E6E">
        <w:rPr>
          <w:i/>
        </w:rPr>
        <w:t xml:space="preserve">National </w:t>
      </w:r>
      <w:r w:rsidR="00F45FD1">
        <w:rPr>
          <w:i/>
        </w:rPr>
        <w:t>Disability Strategy for Australia 2010—</w:t>
      </w:r>
      <w:r w:rsidR="00EB7E6E">
        <w:rPr>
          <w:i/>
        </w:rPr>
        <w:t>2020</w:t>
      </w:r>
      <w:r w:rsidR="00F45FD1">
        <w:rPr>
          <w:i/>
        </w:rPr>
        <w:t>:</w:t>
      </w:r>
      <w:r w:rsidR="00EB7E6E">
        <w:rPr>
          <w:i/>
        </w:rPr>
        <w:t xml:space="preserve"> an initiative of the Council of Australian Governments</w:t>
      </w:r>
      <w:r w:rsidR="00EB7E6E">
        <w:t>, Commonwealth of Australia, Canberra, viewed 15 August 2012, &lt;</w:t>
      </w:r>
      <w:r w:rsidR="00EB7E6E" w:rsidRPr="00EB7E6E">
        <w:t>fahcsia.gov.au/our-responsibilities/disability-and-carers/publications-articles/policy-research/national-disability-strategy-2010-2020</w:t>
      </w:r>
      <w:r w:rsidR="00EB7E6E">
        <w:t>&gt;</w:t>
      </w:r>
      <w:r w:rsidR="00F45FD1">
        <w:t>.</w:t>
      </w:r>
    </w:p>
    <w:p w:rsidR="003E58DD" w:rsidRPr="003E58DD" w:rsidRDefault="003E58DD" w:rsidP="004E6F27">
      <w:pPr>
        <w:pStyle w:val="References"/>
      </w:pPr>
      <w:r>
        <w:t xml:space="preserve">Griffin, T &amp; Beddie, F 2011, </w:t>
      </w:r>
      <w:r>
        <w:rPr>
          <w:i/>
        </w:rPr>
        <w:t>Researching VET and disability: at a glance</w:t>
      </w:r>
      <w:r>
        <w:t>, NCVER, Adelaide.</w:t>
      </w:r>
    </w:p>
    <w:p w:rsidR="009973D6" w:rsidRPr="009973D6" w:rsidRDefault="009973D6" w:rsidP="00F45FD1">
      <w:pPr>
        <w:pStyle w:val="References"/>
      </w:pPr>
      <w:proofErr w:type="gramStart"/>
      <w:r>
        <w:t xml:space="preserve">Group Training Australia Ltd, </w:t>
      </w:r>
      <w:r>
        <w:rPr>
          <w:i/>
        </w:rPr>
        <w:t xml:space="preserve">Policy statement </w:t>
      </w:r>
      <w:r w:rsidR="00F45FD1">
        <w:rPr>
          <w:i/>
        </w:rPr>
        <w:t>—</w:t>
      </w:r>
      <w:r>
        <w:rPr>
          <w:i/>
        </w:rPr>
        <w:t xml:space="preserve"> a better skilled workforce</w:t>
      </w:r>
      <w:r>
        <w:t>, viewed 18 March 2010, &lt;</w:t>
      </w:r>
      <w:r>
        <w:rPr>
          <w:lang w:val="en-GB"/>
        </w:rPr>
        <w:t>www.grouptraining.com.au/policy/downloads/GTA%20Policy%20Statement%20REVISED%20FINAL.pdf</w:t>
      </w:r>
      <w:r>
        <w:t>&gt;</w:t>
      </w:r>
      <w:r w:rsidR="00F45FD1">
        <w:t>.</w:t>
      </w:r>
      <w:proofErr w:type="gramEnd"/>
    </w:p>
    <w:p w:rsidR="0095033A" w:rsidRPr="00EB6E55" w:rsidRDefault="0095033A" w:rsidP="009973D6">
      <w:pPr>
        <w:pStyle w:val="References"/>
      </w:pPr>
      <w:proofErr w:type="spellStart"/>
      <w:r>
        <w:t>Kaplowitz</w:t>
      </w:r>
      <w:proofErr w:type="spellEnd"/>
      <w:r>
        <w:t xml:space="preserve">, MD, </w:t>
      </w:r>
      <w:proofErr w:type="spellStart"/>
      <w:r>
        <w:t>Hadlock</w:t>
      </w:r>
      <w:proofErr w:type="spellEnd"/>
      <w:r>
        <w:t xml:space="preserve">, TD &amp; Levine 2004, </w:t>
      </w:r>
      <w:r w:rsidR="00EB6E55">
        <w:t xml:space="preserve">‘A comparison of web and mail survey response rates’, </w:t>
      </w:r>
      <w:r w:rsidR="00EB6E55">
        <w:rPr>
          <w:i/>
        </w:rPr>
        <w:t>Public Opinion Quarterly</w:t>
      </w:r>
      <w:r w:rsidR="00F45FD1">
        <w:t>, vol.68, no.1, pp.94—</w:t>
      </w:r>
      <w:r w:rsidR="00EB6E55">
        <w:t>101</w:t>
      </w:r>
      <w:r w:rsidR="00F45FD1">
        <w:t>.</w:t>
      </w:r>
    </w:p>
    <w:p w:rsidR="004C55FE" w:rsidRPr="004C55FE" w:rsidRDefault="004C55FE" w:rsidP="004E6F27">
      <w:pPr>
        <w:pStyle w:val="References"/>
      </w:pPr>
      <w:r>
        <w:lastRenderedPageBreak/>
        <w:t>Karmel, T &amp; Mlotkowsk</w:t>
      </w:r>
      <w:r w:rsidR="00F45FD1">
        <w:t xml:space="preserve">i, P 2010, </w:t>
      </w:r>
      <w:proofErr w:type="gramStart"/>
      <w:r w:rsidRPr="00F45FD1">
        <w:rPr>
          <w:i/>
          <w:iCs/>
        </w:rPr>
        <w:t>The</w:t>
      </w:r>
      <w:proofErr w:type="gramEnd"/>
      <w:r w:rsidRPr="00F45FD1">
        <w:rPr>
          <w:i/>
          <w:iCs/>
        </w:rPr>
        <w:t xml:space="preserve"> impact of wages on the probability of completing an apprenticeship or traineeship</w:t>
      </w:r>
      <w:r>
        <w:rPr>
          <w:i/>
        </w:rPr>
        <w:t>,</w:t>
      </w:r>
      <w:r>
        <w:t xml:space="preserve"> </w:t>
      </w:r>
      <w:r w:rsidRPr="00F45FD1">
        <w:rPr>
          <w:iCs/>
        </w:rPr>
        <w:t xml:space="preserve">NCVER </w:t>
      </w:r>
      <w:r w:rsidR="00F45FD1" w:rsidRPr="00F45FD1">
        <w:rPr>
          <w:iCs/>
        </w:rPr>
        <w:t>monograph series</w:t>
      </w:r>
      <w:r w:rsidR="00F45FD1">
        <w:t>, 04/2010, NCVER, Adelaide.</w:t>
      </w:r>
    </w:p>
    <w:p w:rsidR="007C1F63" w:rsidRPr="007C1F63" w:rsidRDefault="007C1F63" w:rsidP="004E6F27">
      <w:pPr>
        <w:pStyle w:val="References"/>
      </w:pPr>
      <w:proofErr w:type="spellStart"/>
      <w:proofErr w:type="gramStart"/>
      <w:r>
        <w:t>Kober</w:t>
      </w:r>
      <w:proofErr w:type="spellEnd"/>
      <w:r>
        <w:t xml:space="preserve">, RO &amp; </w:t>
      </w:r>
      <w:proofErr w:type="spellStart"/>
      <w:r>
        <w:t>Eggleton</w:t>
      </w:r>
      <w:proofErr w:type="spellEnd"/>
      <w:r>
        <w:t xml:space="preserve">, IRC 2005, ‘The effect of different types of employment on quality of life’, </w:t>
      </w:r>
      <w:r>
        <w:rPr>
          <w:i/>
        </w:rPr>
        <w:t xml:space="preserve">Journal of Intellectual Disability Research, </w:t>
      </w:r>
      <w:r w:rsidR="00F45FD1">
        <w:t>vol.49, no.20, pp.756—</w:t>
      </w:r>
      <w:r>
        <w:t>60.</w:t>
      </w:r>
      <w:proofErr w:type="gramEnd"/>
    </w:p>
    <w:p w:rsidR="006016A2" w:rsidRPr="006016A2" w:rsidRDefault="006016A2" w:rsidP="004E6F27">
      <w:pPr>
        <w:pStyle w:val="References"/>
      </w:pPr>
      <w:r>
        <w:t xml:space="preserve">Lewis, G 2002, </w:t>
      </w:r>
      <w:r>
        <w:rPr>
          <w:i/>
        </w:rPr>
        <w:t>Key success factors in placi</w:t>
      </w:r>
      <w:r w:rsidR="0042020A">
        <w:rPr>
          <w:i/>
        </w:rPr>
        <w:t>ng and supporting new apprentice</w:t>
      </w:r>
      <w:r>
        <w:rPr>
          <w:i/>
        </w:rPr>
        <w:t xml:space="preserve">s with disabilities through group training: findings from a national study, </w:t>
      </w:r>
      <w:r w:rsidRPr="006016A2">
        <w:t>EDGE Training Solutions, Subiaco.</w:t>
      </w:r>
    </w:p>
    <w:p w:rsidR="000D38D1" w:rsidRPr="00D00C34" w:rsidRDefault="000D38D1" w:rsidP="004E6F27">
      <w:pPr>
        <w:pStyle w:val="References"/>
      </w:pPr>
      <w:proofErr w:type="gramStart"/>
      <w:r>
        <w:t>Lewis</w:t>
      </w:r>
      <w:r w:rsidR="00DB4290">
        <w:t>,</w:t>
      </w:r>
      <w:r>
        <w:t xml:space="preserve"> G, </w:t>
      </w:r>
      <w:proofErr w:type="spellStart"/>
      <w:r>
        <w:t>Thoresen</w:t>
      </w:r>
      <w:proofErr w:type="spellEnd"/>
      <w:r>
        <w:t>, S</w:t>
      </w:r>
      <w:r w:rsidR="00DB4290">
        <w:t>H</w:t>
      </w:r>
      <w:r>
        <w:t xml:space="preserve"> &amp;</w:t>
      </w:r>
      <w:r w:rsidR="005C3D99">
        <w:t xml:space="preserve"> </w:t>
      </w:r>
      <w:r>
        <w:t xml:space="preserve">Cocks, E 2011a, </w:t>
      </w:r>
      <w:r w:rsidR="00D00C34">
        <w:t xml:space="preserve">‘Post-course outcomes of apprenticeships and traineeships for people with disability in Western Australia’, </w:t>
      </w:r>
      <w:r w:rsidR="00D00C34">
        <w:rPr>
          <w:i/>
        </w:rPr>
        <w:t>Journal of Vocational Rehabilitation</w:t>
      </w:r>
      <w:r w:rsidR="00F9293F">
        <w:t>, vol.35, no.2, pp.107—</w:t>
      </w:r>
      <w:r w:rsidR="00D00C34">
        <w:t>16.</w:t>
      </w:r>
      <w:proofErr w:type="gramEnd"/>
    </w:p>
    <w:p w:rsidR="000D38D1" w:rsidRPr="00D00C34" w:rsidRDefault="00F45FD1" w:rsidP="004E6F27">
      <w:pPr>
        <w:pStyle w:val="References"/>
      </w:pPr>
      <w:r>
        <w:t>——</w:t>
      </w:r>
      <w:r w:rsidR="000D38D1">
        <w:t xml:space="preserve">2011b, </w:t>
      </w:r>
      <w:r w:rsidR="00D00C34">
        <w:t xml:space="preserve">‘Successful approaches to placing and supporting apprentices and trainees with disability in Australia’, </w:t>
      </w:r>
      <w:r w:rsidR="00D00C34">
        <w:rPr>
          <w:i/>
        </w:rPr>
        <w:t>Journal of Vocational Rehabilitation,</w:t>
      </w:r>
      <w:r>
        <w:t xml:space="preserve"> vol.34, no.3, pp.181—</w:t>
      </w:r>
      <w:r w:rsidR="00D00C34">
        <w:t>9.</w:t>
      </w:r>
    </w:p>
    <w:p w:rsidR="0096308D" w:rsidRPr="0096308D" w:rsidRDefault="0096308D" w:rsidP="0096308D">
      <w:pPr>
        <w:pStyle w:val="References"/>
      </w:pPr>
      <w:r w:rsidRPr="0096308D">
        <w:t>National Disability Se</w:t>
      </w:r>
      <w:r w:rsidR="001A74DB">
        <w:t xml:space="preserve">rvices 2009, </w:t>
      </w:r>
      <w:r w:rsidR="001A74DB" w:rsidRPr="001A74DB">
        <w:rPr>
          <w:i/>
          <w:iCs/>
        </w:rPr>
        <w:t>Annual report 2008—</w:t>
      </w:r>
      <w:r w:rsidRPr="001A74DB">
        <w:rPr>
          <w:i/>
          <w:iCs/>
        </w:rPr>
        <w:t>2009</w:t>
      </w:r>
      <w:r w:rsidRPr="0096308D">
        <w:t>, viewed 18 March 2010, &lt;www.nds.org.au/asset/view_document/979317491&gt;</w:t>
      </w:r>
    </w:p>
    <w:p w:rsidR="00675514" w:rsidRPr="00675514" w:rsidRDefault="00675514" w:rsidP="00675514">
      <w:pPr>
        <w:pStyle w:val="References"/>
      </w:pPr>
      <w:r w:rsidRPr="00675514">
        <w:t xml:space="preserve">National People with Disabilities and Carers Council &amp; </w:t>
      </w:r>
      <w:r w:rsidR="00240831">
        <w:t xml:space="preserve">Department of Families, Housing, Community Services and Indigenous Affairs </w:t>
      </w:r>
      <w:r w:rsidRPr="00675514">
        <w:t xml:space="preserve">2009, </w:t>
      </w:r>
      <w:r>
        <w:rPr>
          <w:i/>
        </w:rPr>
        <w:t>Shut out</w:t>
      </w:r>
      <w:r w:rsidRPr="00675514">
        <w:rPr>
          <w:i/>
        </w:rPr>
        <w:t>: the experience of people with disabilities and their families in Australia</w:t>
      </w:r>
      <w:r w:rsidR="00F03E33">
        <w:rPr>
          <w:i/>
        </w:rPr>
        <w:t xml:space="preserve">: </w:t>
      </w:r>
      <w:r w:rsidRPr="00675514">
        <w:rPr>
          <w:i/>
        </w:rPr>
        <w:t>National Disability Strategy consultation report</w:t>
      </w:r>
      <w:r>
        <w:rPr>
          <w:i/>
        </w:rPr>
        <w:t>,</w:t>
      </w:r>
      <w:r w:rsidRPr="00675514">
        <w:t xml:space="preserve"> </w:t>
      </w:r>
      <w:proofErr w:type="spellStart"/>
      <w:r w:rsidR="00E736AC">
        <w:t>FaHCSIA</w:t>
      </w:r>
      <w:proofErr w:type="spellEnd"/>
      <w:r w:rsidR="00E736AC">
        <w:t>, Greenway,</w:t>
      </w:r>
      <w:r w:rsidR="00040B53" w:rsidRPr="00040B53">
        <w:t xml:space="preserve"> </w:t>
      </w:r>
      <w:r w:rsidR="00040B53">
        <w:t>viewed 4 April 2012, &lt;</w:t>
      </w:r>
      <w:r w:rsidR="00851D79" w:rsidRPr="00851D79">
        <w:t>www.fahcsia.gov.au/sa/disability/pubs/policy/community_consult/Documents/NDS_report.pdf</w:t>
      </w:r>
      <w:r w:rsidR="00040B53">
        <w:t>&gt;.</w:t>
      </w:r>
    </w:p>
    <w:p w:rsidR="00D61F98" w:rsidRDefault="00D61F98" w:rsidP="004E6F27">
      <w:pPr>
        <w:pStyle w:val="References"/>
      </w:pPr>
      <w:r>
        <w:t xml:space="preserve">NCVER </w:t>
      </w:r>
      <w:r w:rsidR="001A74DB">
        <w:t xml:space="preserve">(National Centre for Vocational Education Research) </w:t>
      </w:r>
      <w:r>
        <w:t>2011</w:t>
      </w:r>
      <w:r w:rsidR="004A59C7">
        <w:t>a</w:t>
      </w:r>
      <w:r>
        <w:t xml:space="preserve">, </w:t>
      </w:r>
      <w:r>
        <w:rPr>
          <w:i/>
        </w:rPr>
        <w:t>Australian vocational education and training statistics: apprentices and trainees 2010</w:t>
      </w:r>
      <w:r w:rsidR="001A74DB">
        <w:rPr>
          <w:i/>
        </w:rPr>
        <w:t xml:space="preserve"> </w:t>
      </w:r>
      <w:r>
        <w:rPr>
          <w:i/>
        </w:rPr>
        <w:t>—</w:t>
      </w:r>
      <w:r w:rsidR="001A74DB">
        <w:rPr>
          <w:i/>
        </w:rPr>
        <w:t xml:space="preserve"> </w:t>
      </w:r>
      <w:r>
        <w:rPr>
          <w:i/>
        </w:rPr>
        <w:t xml:space="preserve">annual, </w:t>
      </w:r>
      <w:r>
        <w:t>NCVER, Adelaide</w:t>
      </w:r>
      <w:r w:rsidR="006E5F42">
        <w:t>, viewed 4 April 2012, &lt;</w:t>
      </w:r>
      <w:r w:rsidR="002D631A" w:rsidRPr="002D631A">
        <w:t>www.ncver.edu.au/publications/2387.html</w:t>
      </w:r>
      <w:r w:rsidR="006E5F42">
        <w:t>&gt;</w:t>
      </w:r>
      <w:r>
        <w:t>.</w:t>
      </w:r>
    </w:p>
    <w:p w:rsidR="00D00C34" w:rsidRDefault="001A74DB" w:rsidP="00D00C34">
      <w:pPr>
        <w:pStyle w:val="References"/>
      </w:pPr>
      <w:r>
        <w:t>——</w:t>
      </w:r>
      <w:r w:rsidR="00D00C34">
        <w:t xml:space="preserve">2011b, </w:t>
      </w:r>
      <w:r w:rsidR="00D00C34">
        <w:rPr>
          <w:i/>
        </w:rPr>
        <w:t>Australian vocational education and training statistics: student outcomes 2011,</w:t>
      </w:r>
      <w:r w:rsidR="00D00C34">
        <w:t xml:space="preserve"> NCVER, Adelaide</w:t>
      </w:r>
      <w:r w:rsidR="00EF18E6">
        <w:t>, viewed 4 April 2012, &lt;</w:t>
      </w:r>
      <w:r w:rsidR="00EF18E6" w:rsidRPr="00EF18E6">
        <w:t>www.ncver.edu.au/publications/2442.html</w:t>
      </w:r>
      <w:r w:rsidR="00EF18E6">
        <w:t>&gt;.</w:t>
      </w:r>
    </w:p>
    <w:p w:rsidR="004A59C7" w:rsidRPr="004A59C7" w:rsidRDefault="001A74DB" w:rsidP="004E6F27">
      <w:pPr>
        <w:pStyle w:val="References"/>
      </w:pPr>
      <w:r>
        <w:t>——</w:t>
      </w:r>
      <w:r w:rsidR="004A59C7">
        <w:t>2011</w:t>
      </w:r>
      <w:r w:rsidR="00D00C34">
        <w:t>c,</w:t>
      </w:r>
      <w:r w:rsidR="004A59C7">
        <w:t xml:space="preserve"> </w:t>
      </w:r>
      <w:r w:rsidR="004A59C7">
        <w:rPr>
          <w:i/>
        </w:rPr>
        <w:t>Students with a disability,</w:t>
      </w:r>
      <w:r w:rsidR="004A59C7">
        <w:t xml:space="preserve"> NCVER, Adelaide</w:t>
      </w:r>
      <w:r w:rsidR="00E736AC">
        <w:t>,</w:t>
      </w:r>
      <w:r w:rsidR="00040B53" w:rsidRPr="00040B53">
        <w:t xml:space="preserve"> </w:t>
      </w:r>
      <w:r w:rsidR="00040B53">
        <w:t>viewed 4 April 2012, &lt;</w:t>
      </w:r>
      <w:r w:rsidR="00AA0E4C" w:rsidRPr="00AA0E4C">
        <w:t>www.ncver.edu.au/publications/2394.html</w:t>
      </w:r>
      <w:r w:rsidR="00040B53">
        <w:t>&gt;.</w:t>
      </w:r>
    </w:p>
    <w:p w:rsidR="00A04A54" w:rsidRPr="00A04A54" w:rsidRDefault="00A04A54" w:rsidP="001A74DB">
      <w:pPr>
        <w:pStyle w:val="References"/>
      </w:pPr>
      <w:proofErr w:type="gramStart"/>
      <w:r>
        <w:t xml:space="preserve">NCVER &amp; </w:t>
      </w:r>
      <w:r w:rsidR="001A74DB">
        <w:t>Department of Education, Employment and Workplace Relations</w:t>
      </w:r>
      <w:r>
        <w:t xml:space="preserve"> 2012, </w:t>
      </w:r>
      <w:r w:rsidR="001A74DB">
        <w:rPr>
          <w:i/>
        </w:rPr>
        <w:t>LSAY — Y09 cohort —</w:t>
      </w:r>
      <w:r>
        <w:rPr>
          <w:i/>
        </w:rPr>
        <w:t xml:space="preserve"> response rates</w:t>
      </w:r>
      <w:r>
        <w:t>, viewed 15 August 2012, &lt;</w:t>
      </w:r>
      <w:r w:rsidRPr="00A04A54">
        <w:t>www.lsay.edu.au/cohort/2009/104.html</w:t>
      </w:r>
      <w:r>
        <w:t>&gt;</w:t>
      </w:r>
      <w:r w:rsidR="001A74DB">
        <w:t>.</w:t>
      </w:r>
      <w:proofErr w:type="gramEnd"/>
    </w:p>
    <w:p w:rsidR="00504DEF" w:rsidRDefault="00F716D2" w:rsidP="004E6F27">
      <w:pPr>
        <w:pStyle w:val="References"/>
      </w:pPr>
      <w:r>
        <w:t>National VET Equity Advisory Council</w:t>
      </w:r>
      <w:r w:rsidR="001A74DB">
        <w:t xml:space="preserve"> 2011, </w:t>
      </w:r>
      <w:r w:rsidR="001A74DB" w:rsidRPr="001A74DB">
        <w:rPr>
          <w:i/>
          <w:iCs/>
        </w:rPr>
        <w:t>Equity blueprint 2011—</w:t>
      </w:r>
      <w:r w:rsidR="00504DEF" w:rsidRPr="001A74DB">
        <w:rPr>
          <w:i/>
          <w:iCs/>
        </w:rPr>
        <w:t>2016</w:t>
      </w:r>
      <w:r w:rsidR="001A74DB" w:rsidRPr="001A74DB">
        <w:rPr>
          <w:i/>
          <w:iCs/>
        </w:rPr>
        <w:t>: c</w:t>
      </w:r>
      <w:r w:rsidR="00DA514B" w:rsidRPr="001A74DB">
        <w:rPr>
          <w:i/>
          <w:iCs/>
        </w:rPr>
        <w:t xml:space="preserve">reating futures: </w:t>
      </w:r>
      <w:r w:rsidR="001A74DB" w:rsidRPr="001A74DB">
        <w:rPr>
          <w:i/>
          <w:iCs/>
        </w:rPr>
        <w:t>achieving potential through VET</w:t>
      </w:r>
      <w:r w:rsidR="00DA514B">
        <w:t>, viewed 15 August 2012, &lt;</w:t>
      </w:r>
      <w:r w:rsidR="00DA514B" w:rsidRPr="00DA514B">
        <w:t>www.vetinfonet.det.wa.edu.au/accessequity/docs/nveac%20equity%20blue%20print%202011-2016%281%29.pdf</w:t>
      </w:r>
      <w:r w:rsidR="00DA514B">
        <w:t>&gt;</w:t>
      </w:r>
      <w:r w:rsidR="001A74DB">
        <w:t>.</w:t>
      </w:r>
    </w:p>
    <w:p w:rsidR="00F81615" w:rsidRPr="00F81615" w:rsidRDefault="00F81615" w:rsidP="004E6F27">
      <w:pPr>
        <w:pStyle w:val="References"/>
      </w:pPr>
      <w:r>
        <w:t xml:space="preserve">OECD </w:t>
      </w:r>
      <w:r w:rsidR="001A74DB">
        <w:t>(Organisation for Economic Co-ope</w:t>
      </w:r>
      <w:r w:rsidR="00F03E33">
        <w:t>ration and D</w:t>
      </w:r>
      <w:r w:rsidR="001A74DB">
        <w:t xml:space="preserve">evelopment) </w:t>
      </w:r>
      <w:r>
        <w:t xml:space="preserve">2003, </w:t>
      </w:r>
      <w:proofErr w:type="gramStart"/>
      <w:r>
        <w:rPr>
          <w:i/>
        </w:rPr>
        <w:t>Transforming</w:t>
      </w:r>
      <w:proofErr w:type="gramEnd"/>
      <w:r>
        <w:rPr>
          <w:i/>
        </w:rPr>
        <w:t xml:space="preserve"> disability into ability: policies to promote work and income security for disabled people</w:t>
      </w:r>
      <w:r>
        <w:t>, OECD Publications, Paris.</w:t>
      </w:r>
    </w:p>
    <w:p w:rsidR="00CA7736" w:rsidRDefault="001A74DB" w:rsidP="004E6F27">
      <w:pPr>
        <w:pStyle w:val="References"/>
      </w:pPr>
      <w:r>
        <w:t>——</w:t>
      </w:r>
      <w:r w:rsidR="00CA7736">
        <w:t xml:space="preserve">2007, </w:t>
      </w:r>
      <w:r w:rsidR="00CA7736">
        <w:rPr>
          <w:i/>
        </w:rPr>
        <w:t xml:space="preserve">Sickness, disability </w:t>
      </w:r>
      <w:r>
        <w:rPr>
          <w:i/>
        </w:rPr>
        <w:t>and work: breaking the barriers: v</w:t>
      </w:r>
      <w:r w:rsidR="00CA7736">
        <w:rPr>
          <w:i/>
        </w:rPr>
        <w:t xml:space="preserve">ol.2: Australia, Luxembourg, Spain and the United Kingdom, </w:t>
      </w:r>
      <w:r w:rsidR="00CA7736" w:rsidRPr="00CA7736">
        <w:t>OECD Publications, Paris.</w:t>
      </w:r>
    </w:p>
    <w:p w:rsidR="007205C1" w:rsidRPr="00F80DB0" w:rsidRDefault="001A74DB" w:rsidP="004E6F27">
      <w:pPr>
        <w:pStyle w:val="References"/>
      </w:pPr>
      <w:r>
        <w:t>——</w:t>
      </w:r>
      <w:r w:rsidR="007205C1" w:rsidRPr="00F80DB0">
        <w:t>201</w:t>
      </w:r>
      <w:r w:rsidR="00F80DB0" w:rsidRPr="00F80DB0">
        <w:t>0</w:t>
      </w:r>
      <w:r w:rsidR="007205C1" w:rsidRPr="00F80DB0">
        <w:t xml:space="preserve">, </w:t>
      </w:r>
      <w:r>
        <w:rPr>
          <w:i/>
        </w:rPr>
        <w:t>Sickness, disability and work: breaking the barriers: a</w:t>
      </w:r>
      <w:r w:rsidR="007205C1" w:rsidRPr="00F80DB0">
        <w:rPr>
          <w:i/>
        </w:rPr>
        <w:t xml:space="preserve"> synthesis of findings across OECD countries</w:t>
      </w:r>
      <w:r w:rsidR="007205C1" w:rsidRPr="00F80DB0">
        <w:t>, OECD Publications, Paris.</w:t>
      </w:r>
    </w:p>
    <w:p w:rsidR="007205C1" w:rsidRPr="00F80DB0" w:rsidRDefault="001A74DB" w:rsidP="004E6F27">
      <w:pPr>
        <w:pStyle w:val="References"/>
      </w:pPr>
      <w:r>
        <w:t xml:space="preserve">——2012, </w:t>
      </w:r>
      <w:r w:rsidR="007205C1" w:rsidRPr="00F80DB0">
        <w:rPr>
          <w:i/>
        </w:rPr>
        <w:t xml:space="preserve">Sick on the job? </w:t>
      </w:r>
      <w:proofErr w:type="gramStart"/>
      <w:r w:rsidR="007205C1" w:rsidRPr="00F80DB0">
        <w:rPr>
          <w:i/>
        </w:rPr>
        <w:t>Myths and realities about mental health and work</w:t>
      </w:r>
      <w:r>
        <w:t>,</w:t>
      </w:r>
      <w:r w:rsidR="007205C1" w:rsidRPr="00F80DB0">
        <w:t xml:space="preserve"> OECD Publications, Paris.</w:t>
      </w:r>
      <w:proofErr w:type="gramEnd"/>
    </w:p>
    <w:p w:rsidR="007B4AAD" w:rsidRPr="007B4AAD" w:rsidRDefault="007B4AAD" w:rsidP="004E6F27">
      <w:pPr>
        <w:pStyle w:val="References"/>
      </w:pPr>
      <w:proofErr w:type="gramStart"/>
      <w:r w:rsidRPr="00F80DB0">
        <w:t xml:space="preserve">Oliver, D 2011, </w:t>
      </w:r>
      <w:r w:rsidRPr="00F80DB0">
        <w:rPr>
          <w:i/>
        </w:rPr>
        <w:t>Skill shortages in the trades during economic downturns,</w:t>
      </w:r>
      <w:r w:rsidRPr="00F80DB0">
        <w:t xml:space="preserve"> NCVER, Adelaide, viewed 6 August</w:t>
      </w:r>
      <w:r>
        <w:t xml:space="preserve"> 2012, &lt;</w:t>
      </w:r>
      <w:r w:rsidRPr="007B4AAD">
        <w:t>www.ncver.edu.au/publications/2333.html</w:t>
      </w:r>
      <w:r>
        <w:t>&gt;</w:t>
      </w:r>
      <w:r w:rsidR="001A74DB">
        <w:t>.</w:t>
      </w:r>
      <w:proofErr w:type="gramEnd"/>
    </w:p>
    <w:p w:rsidR="00036315" w:rsidRPr="00036315" w:rsidRDefault="00036315" w:rsidP="004E6F27">
      <w:pPr>
        <w:pStyle w:val="References"/>
      </w:pPr>
      <w:proofErr w:type="spellStart"/>
      <w:r>
        <w:t>Polidano</w:t>
      </w:r>
      <w:proofErr w:type="spellEnd"/>
      <w:r>
        <w:t xml:space="preserve">, C &amp; </w:t>
      </w:r>
      <w:proofErr w:type="spellStart"/>
      <w:r>
        <w:t>Mavromaras</w:t>
      </w:r>
      <w:proofErr w:type="spellEnd"/>
      <w:r>
        <w:t xml:space="preserve">, K 2010, </w:t>
      </w:r>
      <w:r>
        <w:rPr>
          <w:i/>
        </w:rPr>
        <w:t xml:space="preserve">The role of vocational education and training in the labour market outcomes of people with disabilities, </w:t>
      </w:r>
      <w:r>
        <w:t xml:space="preserve">NCVER, Adelaide, viewed </w:t>
      </w:r>
      <w:r w:rsidR="006F5F5D">
        <w:t>7 August 2012, &lt;</w:t>
      </w:r>
      <w:r w:rsidR="006F5F5D" w:rsidRPr="006F5F5D">
        <w:t>www.ncve</w:t>
      </w:r>
      <w:r w:rsidR="001A74DB">
        <w:t>r.edu.au/publications/2215.html</w:t>
      </w:r>
      <w:r w:rsidR="006F5F5D">
        <w:t>&gt;</w:t>
      </w:r>
      <w:r w:rsidR="001A74DB">
        <w:t>.</w:t>
      </w:r>
      <w:r w:rsidR="006F5F5D">
        <w:t xml:space="preserve"> </w:t>
      </w:r>
    </w:p>
    <w:p w:rsidR="00F86D0B" w:rsidRDefault="00F86D0B" w:rsidP="004E6F27">
      <w:pPr>
        <w:pStyle w:val="References"/>
      </w:pPr>
      <w:proofErr w:type="gramStart"/>
      <w:r>
        <w:t>Productivity Commission 2011</w:t>
      </w:r>
      <w:r w:rsidRPr="00D12158">
        <w:rPr>
          <w:i/>
        </w:rPr>
        <w:t>, Disability care and support</w:t>
      </w:r>
      <w:r w:rsidR="001A74DB">
        <w:t>, r</w:t>
      </w:r>
      <w:r w:rsidR="00D12158">
        <w:t>eport no.54, Canberra.</w:t>
      </w:r>
      <w:proofErr w:type="gramEnd"/>
    </w:p>
    <w:p w:rsidR="00FB5DC1" w:rsidRPr="00FB5DC1" w:rsidRDefault="00FB5DC1" w:rsidP="004E6F27">
      <w:pPr>
        <w:pStyle w:val="References"/>
      </w:pPr>
      <w:r>
        <w:t xml:space="preserve">Snell, D &amp; Hart, A 2008, ‘Reasons for non-completion and dissatisfaction among apprentices and trainees: a regional case study’, </w:t>
      </w:r>
      <w:r>
        <w:rPr>
          <w:i/>
        </w:rPr>
        <w:t xml:space="preserve">International Journal of Training Research, </w:t>
      </w:r>
      <w:r w:rsidR="001A74DB">
        <w:t>vol.6, no.1, pp.44—</w:t>
      </w:r>
      <w:r w:rsidRPr="00FB5DC1">
        <w:t>73.</w:t>
      </w:r>
    </w:p>
    <w:p w:rsidR="00180F3D" w:rsidRDefault="00180F3D">
      <w:pPr>
        <w:spacing w:before="0" w:line="240" w:lineRule="auto"/>
        <w:rPr>
          <w:b/>
        </w:rPr>
      </w:pPr>
      <w:r>
        <w:rPr>
          <w:b/>
        </w:rPr>
        <w:br w:type="page"/>
      </w:r>
    </w:p>
    <w:p w:rsidR="00182082" w:rsidRDefault="00182082" w:rsidP="00182082">
      <w:pPr>
        <w:pStyle w:val="Heading1"/>
      </w:pPr>
      <w:bookmarkStart w:id="71" w:name="_Toc350259319"/>
      <w:bookmarkEnd w:id="18"/>
      <w:bookmarkEnd w:id="19"/>
      <w:bookmarkEnd w:id="20"/>
      <w:bookmarkEnd w:id="21"/>
      <w:r>
        <w:lastRenderedPageBreak/>
        <w:t>Appendix A</w:t>
      </w:r>
      <w:bookmarkEnd w:id="71"/>
    </w:p>
    <w:p w:rsidR="00182082" w:rsidRDefault="00182082" w:rsidP="00182082">
      <w:pPr>
        <w:pStyle w:val="tabletitle"/>
      </w:pPr>
      <w:bookmarkStart w:id="72" w:name="_Toc350259534"/>
      <w:r>
        <w:t xml:space="preserve">Table </w:t>
      </w:r>
      <w:r w:rsidR="000B4049">
        <w:t>A</w:t>
      </w:r>
      <w:r>
        <w:t>1</w:t>
      </w:r>
      <w:r>
        <w:tab/>
        <w:t>Subthemes in the barriers to course completion</w:t>
      </w:r>
      <w:bookmarkEnd w:id="72"/>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182082" w:rsidTr="00182082">
        <w:tc>
          <w:tcPr>
            <w:tcW w:w="4502" w:type="dxa"/>
            <w:tcBorders>
              <w:top w:val="single" w:sz="4" w:space="0" w:color="auto"/>
              <w:bottom w:val="single" w:sz="4" w:space="0" w:color="auto"/>
            </w:tcBorders>
          </w:tcPr>
          <w:p w:rsidR="00182082" w:rsidRDefault="00182082" w:rsidP="00182082">
            <w:pPr>
              <w:pStyle w:val="Tablehead1"/>
            </w:pPr>
            <w:r>
              <w:t>Theme</w:t>
            </w:r>
          </w:p>
        </w:tc>
        <w:tc>
          <w:tcPr>
            <w:tcW w:w="4502" w:type="dxa"/>
            <w:tcBorders>
              <w:top w:val="single" w:sz="4" w:space="0" w:color="auto"/>
              <w:bottom w:val="single" w:sz="4" w:space="0" w:color="auto"/>
            </w:tcBorders>
          </w:tcPr>
          <w:p w:rsidR="00182082" w:rsidRDefault="00182082" w:rsidP="00182082">
            <w:pPr>
              <w:pStyle w:val="Tablehead1"/>
            </w:pPr>
            <w:r>
              <w:t>Subtheme</w:t>
            </w:r>
          </w:p>
        </w:tc>
      </w:tr>
      <w:tr w:rsidR="00182082" w:rsidTr="00182082">
        <w:tc>
          <w:tcPr>
            <w:tcW w:w="4502" w:type="dxa"/>
            <w:tcBorders>
              <w:top w:val="single" w:sz="4" w:space="0" w:color="auto"/>
            </w:tcBorders>
          </w:tcPr>
          <w:p w:rsidR="00182082" w:rsidRPr="001931F4" w:rsidRDefault="00182082" w:rsidP="00182082">
            <w:pPr>
              <w:pStyle w:val="Tabletext"/>
            </w:pPr>
            <w:r w:rsidRPr="001931F4">
              <w:t>Lack of resources</w:t>
            </w:r>
          </w:p>
        </w:tc>
        <w:tc>
          <w:tcPr>
            <w:tcW w:w="4502" w:type="dxa"/>
            <w:tcBorders>
              <w:top w:val="single" w:sz="4" w:space="0" w:color="auto"/>
            </w:tcBorders>
          </w:tcPr>
          <w:p w:rsidR="00182082" w:rsidRDefault="00182082" w:rsidP="00182082">
            <w:pPr>
              <w:pStyle w:val="Tabletext"/>
            </w:pPr>
            <w:r w:rsidRPr="001931F4">
              <w:t>Resources (equipment, tools, financial, logistical, time, adjustment to the buil</w:t>
            </w:r>
            <w:r>
              <w:t>t</w:t>
            </w:r>
            <w:r w:rsidRPr="001931F4">
              <w:t xml:space="preserve"> environment or assistive technology)</w:t>
            </w:r>
          </w:p>
        </w:tc>
      </w:tr>
      <w:tr w:rsidR="00182082" w:rsidTr="00182082">
        <w:tc>
          <w:tcPr>
            <w:tcW w:w="4502" w:type="dxa"/>
          </w:tcPr>
          <w:p w:rsidR="00182082" w:rsidRPr="00FC5833" w:rsidRDefault="00182082" w:rsidP="00182082">
            <w:pPr>
              <w:pStyle w:val="Tabletext"/>
              <w:rPr>
                <w:highlight w:val="yellow"/>
              </w:rPr>
            </w:pPr>
          </w:p>
        </w:tc>
        <w:tc>
          <w:tcPr>
            <w:tcW w:w="4502" w:type="dxa"/>
          </w:tcPr>
          <w:p w:rsidR="00182082" w:rsidRDefault="00182082" w:rsidP="00182082">
            <w:pPr>
              <w:pStyle w:val="Tabletext"/>
            </w:pPr>
            <w:r>
              <w:t>Opportunities (skills development, or relevant supportive employment)</w:t>
            </w:r>
          </w:p>
        </w:tc>
      </w:tr>
      <w:tr w:rsidR="00182082" w:rsidTr="00182082">
        <w:tc>
          <w:tcPr>
            <w:tcW w:w="4502" w:type="dxa"/>
          </w:tcPr>
          <w:p w:rsidR="00182082" w:rsidRPr="00FC5833" w:rsidRDefault="00182082" w:rsidP="00182082">
            <w:pPr>
              <w:pStyle w:val="Tabletext"/>
              <w:rPr>
                <w:highlight w:val="yellow"/>
              </w:rPr>
            </w:pPr>
          </w:p>
        </w:tc>
        <w:tc>
          <w:tcPr>
            <w:tcW w:w="4502" w:type="dxa"/>
          </w:tcPr>
          <w:p w:rsidR="00182082" w:rsidRDefault="00182082" w:rsidP="00182082">
            <w:pPr>
              <w:pStyle w:val="Tabletext"/>
            </w:pPr>
            <w:r>
              <w:t>Flexibility</w:t>
            </w:r>
          </w:p>
        </w:tc>
      </w:tr>
      <w:tr w:rsidR="00182082" w:rsidTr="00182082">
        <w:tc>
          <w:tcPr>
            <w:tcW w:w="4502" w:type="dxa"/>
          </w:tcPr>
          <w:p w:rsidR="00182082" w:rsidRPr="004E24D1" w:rsidRDefault="00182082" w:rsidP="00182082">
            <w:pPr>
              <w:pStyle w:val="Tabletext"/>
            </w:pPr>
            <w:r w:rsidRPr="004E24D1">
              <w:t>Impact of disability, health, and injury</w:t>
            </w:r>
          </w:p>
        </w:tc>
        <w:tc>
          <w:tcPr>
            <w:tcW w:w="4502" w:type="dxa"/>
          </w:tcPr>
          <w:p w:rsidR="00182082" w:rsidRDefault="00182082" w:rsidP="00182082">
            <w:pPr>
              <w:pStyle w:val="Tabletext"/>
            </w:pPr>
            <w:r w:rsidRPr="004E24D1">
              <w:t>Numeracy and literacy (reading, writing, or comprehension)</w:t>
            </w:r>
          </w:p>
        </w:tc>
      </w:tr>
      <w:tr w:rsidR="00182082" w:rsidTr="00182082">
        <w:tc>
          <w:tcPr>
            <w:tcW w:w="4502" w:type="dxa"/>
          </w:tcPr>
          <w:p w:rsidR="00182082" w:rsidRPr="00FC5833" w:rsidRDefault="00182082" w:rsidP="00182082">
            <w:pPr>
              <w:pStyle w:val="Tabletext"/>
              <w:rPr>
                <w:highlight w:val="yellow"/>
              </w:rPr>
            </w:pPr>
          </w:p>
        </w:tc>
        <w:tc>
          <w:tcPr>
            <w:tcW w:w="4502" w:type="dxa"/>
          </w:tcPr>
          <w:p w:rsidR="00182082" w:rsidRDefault="00182082" w:rsidP="00182082">
            <w:pPr>
              <w:pStyle w:val="Tabletext"/>
            </w:pPr>
            <w:r>
              <w:t>Health related to disability (pain or discomfort)</w:t>
            </w:r>
          </w:p>
        </w:tc>
      </w:tr>
      <w:tr w:rsidR="00182082" w:rsidTr="00182082">
        <w:tc>
          <w:tcPr>
            <w:tcW w:w="4502" w:type="dxa"/>
          </w:tcPr>
          <w:p w:rsidR="00182082" w:rsidRPr="00FC5833" w:rsidRDefault="00182082" w:rsidP="00182082">
            <w:pPr>
              <w:pStyle w:val="Tabletext"/>
              <w:rPr>
                <w:highlight w:val="yellow"/>
              </w:rPr>
            </w:pPr>
          </w:p>
        </w:tc>
        <w:tc>
          <w:tcPr>
            <w:tcW w:w="4502" w:type="dxa"/>
          </w:tcPr>
          <w:p w:rsidR="00182082" w:rsidRDefault="00182082" w:rsidP="00182082">
            <w:pPr>
              <w:pStyle w:val="Tabletext"/>
            </w:pPr>
            <w:r>
              <w:t>Communication</w:t>
            </w:r>
          </w:p>
        </w:tc>
      </w:tr>
      <w:tr w:rsidR="00182082" w:rsidTr="00182082">
        <w:tc>
          <w:tcPr>
            <w:tcW w:w="4502" w:type="dxa"/>
          </w:tcPr>
          <w:p w:rsidR="00182082" w:rsidRPr="00FC5833" w:rsidRDefault="00182082" w:rsidP="00182082">
            <w:pPr>
              <w:pStyle w:val="Tabletext"/>
              <w:rPr>
                <w:highlight w:val="yellow"/>
              </w:rPr>
            </w:pPr>
          </w:p>
        </w:tc>
        <w:tc>
          <w:tcPr>
            <w:tcW w:w="4502" w:type="dxa"/>
          </w:tcPr>
          <w:p w:rsidR="00182082" w:rsidRDefault="00182082" w:rsidP="00182082">
            <w:pPr>
              <w:pStyle w:val="Tabletext"/>
            </w:pPr>
            <w:r>
              <w:t>Environment</w:t>
            </w:r>
          </w:p>
        </w:tc>
      </w:tr>
      <w:tr w:rsidR="00182082" w:rsidTr="00182082">
        <w:tc>
          <w:tcPr>
            <w:tcW w:w="4502" w:type="dxa"/>
          </w:tcPr>
          <w:p w:rsidR="00182082" w:rsidRPr="00FC5833" w:rsidRDefault="00182082" w:rsidP="00182082">
            <w:pPr>
              <w:pStyle w:val="Tabletext"/>
              <w:rPr>
                <w:highlight w:val="yellow"/>
              </w:rPr>
            </w:pPr>
          </w:p>
        </w:tc>
        <w:tc>
          <w:tcPr>
            <w:tcW w:w="4502" w:type="dxa"/>
          </w:tcPr>
          <w:p w:rsidR="00182082" w:rsidRDefault="00182082" w:rsidP="00182082">
            <w:pPr>
              <w:pStyle w:val="Tabletext"/>
            </w:pPr>
            <w:r>
              <w:t>Social</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Sensory</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 xml:space="preserve">Mobility </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Lack of adjustment to tasks</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Impact of medication</w:t>
            </w:r>
          </w:p>
        </w:tc>
      </w:tr>
      <w:tr w:rsidR="00182082" w:rsidTr="00182082">
        <w:tc>
          <w:tcPr>
            <w:tcW w:w="4502" w:type="dxa"/>
          </w:tcPr>
          <w:p w:rsidR="00182082" w:rsidRPr="00FC5833" w:rsidRDefault="00182082" w:rsidP="00182082">
            <w:pPr>
              <w:pStyle w:val="Tabletext"/>
              <w:rPr>
                <w:highlight w:val="yellow"/>
              </w:rPr>
            </w:pPr>
            <w:r w:rsidRPr="00CD7914">
              <w:t>Employment factors</w:t>
            </w:r>
          </w:p>
        </w:tc>
        <w:tc>
          <w:tcPr>
            <w:tcW w:w="4502" w:type="dxa"/>
          </w:tcPr>
          <w:p w:rsidR="00182082" w:rsidRDefault="00182082" w:rsidP="00182082">
            <w:pPr>
              <w:pStyle w:val="Tabletext"/>
            </w:pPr>
            <w:r>
              <w:t>Work place factors</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 xml:space="preserve">Emotional (lack of understanding, harassment, or bullying) </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Unspecified</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 xml:space="preserve">Practical </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Poor fit between requirements and work</w:t>
            </w:r>
          </w:p>
        </w:tc>
      </w:tr>
      <w:tr w:rsidR="00182082" w:rsidTr="00182082">
        <w:tc>
          <w:tcPr>
            <w:tcW w:w="4502" w:type="dxa"/>
          </w:tcPr>
          <w:p w:rsidR="00182082" w:rsidRDefault="00182082" w:rsidP="00182082">
            <w:pPr>
              <w:pStyle w:val="Tabletext"/>
            </w:pPr>
            <w:r>
              <w:t>Training and education factors</w:t>
            </w:r>
          </w:p>
        </w:tc>
        <w:tc>
          <w:tcPr>
            <w:tcW w:w="4502" w:type="dxa"/>
          </w:tcPr>
          <w:p w:rsidR="00182082" w:rsidRDefault="00182082" w:rsidP="00182082">
            <w:pPr>
              <w:pStyle w:val="Tabletext"/>
            </w:pPr>
            <w:r>
              <w:t>Course content (tasks, questions, theory, or requirements)</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Training networks (tutor, teacher, trainer, assessor, mentor, counsellor, or peers)</w:t>
            </w:r>
          </w:p>
        </w:tc>
      </w:tr>
      <w:tr w:rsidR="00182082" w:rsidTr="00182082">
        <w:trPr>
          <w:trHeight w:val="182"/>
        </w:trPr>
        <w:tc>
          <w:tcPr>
            <w:tcW w:w="4502" w:type="dxa"/>
          </w:tcPr>
          <w:p w:rsidR="00182082" w:rsidRDefault="00182082" w:rsidP="00182082">
            <w:pPr>
              <w:pStyle w:val="Tabletext"/>
            </w:pPr>
          </w:p>
        </w:tc>
        <w:tc>
          <w:tcPr>
            <w:tcW w:w="4502" w:type="dxa"/>
          </w:tcPr>
          <w:p w:rsidR="00182082" w:rsidRDefault="00182082" w:rsidP="00182082">
            <w:pPr>
              <w:pStyle w:val="Tabletext"/>
            </w:pPr>
            <w:r>
              <w:t xml:space="preserve">Course structural factors (content, material, structure, or application) </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Poor fit between training needs and training</w:t>
            </w:r>
          </w:p>
        </w:tc>
      </w:tr>
      <w:tr w:rsidR="00182082" w:rsidTr="00182082">
        <w:tc>
          <w:tcPr>
            <w:tcW w:w="4502" w:type="dxa"/>
          </w:tcPr>
          <w:p w:rsidR="00182082" w:rsidRPr="001931F4" w:rsidRDefault="00182082" w:rsidP="00182082">
            <w:pPr>
              <w:pStyle w:val="Tabletext"/>
            </w:pPr>
            <w:r w:rsidRPr="001931F4">
              <w:t>Negative motivations, experiences, and networks</w:t>
            </w:r>
          </w:p>
        </w:tc>
        <w:tc>
          <w:tcPr>
            <w:tcW w:w="4502" w:type="dxa"/>
          </w:tcPr>
          <w:p w:rsidR="00182082" w:rsidRDefault="00182082" w:rsidP="00182082">
            <w:pPr>
              <w:pStyle w:val="Tabletext"/>
            </w:pPr>
            <w:r w:rsidRPr="001931F4">
              <w:t>Specified networks (i.e. school)</w:t>
            </w:r>
          </w:p>
        </w:tc>
      </w:tr>
      <w:tr w:rsidR="00182082" w:rsidTr="00182082">
        <w:tc>
          <w:tcPr>
            <w:tcW w:w="4502" w:type="dxa"/>
            <w:tcBorders>
              <w:bottom w:val="single" w:sz="4" w:space="0" w:color="auto"/>
            </w:tcBorders>
          </w:tcPr>
          <w:p w:rsidR="00182082" w:rsidRDefault="00182082" w:rsidP="00182082">
            <w:pPr>
              <w:pStyle w:val="Tabletext"/>
            </w:pPr>
          </w:p>
        </w:tc>
        <w:tc>
          <w:tcPr>
            <w:tcW w:w="4502" w:type="dxa"/>
            <w:tcBorders>
              <w:bottom w:val="single" w:sz="4" w:space="0" w:color="auto"/>
            </w:tcBorders>
          </w:tcPr>
          <w:p w:rsidR="00182082" w:rsidRDefault="00182082" w:rsidP="00182082">
            <w:pPr>
              <w:pStyle w:val="Tabletext"/>
            </w:pPr>
            <w:r>
              <w:t>Unspecified networks</w:t>
            </w:r>
          </w:p>
        </w:tc>
      </w:tr>
    </w:tbl>
    <w:p w:rsidR="00182082" w:rsidRDefault="00182082" w:rsidP="00182082">
      <w:pPr>
        <w:spacing w:before="0" w:line="240" w:lineRule="auto"/>
      </w:pPr>
    </w:p>
    <w:p w:rsidR="00182082" w:rsidRDefault="00182082" w:rsidP="00182082">
      <w:pPr>
        <w:spacing w:before="0" w:line="240" w:lineRule="auto"/>
      </w:pPr>
      <w:r>
        <w:br w:type="page"/>
      </w:r>
    </w:p>
    <w:p w:rsidR="00182082" w:rsidRDefault="00182082" w:rsidP="00182082">
      <w:pPr>
        <w:pStyle w:val="Heading1"/>
      </w:pPr>
      <w:bookmarkStart w:id="73" w:name="_Toc350259320"/>
      <w:r>
        <w:lastRenderedPageBreak/>
        <w:t>Appendix B</w:t>
      </w:r>
      <w:bookmarkEnd w:id="73"/>
    </w:p>
    <w:p w:rsidR="00182082" w:rsidRDefault="00182082" w:rsidP="00182082">
      <w:pPr>
        <w:pStyle w:val="tabletitle"/>
      </w:pPr>
      <w:bookmarkStart w:id="74" w:name="_Toc350259535"/>
      <w:r>
        <w:t xml:space="preserve">Table </w:t>
      </w:r>
      <w:r w:rsidR="000B4049">
        <w:t>B</w:t>
      </w:r>
      <w:r>
        <w:t>1</w:t>
      </w:r>
      <w:r>
        <w:tab/>
        <w:t>Subthemes in the facilitators to course completion</w:t>
      </w:r>
      <w:bookmarkEnd w:id="74"/>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182082" w:rsidTr="00182082">
        <w:tc>
          <w:tcPr>
            <w:tcW w:w="4502" w:type="dxa"/>
            <w:tcBorders>
              <w:top w:val="single" w:sz="4" w:space="0" w:color="auto"/>
              <w:bottom w:val="single" w:sz="4" w:space="0" w:color="auto"/>
            </w:tcBorders>
          </w:tcPr>
          <w:p w:rsidR="00182082" w:rsidRDefault="00182082" w:rsidP="00182082">
            <w:pPr>
              <w:pStyle w:val="Tablehead1"/>
            </w:pPr>
            <w:r>
              <w:t>Theme</w:t>
            </w:r>
          </w:p>
        </w:tc>
        <w:tc>
          <w:tcPr>
            <w:tcW w:w="4502" w:type="dxa"/>
            <w:tcBorders>
              <w:top w:val="single" w:sz="4" w:space="0" w:color="auto"/>
              <w:bottom w:val="single" w:sz="4" w:space="0" w:color="auto"/>
            </w:tcBorders>
          </w:tcPr>
          <w:p w:rsidR="00182082" w:rsidRDefault="00182082" w:rsidP="00182082">
            <w:pPr>
              <w:pStyle w:val="Tablehead1"/>
            </w:pPr>
            <w:r>
              <w:t>Subtheme</w:t>
            </w:r>
          </w:p>
        </w:tc>
      </w:tr>
      <w:tr w:rsidR="00182082" w:rsidRPr="0083129B" w:rsidTr="00182082">
        <w:tc>
          <w:tcPr>
            <w:tcW w:w="4502" w:type="dxa"/>
            <w:tcBorders>
              <w:top w:val="single" w:sz="4" w:space="0" w:color="auto"/>
            </w:tcBorders>
          </w:tcPr>
          <w:p w:rsidR="00182082" w:rsidRPr="0083129B" w:rsidRDefault="00182082" w:rsidP="00182082">
            <w:pPr>
              <w:pStyle w:val="Tabletext"/>
            </w:pPr>
            <w:r w:rsidRPr="0083129B">
              <w:t>Positive motivations, experiences, and networks</w:t>
            </w:r>
          </w:p>
        </w:tc>
        <w:tc>
          <w:tcPr>
            <w:tcW w:w="4502" w:type="dxa"/>
            <w:tcBorders>
              <w:top w:val="single" w:sz="4" w:space="0" w:color="auto"/>
            </w:tcBorders>
          </w:tcPr>
          <w:p w:rsidR="00182082" w:rsidRPr="0083129B" w:rsidRDefault="00182082" w:rsidP="00182082">
            <w:pPr>
              <w:pStyle w:val="Tabletext"/>
            </w:pPr>
            <w:r w:rsidRPr="0083129B">
              <w:t>Agency (motivation, determination, perseverance, or resourcefulness)</w:t>
            </w:r>
          </w:p>
        </w:tc>
      </w:tr>
      <w:tr w:rsidR="00182082" w:rsidRPr="0083129B" w:rsidTr="00182082">
        <w:tc>
          <w:tcPr>
            <w:tcW w:w="4502" w:type="dxa"/>
          </w:tcPr>
          <w:p w:rsidR="00182082" w:rsidRPr="0083129B" w:rsidRDefault="00182082" w:rsidP="00182082">
            <w:pPr>
              <w:pStyle w:val="Tabletext"/>
            </w:pPr>
          </w:p>
        </w:tc>
        <w:tc>
          <w:tcPr>
            <w:tcW w:w="4502" w:type="dxa"/>
          </w:tcPr>
          <w:p w:rsidR="00182082" w:rsidRPr="0083129B" w:rsidRDefault="00182082" w:rsidP="00182082">
            <w:pPr>
              <w:pStyle w:val="Tabletext"/>
            </w:pPr>
            <w:r w:rsidRPr="0083129B">
              <w:t>Personal networks (family, friends, or acquaintances)</w:t>
            </w:r>
          </w:p>
        </w:tc>
      </w:tr>
      <w:tr w:rsidR="00182082" w:rsidRPr="0083129B" w:rsidTr="00182082">
        <w:tc>
          <w:tcPr>
            <w:tcW w:w="4502" w:type="dxa"/>
          </w:tcPr>
          <w:p w:rsidR="00182082" w:rsidRPr="0083129B" w:rsidRDefault="00182082" w:rsidP="00182082">
            <w:pPr>
              <w:pStyle w:val="Tabletext"/>
            </w:pPr>
          </w:p>
        </w:tc>
        <w:tc>
          <w:tcPr>
            <w:tcW w:w="4502" w:type="dxa"/>
          </w:tcPr>
          <w:p w:rsidR="00182082" w:rsidRPr="0083129B" w:rsidRDefault="00182082" w:rsidP="00182082">
            <w:pPr>
              <w:pStyle w:val="Tabletext"/>
            </w:pPr>
            <w:r w:rsidRPr="0083129B">
              <w:t xml:space="preserve">Formal networks (school, disability employment service, employer/host employer, and training network)  </w:t>
            </w:r>
          </w:p>
        </w:tc>
      </w:tr>
      <w:tr w:rsidR="00182082" w:rsidRPr="0083129B" w:rsidTr="00182082">
        <w:tc>
          <w:tcPr>
            <w:tcW w:w="4502" w:type="dxa"/>
          </w:tcPr>
          <w:p w:rsidR="00182082" w:rsidRPr="0083129B" w:rsidRDefault="00182082" w:rsidP="00182082">
            <w:pPr>
              <w:pStyle w:val="Tabletext"/>
            </w:pPr>
          </w:p>
        </w:tc>
        <w:tc>
          <w:tcPr>
            <w:tcW w:w="4502" w:type="dxa"/>
          </w:tcPr>
          <w:p w:rsidR="00182082" w:rsidRPr="0083129B" w:rsidRDefault="00182082" w:rsidP="00182082">
            <w:pPr>
              <w:pStyle w:val="Tabletext"/>
            </w:pPr>
            <w:r w:rsidRPr="0083129B">
              <w:t>Prior experiences</w:t>
            </w:r>
          </w:p>
        </w:tc>
      </w:tr>
      <w:tr w:rsidR="00182082" w:rsidRPr="0083129B" w:rsidTr="00182082">
        <w:tc>
          <w:tcPr>
            <w:tcW w:w="4502" w:type="dxa"/>
          </w:tcPr>
          <w:p w:rsidR="00182082" w:rsidRPr="0083129B" w:rsidRDefault="00182082" w:rsidP="00182082">
            <w:pPr>
              <w:pStyle w:val="Tabletext"/>
            </w:pPr>
          </w:p>
        </w:tc>
        <w:tc>
          <w:tcPr>
            <w:tcW w:w="4502" w:type="dxa"/>
          </w:tcPr>
          <w:p w:rsidR="00182082" w:rsidRPr="0083129B" w:rsidRDefault="00182082" w:rsidP="00182082">
            <w:pPr>
              <w:pStyle w:val="Tabletext"/>
            </w:pPr>
            <w:r w:rsidRPr="0083129B">
              <w:t>Work-based training/learning by doing</w:t>
            </w:r>
          </w:p>
        </w:tc>
      </w:tr>
      <w:tr w:rsidR="00182082" w:rsidRPr="0083129B" w:rsidTr="00182082">
        <w:tc>
          <w:tcPr>
            <w:tcW w:w="4502" w:type="dxa"/>
          </w:tcPr>
          <w:p w:rsidR="00182082" w:rsidRPr="0083129B" w:rsidRDefault="00182082" w:rsidP="00182082">
            <w:pPr>
              <w:pStyle w:val="Tabletext"/>
            </w:pPr>
            <w:r w:rsidRPr="0083129B">
              <w:t>Employment factors</w:t>
            </w:r>
          </w:p>
        </w:tc>
        <w:tc>
          <w:tcPr>
            <w:tcW w:w="4502" w:type="dxa"/>
          </w:tcPr>
          <w:p w:rsidR="00182082" w:rsidRPr="0083129B" w:rsidRDefault="00182082" w:rsidP="00182082">
            <w:pPr>
              <w:pStyle w:val="Tabletext"/>
            </w:pPr>
            <w:r w:rsidRPr="0083129B">
              <w:t>Employment network (manager/supervisor, colleagues, or other people in the workplace)</w:t>
            </w:r>
          </w:p>
        </w:tc>
      </w:tr>
      <w:tr w:rsidR="00182082" w:rsidRPr="0083129B" w:rsidTr="00182082">
        <w:tc>
          <w:tcPr>
            <w:tcW w:w="4502" w:type="dxa"/>
          </w:tcPr>
          <w:p w:rsidR="00182082" w:rsidRPr="0083129B" w:rsidRDefault="00182082" w:rsidP="00182082">
            <w:pPr>
              <w:pStyle w:val="Tabletext"/>
            </w:pPr>
          </w:p>
        </w:tc>
        <w:tc>
          <w:tcPr>
            <w:tcW w:w="4502" w:type="dxa"/>
          </w:tcPr>
          <w:p w:rsidR="00182082" w:rsidRPr="0083129B" w:rsidRDefault="00182082" w:rsidP="00182082">
            <w:pPr>
              <w:pStyle w:val="Tabletext"/>
            </w:pPr>
            <w:r w:rsidRPr="0083129B">
              <w:t>Work-based training/learning by doing</w:t>
            </w:r>
          </w:p>
        </w:tc>
      </w:tr>
      <w:tr w:rsidR="00182082" w:rsidRPr="0083129B" w:rsidTr="00182082">
        <w:tc>
          <w:tcPr>
            <w:tcW w:w="4502" w:type="dxa"/>
          </w:tcPr>
          <w:p w:rsidR="00182082" w:rsidRPr="0083129B" w:rsidRDefault="00182082" w:rsidP="00182082">
            <w:pPr>
              <w:pStyle w:val="Tabletext"/>
            </w:pPr>
            <w:r w:rsidRPr="0083129B">
              <w:t>Training and education factors</w:t>
            </w:r>
          </w:p>
        </w:tc>
        <w:tc>
          <w:tcPr>
            <w:tcW w:w="4502" w:type="dxa"/>
          </w:tcPr>
          <w:p w:rsidR="00182082" w:rsidRPr="0083129B" w:rsidRDefault="00182082" w:rsidP="00182082">
            <w:pPr>
              <w:pStyle w:val="Tabletext"/>
            </w:pPr>
            <w:r>
              <w:t>Training network (lecturer, tutor, teacher, assessor, mentor counsellor, peers, and others)</w:t>
            </w:r>
          </w:p>
        </w:tc>
      </w:tr>
      <w:tr w:rsidR="00182082" w:rsidRPr="0083129B" w:rsidTr="00182082">
        <w:tc>
          <w:tcPr>
            <w:tcW w:w="4502" w:type="dxa"/>
          </w:tcPr>
          <w:p w:rsidR="00182082" w:rsidRPr="0083129B" w:rsidRDefault="00182082" w:rsidP="00182082">
            <w:pPr>
              <w:pStyle w:val="Tabletext"/>
            </w:pPr>
          </w:p>
        </w:tc>
        <w:tc>
          <w:tcPr>
            <w:tcW w:w="4502" w:type="dxa"/>
          </w:tcPr>
          <w:p w:rsidR="00182082" w:rsidRPr="0083129B" w:rsidRDefault="00182082" w:rsidP="00182082">
            <w:pPr>
              <w:pStyle w:val="Tabletext"/>
            </w:pPr>
            <w:r>
              <w:t>Course factors (content material, structure, application, schedule, including adjustments to these)</w:t>
            </w:r>
          </w:p>
        </w:tc>
      </w:tr>
      <w:tr w:rsidR="00182082" w:rsidRPr="0083129B" w:rsidTr="00182082">
        <w:tc>
          <w:tcPr>
            <w:tcW w:w="4502" w:type="dxa"/>
          </w:tcPr>
          <w:p w:rsidR="00182082" w:rsidRPr="0083129B" w:rsidRDefault="00182082" w:rsidP="00182082">
            <w:pPr>
              <w:pStyle w:val="Tabletext"/>
            </w:pPr>
          </w:p>
        </w:tc>
        <w:tc>
          <w:tcPr>
            <w:tcW w:w="4502" w:type="dxa"/>
          </w:tcPr>
          <w:p w:rsidR="00182082" w:rsidRPr="0083129B" w:rsidRDefault="00182082" w:rsidP="00182082">
            <w:pPr>
              <w:pStyle w:val="Tabletext"/>
            </w:pPr>
            <w:r>
              <w:t>Collaborative learning</w:t>
            </w:r>
          </w:p>
        </w:tc>
      </w:tr>
      <w:tr w:rsidR="00182082" w:rsidRPr="0083129B" w:rsidTr="00182082">
        <w:tc>
          <w:tcPr>
            <w:tcW w:w="4502" w:type="dxa"/>
          </w:tcPr>
          <w:p w:rsidR="00182082" w:rsidRPr="0083129B" w:rsidRDefault="00182082" w:rsidP="00182082">
            <w:pPr>
              <w:pStyle w:val="Tabletext"/>
            </w:pPr>
            <w:r>
              <w:t>Receiving resources</w:t>
            </w:r>
          </w:p>
        </w:tc>
        <w:tc>
          <w:tcPr>
            <w:tcW w:w="4502" w:type="dxa"/>
          </w:tcPr>
          <w:p w:rsidR="00182082" w:rsidRPr="0083129B" w:rsidRDefault="00182082" w:rsidP="00182082">
            <w:pPr>
              <w:pStyle w:val="Tabletext"/>
            </w:pPr>
            <w:r>
              <w:t>Opportunity (to develop skills, knowledge, or to engage in work and training)</w:t>
            </w:r>
          </w:p>
        </w:tc>
      </w:tr>
      <w:tr w:rsidR="00182082" w:rsidRPr="0083129B" w:rsidTr="00182082">
        <w:tc>
          <w:tcPr>
            <w:tcW w:w="4502" w:type="dxa"/>
          </w:tcPr>
          <w:p w:rsidR="00182082" w:rsidRPr="0083129B" w:rsidRDefault="00182082" w:rsidP="00182082">
            <w:pPr>
              <w:pStyle w:val="Tabletext"/>
            </w:pPr>
          </w:p>
        </w:tc>
        <w:tc>
          <w:tcPr>
            <w:tcW w:w="4502" w:type="dxa"/>
          </w:tcPr>
          <w:p w:rsidR="00182082" w:rsidRPr="0083129B" w:rsidRDefault="00182082" w:rsidP="00182082">
            <w:pPr>
              <w:pStyle w:val="Tabletext"/>
            </w:pPr>
            <w:r>
              <w:t>Resource support (equipment, tools, financial incentives, logistics, or additional time)</w:t>
            </w:r>
          </w:p>
        </w:tc>
      </w:tr>
      <w:tr w:rsidR="00182082" w:rsidTr="00182082">
        <w:tc>
          <w:tcPr>
            <w:tcW w:w="4502" w:type="dxa"/>
          </w:tcPr>
          <w:p w:rsidR="00182082" w:rsidRPr="0083129B" w:rsidRDefault="00182082" w:rsidP="00182082">
            <w:pPr>
              <w:pStyle w:val="Tabletext"/>
            </w:pPr>
          </w:p>
        </w:tc>
        <w:tc>
          <w:tcPr>
            <w:tcW w:w="4502" w:type="dxa"/>
          </w:tcPr>
          <w:p w:rsidR="00182082" w:rsidRDefault="00182082" w:rsidP="00182082">
            <w:pPr>
              <w:pStyle w:val="Tabletext"/>
            </w:pPr>
            <w:r>
              <w:t>Flexibility</w:t>
            </w:r>
          </w:p>
        </w:tc>
      </w:tr>
      <w:tr w:rsidR="00182082" w:rsidTr="00182082">
        <w:tc>
          <w:tcPr>
            <w:tcW w:w="4502" w:type="dxa"/>
          </w:tcPr>
          <w:p w:rsidR="00182082" w:rsidRDefault="00182082" w:rsidP="00182082">
            <w:pPr>
              <w:pStyle w:val="Tabletext"/>
            </w:pPr>
            <w:r>
              <w:t>Addressing disability, health, and injury</w:t>
            </w:r>
          </w:p>
        </w:tc>
        <w:tc>
          <w:tcPr>
            <w:tcW w:w="4502" w:type="dxa"/>
          </w:tcPr>
          <w:p w:rsidR="00182082" w:rsidRDefault="00182082" w:rsidP="00182082">
            <w:pPr>
              <w:pStyle w:val="Tabletext"/>
            </w:pPr>
            <w:r>
              <w:t>Adjustment to training environment (ramps, special equipment, or assistive technology)</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Adjustment to work environment (ramps, special equipment, or assistive technology)</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Adjustment to training task</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Medication/improvement of condition</w:t>
            </w:r>
          </w:p>
        </w:tc>
      </w:tr>
      <w:tr w:rsidR="00182082" w:rsidTr="00182082">
        <w:tc>
          <w:tcPr>
            <w:tcW w:w="4502" w:type="dxa"/>
          </w:tcPr>
          <w:p w:rsidR="00182082" w:rsidRDefault="00182082" w:rsidP="00182082">
            <w:pPr>
              <w:pStyle w:val="Tabletext"/>
            </w:pPr>
          </w:p>
        </w:tc>
        <w:tc>
          <w:tcPr>
            <w:tcW w:w="4502" w:type="dxa"/>
          </w:tcPr>
          <w:p w:rsidR="00182082" w:rsidRDefault="00182082" w:rsidP="00182082">
            <w:pPr>
              <w:pStyle w:val="Tabletext"/>
            </w:pPr>
            <w:r>
              <w:t>Specific funding/services (mobility allowances, self-care services, Disabled Apprentice Supported Wage, allied health services, or other grants)</w:t>
            </w:r>
          </w:p>
        </w:tc>
      </w:tr>
      <w:tr w:rsidR="00182082" w:rsidTr="00182082">
        <w:trPr>
          <w:trHeight w:val="180"/>
        </w:trPr>
        <w:tc>
          <w:tcPr>
            <w:tcW w:w="4502" w:type="dxa"/>
            <w:tcBorders>
              <w:bottom w:val="single" w:sz="4" w:space="0" w:color="auto"/>
            </w:tcBorders>
          </w:tcPr>
          <w:p w:rsidR="00182082" w:rsidRDefault="00182082" w:rsidP="00182082">
            <w:pPr>
              <w:pStyle w:val="Tabletext"/>
            </w:pPr>
          </w:p>
        </w:tc>
        <w:tc>
          <w:tcPr>
            <w:tcW w:w="4502" w:type="dxa"/>
            <w:tcBorders>
              <w:bottom w:val="single" w:sz="4" w:space="0" w:color="auto"/>
            </w:tcBorders>
          </w:tcPr>
          <w:p w:rsidR="00182082" w:rsidRDefault="00182082" w:rsidP="00182082">
            <w:pPr>
              <w:pStyle w:val="Tabletext"/>
            </w:pPr>
            <w:r>
              <w:t>Disability employment services</w:t>
            </w:r>
          </w:p>
        </w:tc>
      </w:tr>
    </w:tbl>
    <w:p w:rsidR="00182082" w:rsidRDefault="00182082" w:rsidP="00182082">
      <w:pPr>
        <w:pStyle w:val="Text"/>
      </w:pPr>
    </w:p>
    <w:p w:rsidR="00182082" w:rsidRDefault="00182082" w:rsidP="00182082">
      <w:pPr>
        <w:pStyle w:val="Text"/>
      </w:pPr>
    </w:p>
    <w:p w:rsidR="00182082" w:rsidRDefault="00182082">
      <w:pPr>
        <w:spacing w:before="0" w:line="240" w:lineRule="auto"/>
        <w:rPr>
          <w:rFonts w:ascii="Tahoma" w:hAnsi="Tahoma" w:cs="Tahoma"/>
          <w:color w:val="000000"/>
          <w:kern w:val="28"/>
          <w:sz w:val="56"/>
          <w:szCs w:val="56"/>
        </w:rPr>
      </w:pPr>
      <w:r>
        <w:br w:type="page"/>
      </w:r>
    </w:p>
    <w:p w:rsidR="00180F3D" w:rsidRPr="00180F3D" w:rsidRDefault="00180F3D" w:rsidP="00180F3D">
      <w:pPr>
        <w:pStyle w:val="Heading1"/>
      </w:pPr>
      <w:bookmarkStart w:id="75" w:name="_Toc350259321"/>
      <w:r w:rsidRPr="00180F3D">
        <w:lastRenderedPageBreak/>
        <w:t>N</w:t>
      </w:r>
      <w:r w:rsidR="00CA661F">
        <w:t>VETR</w:t>
      </w:r>
      <w:r w:rsidRPr="00180F3D">
        <w:t xml:space="preserve"> Program funding</w:t>
      </w:r>
      <w:bookmarkEnd w:id="75"/>
    </w:p>
    <w:p w:rsidR="00CA661F" w:rsidRPr="00CA661F" w:rsidRDefault="00CA661F" w:rsidP="00CA661F">
      <w:pPr>
        <w:pStyle w:val="Text"/>
      </w:pPr>
      <w:r w:rsidRPr="00CA661F">
        <w:t xml:space="preserve">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 Innovation, Science, Research and Tertiary Education. </w:t>
      </w:r>
    </w:p>
    <w:p w:rsidR="00CA661F" w:rsidRPr="00CA661F" w:rsidRDefault="00CA661F" w:rsidP="00CA661F">
      <w:pPr>
        <w:pStyle w:val="Text"/>
      </w:pPr>
      <w:r w:rsidRPr="00CA661F">
        <w:t xml:space="preserve">The NVETR Program is based on national research priorities approved by ministers with responsibility for vocational education and training. </w:t>
      </w:r>
    </w:p>
    <w:p w:rsidR="00CA661F" w:rsidRPr="00CA661F" w:rsidRDefault="00CA661F" w:rsidP="00CA661F">
      <w:pPr>
        <w:pStyle w:val="Text"/>
      </w:pPr>
      <w:r w:rsidRPr="00CA661F">
        <w:t>The author</w:t>
      </w:r>
      <w:r w:rsidR="00B84F46">
        <w:t>s</w:t>
      </w:r>
      <w:r w:rsidRPr="00CA661F">
        <w:t xml:space="preserve">/project team </w:t>
      </w:r>
      <w:r w:rsidR="00B84F46">
        <w:t>were</w:t>
      </w:r>
      <w:r w:rsidRPr="00CA661F">
        <w:t xml:space="preserve"> funded to undertake this research via a grant under the NVETR Program. The research grants are awarded to organisations through a competitive process, in which NCVER does not participate. To ensure the quality and relevance of the research, projects are selected using an independent and transparent process and research reports are peer-reviewed.</w:t>
      </w:r>
    </w:p>
    <w:p w:rsidR="00CA661F" w:rsidRPr="00CA661F" w:rsidRDefault="00CA661F" w:rsidP="00CA661F">
      <w:pPr>
        <w:pStyle w:val="Text"/>
      </w:pPr>
      <w:r w:rsidRPr="00CA661F">
        <w:t xml:space="preserve">The NVETR Program aims to improve policy and practice in the VET sector. The research effort itself is collaborative and requires strong relationships with the research community in Australia’s universities and beyond. NCVER may also involve various stakeholders, including state and territory governments, industry and practitioners, to inform the commissioned research and using a variety of mechanisms such as project roundtables and forums. </w:t>
      </w:r>
    </w:p>
    <w:p w:rsidR="00CA661F" w:rsidRPr="00CA661F" w:rsidRDefault="00CA661F" w:rsidP="00CA661F">
      <w:pPr>
        <w:pStyle w:val="Text"/>
      </w:pPr>
      <w:proofErr w:type="gramStart"/>
      <w:r w:rsidRPr="00CA661F">
        <w:t>For further information about the program go to the NCVER website &lt;www.ncver.edu.au&gt;.</w:t>
      </w:r>
      <w:proofErr w:type="gramEnd"/>
    </w:p>
    <w:p w:rsidR="00FA4A33" w:rsidRDefault="00FA4A33" w:rsidP="00CA661F">
      <w:pPr>
        <w:pStyle w:val="Text"/>
      </w:pPr>
    </w:p>
    <w:sectPr w:rsidR="00FA4A33" w:rsidSect="00B52516">
      <w:footerReference w:type="even" r:id="rId17"/>
      <w:footerReference w:type="default" r:id="rId18"/>
      <w:pgSz w:w="11907" w:h="16840" w:code="9"/>
      <w:pgMar w:top="1276" w:right="1559"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764" w:rsidRDefault="00DE6764">
      <w:r>
        <w:separator/>
      </w:r>
    </w:p>
  </w:endnote>
  <w:endnote w:type="continuationSeparator" w:id="0">
    <w:p w:rsidR="00DE6764" w:rsidRDefault="00DE6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4" w:rsidRPr="008C0A74" w:rsidRDefault="009E2BC4" w:rsidP="00FF5931">
    <w:pPr>
      <w:pStyle w:val="Footer"/>
      <w:tabs>
        <w:tab w:val="clear" w:pos="8505"/>
        <w:tab w:val="right" w:pos="8789"/>
      </w:tabs>
      <w:rPr>
        <w:b/>
      </w:rPr>
    </w:pPr>
    <w:r w:rsidRPr="009E2BC4">
      <w:rPr>
        <w:b/>
        <w:noProof/>
        <w:color w:val="FFFFFF" w:themeColor="background1"/>
        <w:lang w:eastAsia="en-AU"/>
      </w:rPr>
      <w:pict>
        <v:rect id="Rectangle 3" o:spid="_x0000_s6148" style="position:absolute;margin-left:-85.05pt;margin-top:-2.45pt;width:99pt;height:18.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20pDUp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DE6764" w:rsidRPr="008C0A74">
      <w:rPr>
        <w:b/>
        <w:color w:val="FFFFFF" w:themeColor="background1"/>
      </w:rPr>
      <w:instrText xml:space="preserve"> PAGE </w:instrText>
    </w:r>
    <w:r w:rsidRPr="008C0A74">
      <w:rPr>
        <w:b/>
        <w:color w:val="FFFFFF" w:themeColor="background1"/>
      </w:rPr>
      <w:fldChar w:fldCharType="separate"/>
    </w:r>
    <w:r w:rsidR="006100EA">
      <w:rPr>
        <w:b/>
        <w:noProof/>
        <w:color w:val="FFFFFF" w:themeColor="background1"/>
      </w:rPr>
      <w:t>4</w:t>
    </w:r>
    <w:r w:rsidRPr="008C0A74">
      <w:rPr>
        <w:b/>
        <w:color w:val="FFFFFF" w:themeColor="background1"/>
      </w:rPr>
      <w:fldChar w:fldCharType="end"/>
    </w:r>
    <w:r w:rsidR="00DE6764" w:rsidRPr="008C0A74">
      <w:rPr>
        <w:b/>
        <w:color w:val="FFFFFF" w:themeColor="background1"/>
      </w:rPr>
      <w:tab/>
    </w:r>
    <w:r w:rsidR="00DE6764">
      <w:rPr>
        <w:b/>
      </w:rPr>
      <w:t xml:space="preserve">Barriers and facilitators </w:t>
    </w:r>
    <w:r w:rsidR="00810DA8">
      <w:rPr>
        <w:b/>
      </w:rPr>
      <w:t>affecting</w:t>
    </w:r>
    <w:r w:rsidR="00DE6764">
      <w:rPr>
        <w:b/>
      </w:rPr>
      <w:t xml:space="preserve"> course completions by apprentices and trainees with disabilities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4" w:rsidRPr="009775C7" w:rsidRDefault="009E2BC4" w:rsidP="004A13AA">
    <w:pPr>
      <w:pStyle w:val="Footer"/>
      <w:tabs>
        <w:tab w:val="clear" w:pos="8505"/>
        <w:tab w:val="left" w:pos="4725"/>
        <w:tab w:val="right" w:pos="8789"/>
      </w:tabs>
      <w:rPr>
        <w:color w:val="FFFFFF" w:themeColor="background1"/>
      </w:rPr>
    </w:pPr>
    <w:r w:rsidRPr="009E2BC4">
      <w:rPr>
        <w:b/>
        <w:noProof/>
        <w:lang w:eastAsia="en-AU"/>
      </w:rPr>
      <w:pict>
        <v:rect id="Rectangle 4" o:spid="_x0000_s6147" style="position:absolute;margin-left:425.6pt;margin-top:-2.45pt;width:99pt;height:1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DE6764" w:rsidRPr="009775C7">
      <w:rPr>
        <w:b/>
      </w:rPr>
      <w:t>NCVER</w:t>
    </w:r>
    <w:r w:rsidR="00DE6764" w:rsidRPr="009775C7">
      <w:tab/>
    </w:r>
    <w:r w:rsidR="00DE6764">
      <w:tab/>
    </w:r>
    <w:r w:rsidRPr="009775C7">
      <w:rPr>
        <w:rStyle w:val="PageNumber"/>
        <w:rFonts w:cs="Tahoma"/>
        <w:b/>
        <w:color w:val="FFFFFF" w:themeColor="background1"/>
        <w:sz w:val="17"/>
      </w:rPr>
      <w:fldChar w:fldCharType="begin"/>
    </w:r>
    <w:r w:rsidR="00DE6764"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6100EA">
      <w:rPr>
        <w:rStyle w:val="PageNumber"/>
        <w:rFonts w:cs="Tahoma"/>
        <w:b/>
        <w:noProof/>
        <w:color w:val="FFFFFF" w:themeColor="background1"/>
        <w:sz w:val="17"/>
      </w:rPr>
      <w:t>5</w:t>
    </w:r>
    <w:r w:rsidRPr="009775C7">
      <w:rPr>
        <w:rStyle w:val="PageNumber"/>
        <w:rFonts w:cs="Tahoma"/>
        <w:b/>
        <w:color w:val="FFFFFF" w:themeColor="background1"/>
        <w:sz w:val="1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4" w:rsidRPr="00A93B98" w:rsidRDefault="00DE6764" w:rsidP="00A93B9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4" w:rsidRPr="004A13AA" w:rsidRDefault="00DE6764" w:rsidP="004A13A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4" w:rsidRPr="008C0A74" w:rsidRDefault="009E2BC4" w:rsidP="00FF5931">
    <w:pPr>
      <w:pStyle w:val="Footer"/>
      <w:tabs>
        <w:tab w:val="clear" w:pos="8505"/>
        <w:tab w:val="right" w:pos="8789"/>
      </w:tabs>
      <w:rPr>
        <w:b/>
      </w:rPr>
    </w:pPr>
    <w:r w:rsidRPr="009E2BC4">
      <w:rPr>
        <w:b/>
        <w:noProof/>
        <w:color w:val="FFFFFF" w:themeColor="background1"/>
        <w:lang w:eastAsia="en-AU"/>
      </w:rPr>
      <w:pict>
        <v:rect id="_x0000_s6149" style="position:absolute;margin-left:-85.05pt;margin-top:-2.45pt;width:99pt;height:18.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20pDUp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DE6764" w:rsidRPr="008C0A74">
      <w:rPr>
        <w:b/>
        <w:color w:val="FFFFFF" w:themeColor="background1"/>
      </w:rPr>
      <w:instrText xml:space="preserve"> PAGE </w:instrText>
    </w:r>
    <w:r w:rsidRPr="008C0A74">
      <w:rPr>
        <w:b/>
        <w:color w:val="FFFFFF" w:themeColor="background1"/>
      </w:rPr>
      <w:fldChar w:fldCharType="separate"/>
    </w:r>
    <w:r w:rsidR="006100EA">
      <w:rPr>
        <w:b/>
        <w:noProof/>
        <w:color w:val="FFFFFF" w:themeColor="background1"/>
      </w:rPr>
      <w:t>38</w:t>
    </w:r>
    <w:r w:rsidRPr="008C0A74">
      <w:rPr>
        <w:b/>
        <w:color w:val="FFFFFF" w:themeColor="background1"/>
      </w:rPr>
      <w:fldChar w:fldCharType="end"/>
    </w:r>
    <w:r w:rsidR="00DE6764" w:rsidRPr="008C0A74">
      <w:rPr>
        <w:b/>
        <w:color w:val="FFFFFF" w:themeColor="background1"/>
      </w:rPr>
      <w:tab/>
    </w:r>
    <w:r w:rsidR="00DE6764">
      <w:rPr>
        <w:b/>
      </w:rPr>
      <w:t xml:space="preserve">Barriers and facilitators </w:t>
    </w:r>
    <w:r w:rsidR="009B3B83">
      <w:rPr>
        <w:b/>
      </w:rPr>
      <w:t>affecting</w:t>
    </w:r>
    <w:r w:rsidR="00DE6764">
      <w:rPr>
        <w:b/>
      </w:rPr>
      <w:t xml:space="preserve"> course completions by apprentices and trainees with disabilities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4" w:rsidRPr="009775C7" w:rsidRDefault="009E2BC4" w:rsidP="008C0A74">
    <w:pPr>
      <w:pStyle w:val="Footer"/>
      <w:tabs>
        <w:tab w:val="clear" w:pos="8505"/>
        <w:tab w:val="right" w:pos="8789"/>
      </w:tabs>
      <w:rPr>
        <w:color w:val="FFFFFF" w:themeColor="background1"/>
      </w:rPr>
    </w:pPr>
    <w:r w:rsidRPr="009E2BC4">
      <w:rPr>
        <w:b/>
        <w:noProof/>
        <w:lang w:eastAsia="en-AU"/>
      </w:rPr>
      <w:pict>
        <v:rect id="_x0000_s6150" style="position:absolute;margin-left:425.6pt;margin-top:-2.45pt;width:99pt;height:18.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DE6764" w:rsidRPr="009775C7">
      <w:rPr>
        <w:b/>
      </w:rPr>
      <w:t>NCVER</w:t>
    </w:r>
    <w:r w:rsidR="00DE6764" w:rsidRPr="009775C7">
      <w:tab/>
    </w:r>
    <w:r w:rsidRPr="009775C7">
      <w:rPr>
        <w:rStyle w:val="PageNumber"/>
        <w:rFonts w:cs="Tahoma"/>
        <w:b/>
        <w:color w:val="FFFFFF" w:themeColor="background1"/>
        <w:sz w:val="17"/>
      </w:rPr>
      <w:fldChar w:fldCharType="begin"/>
    </w:r>
    <w:r w:rsidR="00DE6764"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6100EA">
      <w:rPr>
        <w:rStyle w:val="PageNumber"/>
        <w:rFonts w:cs="Tahoma"/>
        <w:b/>
        <w:noProof/>
        <w:color w:val="FFFFFF" w:themeColor="background1"/>
        <w:sz w:val="17"/>
      </w:rPr>
      <w:t>37</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764" w:rsidRDefault="00DE6764">
      <w:r>
        <w:separator/>
      </w:r>
    </w:p>
  </w:footnote>
  <w:footnote w:type="continuationSeparator" w:id="0">
    <w:p w:rsidR="00DE6764" w:rsidRDefault="00DE6764">
      <w:r>
        <w:continuationSeparator/>
      </w:r>
    </w:p>
  </w:footnote>
  <w:footnote w:id="1">
    <w:p w:rsidR="00DE6764" w:rsidRPr="00B44D91" w:rsidRDefault="00DE6764" w:rsidP="00D24309">
      <w:pPr>
        <w:pStyle w:val="FootnoteText"/>
        <w:ind w:right="-568"/>
      </w:pPr>
      <w:r w:rsidRPr="00B44D91">
        <w:rPr>
          <w:rStyle w:val="FootnoteReference"/>
          <w:vertAlign w:val="baseline"/>
        </w:rPr>
        <w:footnoteRef/>
      </w:r>
      <w:r>
        <w:tab/>
      </w:r>
      <w:r w:rsidRPr="00B44D91">
        <w:t>It is difficult to predict attrition. The Longitudinal Surveys of Australian Youth (LSAY) aim to maintain an 80% response rate for each wave, although the Y09 cohort had only retained 53.3% (compared with the stipulated goal of 64%) of the original sample in the third wave (NCVER and Department of Education, Employment and Workplace Relations 2012). To enable regression analysis at the completion of data collection, this study must maintain a 50% response rate for each wave (25% retention at the third and final wave).</w:t>
      </w:r>
    </w:p>
  </w:footnote>
  <w:footnote w:id="2">
    <w:p w:rsidR="00DE6764" w:rsidRPr="00B44D91" w:rsidRDefault="00DE6764" w:rsidP="00D24309">
      <w:pPr>
        <w:pStyle w:val="FootnoteText"/>
        <w:ind w:right="-568"/>
      </w:pPr>
      <w:r w:rsidRPr="00B44D91">
        <w:rPr>
          <w:rStyle w:val="FootnoteReference"/>
          <w:vertAlign w:val="baseline"/>
        </w:rPr>
        <w:footnoteRef/>
      </w:r>
      <w:r>
        <w:tab/>
      </w:r>
      <w:r w:rsidRPr="00B44D91">
        <w:t>This was the first of three waves. The second and third waves will take place in 2012 and 2013. To encourage continued participation, study participants received a $60 gift voucher for participating in each wave.</w:t>
      </w:r>
    </w:p>
  </w:footnote>
  <w:footnote w:id="3">
    <w:p w:rsidR="00DE6764" w:rsidRPr="00B44D91" w:rsidRDefault="00DE6764" w:rsidP="00D24309">
      <w:pPr>
        <w:pStyle w:val="FootnoteText"/>
        <w:ind w:right="-568"/>
        <w:rPr>
          <w:szCs w:val="16"/>
        </w:rPr>
      </w:pPr>
      <w:r w:rsidRPr="00B44D91">
        <w:rPr>
          <w:rStyle w:val="FootnoteReference"/>
          <w:szCs w:val="16"/>
          <w:vertAlign w:val="baseline"/>
        </w:rPr>
        <w:footnoteRef/>
      </w:r>
      <w:r>
        <w:rPr>
          <w:rStyle w:val="FootnoteReference"/>
          <w:szCs w:val="16"/>
          <w:vertAlign w:val="baseline"/>
        </w:rPr>
        <w:tab/>
      </w:r>
      <w:r w:rsidRPr="00B44D91">
        <w:rPr>
          <w:szCs w:val="16"/>
        </w:rPr>
        <w:t xml:space="preserve">The Australian Bureau of Statistics (ABS; 2010a) has estimated that 43% of people aged 15 years and over </w:t>
      </w:r>
      <w:r>
        <w:rPr>
          <w:szCs w:val="16"/>
        </w:rPr>
        <w:t xml:space="preserve">had </w:t>
      </w:r>
      <w:r w:rsidRPr="00B44D91">
        <w:rPr>
          <w:szCs w:val="16"/>
        </w:rPr>
        <w:t xml:space="preserve">moved within the past five years. However, some groups are more mobile than others, as 90% of young households without children (aged 35 years or younger) had moved at least once within the preceding five years and 40% had moved three times or more. </w:t>
      </w:r>
    </w:p>
  </w:footnote>
  <w:footnote w:id="4">
    <w:p w:rsidR="00DE6764" w:rsidRDefault="00DE6764" w:rsidP="00D24309">
      <w:pPr>
        <w:pStyle w:val="FootnoteText"/>
        <w:ind w:right="-568"/>
      </w:pPr>
      <w:r w:rsidRPr="00B44D91">
        <w:rPr>
          <w:rStyle w:val="FootnoteReference"/>
          <w:vertAlign w:val="baseline"/>
        </w:rPr>
        <w:footnoteRef/>
      </w:r>
      <w:r>
        <w:tab/>
      </w:r>
      <w:r w:rsidRPr="00B44D91">
        <w:t>The lowest estimate is the number of returned surveys divided by the number of potential participants identified. The hig</w:t>
      </w:r>
      <w:r>
        <w:t>her estimate is the number of returned surveys divided by the number of potential participants identified by the STAs + potential participants identified in all other states + potential participants approached by GTOs for the comparison group.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64" w:rsidRDefault="00DE67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0808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76542C"/>
    <w:lvl w:ilvl="0">
      <w:start w:val="1"/>
      <w:numFmt w:val="decimal"/>
      <w:lvlText w:val="%1."/>
      <w:lvlJc w:val="left"/>
      <w:pPr>
        <w:tabs>
          <w:tab w:val="num" w:pos="1492"/>
        </w:tabs>
        <w:ind w:left="1492" w:hanging="360"/>
      </w:pPr>
    </w:lvl>
  </w:abstractNum>
  <w:abstractNum w:abstractNumId="2">
    <w:nsid w:val="FFFFFF7D"/>
    <w:multiLevelType w:val="singleLevel"/>
    <w:tmpl w:val="10328D4C"/>
    <w:lvl w:ilvl="0">
      <w:start w:val="1"/>
      <w:numFmt w:val="decimal"/>
      <w:lvlText w:val="%1."/>
      <w:lvlJc w:val="left"/>
      <w:pPr>
        <w:tabs>
          <w:tab w:val="num" w:pos="1209"/>
        </w:tabs>
        <w:ind w:left="1209" w:hanging="360"/>
      </w:pPr>
    </w:lvl>
  </w:abstractNum>
  <w:abstractNum w:abstractNumId="3">
    <w:nsid w:val="FFFFFF7E"/>
    <w:multiLevelType w:val="singleLevel"/>
    <w:tmpl w:val="F21E0534"/>
    <w:lvl w:ilvl="0">
      <w:start w:val="1"/>
      <w:numFmt w:val="decimal"/>
      <w:lvlText w:val="%1."/>
      <w:lvlJc w:val="left"/>
      <w:pPr>
        <w:tabs>
          <w:tab w:val="num" w:pos="926"/>
        </w:tabs>
        <w:ind w:left="926" w:hanging="360"/>
      </w:pPr>
    </w:lvl>
  </w:abstractNum>
  <w:abstractNum w:abstractNumId="4">
    <w:nsid w:val="FFFFFF7F"/>
    <w:multiLevelType w:val="singleLevel"/>
    <w:tmpl w:val="1ECA8326"/>
    <w:lvl w:ilvl="0">
      <w:start w:val="1"/>
      <w:numFmt w:val="decimal"/>
      <w:lvlText w:val="%1."/>
      <w:lvlJc w:val="left"/>
      <w:pPr>
        <w:tabs>
          <w:tab w:val="num" w:pos="643"/>
        </w:tabs>
        <w:ind w:left="643" w:hanging="360"/>
      </w:pPr>
    </w:lvl>
  </w:abstractNum>
  <w:abstractNum w:abstractNumId="5">
    <w:nsid w:val="FFFFFF80"/>
    <w:multiLevelType w:val="singleLevel"/>
    <w:tmpl w:val="6EEE24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5923CD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3FE6F6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72ECB0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91A1286"/>
    <w:lvl w:ilvl="0">
      <w:start w:val="1"/>
      <w:numFmt w:val="decimal"/>
      <w:lvlText w:val="%1."/>
      <w:lvlJc w:val="left"/>
      <w:pPr>
        <w:tabs>
          <w:tab w:val="num" w:pos="360"/>
        </w:tabs>
        <w:ind w:left="360" w:hanging="360"/>
      </w:pPr>
    </w:lvl>
  </w:abstractNum>
  <w:abstractNum w:abstractNumId="10">
    <w:nsid w:val="FFFFFF89"/>
    <w:multiLevelType w:val="singleLevel"/>
    <w:tmpl w:val="288E55AE"/>
    <w:lvl w:ilvl="0">
      <w:start w:val="1"/>
      <w:numFmt w:val="bullet"/>
      <w:lvlText w:val=""/>
      <w:lvlJc w:val="left"/>
      <w:pPr>
        <w:tabs>
          <w:tab w:val="num" w:pos="360"/>
        </w:tabs>
        <w:ind w:left="360" w:hanging="360"/>
      </w:pPr>
      <w:rPr>
        <w:rFonts w:ascii="Symbol" w:hAnsi="Symbol" w:hint="default"/>
      </w:rPr>
    </w:lvl>
  </w:abstractNum>
  <w:abstractNum w:abstractNumId="1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Symbol"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Symbol"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Symbol"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Symbol"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9"/>
  </w:num>
  <w:num w:numId="5">
    <w:abstractNumId w:val="13"/>
  </w:num>
  <w:num w:numId="6">
    <w:abstractNumId w:val="23"/>
  </w:num>
  <w:num w:numId="7">
    <w:abstractNumId w:val="25"/>
  </w:num>
  <w:num w:numId="8">
    <w:abstractNumId w:val="24"/>
  </w:num>
  <w:num w:numId="9">
    <w:abstractNumId w:val="28"/>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10"/>
  </w:num>
  <w:num w:numId="18">
    <w:abstractNumId w:val="8"/>
  </w:num>
  <w:num w:numId="19">
    <w:abstractNumId w:val="7"/>
  </w:num>
  <w:num w:numId="20">
    <w:abstractNumId w:val="6"/>
  </w:num>
  <w:num w:numId="21">
    <w:abstractNumId w:val="5"/>
  </w:num>
  <w:num w:numId="22">
    <w:abstractNumId w:val="12"/>
  </w:num>
  <w:num w:numId="23">
    <w:abstractNumId w:val="14"/>
  </w:num>
  <w:num w:numId="24">
    <w:abstractNumId w:val="12"/>
  </w:num>
  <w:num w:numId="25">
    <w:abstractNumId w:val="14"/>
  </w:num>
  <w:num w:numId="26">
    <w:abstractNumId w:val="29"/>
  </w:num>
  <w:num w:numId="27">
    <w:abstractNumId w:val="27"/>
  </w:num>
  <w:num w:numId="28">
    <w:abstractNumId w:val="9"/>
  </w:num>
  <w:num w:numId="29">
    <w:abstractNumId w:val="4"/>
  </w:num>
  <w:num w:numId="30">
    <w:abstractNumId w:val="3"/>
  </w:num>
  <w:num w:numId="31">
    <w:abstractNumId w:val="2"/>
  </w:num>
  <w:num w:numId="32">
    <w:abstractNumId w:val="1"/>
  </w:num>
  <w:num w:numId="33">
    <w:abstractNumId w:val="11"/>
  </w:num>
  <w:num w:numId="34">
    <w:abstractNumId w:val="26"/>
  </w:num>
  <w:num w:numId="35">
    <w:abstractNumId w:val="11"/>
    <w:lvlOverride w:ilvl="0">
      <w:startOverride w:val="1"/>
    </w:lvlOverride>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701"/>
  <w:doNotTrackMoves/>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rsids>
    <w:rsidRoot w:val="004E6E06"/>
    <w:rsid w:val="00001A7C"/>
    <w:rsid w:val="000020A6"/>
    <w:rsid w:val="00002313"/>
    <w:rsid w:val="0000273A"/>
    <w:rsid w:val="00003F20"/>
    <w:rsid w:val="00004BFD"/>
    <w:rsid w:val="00010407"/>
    <w:rsid w:val="0001051E"/>
    <w:rsid w:val="000108B2"/>
    <w:rsid w:val="0001225B"/>
    <w:rsid w:val="00012835"/>
    <w:rsid w:val="00013265"/>
    <w:rsid w:val="00013AF2"/>
    <w:rsid w:val="00013BB9"/>
    <w:rsid w:val="0001443D"/>
    <w:rsid w:val="000170D0"/>
    <w:rsid w:val="00020CAD"/>
    <w:rsid w:val="00021193"/>
    <w:rsid w:val="00022290"/>
    <w:rsid w:val="00025D7F"/>
    <w:rsid w:val="00026773"/>
    <w:rsid w:val="00027B8C"/>
    <w:rsid w:val="000301DF"/>
    <w:rsid w:val="0003122F"/>
    <w:rsid w:val="00031275"/>
    <w:rsid w:val="000315D7"/>
    <w:rsid w:val="00033B52"/>
    <w:rsid w:val="00035D19"/>
    <w:rsid w:val="00036315"/>
    <w:rsid w:val="0003776E"/>
    <w:rsid w:val="000402C2"/>
    <w:rsid w:val="00040B53"/>
    <w:rsid w:val="00041195"/>
    <w:rsid w:val="00042865"/>
    <w:rsid w:val="0004510B"/>
    <w:rsid w:val="00045FCE"/>
    <w:rsid w:val="00046F39"/>
    <w:rsid w:val="0005027B"/>
    <w:rsid w:val="00052234"/>
    <w:rsid w:val="000538CC"/>
    <w:rsid w:val="000549D4"/>
    <w:rsid w:val="0005580F"/>
    <w:rsid w:val="00055909"/>
    <w:rsid w:val="00056C39"/>
    <w:rsid w:val="00056F2A"/>
    <w:rsid w:val="0005744D"/>
    <w:rsid w:val="0006125F"/>
    <w:rsid w:val="000619CF"/>
    <w:rsid w:val="00061E4A"/>
    <w:rsid w:val="00062A92"/>
    <w:rsid w:val="000635C4"/>
    <w:rsid w:val="00064086"/>
    <w:rsid w:val="00064370"/>
    <w:rsid w:val="0006484A"/>
    <w:rsid w:val="00066B89"/>
    <w:rsid w:val="000673C9"/>
    <w:rsid w:val="0006760F"/>
    <w:rsid w:val="000701F7"/>
    <w:rsid w:val="00070C38"/>
    <w:rsid w:val="00072AA3"/>
    <w:rsid w:val="00073E88"/>
    <w:rsid w:val="00074BD4"/>
    <w:rsid w:val="00077392"/>
    <w:rsid w:val="00080A20"/>
    <w:rsid w:val="00081884"/>
    <w:rsid w:val="00081BFB"/>
    <w:rsid w:val="0008487F"/>
    <w:rsid w:val="00085095"/>
    <w:rsid w:val="00085A81"/>
    <w:rsid w:val="00087E28"/>
    <w:rsid w:val="00090514"/>
    <w:rsid w:val="00093B80"/>
    <w:rsid w:val="00094D56"/>
    <w:rsid w:val="000967E0"/>
    <w:rsid w:val="00096EB1"/>
    <w:rsid w:val="000A0745"/>
    <w:rsid w:val="000A139C"/>
    <w:rsid w:val="000A1DA3"/>
    <w:rsid w:val="000A4FF4"/>
    <w:rsid w:val="000A54CA"/>
    <w:rsid w:val="000A5905"/>
    <w:rsid w:val="000A69B5"/>
    <w:rsid w:val="000A7C77"/>
    <w:rsid w:val="000B0293"/>
    <w:rsid w:val="000B1159"/>
    <w:rsid w:val="000B14CC"/>
    <w:rsid w:val="000B3F8E"/>
    <w:rsid w:val="000B3FBC"/>
    <w:rsid w:val="000B4049"/>
    <w:rsid w:val="000B5BF1"/>
    <w:rsid w:val="000B5C0C"/>
    <w:rsid w:val="000C0CC8"/>
    <w:rsid w:val="000C120C"/>
    <w:rsid w:val="000C1F36"/>
    <w:rsid w:val="000C3AF3"/>
    <w:rsid w:val="000C3B99"/>
    <w:rsid w:val="000C5BFE"/>
    <w:rsid w:val="000C670D"/>
    <w:rsid w:val="000C71C8"/>
    <w:rsid w:val="000C7328"/>
    <w:rsid w:val="000C7B27"/>
    <w:rsid w:val="000D2310"/>
    <w:rsid w:val="000D2701"/>
    <w:rsid w:val="000D2B96"/>
    <w:rsid w:val="000D2CA1"/>
    <w:rsid w:val="000D3471"/>
    <w:rsid w:val="000D358F"/>
    <w:rsid w:val="000D35CD"/>
    <w:rsid w:val="000D38D1"/>
    <w:rsid w:val="000D3D68"/>
    <w:rsid w:val="000D410B"/>
    <w:rsid w:val="000D4F05"/>
    <w:rsid w:val="000D5D10"/>
    <w:rsid w:val="000D5EA3"/>
    <w:rsid w:val="000D693D"/>
    <w:rsid w:val="000D6F28"/>
    <w:rsid w:val="000D71CE"/>
    <w:rsid w:val="000E393F"/>
    <w:rsid w:val="000E4A80"/>
    <w:rsid w:val="000E56AE"/>
    <w:rsid w:val="000E6BEE"/>
    <w:rsid w:val="000E724B"/>
    <w:rsid w:val="000F13D5"/>
    <w:rsid w:val="000F1D1B"/>
    <w:rsid w:val="000F20BA"/>
    <w:rsid w:val="000F33B4"/>
    <w:rsid w:val="000F3871"/>
    <w:rsid w:val="000F38AD"/>
    <w:rsid w:val="000F5B73"/>
    <w:rsid w:val="000F641C"/>
    <w:rsid w:val="00100C16"/>
    <w:rsid w:val="00103104"/>
    <w:rsid w:val="001043CE"/>
    <w:rsid w:val="00104C6F"/>
    <w:rsid w:val="0010588F"/>
    <w:rsid w:val="00107071"/>
    <w:rsid w:val="0010761A"/>
    <w:rsid w:val="0011108C"/>
    <w:rsid w:val="001119C6"/>
    <w:rsid w:val="001120C5"/>
    <w:rsid w:val="00112EC5"/>
    <w:rsid w:val="00113647"/>
    <w:rsid w:val="00120010"/>
    <w:rsid w:val="00121FF1"/>
    <w:rsid w:val="001227C4"/>
    <w:rsid w:val="001228FF"/>
    <w:rsid w:val="00123B5C"/>
    <w:rsid w:val="00124C81"/>
    <w:rsid w:val="00125CF3"/>
    <w:rsid w:val="00125D75"/>
    <w:rsid w:val="001262C5"/>
    <w:rsid w:val="0012671B"/>
    <w:rsid w:val="0012674E"/>
    <w:rsid w:val="00127329"/>
    <w:rsid w:val="00127B39"/>
    <w:rsid w:val="00130858"/>
    <w:rsid w:val="001326AA"/>
    <w:rsid w:val="00133A87"/>
    <w:rsid w:val="00133DBB"/>
    <w:rsid w:val="00134296"/>
    <w:rsid w:val="00135AED"/>
    <w:rsid w:val="00135C75"/>
    <w:rsid w:val="0014024D"/>
    <w:rsid w:val="001427EA"/>
    <w:rsid w:val="00143F5D"/>
    <w:rsid w:val="00150874"/>
    <w:rsid w:val="001509F3"/>
    <w:rsid w:val="00153519"/>
    <w:rsid w:val="00155839"/>
    <w:rsid w:val="00156A10"/>
    <w:rsid w:val="00156C83"/>
    <w:rsid w:val="00161240"/>
    <w:rsid w:val="0016604C"/>
    <w:rsid w:val="001663E9"/>
    <w:rsid w:val="0017029C"/>
    <w:rsid w:val="001704A3"/>
    <w:rsid w:val="001761B3"/>
    <w:rsid w:val="00176206"/>
    <w:rsid w:val="001772E2"/>
    <w:rsid w:val="00177827"/>
    <w:rsid w:val="001805A4"/>
    <w:rsid w:val="00180F3D"/>
    <w:rsid w:val="00180F81"/>
    <w:rsid w:val="00182082"/>
    <w:rsid w:val="0018409F"/>
    <w:rsid w:val="0018440C"/>
    <w:rsid w:val="00184504"/>
    <w:rsid w:val="001852B6"/>
    <w:rsid w:val="00186A01"/>
    <w:rsid w:val="00190E9A"/>
    <w:rsid w:val="00193E0E"/>
    <w:rsid w:val="00194270"/>
    <w:rsid w:val="00194963"/>
    <w:rsid w:val="001954E9"/>
    <w:rsid w:val="00195BB3"/>
    <w:rsid w:val="00195E67"/>
    <w:rsid w:val="001A1030"/>
    <w:rsid w:val="001A322C"/>
    <w:rsid w:val="001A546B"/>
    <w:rsid w:val="001A66D5"/>
    <w:rsid w:val="001A7133"/>
    <w:rsid w:val="001A74DB"/>
    <w:rsid w:val="001B1152"/>
    <w:rsid w:val="001B17A6"/>
    <w:rsid w:val="001B289E"/>
    <w:rsid w:val="001B3999"/>
    <w:rsid w:val="001B3AF8"/>
    <w:rsid w:val="001B42BF"/>
    <w:rsid w:val="001B432F"/>
    <w:rsid w:val="001B43CF"/>
    <w:rsid w:val="001B60C3"/>
    <w:rsid w:val="001B7C5B"/>
    <w:rsid w:val="001C1CD6"/>
    <w:rsid w:val="001C2E0B"/>
    <w:rsid w:val="001C32FA"/>
    <w:rsid w:val="001C4912"/>
    <w:rsid w:val="001C7917"/>
    <w:rsid w:val="001D300D"/>
    <w:rsid w:val="001D30D0"/>
    <w:rsid w:val="001D58CC"/>
    <w:rsid w:val="001E1062"/>
    <w:rsid w:val="001E37B1"/>
    <w:rsid w:val="001E48FE"/>
    <w:rsid w:val="001E51AD"/>
    <w:rsid w:val="001E5B51"/>
    <w:rsid w:val="001E6229"/>
    <w:rsid w:val="001E6612"/>
    <w:rsid w:val="001F0F87"/>
    <w:rsid w:val="001F18E9"/>
    <w:rsid w:val="001F1DC3"/>
    <w:rsid w:val="001F1FDC"/>
    <w:rsid w:val="001F3F7A"/>
    <w:rsid w:val="001F5F95"/>
    <w:rsid w:val="001F77F4"/>
    <w:rsid w:val="001F7977"/>
    <w:rsid w:val="001F7D84"/>
    <w:rsid w:val="0020052B"/>
    <w:rsid w:val="00200CF3"/>
    <w:rsid w:val="00203A72"/>
    <w:rsid w:val="002050FB"/>
    <w:rsid w:val="00207B5C"/>
    <w:rsid w:val="0021005E"/>
    <w:rsid w:val="002101FD"/>
    <w:rsid w:val="00211681"/>
    <w:rsid w:val="00211B8C"/>
    <w:rsid w:val="00212C97"/>
    <w:rsid w:val="00213980"/>
    <w:rsid w:val="0021480F"/>
    <w:rsid w:val="00214B7D"/>
    <w:rsid w:val="00214F38"/>
    <w:rsid w:val="002168FB"/>
    <w:rsid w:val="00221C2D"/>
    <w:rsid w:val="00223036"/>
    <w:rsid w:val="00224C4A"/>
    <w:rsid w:val="00225022"/>
    <w:rsid w:val="00226207"/>
    <w:rsid w:val="002277A9"/>
    <w:rsid w:val="002313E4"/>
    <w:rsid w:val="00233BFA"/>
    <w:rsid w:val="00236D82"/>
    <w:rsid w:val="00240831"/>
    <w:rsid w:val="0024113D"/>
    <w:rsid w:val="002416DA"/>
    <w:rsid w:val="0024267D"/>
    <w:rsid w:val="002433E1"/>
    <w:rsid w:val="002437C9"/>
    <w:rsid w:val="00244561"/>
    <w:rsid w:val="00244723"/>
    <w:rsid w:val="00244905"/>
    <w:rsid w:val="00245682"/>
    <w:rsid w:val="0024574F"/>
    <w:rsid w:val="00246603"/>
    <w:rsid w:val="00246CE7"/>
    <w:rsid w:val="002508A8"/>
    <w:rsid w:val="00250E5B"/>
    <w:rsid w:val="00254FC7"/>
    <w:rsid w:val="00256DB7"/>
    <w:rsid w:val="00257B54"/>
    <w:rsid w:val="0026001B"/>
    <w:rsid w:val="00262159"/>
    <w:rsid w:val="00262E21"/>
    <w:rsid w:val="00264215"/>
    <w:rsid w:val="00264481"/>
    <w:rsid w:val="00264E6C"/>
    <w:rsid w:val="002654EB"/>
    <w:rsid w:val="00266055"/>
    <w:rsid w:val="00266651"/>
    <w:rsid w:val="002667F7"/>
    <w:rsid w:val="002667FD"/>
    <w:rsid w:val="00267A97"/>
    <w:rsid w:val="00267E17"/>
    <w:rsid w:val="0027002E"/>
    <w:rsid w:val="00270E8F"/>
    <w:rsid w:val="00271F38"/>
    <w:rsid w:val="00275FBC"/>
    <w:rsid w:val="00277362"/>
    <w:rsid w:val="00281A42"/>
    <w:rsid w:val="00282238"/>
    <w:rsid w:val="002822DE"/>
    <w:rsid w:val="0028250F"/>
    <w:rsid w:val="00282937"/>
    <w:rsid w:val="002835EA"/>
    <w:rsid w:val="00284FCB"/>
    <w:rsid w:val="002859DF"/>
    <w:rsid w:val="00285E6E"/>
    <w:rsid w:val="002866DB"/>
    <w:rsid w:val="00290DF4"/>
    <w:rsid w:val="00291201"/>
    <w:rsid w:val="0029175F"/>
    <w:rsid w:val="00291790"/>
    <w:rsid w:val="00291E38"/>
    <w:rsid w:val="002920D6"/>
    <w:rsid w:val="0029309E"/>
    <w:rsid w:val="00293E61"/>
    <w:rsid w:val="00293E72"/>
    <w:rsid w:val="00296BC2"/>
    <w:rsid w:val="00297ECB"/>
    <w:rsid w:val="002A0161"/>
    <w:rsid w:val="002A24E1"/>
    <w:rsid w:val="002A3258"/>
    <w:rsid w:val="002B18EC"/>
    <w:rsid w:val="002B44A7"/>
    <w:rsid w:val="002B5E4E"/>
    <w:rsid w:val="002C2AE2"/>
    <w:rsid w:val="002C3DAB"/>
    <w:rsid w:val="002C4876"/>
    <w:rsid w:val="002C495E"/>
    <w:rsid w:val="002C5084"/>
    <w:rsid w:val="002C77D1"/>
    <w:rsid w:val="002D0F26"/>
    <w:rsid w:val="002D2012"/>
    <w:rsid w:val="002D4303"/>
    <w:rsid w:val="002D439B"/>
    <w:rsid w:val="002D4458"/>
    <w:rsid w:val="002D616F"/>
    <w:rsid w:val="002D626C"/>
    <w:rsid w:val="002D631A"/>
    <w:rsid w:val="002D70D0"/>
    <w:rsid w:val="002D7F21"/>
    <w:rsid w:val="002E196B"/>
    <w:rsid w:val="002E1F82"/>
    <w:rsid w:val="002E292C"/>
    <w:rsid w:val="002E518C"/>
    <w:rsid w:val="002E774A"/>
    <w:rsid w:val="002E7999"/>
    <w:rsid w:val="002F1EF3"/>
    <w:rsid w:val="002F206D"/>
    <w:rsid w:val="002F2E59"/>
    <w:rsid w:val="002F4C0D"/>
    <w:rsid w:val="002F5980"/>
    <w:rsid w:val="002F6149"/>
    <w:rsid w:val="002F6436"/>
    <w:rsid w:val="00302E8E"/>
    <w:rsid w:val="00304372"/>
    <w:rsid w:val="00304BD2"/>
    <w:rsid w:val="003052A6"/>
    <w:rsid w:val="00305985"/>
    <w:rsid w:val="00305A8A"/>
    <w:rsid w:val="00305F95"/>
    <w:rsid w:val="00306017"/>
    <w:rsid w:val="003107BF"/>
    <w:rsid w:val="00310B39"/>
    <w:rsid w:val="003118E9"/>
    <w:rsid w:val="00311C62"/>
    <w:rsid w:val="0031472F"/>
    <w:rsid w:val="00316118"/>
    <w:rsid w:val="0031764B"/>
    <w:rsid w:val="0032057B"/>
    <w:rsid w:val="0032090C"/>
    <w:rsid w:val="00321D00"/>
    <w:rsid w:val="00322D45"/>
    <w:rsid w:val="00325D86"/>
    <w:rsid w:val="003270B9"/>
    <w:rsid w:val="003274F1"/>
    <w:rsid w:val="003325E0"/>
    <w:rsid w:val="00332EAA"/>
    <w:rsid w:val="003348CF"/>
    <w:rsid w:val="00334CE3"/>
    <w:rsid w:val="00335781"/>
    <w:rsid w:val="00340B4D"/>
    <w:rsid w:val="00342A9F"/>
    <w:rsid w:val="00342F90"/>
    <w:rsid w:val="00342FC3"/>
    <w:rsid w:val="00345843"/>
    <w:rsid w:val="003468D3"/>
    <w:rsid w:val="003479DA"/>
    <w:rsid w:val="00350AF5"/>
    <w:rsid w:val="00351458"/>
    <w:rsid w:val="00353431"/>
    <w:rsid w:val="0035613D"/>
    <w:rsid w:val="00356408"/>
    <w:rsid w:val="00356665"/>
    <w:rsid w:val="0036227E"/>
    <w:rsid w:val="003637B9"/>
    <w:rsid w:val="00363DA2"/>
    <w:rsid w:val="0036460D"/>
    <w:rsid w:val="003647AB"/>
    <w:rsid w:val="00364A60"/>
    <w:rsid w:val="00364D8C"/>
    <w:rsid w:val="00365887"/>
    <w:rsid w:val="003662F5"/>
    <w:rsid w:val="00366780"/>
    <w:rsid w:val="0036689F"/>
    <w:rsid w:val="003668DA"/>
    <w:rsid w:val="00367132"/>
    <w:rsid w:val="0036723C"/>
    <w:rsid w:val="00370096"/>
    <w:rsid w:val="0037105E"/>
    <w:rsid w:val="003721A6"/>
    <w:rsid w:val="0037339A"/>
    <w:rsid w:val="00373E92"/>
    <w:rsid w:val="00375ABF"/>
    <w:rsid w:val="003760FF"/>
    <w:rsid w:val="003779D9"/>
    <w:rsid w:val="00377A87"/>
    <w:rsid w:val="00383C7B"/>
    <w:rsid w:val="00385784"/>
    <w:rsid w:val="00385BD0"/>
    <w:rsid w:val="00386694"/>
    <w:rsid w:val="00387DF1"/>
    <w:rsid w:val="003907B6"/>
    <w:rsid w:val="003909A0"/>
    <w:rsid w:val="00392D61"/>
    <w:rsid w:val="00395B7C"/>
    <w:rsid w:val="003964E5"/>
    <w:rsid w:val="00396B93"/>
    <w:rsid w:val="00396C33"/>
    <w:rsid w:val="0039725B"/>
    <w:rsid w:val="00397291"/>
    <w:rsid w:val="00397566"/>
    <w:rsid w:val="00397C94"/>
    <w:rsid w:val="003A03AC"/>
    <w:rsid w:val="003A0830"/>
    <w:rsid w:val="003A176E"/>
    <w:rsid w:val="003A1870"/>
    <w:rsid w:val="003A2552"/>
    <w:rsid w:val="003A331F"/>
    <w:rsid w:val="003A4638"/>
    <w:rsid w:val="003A64D5"/>
    <w:rsid w:val="003A7525"/>
    <w:rsid w:val="003B0172"/>
    <w:rsid w:val="003B16DA"/>
    <w:rsid w:val="003B1A9D"/>
    <w:rsid w:val="003B2DA8"/>
    <w:rsid w:val="003B3044"/>
    <w:rsid w:val="003B483E"/>
    <w:rsid w:val="003B5334"/>
    <w:rsid w:val="003B5B59"/>
    <w:rsid w:val="003C3375"/>
    <w:rsid w:val="003C3C68"/>
    <w:rsid w:val="003C3F86"/>
    <w:rsid w:val="003C44FF"/>
    <w:rsid w:val="003C50E6"/>
    <w:rsid w:val="003C5CE4"/>
    <w:rsid w:val="003D06F8"/>
    <w:rsid w:val="003D10DB"/>
    <w:rsid w:val="003D1906"/>
    <w:rsid w:val="003D1E8E"/>
    <w:rsid w:val="003D2DE6"/>
    <w:rsid w:val="003D3072"/>
    <w:rsid w:val="003D3EE7"/>
    <w:rsid w:val="003D41AF"/>
    <w:rsid w:val="003D6532"/>
    <w:rsid w:val="003E58DD"/>
    <w:rsid w:val="003E59BC"/>
    <w:rsid w:val="003E67CB"/>
    <w:rsid w:val="003E70A7"/>
    <w:rsid w:val="003E73C2"/>
    <w:rsid w:val="003E77CB"/>
    <w:rsid w:val="003F0520"/>
    <w:rsid w:val="003F09C8"/>
    <w:rsid w:val="003F10CA"/>
    <w:rsid w:val="003F20E8"/>
    <w:rsid w:val="003F232C"/>
    <w:rsid w:val="003F2B4F"/>
    <w:rsid w:val="003F3272"/>
    <w:rsid w:val="003F4273"/>
    <w:rsid w:val="00400658"/>
    <w:rsid w:val="00400BAD"/>
    <w:rsid w:val="00402DD8"/>
    <w:rsid w:val="00403FE2"/>
    <w:rsid w:val="004043CA"/>
    <w:rsid w:val="00404ACD"/>
    <w:rsid w:val="00405C72"/>
    <w:rsid w:val="004061DF"/>
    <w:rsid w:val="004075D8"/>
    <w:rsid w:val="0041001A"/>
    <w:rsid w:val="0041103D"/>
    <w:rsid w:val="00411B01"/>
    <w:rsid w:val="004139F5"/>
    <w:rsid w:val="00414051"/>
    <w:rsid w:val="0041550C"/>
    <w:rsid w:val="0041632E"/>
    <w:rsid w:val="00416BF9"/>
    <w:rsid w:val="0042020A"/>
    <w:rsid w:val="00420A51"/>
    <w:rsid w:val="00422A18"/>
    <w:rsid w:val="00423DE1"/>
    <w:rsid w:val="00423E49"/>
    <w:rsid w:val="00425A39"/>
    <w:rsid w:val="00425DE7"/>
    <w:rsid w:val="00426262"/>
    <w:rsid w:val="004267A4"/>
    <w:rsid w:val="004267DF"/>
    <w:rsid w:val="00426AA5"/>
    <w:rsid w:val="00427023"/>
    <w:rsid w:val="00430FD7"/>
    <w:rsid w:val="00431053"/>
    <w:rsid w:val="00431917"/>
    <w:rsid w:val="00431C3E"/>
    <w:rsid w:val="004321E8"/>
    <w:rsid w:val="004324AA"/>
    <w:rsid w:val="00436323"/>
    <w:rsid w:val="004363C2"/>
    <w:rsid w:val="0043734A"/>
    <w:rsid w:val="004406F5"/>
    <w:rsid w:val="00441BE8"/>
    <w:rsid w:val="00441F82"/>
    <w:rsid w:val="0044215B"/>
    <w:rsid w:val="00442FB3"/>
    <w:rsid w:val="00443486"/>
    <w:rsid w:val="00443F26"/>
    <w:rsid w:val="00444758"/>
    <w:rsid w:val="00446A60"/>
    <w:rsid w:val="00446AF6"/>
    <w:rsid w:val="004477CA"/>
    <w:rsid w:val="00450668"/>
    <w:rsid w:val="00451EA4"/>
    <w:rsid w:val="0045314C"/>
    <w:rsid w:val="00453C8E"/>
    <w:rsid w:val="00453EC3"/>
    <w:rsid w:val="004552C4"/>
    <w:rsid w:val="0046057A"/>
    <w:rsid w:val="0046240E"/>
    <w:rsid w:val="00463814"/>
    <w:rsid w:val="0046422E"/>
    <w:rsid w:val="00467BF6"/>
    <w:rsid w:val="0047305D"/>
    <w:rsid w:val="00475619"/>
    <w:rsid w:val="00476AE9"/>
    <w:rsid w:val="00476B70"/>
    <w:rsid w:val="0048136D"/>
    <w:rsid w:val="00481EA7"/>
    <w:rsid w:val="0048208D"/>
    <w:rsid w:val="0048287D"/>
    <w:rsid w:val="00483444"/>
    <w:rsid w:val="00483BF6"/>
    <w:rsid w:val="00485B17"/>
    <w:rsid w:val="00485DC4"/>
    <w:rsid w:val="0048643A"/>
    <w:rsid w:val="00487FA1"/>
    <w:rsid w:val="00490796"/>
    <w:rsid w:val="004908F2"/>
    <w:rsid w:val="004908FA"/>
    <w:rsid w:val="00490AFB"/>
    <w:rsid w:val="00491F72"/>
    <w:rsid w:val="004924BD"/>
    <w:rsid w:val="00492E2D"/>
    <w:rsid w:val="0049453B"/>
    <w:rsid w:val="00494E7C"/>
    <w:rsid w:val="00496473"/>
    <w:rsid w:val="00496695"/>
    <w:rsid w:val="004A0044"/>
    <w:rsid w:val="004A13AA"/>
    <w:rsid w:val="004A18F2"/>
    <w:rsid w:val="004A1C6F"/>
    <w:rsid w:val="004A1C9B"/>
    <w:rsid w:val="004A2C4B"/>
    <w:rsid w:val="004A2EBF"/>
    <w:rsid w:val="004A2F12"/>
    <w:rsid w:val="004A30B4"/>
    <w:rsid w:val="004A3227"/>
    <w:rsid w:val="004A4B26"/>
    <w:rsid w:val="004A5442"/>
    <w:rsid w:val="004A5473"/>
    <w:rsid w:val="004A59C7"/>
    <w:rsid w:val="004B0235"/>
    <w:rsid w:val="004B02E9"/>
    <w:rsid w:val="004B28F2"/>
    <w:rsid w:val="004B5359"/>
    <w:rsid w:val="004B6E2F"/>
    <w:rsid w:val="004B79FF"/>
    <w:rsid w:val="004C0776"/>
    <w:rsid w:val="004C1167"/>
    <w:rsid w:val="004C2925"/>
    <w:rsid w:val="004C2A8F"/>
    <w:rsid w:val="004C39A7"/>
    <w:rsid w:val="004C3C35"/>
    <w:rsid w:val="004C3D84"/>
    <w:rsid w:val="004C4063"/>
    <w:rsid w:val="004C4603"/>
    <w:rsid w:val="004C55FE"/>
    <w:rsid w:val="004C5A63"/>
    <w:rsid w:val="004C5C55"/>
    <w:rsid w:val="004D02B7"/>
    <w:rsid w:val="004D089D"/>
    <w:rsid w:val="004D0FC9"/>
    <w:rsid w:val="004D1660"/>
    <w:rsid w:val="004D192B"/>
    <w:rsid w:val="004D1D8C"/>
    <w:rsid w:val="004D3E79"/>
    <w:rsid w:val="004D4802"/>
    <w:rsid w:val="004D7027"/>
    <w:rsid w:val="004E1761"/>
    <w:rsid w:val="004E3B06"/>
    <w:rsid w:val="004E48B8"/>
    <w:rsid w:val="004E6937"/>
    <w:rsid w:val="004E6E06"/>
    <w:rsid w:val="004E6F27"/>
    <w:rsid w:val="004E7227"/>
    <w:rsid w:val="004F02A7"/>
    <w:rsid w:val="004F0B96"/>
    <w:rsid w:val="004F0DEA"/>
    <w:rsid w:val="004F1B0C"/>
    <w:rsid w:val="004F20F8"/>
    <w:rsid w:val="004F2E7F"/>
    <w:rsid w:val="004F2E8E"/>
    <w:rsid w:val="004F35CF"/>
    <w:rsid w:val="004F4F12"/>
    <w:rsid w:val="004F6ED7"/>
    <w:rsid w:val="004F7090"/>
    <w:rsid w:val="00501099"/>
    <w:rsid w:val="0050206C"/>
    <w:rsid w:val="0050264C"/>
    <w:rsid w:val="00502A21"/>
    <w:rsid w:val="005040AF"/>
    <w:rsid w:val="005045B8"/>
    <w:rsid w:val="00504DEF"/>
    <w:rsid w:val="005072A9"/>
    <w:rsid w:val="005073E9"/>
    <w:rsid w:val="005122D7"/>
    <w:rsid w:val="005124E5"/>
    <w:rsid w:val="00513634"/>
    <w:rsid w:val="005143E8"/>
    <w:rsid w:val="005155EE"/>
    <w:rsid w:val="00515B0A"/>
    <w:rsid w:val="00515E4B"/>
    <w:rsid w:val="00517A6C"/>
    <w:rsid w:val="00520315"/>
    <w:rsid w:val="00521182"/>
    <w:rsid w:val="00521C5C"/>
    <w:rsid w:val="00522372"/>
    <w:rsid w:val="0052276C"/>
    <w:rsid w:val="00522841"/>
    <w:rsid w:val="00527E42"/>
    <w:rsid w:val="005302CF"/>
    <w:rsid w:val="005308F8"/>
    <w:rsid w:val="00530CF6"/>
    <w:rsid w:val="00531519"/>
    <w:rsid w:val="00531C70"/>
    <w:rsid w:val="00532AB3"/>
    <w:rsid w:val="00532B5A"/>
    <w:rsid w:val="0053342C"/>
    <w:rsid w:val="0053469D"/>
    <w:rsid w:val="00535743"/>
    <w:rsid w:val="0053575F"/>
    <w:rsid w:val="00541A8D"/>
    <w:rsid w:val="005425D8"/>
    <w:rsid w:val="005425FF"/>
    <w:rsid w:val="0054276F"/>
    <w:rsid w:val="00542A48"/>
    <w:rsid w:val="00543559"/>
    <w:rsid w:val="00543B7C"/>
    <w:rsid w:val="0054541B"/>
    <w:rsid w:val="00546927"/>
    <w:rsid w:val="00552394"/>
    <w:rsid w:val="0055546B"/>
    <w:rsid w:val="005558F8"/>
    <w:rsid w:val="00555E2A"/>
    <w:rsid w:val="00556AB1"/>
    <w:rsid w:val="005579C7"/>
    <w:rsid w:val="005609A7"/>
    <w:rsid w:val="00561E35"/>
    <w:rsid w:val="005632B6"/>
    <w:rsid w:val="00564C72"/>
    <w:rsid w:val="0056562C"/>
    <w:rsid w:val="005674C6"/>
    <w:rsid w:val="00570117"/>
    <w:rsid w:val="00570758"/>
    <w:rsid w:val="0057087D"/>
    <w:rsid w:val="005709FD"/>
    <w:rsid w:val="005737EC"/>
    <w:rsid w:val="005750D7"/>
    <w:rsid w:val="00576FF7"/>
    <w:rsid w:val="00577F60"/>
    <w:rsid w:val="00580A7A"/>
    <w:rsid w:val="0058236C"/>
    <w:rsid w:val="005825F3"/>
    <w:rsid w:val="005831A3"/>
    <w:rsid w:val="0058673A"/>
    <w:rsid w:val="00586C17"/>
    <w:rsid w:val="0058786E"/>
    <w:rsid w:val="0058798F"/>
    <w:rsid w:val="00590EBB"/>
    <w:rsid w:val="00591DED"/>
    <w:rsid w:val="005A009A"/>
    <w:rsid w:val="005A162A"/>
    <w:rsid w:val="005A18FF"/>
    <w:rsid w:val="005A3295"/>
    <w:rsid w:val="005A4217"/>
    <w:rsid w:val="005A570F"/>
    <w:rsid w:val="005B0FC8"/>
    <w:rsid w:val="005B13A1"/>
    <w:rsid w:val="005B1F8F"/>
    <w:rsid w:val="005B42F6"/>
    <w:rsid w:val="005B4F11"/>
    <w:rsid w:val="005B5290"/>
    <w:rsid w:val="005B61C7"/>
    <w:rsid w:val="005B6BE0"/>
    <w:rsid w:val="005B6C8B"/>
    <w:rsid w:val="005B74B9"/>
    <w:rsid w:val="005B7503"/>
    <w:rsid w:val="005B7F93"/>
    <w:rsid w:val="005C02BD"/>
    <w:rsid w:val="005C0F49"/>
    <w:rsid w:val="005C11C1"/>
    <w:rsid w:val="005C277E"/>
    <w:rsid w:val="005C343A"/>
    <w:rsid w:val="005C3D99"/>
    <w:rsid w:val="005C4031"/>
    <w:rsid w:val="005C45FB"/>
    <w:rsid w:val="005C61F8"/>
    <w:rsid w:val="005D0C86"/>
    <w:rsid w:val="005D27A2"/>
    <w:rsid w:val="005D3514"/>
    <w:rsid w:val="005D3D6D"/>
    <w:rsid w:val="005D4BBD"/>
    <w:rsid w:val="005D509E"/>
    <w:rsid w:val="005D5724"/>
    <w:rsid w:val="005D5CF4"/>
    <w:rsid w:val="005D6B23"/>
    <w:rsid w:val="005E3857"/>
    <w:rsid w:val="005E4764"/>
    <w:rsid w:val="005E4DD9"/>
    <w:rsid w:val="005E506D"/>
    <w:rsid w:val="005E612B"/>
    <w:rsid w:val="005E6A3F"/>
    <w:rsid w:val="005E6FC6"/>
    <w:rsid w:val="005E7ED2"/>
    <w:rsid w:val="005F5313"/>
    <w:rsid w:val="005F53A8"/>
    <w:rsid w:val="005F5BF1"/>
    <w:rsid w:val="005F6A2C"/>
    <w:rsid w:val="006016A2"/>
    <w:rsid w:val="0060201A"/>
    <w:rsid w:val="0060296A"/>
    <w:rsid w:val="00602A24"/>
    <w:rsid w:val="00604C56"/>
    <w:rsid w:val="006056A7"/>
    <w:rsid w:val="00605F36"/>
    <w:rsid w:val="006062B9"/>
    <w:rsid w:val="00610021"/>
    <w:rsid w:val="006100EA"/>
    <w:rsid w:val="0061011E"/>
    <w:rsid w:val="00611070"/>
    <w:rsid w:val="006179DA"/>
    <w:rsid w:val="006205F8"/>
    <w:rsid w:val="006242F5"/>
    <w:rsid w:val="006243D9"/>
    <w:rsid w:val="00625493"/>
    <w:rsid w:val="00625582"/>
    <w:rsid w:val="006258DF"/>
    <w:rsid w:val="00630831"/>
    <w:rsid w:val="00632032"/>
    <w:rsid w:val="00632146"/>
    <w:rsid w:val="006332BB"/>
    <w:rsid w:val="00633A99"/>
    <w:rsid w:val="006372A8"/>
    <w:rsid w:val="00637B67"/>
    <w:rsid w:val="00640347"/>
    <w:rsid w:val="0064135C"/>
    <w:rsid w:val="00641EA8"/>
    <w:rsid w:val="006435B9"/>
    <w:rsid w:val="00645313"/>
    <w:rsid w:val="00646DAB"/>
    <w:rsid w:val="0064753A"/>
    <w:rsid w:val="00650E7E"/>
    <w:rsid w:val="00651780"/>
    <w:rsid w:val="00652973"/>
    <w:rsid w:val="00652C9E"/>
    <w:rsid w:val="00652E82"/>
    <w:rsid w:val="00655971"/>
    <w:rsid w:val="00656679"/>
    <w:rsid w:val="0066034C"/>
    <w:rsid w:val="006606E2"/>
    <w:rsid w:val="00661832"/>
    <w:rsid w:val="00663057"/>
    <w:rsid w:val="006644A9"/>
    <w:rsid w:val="0066491A"/>
    <w:rsid w:val="006656DF"/>
    <w:rsid w:val="006673A6"/>
    <w:rsid w:val="00670220"/>
    <w:rsid w:val="00670875"/>
    <w:rsid w:val="006714C6"/>
    <w:rsid w:val="0067151B"/>
    <w:rsid w:val="0067311A"/>
    <w:rsid w:val="006741D6"/>
    <w:rsid w:val="00675514"/>
    <w:rsid w:val="00675F68"/>
    <w:rsid w:val="006761CD"/>
    <w:rsid w:val="00676CF9"/>
    <w:rsid w:val="006770B4"/>
    <w:rsid w:val="0067712D"/>
    <w:rsid w:val="00677C83"/>
    <w:rsid w:val="00682A97"/>
    <w:rsid w:val="00682EE3"/>
    <w:rsid w:val="0068319B"/>
    <w:rsid w:val="00684518"/>
    <w:rsid w:val="00685280"/>
    <w:rsid w:val="00685C02"/>
    <w:rsid w:val="00685CD6"/>
    <w:rsid w:val="00686193"/>
    <w:rsid w:val="00690A42"/>
    <w:rsid w:val="00692DD6"/>
    <w:rsid w:val="00696A48"/>
    <w:rsid w:val="00696EED"/>
    <w:rsid w:val="006A0D5C"/>
    <w:rsid w:val="006A3F27"/>
    <w:rsid w:val="006A4309"/>
    <w:rsid w:val="006A59B0"/>
    <w:rsid w:val="006A7C5C"/>
    <w:rsid w:val="006B0002"/>
    <w:rsid w:val="006B0591"/>
    <w:rsid w:val="006B10F8"/>
    <w:rsid w:val="006B19B5"/>
    <w:rsid w:val="006B2C35"/>
    <w:rsid w:val="006B2F3B"/>
    <w:rsid w:val="006B4DAA"/>
    <w:rsid w:val="006B5D92"/>
    <w:rsid w:val="006B6003"/>
    <w:rsid w:val="006B678D"/>
    <w:rsid w:val="006B687C"/>
    <w:rsid w:val="006B6DD1"/>
    <w:rsid w:val="006C32C9"/>
    <w:rsid w:val="006C3EFC"/>
    <w:rsid w:val="006C552A"/>
    <w:rsid w:val="006C5DA9"/>
    <w:rsid w:val="006C623C"/>
    <w:rsid w:val="006C70A7"/>
    <w:rsid w:val="006D0364"/>
    <w:rsid w:val="006D12D0"/>
    <w:rsid w:val="006D1AE8"/>
    <w:rsid w:val="006D2DDA"/>
    <w:rsid w:val="006D31CF"/>
    <w:rsid w:val="006D6409"/>
    <w:rsid w:val="006D7A35"/>
    <w:rsid w:val="006E0427"/>
    <w:rsid w:val="006E0FE8"/>
    <w:rsid w:val="006E169C"/>
    <w:rsid w:val="006E4507"/>
    <w:rsid w:val="006E5273"/>
    <w:rsid w:val="006E5471"/>
    <w:rsid w:val="006E5F42"/>
    <w:rsid w:val="006E77B7"/>
    <w:rsid w:val="006E7DCB"/>
    <w:rsid w:val="006F0551"/>
    <w:rsid w:val="006F1792"/>
    <w:rsid w:val="006F1AA8"/>
    <w:rsid w:val="006F295A"/>
    <w:rsid w:val="006F34B9"/>
    <w:rsid w:val="006F3D3E"/>
    <w:rsid w:val="006F50FD"/>
    <w:rsid w:val="006F51B5"/>
    <w:rsid w:val="006F52D9"/>
    <w:rsid w:val="006F5693"/>
    <w:rsid w:val="006F5F5D"/>
    <w:rsid w:val="006F6AAF"/>
    <w:rsid w:val="006F7555"/>
    <w:rsid w:val="006F7733"/>
    <w:rsid w:val="00700993"/>
    <w:rsid w:val="00702A38"/>
    <w:rsid w:val="007037A4"/>
    <w:rsid w:val="00703FEE"/>
    <w:rsid w:val="00704A88"/>
    <w:rsid w:val="00704E34"/>
    <w:rsid w:val="00705D5F"/>
    <w:rsid w:val="00711A53"/>
    <w:rsid w:val="007137BE"/>
    <w:rsid w:val="00713AD3"/>
    <w:rsid w:val="007140D8"/>
    <w:rsid w:val="007164B8"/>
    <w:rsid w:val="007165EE"/>
    <w:rsid w:val="0071671D"/>
    <w:rsid w:val="007205C1"/>
    <w:rsid w:val="00721F00"/>
    <w:rsid w:val="007251B8"/>
    <w:rsid w:val="00725573"/>
    <w:rsid w:val="00726D18"/>
    <w:rsid w:val="00726D1C"/>
    <w:rsid w:val="00726D65"/>
    <w:rsid w:val="0072725F"/>
    <w:rsid w:val="00731EC8"/>
    <w:rsid w:val="0073249A"/>
    <w:rsid w:val="00732592"/>
    <w:rsid w:val="00733939"/>
    <w:rsid w:val="00733BDD"/>
    <w:rsid w:val="00734014"/>
    <w:rsid w:val="007346A9"/>
    <w:rsid w:val="00734FB5"/>
    <w:rsid w:val="0073606A"/>
    <w:rsid w:val="00740F63"/>
    <w:rsid w:val="0074346D"/>
    <w:rsid w:val="00745B4E"/>
    <w:rsid w:val="00745D76"/>
    <w:rsid w:val="00750498"/>
    <w:rsid w:val="00751B26"/>
    <w:rsid w:val="0075295A"/>
    <w:rsid w:val="00755D76"/>
    <w:rsid w:val="00761DA7"/>
    <w:rsid w:val="0076387D"/>
    <w:rsid w:val="00763D2C"/>
    <w:rsid w:val="00764FE5"/>
    <w:rsid w:val="00765D85"/>
    <w:rsid w:val="007660FE"/>
    <w:rsid w:val="00767405"/>
    <w:rsid w:val="00767715"/>
    <w:rsid w:val="00767AA3"/>
    <w:rsid w:val="00770429"/>
    <w:rsid w:val="0077162F"/>
    <w:rsid w:val="007724A3"/>
    <w:rsid w:val="0077418C"/>
    <w:rsid w:val="00775F04"/>
    <w:rsid w:val="007763A5"/>
    <w:rsid w:val="007764D5"/>
    <w:rsid w:val="00776D0D"/>
    <w:rsid w:val="007807E6"/>
    <w:rsid w:val="00783662"/>
    <w:rsid w:val="0078375C"/>
    <w:rsid w:val="00783F44"/>
    <w:rsid w:val="007850E4"/>
    <w:rsid w:val="00785817"/>
    <w:rsid w:val="00787494"/>
    <w:rsid w:val="00787D91"/>
    <w:rsid w:val="00790550"/>
    <w:rsid w:val="007908A0"/>
    <w:rsid w:val="007919B1"/>
    <w:rsid w:val="00791EA1"/>
    <w:rsid w:val="00793CF1"/>
    <w:rsid w:val="00795135"/>
    <w:rsid w:val="007956D0"/>
    <w:rsid w:val="00795EC5"/>
    <w:rsid w:val="007962A2"/>
    <w:rsid w:val="00796387"/>
    <w:rsid w:val="00796F78"/>
    <w:rsid w:val="00797632"/>
    <w:rsid w:val="007A1FA5"/>
    <w:rsid w:val="007A2079"/>
    <w:rsid w:val="007A272F"/>
    <w:rsid w:val="007A398D"/>
    <w:rsid w:val="007A5E42"/>
    <w:rsid w:val="007A6E10"/>
    <w:rsid w:val="007A7D86"/>
    <w:rsid w:val="007B2B82"/>
    <w:rsid w:val="007B4AAD"/>
    <w:rsid w:val="007B4BC7"/>
    <w:rsid w:val="007B5887"/>
    <w:rsid w:val="007B61EF"/>
    <w:rsid w:val="007B6393"/>
    <w:rsid w:val="007B6854"/>
    <w:rsid w:val="007B711A"/>
    <w:rsid w:val="007C0553"/>
    <w:rsid w:val="007C1F63"/>
    <w:rsid w:val="007C1FC0"/>
    <w:rsid w:val="007C2191"/>
    <w:rsid w:val="007C3281"/>
    <w:rsid w:val="007C3F8A"/>
    <w:rsid w:val="007C4D9A"/>
    <w:rsid w:val="007C4E86"/>
    <w:rsid w:val="007C50A7"/>
    <w:rsid w:val="007D1D27"/>
    <w:rsid w:val="007D299C"/>
    <w:rsid w:val="007D4549"/>
    <w:rsid w:val="007D4E08"/>
    <w:rsid w:val="007D50D7"/>
    <w:rsid w:val="007D5120"/>
    <w:rsid w:val="007D62FA"/>
    <w:rsid w:val="007D78B0"/>
    <w:rsid w:val="007E06D7"/>
    <w:rsid w:val="007E2873"/>
    <w:rsid w:val="007E2D8C"/>
    <w:rsid w:val="007E4771"/>
    <w:rsid w:val="007E4C76"/>
    <w:rsid w:val="007E558E"/>
    <w:rsid w:val="007E610B"/>
    <w:rsid w:val="007E643A"/>
    <w:rsid w:val="007E6C37"/>
    <w:rsid w:val="007E7569"/>
    <w:rsid w:val="007E78F6"/>
    <w:rsid w:val="007F1287"/>
    <w:rsid w:val="007F2D9F"/>
    <w:rsid w:val="007F4050"/>
    <w:rsid w:val="007F540A"/>
    <w:rsid w:val="008001F8"/>
    <w:rsid w:val="008006CC"/>
    <w:rsid w:val="00800A2B"/>
    <w:rsid w:val="0080127A"/>
    <w:rsid w:val="00802AA9"/>
    <w:rsid w:val="008059EB"/>
    <w:rsid w:val="008066FB"/>
    <w:rsid w:val="00806C1C"/>
    <w:rsid w:val="00806D98"/>
    <w:rsid w:val="00806F5D"/>
    <w:rsid w:val="00807759"/>
    <w:rsid w:val="008102E3"/>
    <w:rsid w:val="00810962"/>
    <w:rsid w:val="00810DA8"/>
    <w:rsid w:val="00812DDB"/>
    <w:rsid w:val="008146F4"/>
    <w:rsid w:val="00814FC9"/>
    <w:rsid w:val="00816D03"/>
    <w:rsid w:val="00817663"/>
    <w:rsid w:val="00823A06"/>
    <w:rsid w:val="00824690"/>
    <w:rsid w:val="00826133"/>
    <w:rsid w:val="00826757"/>
    <w:rsid w:val="00826ED4"/>
    <w:rsid w:val="00827C46"/>
    <w:rsid w:val="008320DB"/>
    <w:rsid w:val="00832B79"/>
    <w:rsid w:val="00833871"/>
    <w:rsid w:val="008347BC"/>
    <w:rsid w:val="00834D98"/>
    <w:rsid w:val="0083548D"/>
    <w:rsid w:val="008358AD"/>
    <w:rsid w:val="0084030A"/>
    <w:rsid w:val="00840F32"/>
    <w:rsid w:val="00841F04"/>
    <w:rsid w:val="00842044"/>
    <w:rsid w:val="008422D9"/>
    <w:rsid w:val="00842D47"/>
    <w:rsid w:val="00843739"/>
    <w:rsid w:val="0084392D"/>
    <w:rsid w:val="00844D49"/>
    <w:rsid w:val="00845313"/>
    <w:rsid w:val="00845737"/>
    <w:rsid w:val="00845B3D"/>
    <w:rsid w:val="008473DF"/>
    <w:rsid w:val="00851D79"/>
    <w:rsid w:val="00852661"/>
    <w:rsid w:val="00853A72"/>
    <w:rsid w:val="00854570"/>
    <w:rsid w:val="0085725F"/>
    <w:rsid w:val="0085763E"/>
    <w:rsid w:val="00860D31"/>
    <w:rsid w:val="00862A73"/>
    <w:rsid w:val="00862AF9"/>
    <w:rsid w:val="00862D36"/>
    <w:rsid w:val="0086322C"/>
    <w:rsid w:val="00863FD4"/>
    <w:rsid w:val="00867DD5"/>
    <w:rsid w:val="00871AB4"/>
    <w:rsid w:val="00874396"/>
    <w:rsid w:val="0087467C"/>
    <w:rsid w:val="00874B7D"/>
    <w:rsid w:val="00874DA5"/>
    <w:rsid w:val="00874DEE"/>
    <w:rsid w:val="00875F69"/>
    <w:rsid w:val="00877531"/>
    <w:rsid w:val="00877C5D"/>
    <w:rsid w:val="00882E54"/>
    <w:rsid w:val="00883C5A"/>
    <w:rsid w:val="0088475D"/>
    <w:rsid w:val="00886436"/>
    <w:rsid w:val="00886EE6"/>
    <w:rsid w:val="00891B09"/>
    <w:rsid w:val="00891F8C"/>
    <w:rsid w:val="008923B6"/>
    <w:rsid w:val="008926BB"/>
    <w:rsid w:val="00894271"/>
    <w:rsid w:val="0089513A"/>
    <w:rsid w:val="008A1AA8"/>
    <w:rsid w:val="008A2141"/>
    <w:rsid w:val="008A27E6"/>
    <w:rsid w:val="008A2D38"/>
    <w:rsid w:val="008A571B"/>
    <w:rsid w:val="008A7A9F"/>
    <w:rsid w:val="008B0323"/>
    <w:rsid w:val="008B08A3"/>
    <w:rsid w:val="008B41A9"/>
    <w:rsid w:val="008B49F1"/>
    <w:rsid w:val="008B5183"/>
    <w:rsid w:val="008B5E3F"/>
    <w:rsid w:val="008B681A"/>
    <w:rsid w:val="008B6D82"/>
    <w:rsid w:val="008C0A74"/>
    <w:rsid w:val="008C23F6"/>
    <w:rsid w:val="008C3044"/>
    <w:rsid w:val="008C3CE8"/>
    <w:rsid w:val="008C4150"/>
    <w:rsid w:val="008C51AE"/>
    <w:rsid w:val="008C7A74"/>
    <w:rsid w:val="008D0715"/>
    <w:rsid w:val="008D0733"/>
    <w:rsid w:val="008D17F5"/>
    <w:rsid w:val="008D1A75"/>
    <w:rsid w:val="008D2975"/>
    <w:rsid w:val="008D44AE"/>
    <w:rsid w:val="008D5086"/>
    <w:rsid w:val="008D5144"/>
    <w:rsid w:val="008D566B"/>
    <w:rsid w:val="008D5C6B"/>
    <w:rsid w:val="008D5EDE"/>
    <w:rsid w:val="008D67DE"/>
    <w:rsid w:val="008D7ACA"/>
    <w:rsid w:val="008E0BA2"/>
    <w:rsid w:val="008E1997"/>
    <w:rsid w:val="008E1B5B"/>
    <w:rsid w:val="008E59A7"/>
    <w:rsid w:val="008E69F6"/>
    <w:rsid w:val="008E7F88"/>
    <w:rsid w:val="008F20BA"/>
    <w:rsid w:val="008F2CF6"/>
    <w:rsid w:val="008F3BCB"/>
    <w:rsid w:val="008F5B5E"/>
    <w:rsid w:val="00901B46"/>
    <w:rsid w:val="00901E91"/>
    <w:rsid w:val="009030B3"/>
    <w:rsid w:val="00904CD2"/>
    <w:rsid w:val="009058B5"/>
    <w:rsid w:val="00906173"/>
    <w:rsid w:val="009110A7"/>
    <w:rsid w:val="0091113E"/>
    <w:rsid w:val="009138F2"/>
    <w:rsid w:val="00913A48"/>
    <w:rsid w:val="00913B7E"/>
    <w:rsid w:val="009177B2"/>
    <w:rsid w:val="0092164C"/>
    <w:rsid w:val="0092193F"/>
    <w:rsid w:val="009228A1"/>
    <w:rsid w:val="00923192"/>
    <w:rsid w:val="009255D7"/>
    <w:rsid w:val="00925F4F"/>
    <w:rsid w:val="00931031"/>
    <w:rsid w:val="00931CE5"/>
    <w:rsid w:val="009329C2"/>
    <w:rsid w:val="00933317"/>
    <w:rsid w:val="00933990"/>
    <w:rsid w:val="00934048"/>
    <w:rsid w:val="009349CE"/>
    <w:rsid w:val="00936CA2"/>
    <w:rsid w:val="00937AB2"/>
    <w:rsid w:val="00941875"/>
    <w:rsid w:val="0094388B"/>
    <w:rsid w:val="00944EE0"/>
    <w:rsid w:val="00945E60"/>
    <w:rsid w:val="009461ED"/>
    <w:rsid w:val="00947B6F"/>
    <w:rsid w:val="0095029D"/>
    <w:rsid w:val="0095033A"/>
    <w:rsid w:val="00951A0A"/>
    <w:rsid w:val="0095328C"/>
    <w:rsid w:val="009538E6"/>
    <w:rsid w:val="00953EE6"/>
    <w:rsid w:val="00954D70"/>
    <w:rsid w:val="00954DAA"/>
    <w:rsid w:val="009561CF"/>
    <w:rsid w:val="00956C80"/>
    <w:rsid w:val="00962305"/>
    <w:rsid w:val="009625A3"/>
    <w:rsid w:val="0096308D"/>
    <w:rsid w:val="00963C43"/>
    <w:rsid w:val="00965D4B"/>
    <w:rsid w:val="00966586"/>
    <w:rsid w:val="00966BCB"/>
    <w:rsid w:val="009704E4"/>
    <w:rsid w:val="0097291F"/>
    <w:rsid w:val="00972D5C"/>
    <w:rsid w:val="00973650"/>
    <w:rsid w:val="00973770"/>
    <w:rsid w:val="0097476F"/>
    <w:rsid w:val="00975017"/>
    <w:rsid w:val="00976DC0"/>
    <w:rsid w:val="00977201"/>
    <w:rsid w:val="009775C7"/>
    <w:rsid w:val="00982210"/>
    <w:rsid w:val="009846CE"/>
    <w:rsid w:val="00984F77"/>
    <w:rsid w:val="00986BBB"/>
    <w:rsid w:val="00987364"/>
    <w:rsid w:val="009879E6"/>
    <w:rsid w:val="009914CE"/>
    <w:rsid w:val="00991904"/>
    <w:rsid w:val="00991A89"/>
    <w:rsid w:val="00992227"/>
    <w:rsid w:val="00992244"/>
    <w:rsid w:val="00994198"/>
    <w:rsid w:val="009946A0"/>
    <w:rsid w:val="0099635C"/>
    <w:rsid w:val="0099701C"/>
    <w:rsid w:val="00997269"/>
    <w:rsid w:val="009973D6"/>
    <w:rsid w:val="0099787C"/>
    <w:rsid w:val="009A003F"/>
    <w:rsid w:val="009A0B7C"/>
    <w:rsid w:val="009A34D8"/>
    <w:rsid w:val="009A416D"/>
    <w:rsid w:val="009A5A94"/>
    <w:rsid w:val="009A6AB6"/>
    <w:rsid w:val="009B00D3"/>
    <w:rsid w:val="009B0D5E"/>
    <w:rsid w:val="009B1405"/>
    <w:rsid w:val="009B3B83"/>
    <w:rsid w:val="009B3E11"/>
    <w:rsid w:val="009B3F88"/>
    <w:rsid w:val="009C07E7"/>
    <w:rsid w:val="009C1163"/>
    <w:rsid w:val="009C22BE"/>
    <w:rsid w:val="009C275C"/>
    <w:rsid w:val="009C4339"/>
    <w:rsid w:val="009C649C"/>
    <w:rsid w:val="009C6A72"/>
    <w:rsid w:val="009C76D5"/>
    <w:rsid w:val="009D3C6E"/>
    <w:rsid w:val="009D509D"/>
    <w:rsid w:val="009D5B38"/>
    <w:rsid w:val="009D67B5"/>
    <w:rsid w:val="009D7249"/>
    <w:rsid w:val="009D7A7F"/>
    <w:rsid w:val="009E231A"/>
    <w:rsid w:val="009E2BC4"/>
    <w:rsid w:val="009E2F64"/>
    <w:rsid w:val="009E3657"/>
    <w:rsid w:val="009E468A"/>
    <w:rsid w:val="009E5BDB"/>
    <w:rsid w:val="009E62CD"/>
    <w:rsid w:val="009E6524"/>
    <w:rsid w:val="009E6D6B"/>
    <w:rsid w:val="009E7852"/>
    <w:rsid w:val="009E7C05"/>
    <w:rsid w:val="009F0052"/>
    <w:rsid w:val="009F27B9"/>
    <w:rsid w:val="009F32B3"/>
    <w:rsid w:val="009F3633"/>
    <w:rsid w:val="009F3C78"/>
    <w:rsid w:val="009F4403"/>
    <w:rsid w:val="009F4420"/>
    <w:rsid w:val="009F4943"/>
    <w:rsid w:val="009F5B98"/>
    <w:rsid w:val="009F5F28"/>
    <w:rsid w:val="009F698A"/>
    <w:rsid w:val="009F6C7D"/>
    <w:rsid w:val="00A04101"/>
    <w:rsid w:val="00A0428E"/>
    <w:rsid w:val="00A048E9"/>
    <w:rsid w:val="00A04A54"/>
    <w:rsid w:val="00A05960"/>
    <w:rsid w:val="00A05F73"/>
    <w:rsid w:val="00A06F0F"/>
    <w:rsid w:val="00A07A42"/>
    <w:rsid w:val="00A1009F"/>
    <w:rsid w:val="00A106B1"/>
    <w:rsid w:val="00A10A6B"/>
    <w:rsid w:val="00A10E2B"/>
    <w:rsid w:val="00A110C7"/>
    <w:rsid w:val="00A11927"/>
    <w:rsid w:val="00A1196C"/>
    <w:rsid w:val="00A13CB4"/>
    <w:rsid w:val="00A14D3C"/>
    <w:rsid w:val="00A22316"/>
    <w:rsid w:val="00A2259C"/>
    <w:rsid w:val="00A23215"/>
    <w:rsid w:val="00A26CD8"/>
    <w:rsid w:val="00A270F0"/>
    <w:rsid w:val="00A30084"/>
    <w:rsid w:val="00A318BC"/>
    <w:rsid w:val="00A330C3"/>
    <w:rsid w:val="00A34486"/>
    <w:rsid w:val="00A35CF7"/>
    <w:rsid w:val="00A3687B"/>
    <w:rsid w:val="00A36FBC"/>
    <w:rsid w:val="00A40215"/>
    <w:rsid w:val="00A416C3"/>
    <w:rsid w:val="00A421FA"/>
    <w:rsid w:val="00A42303"/>
    <w:rsid w:val="00A439C7"/>
    <w:rsid w:val="00A44AAF"/>
    <w:rsid w:val="00A4683A"/>
    <w:rsid w:val="00A468C9"/>
    <w:rsid w:val="00A50895"/>
    <w:rsid w:val="00A50B97"/>
    <w:rsid w:val="00A5244B"/>
    <w:rsid w:val="00A533CE"/>
    <w:rsid w:val="00A54848"/>
    <w:rsid w:val="00A562B5"/>
    <w:rsid w:val="00A56E7E"/>
    <w:rsid w:val="00A61B75"/>
    <w:rsid w:val="00A61EE5"/>
    <w:rsid w:val="00A62770"/>
    <w:rsid w:val="00A627AE"/>
    <w:rsid w:val="00A65B6B"/>
    <w:rsid w:val="00A6632D"/>
    <w:rsid w:val="00A678C6"/>
    <w:rsid w:val="00A67947"/>
    <w:rsid w:val="00A67A12"/>
    <w:rsid w:val="00A70C91"/>
    <w:rsid w:val="00A71C4F"/>
    <w:rsid w:val="00A73318"/>
    <w:rsid w:val="00A73A84"/>
    <w:rsid w:val="00A80E2B"/>
    <w:rsid w:val="00A82207"/>
    <w:rsid w:val="00A85048"/>
    <w:rsid w:val="00A85807"/>
    <w:rsid w:val="00A86AC1"/>
    <w:rsid w:val="00A8793B"/>
    <w:rsid w:val="00A90D66"/>
    <w:rsid w:val="00A928AA"/>
    <w:rsid w:val="00A92B2F"/>
    <w:rsid w:val="00A93317"/>
    <w:rsid w:val="00A93867"/>
    <w:rsid w:val="00A93B98"/>
    <w:rsid w:val="00A94452"/>
    <w:rsid w:val="00A94900"/>
    <w:rsid w:val="00A94E9E"/>
    <w:rsid w:val="00A9671D"/>
    <w:rsid w:val="00A9747C"/>
    <w:rsid w:val="00A97524"/>
    <w:rsid w:val="00AA0E4C"/>
    <w:rsid w:val="00AA16F3"/>
    <w:rsid w:val="00AA19E7"/>
    <w:rsid w:val="00AA19F8"/>
    <w:rsid w:val="00AA44D4"/>
    <w:rsid w:val="00AA4607"/>
    <w:rsid w:val="00AA4B54"/>
    <w:rsid w:val="00AA61A3"/>
    <w:rsid w:val="00AA61C9"/>
    <w:rsid w:val="00AA62EB"/>
    <w:rsid w:val="00AA7DFB"/>
    <w:rsid w:val="00AB01E9"/>
    <w:rsid w:val="00AB0C16"/>
    <w:rsid w:val="00AB244D"/>
    <w:rsid w:val="00AB3D41"/>
    <w:rsid w:val="00AB452E"/>
    <w:rsid w:val="00AB4AE3"/>
    <w:rsid w:val="00AB5B6F"/>
    <w:rsid w:val="00AB5FB5"/>
    <w:rsid w:val="00AB6129"/>
    <w:rsid w:val="00AB718B"/>
    <w:rsid w:val="00AC1A2D"/>
    <w:rsid w:val="00AC30EB"/>
    <w:rsid w:val="00AC3467"/>
    <w:rsid w:val="00AC3D15"/>
    <w:rsid w:val="00AC4BCA"/>
    <w:rsid w:val="00AC51BA"/>
    <w:rsid w:val="00AC688A"/>
    <w:rsid w:val="00AC6F82"/>
    <w:rsid w:val="00AD1291"/>
    <w:rsid w:val="00AD3A32"/>
    <w:rsid w:val="00AD3CB7"/>
    <w:rsid w:val="00AD3E26"/>
    <w:rsid w:val="00AD4812"/>
    <w:rsid w:val="00AD4D4D"/>
    <w:rsid w:val="00AD6B2F"/>
    <w:rsid w:val="00AD7077"/>
    <w:rsid w:val="00AE0ED1"/>
    <w:rsid w:val="00AF01D4"/>
    <w:rsid w:val="00AF0BDA"/>
    <w:rsid w:val="00AF1005"/>
    <w:rsid w:val="00AF3055"/>
    <w:rsid w:val="00AF591F"/>
    <w:rsid w:val="00AF5A38"/>
    <w:rsid w:val="00AF5EFE"/>
    <w:rsid w:val="00B005DC"/>
    <w:rsid w:val="00B007A7"/>
    <w:rsid w:val="00B0142B"/>
    <w:rsid w:val="00B04F23"/>
    <w:rsid w:val="00B05F5C"/>
    <w:rsid w:val="00B07369"/>
    <w:rsid w:val="00B12AE5"/>
    <w:rsid w:val="00B13AB3"/>
    <w:rsid w:val="00B165AD"/>
    <w:rsid w:val="00B17964"/>
    <w:rsid w:val="00B2040B"/>
    <w:rsid w:val="00B208D9"/>
    <w:rsid w:val="00B21093"/>
    <w:rsid w:val="00B21515"/>
    <w:rsid w:val="00B22EAC"/>
    <w:rsid w:val="00B23BA9"/>
    <w:rsid w:val="00B24A06"/>
    <w:rsid w:val="00B261B9"/>
    <w:rsid w:val="00B26336"/>
    <w:rsid w:val="00B301FA"/>
    <w:rsid w:val="00B30CED"/>
    <w:rsid w:val="00B31792"/>
    <w:rsid w:val="00B31C2F"/>
    <w:rsid w:val="00B3357A"/>
    <w:rsid w:val="00B33E99"/>
    <w:rsid w:val="00B35753"/>
    <w:rsid w:val="00B36D51"/>
    <w:rsid w:val="00B37A5E"/>
    <w:rsid w:val="00B4067D"/>
    <w:rsid w:val="00B41272"/>
    <w:rsid w:val="00B426FE"/>
    <w:rsid w:val="00B42C98"/>
    <w:rsid w:val="00B43264"/>
    <w:rsid w:val="00B43F63"/>
    <w:rsid w:val="00B44D91"/>
    <w:rsid w:val="00B4557F"/>
    <w:rsid w:val="00B455E5"/>
    <w:rsid w:val="00B45692"/>
    <w:rsid w:val="00B45C91"/>
    <w:rsid w:val="00B4634B"/>
    <w:rsid w:val="00B4703E"/>
    <w:rsid w:val="00B47493"/>
    <w:rsid w:val="00B479ED"/>
    <w:rsid w:val="00B50D82"/>
    <w:rsid w:val="00B50EA9"/>
    <w:rsid w:val="00B5189B"/>
    <w:rsid w:val="00B52516"/>
    <w:rsid w:val="00B52EA6"/>
    <w:rsid w:val="00B54C8A"/>
    <w:rsid w:val="00B62746"/>
    <w:rsid w:val="00B64D16"/>
    <w:rsid w:val="00B66450"/>
    <w:rsid w:val="00B66BB0"/>
    <w:rsid w:val="00B70E4A"/>
    <w:rsid w:val="00B71584"/>
    <w:rsid w:val="00B71DCC"/>
    <w:rsid w:val="00B72583"/>
    <w:rsid w:val="00B72ADC"/>
    <w:rsid w:val="00B72B5A"/>
    <w:rsid w:val="00B75F5A"/>
    <w:rsid w:val="00B77043"/>
    <w:rsid w:val="00B803B9"/>
    <w:rsid w:val="00B8067E"/>
    <w:rsid w:val="00B81300"/>
    <w:rsid w:val="00B817C9"/>
    <w:rsid w:val="00B81A1A"/>
    <w:rsid w:val="00B81ED4"/>
    <w:rsid w:val="00B82740"/>
    <w:rsid w:val="00B82A84"/>
    <w:rsid w:val="00B82EB4"/>
    <w:rsid w:val="00B84F46"/>
    <w:rsid w:val="00B85515"/>
    <w:rsid w:val="00B8699C"/>
    <w:rsid w:val="00B86D06"/>
    <w:rsid w:val="00B8784D"/>
    <w:rsid w:val="00B8791E"/>
    <w:rsid w:val="00B90125"/>
    <w:rsid w:val="00B9031D"/>
    <w:rsid w:val="00B906EC"/>
    <w:rsid w:val="00B917C5"/>
    <w:rsid w:val="00B92123"/>
    <w:rsid w:val="00B92669"/>
    <w:rsid w:val="00B93209"/>
    <w:rsid w:val="00B93DBD"/>
    <w:rsid w:val="00B97CC6"/>
    <w:rsid w:val="00BA0B79"/>
    <w:rsid w:val="00BA2BFD"/>
    <w:rsid w:val="00BA565A"/>
    <w:rsid w:val="00BA5920"/>
    <w:rsid w:val="00BA685D"/>
    <w:rsid w:val="00BA6E4C"/>
    <w:rsid w:val="00BB077D"/>
    <w:rsid w:val="00BB0F9E"/>
    <w:rsid w:val="00BB10AD"/>
    <w:rsid w:val="00BB113D"/>
    <w:rsid w:val="00BB1419"/>
    <w:rsid w:val="00BB2D8A"/>
    <w:rsid w:val="00BB4920"/>
    <w:rsid w:val="00BB4C36"/>
    <w:rsid w:val="00BB4F25"/>
    <w:rsid w:val="00BB54E5"/>
    <w:rsid w:val="00BB7BF8"/>
    <w:rsid w:val="00BC0145"/>
    <w:rsid w:val="00BC191A"/>
    <w:rsid w:val="00BC25E0"/>
    <w:rsid w:val="00BC3937"/>
    <w:rsid w:val="00BC4618"/>
    <w:rsid w:val="00BC539D"/>
    <w:rsid w:val="00BC55C5"/>
    <w:rsid w:val="00BC5704"/>
    <w:rsid w:val="00BC770A"/>
    <w:rsid w:val="00BC7C47"/>
    <w:rsid w:val="00BD1598"/>
    <w:rsid w:val="00BD330D"/>
    <w:rsid w:val="00BD670B"/>
    <w:rsid w:val="00BD74CF"/>
    <w:rsid w:val="00BD7547"/>
    <w:rsid w:val="00BE1040"/>
    <w:rsid w:val="00BE1142"/>
    <w:rsid w:val="00BE1D8D"/>
    <w:rsid w:val="00BE3713"/>
    <w:rsid w:val="00BE447E"/>
    <w:rsid w:val="00BE5369"/>
    <w:rsid w:val="00BE5CBC"/>
    <w:rsid w:val="00BE6567"/>
    <w:rsid w:val="00BE7821"/>
    <w:rsid w:val="00BF08BD"/>
    <w:rsid w:val="00BF0AC4"/>
    <w:rsid w:val="00BF1DBC"/>
    <w:rsid w:val="00BF23D5"/>
    <w:rsid w:val="00BF293E"/>
    <w:rsid w:val="00BF382F"/>
    <w:rsid w:val="00BF690E"/>
    <w:rsid w:val="00BF726B"/>
    <w:rsid w:val="00C00996"/>
    <w:rsid w:val="00C053D5"/>
    <w:rsid w:val="00C058BB"/>
    <w:rsid w:val="00C064B0"/>
    <w:rsid w:val="00C073F7"/>
    <w:rsid w:val="00C1166C"/>
    <w:rsid w:val="00C12104"/>
    <w:rsid w:val="00C133FD"/>
    <w:rsid w:val="00C14CB7"/>
    <w:rsid w:val="00C1624F"/>
    <w:rsid w:val="00C178FE"/>
    <w:rsid w:val="00C17F0B"/>
    <w:rsid w:val="00C203A9"/>
    <w:rsid w:val="00C204B1"/>
    <w:rsid w:val="00C20A76"/>
    <w:rsid w:val="00C24AC4"/>
    <w:rsid w:val="00C24D97"/>
    <w:rsid w:val="00C25463"/>
    <w:rsid w:val="00C26CC7"/>
    <w:rsid w:val="00C30307"/>
    <w:rsid w:val="00C312B0"/>
    <w:rsid w:val="00C320D9"/>
    <w:rsid w:val="00C322EA"/>
    <w:rsid w:val="00C33FB6"/>
    <w:rsid w:val="00C34135"/>
    <w:rsid w:val="00C365D6"/>
    <w:rsid w:val="00C37003"/>
    <w:rsid w:val="00C405C1"/>
    <w:rsid w:val="00C4093B"/>
    <w:rsid w:val="00C40FBD"/>
    <w:rsid w:val="00C42E06"/>
    <w:rsid w:val="00C444D6"/>
    <w:rsid w:val="00C467F7"/>
    <w:rsid w:val="00C500BE"/>
    <w:rsid w:val="00C50933"/>
    <w:rsid w:val="00C5203F"/>
    <w:rsid w:val="00C528AE"/>
    <w:rsid w:val="00C535A4"/>
    <w:rsid w:val="00C53612"/>
    <w:rsid w:val="00C53A5F"/>
    <w:rsid w:val="00C54125"/>
    <w:rsid w:val="00C5417E"/>
    <w:rsid w:val="00C55E00"/>
    <w:rsid w:val="00C57137"/>
    <w:rsid w:val="00C62BD5"/>
    <w:rsid w:val="00C63294"/>
    <w:rsid w:val="00C6442A"/>
    <w:rsid w:val="00C70619"/>
    <w:rsid w:val="00C70FEA"/>
    <w:rsid w:val="00C71522"/>
    <w:rsid w:val="00C71FAF"/>
    <w:rsid w:val="00C72B7F"/>
    <w:rsid w:val="00C72B96"/>
    <w:rsid w:val="00C73A6A"/>
    <w:rsid w:val="00C742ED"/>
    <w:rsid w:val="00C74664"/>
    <w:rsid w:val="00C7653D"/>
    <w:rsid w:val="00C770CD"/>
    <w:rsid w:val="00C77148"/>
    <w:rsid w:val="00C77DC6"/>
    <w:rsid w:val="00C801DA"/>
    <w:rsid w:val="00C80F21"/>
    <w:rsid w:val="00C81C7E"/>
    <w:rsid w:val="00C833F1"/>
    <w:rsid w:val="00C8773D"/>
    <w:rsid w:val="00C87755"/>
    <w:rsid w:val="00C87C52"/>
    <w:rsid w:val="00C90D41"/>
    <w:rsid w:val="00C90F81"/>
    <w:rsid w:val="00C926F0"/>
    <w:rsid w:val="00C92CCE"/>
    <w:rsid w:val="00C950CD"/>
    <w:rsid w:val="00C954F6"/>
    <w:rsid w:val="00C9656D"/>
    <w:rsid w:val="00C9671D"/>
    <w:rsid w:val="00C968AC"/>
    <w:rsid w:val="00C96D24"/>
    <w:rsid w:val="00C96FAA"/>
    <w:rsid w:val="00CA38DD"/>
    <w:rsid w:val="00CA4A5A"/>
    <w:rsid w:val="00CA4AFC"/>
    <w:rsid w:val="00CA584D"/>
    <w:rsid w:val="00CA661F"/>
    <w:rsid w:val="00CA678C"/>
    <w:rsid w:val="00CA7736"/>
    <w:rsid w:val="00CB0F5D"/>
    <w:rsid w:val="00CB3075"/>
    <w:rsid w:val="00CB4031"/>
    <w:rsid w:val="00CB4808"/>
    <w:rsid w:val="00CB5253"/>
    <w:rsid w:val="00CB5D6B"/>
    <w:rsid w:val="00CB5F11"/>
    <w:rsid w:val="00CB7B06"/>
    <w:rsid w:val="00CC2C52"/>
    <w:rsid w:val="00CC31E2"/>
    <w:rsid w:val="00CC398E"/>
    <w:rsid w:val="00CC42BD"/>
    <w:rsid w:val="00CC5059"/>
    <w:rsid w:val="00CC5753"/>
    <w:rsid w:val="00CC5B9F"/>
    <w:rsid w:val="00CC6C09"/>
    <w:rsid w:val="00CD0D65"/>
    <w:rsid w:val="00CD0E84"/>
    <w:rsid w:val="00CD4E24"/>
    <w:rsid w:val="00CD525B"/>
    <w:rsid w:val="00CD5E63"/>
    <w:rsid w:val="00CD5F32"/>
    <w:rsid w:val="00CD670C"/>
    <w:rsid w:val="00CD6F3E"/>
    <w:rsid w:val="00CD74E4"/>
    <w:rsid w:val="00CD7B96"/>
    <w:rsid w:val="00CE0C85"/>
    <w:rsid w:val="00CE0FE3"/>
    <w:rsid w:val="00CE1236"/>
    <w:rsid w:val="00CE1574"/>
    <w:rsid w:val="00CE3B29"/>
    <w:rsid w:val="00CE3F76"/>
    <w:rsid w:val="00CE5332"/>
    <w:rsid w:val="00CE5860"/>
    <w:rsid w:val="00CE586A"/>
    <w:rsid w:val="00CE684E"/>
    <w:rsid w:val="00CF0C3D"/>
    <w:rsid w:val="00CF242F"/>
    <w:rsid w:val="00CF2A2B"/>
    <w:rsid w:val="00CF38E1"/>
    <w:rsid w:val="00CF4E81"/>
    <w:rsid w:val="00CF62F2"/>
    <w:rsid w:val="00CF673E"/>
    <w:rsid w:val="00CF7562"/>
    <w:rsid w:val="00D00C34"/>
    <w:rsid w:val="00D050EE"/>
    <w:rsid w:val="00D0572C"/>
    <w:rsid w:val="00D05DE4"/>
    <w:rsid w:val="00D0743C"/>
    <w:rsid w:val="00D07A19"/>
    <w:rsid w:val="00D1062C"/>
    <w:rsid w:val="00D10B90"/>
    <w:rsid w:val="00D11955"/>
    <w:rsid w:val="00D12158"/>
    <w:rsid w:val="00D121BE"/>
    <w:rsid w:val="00D1353F"/>
    <w:rsid w:val="00D13D8E"/>
    <w:rsid w:val="00D13E28"/>
    <w:rsid w:val="00D145CA"/>
    <w:rsid w:val="00D15227"/>
    <w:rsid w:val="00D16515"/>
    <w:rsid w:val="00D16D0C"/>
    <w:rsid w:val="00D17191"/>
    <w:rsid w:val="00D17A2D"/>
    <w:rsid w:val="00D21CA4"/>
    <w:rsid w:val="00D22055"/>
    <w:rsid w:val="00D227DA"/>
    <w:rsid w:val="00D24309"/>
    <w:rsid w:val="00D2671B"/>
    <w:rsid w:val="00D278B5"/>
    <w:rsid w:val="00D33DE9"/>
    <w:rsid w:val="00D3657D"/>
    <w:rsid w:val="00D36DB4"/>
    <w:rsid w:val="00D37E25"/>
    <w:rsid w:val="00D4063E"/>
    <w:rsid w:val="00D411A2"/>
    <w:rsid w:val="00D41A75"/>
    <w:rsid w:val="00D43B5F"/>
    <w:rsid w:val="00D44D02"/>
    <w:rsid w:val="00D47965"/>
    <w:rsid w:val="00D505EF"/>
    <w:rsid w:val="00D5167C"/>
    <w:rsid w:val="00D518EB"/>
    <w:rsid w:val="00D54E35"/>
    <w:rsid w:val="00D55006"/>
    <w:rsid w:val="00D55446"/>
    <w:rsid w:val="00D55583"/>
    <w:rsid w:val="00D5583B"/>
    <w:rsid w:val="00D61643"/>
    <w:rsid w:val="00D61F98"/>
    <w:rsid w:val="00D62674"/>
    <w:rsid w:val="00D64C6C"/>
    <w:rsid w:val="00D650F5"/>
    <w:rsid w:val="00D66EF6"/>
    <w:rsid w:val="00D67821"/>
    <w:rsid w:val="00D702B8"/>
    <w:rsid w:val="00D73B3C"/>
    <w:rsid w:val="00D7500E"/>
    <w:rsid w:val="00D76C99"/>
    <w:rsid w:val="00D80507"/>
    <w:rsid w:val="00D806B0"/>
    <w:rsid w:val="00D80780"/>
    <w:rsid w:val="00D83901"/>
    <w:rsid w:val="00D8479D"/>
    <w:rsid w:val="00D853B6"/>
    <w:rsid w:val="00D87A33"/>
    <w:rsid w:val="00D912CF"/>
    <w:rsid w:val="00D94238"/>
    <w:rsid w:val="00D97346"/>
    <w:rsid w:val="00DA0DBA"/>
    <w:rsid w:val="00DA1221"/>
    <w:rsid w:val="00DA2801"/>
    <w:rsid w:val="00DA5017"/>
    <w:rsid w:val="00DA5075"/>
    <w:rsid w:val="00DA514B"/>
    <w:rsid w:val="00DA5451"/>
    <w:rsid w:val="00DA59AF"/>
    <w:rsid w:val="00DA62BB"/>
    <w:rsid w:val="00DA7D1F"/>
    <w:rsid w:val="00DA7F60"/>
    <w:rsid w:val="00DB28F1"/>
    <w:rsid w:val="00DB32FF"/>
    <w:rsid w:val="00DB3DF3"/>
    <w:rsid w:val="00DB4290"/>
    <w:rsid w:val="00DB50D2"/>
    <w:rsid w:val="00DB599C"/>
    <w:rsid w:val="00DB5D22"/>
    <w:rsid w:val="00DB685D"/>
    <w:rsid w:val="00DC06CB"/>
    <w:rsid w:val="00DC0CED"/>
    <w:rsid w:val="00DC14A3"/>
    <w:rsid w:val="00DC22D5"/>
    <w:rsid w:val="00DC2336"/>
    <w:rsid w:val="00DC257B"/>
    <w:rsid w:val="00DC52E4"/>
    <w:rsid w:val="00DC5836"/>
    <w:rsid w:val="00DC5F5C"/>
    <w:rsid w:val="00DC6A77"/>
    <w:rsid w:val="00DD2EC5"/>
    <w:rsid w:val="00DD465D"/>
    <w:rsid w:val="00DD5469"/>
    <w:rsid w:val="00DD5E6D"/>
    <w:rsid w:val="00DD6285"/>
    <w:rsid w:val="00DD645D"/>
    <w:rsid w:val="00DD763A"/>
    <w:rsid w:val="00DD7AE9"/>
    <w:rsid w:val="00DD7BFB"/>
    <w:rsid w:val="00DE0721"/>
    <w:rsid w:val="00DE1174"/>
    <w:rsid w:val="00DE1395"/>
    <w:rsid w:val="00DE19E5"/>
    <w:rsid w:val="00DE245F"/>
    <w:rsid w:val="00DE2C71"/>
    <w:rsid w:val="00DE4990"/>
    <w:rsid w:val="00DE4AE5"/>
    <w:rsid w:val="00DE6764"/>
    <w:rsid w:val="00DE6B0F"/>
    <w:rsid w:val="00DE7FB2"/>
    <w:rsid w:val="00DF0B59"/>
    <w:rsid w:val="00DF0F1F"/>
    <w:rsid w:val="00DF47BB"/>
    <w:rsid w:val="00DF498D"/>
    <w:rsid w:val="00DF50E2"/>
    <w:rsid w:val="00DF7593"/>
    <w:rsid w:val="00E00CEB"/>
    <w:rsid w:val="00E032D2"/>
    <w:rsid w:val="00E04D98"/>
    <w:rsid w:val="00E05291"/>
    <w:rsid w:val="00E056D5"/>
    <w:rsid w:val="00E0648B"/>
    <w:rsid w:val="00E06B95"/>
    <w:rsid w:val="00E1019E"/>
    <w:rsid w:val="00E123CB"/>
    <w:rsid w:val="00E1474F"/>
    <w:rsid w:val="00E14FA9"/>
    <w:rsid w:val="00E15FAE"/>
    <w:rsid w:val="00E17A73"/>
    <w:rsid w:val="00E17D80"/>
    <w:rsid w:val="00E2079D"/>
    <w:rsid w:val="00E20B2D"/>
    <w:rsid w:val="00E21CF4"/>
    <w:rsid w:val="00E23304"/>
    <w:rsid w:val="00E236D0"/>
    <w:rsid w:val="00E240A9"/>
    <w:rsid w:val="00E263A5"/>
    <w:rsid w:val="00E26691"/>
    <w:rsid w:val="00E271BA"/>
    <w:rsid w:val="00E30388"/>
    <w:rsid w:val="00E31844"/>
    <w:rsid w:val="00E35623"/>
    <w:rsid w:val="00E35ED0"/>
    <w:rsid w:val="00E361A6"/>
    <w:rsid w:val="00E365F6"/>
    <w:rsid w:val="00E365F8"/>
    <w:rsid w:val="00E3741E"/>
    <w:rsid w:val="00E42580"/>
    <w:rsid w:val="00E4468B"/>
    <w:rsid w:val="00E4588C"/>
    <w:rsid w:val="00E45A10"/>
    <w:rsid w:val="00E463B0"/>
    <w:rsid w:val="00E465D6"/>
    <w:rsid w:val="00E4767B"/>
    <w:rsid w:val="00E513A7"/>
    <w:rsid w:val="00E51E40"/>
    <w:rsid w:val="00E52313"/>
    <w:rsid w:val="00E5388C"/>
    <w:rsid w:val="00E53DE9"/>
    <w:rsid w:val="00E55A0E"/>
    <w:rsid w:val="00E55B83"/>
    <w:rsid w:val="00E56EC1"/>
    <w:rsid w:val="00E57478"/>
    <w:rsid w:val="00E57B8C"/>
    <w:rsid w:val="00E57DA2"/>
    <w:rsid w:val="00E61C73"/>
    <w:rsid w:val="00E61D75"/>
    <w:rsid w:val="00E6414B"/>
    <w:rsid w:val="00E65535"/>
    <w:rsid w:val="00E65786"/>
    <w:rsid w:val="00E66C32"/>
    <w:rsid w:val="00E6709F"/>
    <w:rsid w:val="00E710CB"/>
    <w:rsid w:val="00E71DC7"/>
    <w:rsid w:val="00E71F9E"/>
    <w:rsid w:val="00E73027"/>
    <w:rsid w:val="00E736AC"/>
    <w:rsid w:val="00E74089"/>
    <w:rsid w:val="00E748CC"/>
    <w:rsid w:val="00E754D4"/>
    <w:rsid w:val="00E80B06"/>
    <w:rsid w:val="00E81A91"/>
    <w:rsid w:val="00E81EC9"/>
    <w:rsid w:val="00E82850"/>
    <w:rsid w:val="00E837B1"/>
    <w:rsid w:val="00E83A93"/>
    <w:rsid w:val="00E863D0"/>
    <w:rsid w:val="00E87A07"/>
    <w:rsid w:val="00E915C7"/>
    <w:rsid w:val="00E93243"/>
    <w:rsid w:val="00E952D2"/>
    <w:rsid w:val="00E95598"/>
    <w:rsid w:val="00E95812"/>
    <w:rsid w:val="00E95948"/>
    <w:rsid w:val="00E96E4F"/>
    <w:rsid w:val="00E97F90"/>
    <w:rsid w:val="00EA0037"/>
    <w:rsid w:val="00EA037F"/>
    <w:rsid w:val="00EA1E00"/>
    <w:rsid w:val="00EA2931"/>
    <w:rsid w:val="00EA499F"/>
    <w:rsid w:val="00EA63C5"/>
    <w:rsid w:val="00EB0D8C"/>
    <w:rsid w:val="00EB1BE2"/>
    <w:rsid w:val="00EB2E7D"/>
    <w:rsid w:val="00EB5F63"/>
    <w:rsid w:val="00EB6E55"/>
    <w:rsid w:val="00EB78EE"/>
    <w:rsid w:val="00EB7E6E"/>
    <w:rsid w:val="00EC1906"/>
    <w:rsid w:val="00EC2777"/>
    <w:rsid w:val="00EC27F4"/>
    <w:rsid w:val="00EC28A6"/>
    <w:rsid w:val="00EC37B9"/>
    <w:rsid w:val="00EC38AC"/>
    <w:rsid w:val="00EC3A6D"/>
    <w:rsid w:val="00EC47A6"/>
    <w:rsid w:val="00EC4B1C"/>
    <w:rsid w:val="00EC6C99"/>
    <w:rsid w:val="00EC6E09"/>
    <w:rsid w:val="00EC73BD"/>
    <w:rsid w:val="00ED0759"/>
    <w:rsid w:val="00ED158E"/>
    <w:rsid w:val="00ED1735"/>
    <w:rsid w:val="00ED1EF7"/>
    <w:rsid w:val="00ED3809"/>
    <w:rsid w:val="00ED3D74"/>
    <w:rsid w:val="00ED3F27"/>
    <w:rsid w:val="00ED426A"/>
    <w:rsid w:val="00ED4512"/>
    <w:rsid w:val="00ED4D6D"/>
    <w:rsid w:val="00ED518A"/>
    <w:rsid w:val="00ED5D0D"/>
    <w:rsid w:val="00EE0C1D"/>
    <w:rsid w:val="00EE21C5"/>
    <w:rsid w:val="00EE245F"/>
    <w:rsid w:val="00EE262E"/>
    <w:rsid w:val="00EE3676"/>
    <w:rsid w:val="00EE3AC6"/>
    <w:rsid w:val="00EE42D9"/>
    <w:rsid w:val="00EE4E2F"/>
    <w:rsid w:val="00EE545F"/>
    <w:rsid w:val="00EE66F9"/>
    <w:rsid w:val="00EE67B3"/>
    <w:rsid w:val="00EF09D4"/>
    <w:rsid w:val="00EF0D39"/>
    <w:rsid w:val="00EF18E6"/>
    <w:rsid w:val="00EF1EE1"/>
    <w:rsid w:val="00EF4171"/>
    <w:rsid w:val="00EF4400"/>
    <w:rsid w:val="00EF49DD"/>
    <w:rsid w:val="00EF54CB"/>
    <w:rsid w:val="00EF71DA"/>
    <w:rsid w:val="00F025CC"/>
    <w:rsid w:val="00F0325C"/>
    <w:rsid w:val="00F03A6C"/>
    <w:rsid w:val="00F03E33"/>
    <w:rsid w:val="00F03FC3"/>
    <w:rsid w:val="00F04507"/>
    <w:rsid w:val="00F05005"/>
    <w:rsid w:val="00F06356"/>
    <w:rsid w:val="00F07443"/>
    <w:rsid w:val="00F07A6C"/>
    <w:rsid w:val="00F07BA5"/>
    <w:rsid w:val="00F1137D"/>
    <w:rsid w:val="00F119A2"/>
    <w:rsid w:val="00F1229A"/>
    <w:rsid w:val="00F13C53"/>
    <w:rsid w:val="00F2169B"/>
    <w:rsid w:val="00F2392D"/>
    <w:rsid w:val="00F23AC1"/>
    <w:rsid w:val="00F2460C"/>
    <w:rsid w:val="00F26765"/>
    <w:rsid w:val="00F26B35"/>
    <w:rsid w:val="00F27BBB"/>
    <w:rsid w:val="00F27FAF"/>
    <w:rsid w:val="00F27FC9"/>
    <w:rsid w:val="00F318F9"/>
    <w:rsid w:val="00F31BA0"/>
    <w:rsid w:val="00F32F54"/>
    <w:rsid w:val="00F33A22"/>
    <w:rsid w:val="00F34BF0"/>
    <w:rsid w:val="00F34F08"/>
    <w:rsid w:val="00F37D80"/>
    <w:rsid w:val="00F40087"/>
    <w:rsid w:val="00F42069"/>
    <w:rsid w:val="00F44608"/>
    <w:rsid w:val="00F45FD1"/>
    <w:rsid w:val="00F467BA"/>
    <w:rsid w:val="00F53082"/>
    <w:rsid w:val="00F53191"/>
    <w:rsid w:val="00F53D75"/>
    <w:rsid w:val="00F5443F"/>
    <w:rsid w:val="00F60BA5"/>
    <w:rsid w:val="00F610B4"/>
    <w:rsid w:val="00F61431"/>
    <w:rsid w:val="00F62409"/>
    <w:rsid w:val="00F62D23"/>
    <w:rsid w:val="00F638D7"/>
    <w:rsid w:val="00F63DB2"/>
    <w:rsid w:val="00F64BB8"/>
    <w:rsid w:val="00F662B1"/>
    <w:rsid w:val="00F70527"/>
    <w:rsid w:val="00F70E50"/>
    <w:rsid w:val="00F716D2"/>
    <w:rsid w:val="00F72DD7"/>
    <w:rsid w:val="00F74F7B"/>
    <w:rsid w:val="00F7620C"/>
    <w:rsid w:val="00F80DB0"/>
    <w:rsid w:val="00F81615"/>
    <w:rsid w:val="00F834C7"/>
    <w:rsid w:val="00F83A0F"/>
    <w:rsid w:val="00F85554"/>
    <w:rsid w:val="00F86BC0"/>
    <w:rsid w:val="00F86D0B"/>
    <w:rsid w:val="00F90093"/>
    <w:rsid w:val="00F91592"/>
    <w:rsid w:val="00F9293F"/>
    <w:rsid w:val="00F92A93"/>
    <w:rsid w:val="00F93048"/>
    <w:rsid w:val="00F95650"/>
    <w:rsid w:val="00F95DA4"/>
    <w:rsid w:val="00F9770F"/>
    <w:rsid w:val="00F97D75"/>
    <w:rsid w:val="00FA03FC"/>
    <w:rsid w:val="00FA045D"/>
    <w:rsid w:val="00FA07B3"/>
    <w:rsid w:val="00FA1427"/>
    <w:rsid w:val="00FA328E"/>
    <w:rsid w:val="00FA4106"/>
    <w:rsid w:val="00FA4A33"/>
    <w:rsid w:val="00FA6DBE"/>
    <w:rsid w:val="00FA79F7"/>
    <w:rsid w:val="00FA7F04"/>
    <w:rsid w:val="00FB01EA"/>
    <w:rsid w:val="00FB0636"/>
    <w:rsid w:val="00FB220E"/>
    <w:rsid w:val="00FB254D"/>
    <w:rsid w:val="00FB26C4"/>
    <w:rsid w:val="00FB31D1"/>
    <w:rsid w:val="00FB4454"/>
    <w:rsid w:val="00FB518E"/>
    <w:rsid w:val="00FB5DC1"/>
    <w:rsid w:val="00FB708B"/>
    <w:rsid w:val="00FB77CB"/>
    <w:rsid w:val="00FB7B58"/>
    <w:rsid w:val="00FC2CAE"/>
    <w:rsid w:val="00FC4A29"/>
    <w:rsid w:val="00FC5C47"/>
    <w:rsid w:val="00FD0950"/>
    <w:rsid w:val="00FD0E83"/>
    <w:rsid w:val="00FD2368"/>
    <w:rsid w:val="00FD28DB"/>
    <w:rsid w:val="00FD4973"/>
    <w:rsid w:val="00FD4C29"/>
    <w:rsid w:val="00FD5F0E"/>
    <w:rsid w:val="00FD64EE"/>
    <w:rsid w:val="00FE123C"/>
    <w:rsid w:val="00FE1F9E"/>
    <w:rsid w:val="00FE2439"/>
    <w:rsid w:val="00FE32EC"/>
    <w:rsid w:val="00FE38B0"/>
    <w:rsid w:val="00FE3CCA"/>
    <w:rsid w:val="00FE3F74"/>
    <w:rsid w:val="00FE4A2D"/>
    <w:rsid w:val="00FE5433"/>
    <w:rsid w:val="00FF0231"/>
    <w:rsid w:val="00FF06A4"/>
    <w:rsid w:val="00FF0A6F"/>
    <w:rsid w:val="00FF1378"/>
    <w:rsid w:val="00FF2A96"/>
    <w:rsid w:val="00FF45B9"/>
    <w:rsid w:val="00FF4757"/>
    <w:rsid w:val="00FF5340"/>
    <w:rsid w:val="00FF567C"/>
    <w:rsid w:val="00FF5931"/>
    <w:rsid w:val="00FF6355"/>
    <w:rsid w:val="00FF75C3"/>
    <w:rsid w:val="00FF779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able of figures" w:uiPriority="99"/>
    <w:lsdException w:name="Hyperlink" w:uiPriority="99"/>
    <w:lsdException w:name="FollowedHyperlink" w:uiPriority="99"/>
    <w:lsdException w:name="Table Grid" w:uiPriority="59"/>
  </w:latentStyles>
  <w:style w:type="paragraph" w:default="1" w:styleId="Normal">
    <w:name w:val="Normal"/>
    <w:uiPriority w:val="1"/>
    <w:semiHidden/>
    <w:qFormat/>
    <w:rsid w:val="002C2AE2"/>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AA19F8"/>
    <w:pPr>
      <w:spacing w:before="280" w:line="320" w:lineRule="exact"/>
      <w:outlineLvl w:val="2"/>
    </w:pPr>
    <w:rPr>
      <w:rFonts w:ascii="Tahoma" w:hAnsi="Tahoma" w:cs="Tahoma"/>
      <w:color w:val="000000"/>
      <w:lang w:val="en-AU"/>
    </w:rPr>
  </w:style>
  <w:style w:type="paragraph" w:styleId="Heading4">
    <w:name w:val="heading 4"/>
    <w:next w:val="Text"/>
    <w:qFormat/>
    <w:rsid w:val="007037A4"/>
    <w:pPr>
      <w:spacing w:before="240"/>
      <w:outlineLvl w:val="3"/>
    </w:pPr>
    <w:rPr>
      <w:rFonts w:ascii="Tahoma" w:hAnsi="Tahoma"/>
      <w:i/>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rsid w:val="00E95812"/>
    <w:rPr>
      <w:color w:val="800080" w:themeColor="followedHyperlink"/>
      <w:u w:val="single"/>
    </w:rPr>
  </w:style>
  <w:style w:type="character" w:styleId="FootnoteReference">
    <w:name w:val="footnote reference"/>
    <w:basedOn w:val="DefaultParagraphFont"/>
    <w:uiPriority w:val="99"/>
    <w:semiHidden/>
    <w:rsid w:val="001F5F95"/>
    <w:rPr>
      <w:vertAlign w:val="superscript"/>
    </w:rPr>
  </w:style>
  <w:style w:type="paragraph" w:styleId="EndnoteText">
    <w:name w:val="endnote text"/>
    <w:basedOn w:val="Normal"/>
    <w:link w:val="EndnoteTextChar"/>
    <w:uiPriority w:val="99"/>
    <w:semiHidden/>
    <w:rsid w:val="00A23215"/>
    <w:pPr>
      <w:spacing w:before="0" w:line="240" w:lineRule="auto"/>
    </w:pPr>
    <w:rPr>
      <w:sz w:val="20"/>
    </w:rPr>
  </w:style>
  <w:style w:type="character" w:customStyle="1" w:styleId="EndnoteTextChar">
    <w:name w:val="Endnote Text Char"/>
    <w:basedOn w:val="DefaultParagraphFont"/>
    <w:link w:val="EndnoteText"/>
    <w:uiPriority w:val="99"/>
    <w:semiHidden/>
    <w:rsid w:val="00A23215"/>
    <w:rPr>
      <w:rFonts w:ascii="Trebuchet MS" w:hAnsi="Trebuchet MS"/>
      <w:lang w:val="en-AU"/>
    </w:rPr>
  </w:style>
  <w:style w:type="character" w:styleId="EndnoteReference">
    <w:name w:val="endnote reference"/>
    <w:basedOn w:val="DefaultParagraphFont"/>
    <w:uiPriority w:val="99"/>
    <w:semiHidden/>
    <w:rsid w:val="00A23215"/>
    <w:rPr>
      <w:vertAlign w:val="superscript"/>
    </w:rPr>
  </w:style>
  <w:style w:type="character" w:customStyle="1" w:styleId="FootnoteTextChar">
    <w:name w:val="Footnote Text Char"/>
    <w:basedOn w:val="DefaultParagraphFont"/>
    <w:link w:val="FootnoteText"/>
    <w:uiPriority w:val="99"/>
    <w:rsid w:val="00AB3D41"/>
    <w:rPr>
      <w:rFonts w:ascii="Trebuchet MS" w:hAnsi="Trebuchet MS"/>
      <w:sz w:val="16"/>
      <w:lang w:val="en-AU"/>
    </w:rPr>
  </w:style>
  <w:style w:type="character" w:styleId="CommentReference">
    <w:name w:val="annotation reference"/>
    <w:basedOn w:val="DefaultParagraphFont"/>
    <w:uiPriority w:val="99"/>
    <w:semiHidden/>
    <w:rsid w:val="00CD0D65"/>
    <w:rPr>
      <w:sz w:val="16"/>
      <w:szCs w:val="16"/>
    </w:rPr>
  </w:style>
  <w:style w:type="paragraph" w:styleId="CommentText">
    <w:name w:val="annotation text"/>
    <w:basedOn w:val="Normal"/>
    <w:link w:val="CommentTextChar"/>
    <w:uiPriority w:val="99"/>
    <w:semiHidden/>
    <w:rsid w:val="00CD0D65"/>
    <w:pPr>
      <w:spacing w:line="240" w:lineRule="auto"/>
    </w:pPr>
    <w:rPr>
      <w:sz w:val="20"/>
    </w:rPr>
  </w:style>
  <w:style w:type="character" w:customStyle="1" w:styleId="CommentTextChar">
    <w:name w:val="Comment Text Char"/>
    <w:basedOn w:val="DefaultParagraphFont"/>
    <w:link w:val="CommentText"/>
    <w:uiPriority w:val="99"/>
    <w:semiHidden/>
    <w:rsid w:val="00CD0D65"/>
    <w:rPr>
      <w:rFonts w:ascii="Trebuchet MS" w:hAnsi="Trebuchet MS"/>
      <w:lang w:val="en-AU"/>
    </w:rPr>
  </w:style>
  <w:style w:type="paragraph" w:styleId="CommentSubject">
    <w:name w:val="annotation subject"/>
    <w:basedOn w:val="CommentText"/>
    <w:next w:val="CommentText"/>
    <w:link w:val="CommentSubjectChar"/>
    <w:uiPriority w:val="99"/>
    <w:semiHidden/>
    <w:rsid w:val="00CD0D65"/>
    <w:rPr>
      <w:b/>
      <w:bCs/>
    </w:rPr>
  </w:style>
  <w:style w:type="character" w:customStyle="1" w:styleId="CommentSubjectChar">
    <w:name w:val="Comment Subject Char"/>
    <w:basedOn w:val="CommentTextChar"/>
    <w:link w:val="CommentSubject"/>
    <w:uiPriority w:val="99"/>
    <w:semiHidden/>
    <w:rsid w:val="00CD0D65"/>
    <w:rPr>
      <w:rFonts w:ascii="Trebuchet MS" w:hAnsi="Trebuchet MS"/>
      <w:b/>
      <w:bCs/>
      <w:lang w:val="en-AU"/>
    </w:rPr>
  </w:style>
  <w:style w:type="character" w:customStyle="1" w:styleId="Heading2Char">
    <w:name w:val="Heading 2 Char"/>
    <w:basedOn w:val="DefaultParagraphFont"/>
    <w:link w:val="Heading2"/>
    <w:rsid w:val="00402DD8"/>
    <w:rPr>
      <w:rFonts w:ascii="Tahoma" w:hAnsi="Tahoma" w:cs="Tahoma"/>
      <w:sz w:val="28"/>
      <w:lang w:val="en-AU"/>
    </w:rPr>
  </w:style>
  <w:style w:type="numbering" w:customStyle="1" w:styleId="NoList1">
    <w:name w:val="No List1"/>
    <w:next w:val="NoList"/>
    <w:semiHidden/>
    <w:unhideWhenUsed/>
    <w:rsid w:val="007C4D9A"/>
  </w:style>
  <w:style w:type="table" w:customStyle="1" w:styleId="TableGrid1">
    <w:name w:val="Table Grid1"/>
    <w:basedOn w:val="TableNormal"/>
    <w:next w:val="TableGrid"/>
    <w:uiPriority w:val="59"/>
    <w:rsid w:val="007C4D9A"/>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7C4D9A"/>
    <w:pPr>
      <w:spacing w:beforeLines="1" w:afterLines="1" w:line="240" w:lineRule="auto"/>
    </w:pPr>
    <w:rPr>
      <w:rFonts w:ascii="Verdana" w:hAnsi="Verdana"/>
      <w:sz w:val="16"/>
      <w:szCs w:val="16"/>
    </w:rPr>
  </w:style>
  <w:style w:type="paragraph" w:customStyle="1" w:styleId="font6">
    <w:name w:val="font6"/>
    <w:basedOn w:val="Normal"/>
    <w:rsid w:val="007C4D9A"/>
    <w:pPr>
      <w:spacing w:beforeLines="1" w:afterLines="1" w:line="240" w:lineRule="auto"/>
    </w:pPr>
    <w:rPr>
      <w:rFonts w:ascii="Arial" w:hAnsi="Arial"/>
      <w:sz w:val="16"/>
      <w:szCs w:val="16"/>
    </w:rPr>
  </w:style>
  <w:style w:type="paragraph" w:customStyle="1" w:styleId="xl24">
    <w:name w:val="xl24"/>
    <w:basedOn w:val="Normal"/>
    <w:rsid w:val="007C4D9A"/>
    <w:pPr>
      <w:spacing w:beforeLines="1" w:afterLines="1" w:line="240" w:lineRule="auto"/>
      <w:jc w:val="center"/>
    </w:pPr>
    <w:rPr>
      <w:rFonts w:ascii="Tahoma" w:hAnsi="Tahoma"/>
      <w:sz w:val="18"/>
      <w:szCs w:val="18"/>
    </w:rPr>
  </w:style>
  <w:style w:type="paragraph" w:customStyle="1" w:styleId="xl25">
    <w:name w:val="xl25"/>
    <w:basedOn w:val="Normal"/>
    <w:rsid w:val="007C4D9A"/>
    <w:pPr>
      <w:spacing w:beforeLines="1" w:afterLines="1" w:line="240" w:lineRule="auto"/>
      <w:jc w:val="center"/>
      <w:textAlignment w:val="center"/>
    </w:pPr>
    <w:rPr>
      <w:rFonts w:ascii="Arial" w:hAnsi="Arial"/>
      <w:b/>
      <w:bCs/>
      <w:sz w:val="17"/>
      <w:szCs w:val="17"/>
    </w:rPr>
  </w:style>
  <w:style w:type="paragraph" w:customStyle="1" w:styleId="xl26">
    <w:name w:val="xl26"/>
    <w:basedOn w:val="Normal"/>
    <w:rsid w:val="007C4D9A"/>
    <w:pPr>
      <w:spacing w:beforeLines="1" w:afterLines="1" w:line="240" w:lineRule="auto"/>
      <w:jc w:val="center"/>
      <w:textAlignment w:val="top"/>
    </w:pPr>
    <w:rPr>
      <w:rFonts w:ascii="Arial" w:hAnsi="Arial"/>
      <w:sz w:val="16"/>
      <w:szCs w:val="16"/>
    </w:rPr>
  </w:style>
  <w:style w:type="paragraph" w:customStyle="1" w:styleId="xl27">
    <w:name w:val="xl27"/>
    <w:basedOn w:val="Normal"/>
    <w:rsid w:val="007C4D9A"/>
    <w:pPr>
      <w:spacing w:beforeLines="1" w:afterLines="1" w:line="240" w:lineRule="auto"/>
      <w:jc w:val="right"/>
      <w:textAlignment w:val="top"/>
    </w:pPr>
    <w:rPr>
      <w:rFonts w:ascii="Arial" w:hAnsi="Arial"/>
      <w:sz w:val="16"/>
      <w:szCs w:val="16"/>
    </w:rPr>
  </w:style>
  <w:style w:type="paragraph" w:customStyle="1" w:styleId="xl28">
    <w:name w:val="xl28"/>
    <w:basedOn w:val="Normal"/>
    <w:rsid w:val="007C4D9A"/>
    <w:pPr>
      <w:spacing w:beforeLines="1" w:afterLines="1" w:line="240" w:lineRule="auto"/>
      <w:jc w:val="right"/>
    </w:pPr>
    <w:rPr>
      <w:rFonts w:ascii="Arial" w:hAnsi="Arial"/>
      <w:sz w:val="16"/>
      <w:szCs w:val="16"/>
    </w:rPr>
  </w:style>
  <w:style w:type="paragraph" w:customStyle="1" w:styleId="xl29">
    <w:name w:val="xl29"/>
    <w:basedOn w:val="Normal"/>
    <w:rsid w:val="007C4D9A"/>
    <w:pPr>
      <w:spacing w:beforeLines="1" w:afterLines="1" w:line="240" w:lineRule="auto"/>
      <w:jc w:val="right"/>
      <w:textAlignment w:val="top"/>
    </w:pPr>
    <w:rPr>
      <w:rFonts w:ascii="Arial" w:hAnsi="Arial"/>
      <w:sz w:val="16"/>
      <w:szCs w:val="16"/>
    </w:rPr>
  </w:style>
  <w:style w:type="paragraph" w:customStyle="1" w:styleId="xl30">
    <w:name w:val="xl30"/>
    <w:basedOn w:val="Normal"/>
    <w:rsid w:val="007C4D9A"/>
    <w:pPr>
      <w:spacing w:beforeLines="1" w:afterLines="1" w:line="240" w:lineRule="auto"/>
      <w:textAlignment w:val="top"/>
    </w:pPr>
    <w:rPr>
      <w:rFonts w:ascii="Arial" w:hAnsi="Arial"/>
      <w:sz w:val="16"/>
      <w:szCs w:val="16"/>
    </w:rPr>
  </w:style>
  <w:style w:type="paragraph" w:customStyle="1" w:styleId="xl31">
    <w:name w:val="xl31"/>
    <w:basedOn w:val="Normal"/>
    <w:rsid w:val="007C4D9A"/>
    <w:pPr>
      <w:spacing w:beforeLines="1" w:afterLines="1" w:line="240" w:lineRule="auto"/>
      <w:jc w:val="right"/>
      <w:textAlignment w:val="top"/>
    </w:pPr>
    <w:rPr>
      <w:rFonts w:ascii="Arial" w:hAnsi="Arial"/>
      <w:sz w:val="16"/>
      <w:szCs w:val="16"/>
    </w:rPr>
  </w:style>
  <w:style w:type="paragraph" w:customStyle="1" w:styleId="xl32">
    <w:name w:val="xl32"/>
    <w:basedOn w:val="Normal"/>
    <w:rsid w:val="007C4D9A"/>
    <w:pPr>
      <w:spacing w:beforeLines="1" w:afterLines="1" w:line="240" w:lineRule="auto"/>
      <w:jc w:val="right"/>
      <w:textAlignment w:val="top"/>
    </w:pPr>
    <w:rPr>
      <w:rFonts w:ascii="Arial" w:hAnsi="Arial"/>
      <w:sz w:val="16"/>
      <w:szCs w:val="16"/>
    </w:rPr>
  </w:style>
  <w:style w:type="paragraph" w:customStyle="1" w:styleId="xl33">
    <w:name w:val="xl33"/>
    <w:basedOn w:val="Normal"/>
    <w:rsid w:val="007C4D9A"/>
    <w:pPr>
      <w:spacing w:beforeLines="1" w:afterLines="1" w:line="240" w:lineRule="auto"/>
      <w:jc w:val="right"/>
      <w:textAlignment w:val="top"/>
    </w:pPr>
    <w:rPr>
      <w:rFonts w:ascii="Arial" w:hAnsi="Arial"/>
      <w:sz w:val="16"/>
      <w:szCs w:val="16"/>
    </w:rPr>
  </w:style>
  <w:style w:type="paragraph" w:customStyle="1" w:styleId="xl34">
    <w:name w:val="xl34"/>
    <w:basedOn w:val="Normal"/>
    <w:rsid w:val="007C4D9A"/>
    <w:pPr>
      <w:spacing w:beforeLines="1" w:afterLines="1" w:line="240" w:lineRule="auto"/>
    </w:pPr>
    <w:rPr>
      <w:rFonts w:ascii="Arial" w:hAnsi="Arial"/>
      <w:sz w:val="16"/>
      <w:szCs w:val="16"/>
    </w:rPr>
  </w:style>
  <w:style w:type="paragraph" w:customStyle="1" w:styleId="xl35">
    <w:name w:val="xl35"/>
    <w:basedOn w:val="Normal"/>
    <w:rsid w:val="007C4D9A"/>
    <w:pPr>
      <w:spacing w:beforeLines="1" w:afterLines="1" w:line="240" w:lineRule="auto"/>
      <w:jc w:val="right"/>
    </w:pPr>
    <w:rPr>
      <w:rFonts w:ascii="Arial" w:hAnsi="Arial"/>
      <w:b/>
      <w:bCs/>
      <w:sz w:val="16"/>
      <w:szCs w:val="16"/>
    </w:rPr>
  </w:style>
  <w:style w:type="paragraph" w:customStyle="1" w:styleId="xl36">
    <w:name w:val="xl36"/>
    <w:basedOn w:val="Normal"/>
    <w:rsid w:val="007C4D9A"/>
    <w:pPr>
      <w:spacing w:beforeLines="1" w:afterLines="1" w:line="240" w:lineRule="auto"/>
      <w:jc w:val="right"/>
      <w:textAlignment w:val="top"/>
    </w:pPr>
    <w:rPr>
      <w:rFonts w:ascii="Arial" w:hAnsi="Arial"/>
      <w:b/>
      <w:bCs/>
      <w:sz w:val="16"/>
      <w:szCs w:val="16"/>
    </w:rPr>
  </w:style>
  <w:style w:type="paragraph" w:customStyle="1" w:styleId="xl37">
    <w:name w:val="xl37"/>
    <w:basedOn w:val="Normal"/>
    <w:rsid w:val="007C4D9A"/>
    <w:pPr>
      <w:spacing w:beforeLines="1" w:afterLines="1" w:line="240" w:lineRule="auto"/>
      <w:jc w:val="right"/>
      <w:textAlignment w:val="top"/>
    </w:pPr>
    <w:rPr>
      <w:rFonts w:ascii="Arial" w:hAnsi="Arial"/>
      <w:b/>
      <w:bCs/>
      <w:sz w:val="16"/>
      <w:szCs w:val="16"/>
    </w:rPr>
  </w:style>
  <w:style w:type="paragraph" w:customStyle="1" w:styleId="font7">
    <w:name w:val="font7"/>
    <w:basedOn w:val="Normal"/>
    <w:rsid w:val="007C4D9A"/>
    <w:pPr>
      <w:spacing w:beforeLines="1" w:afterLines="1" w:line="240" w:lineRule="auto"/>
    </w:pPr>
    <w:rPr>
      <w:rFonts w:ascii="Arial" w:hAnsi="Arial"/>
      <w:sz w:val="15"/>
      <w:szCs w:val="15"/>
    </w:rPr>
  </w:style>
  <w:style w:type="paragraph" w:customStyle="1" w:styleId="xl38">
    <w:name w:val="xl38"/>
    <w:basedOn w:val="Normal"/>
    <w:rsid w:val="007C4D9A"/>
    <w:pPr>
      <w:spacing w:beforeLines="1" w:afterLines="1" w:line="240" w:lineRule="auto"/>
    </w:pPr>
    <w:rPr>
      <w:rFonts w:ascii="Arial" w:hAnsi="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1"/>
    <w:semiHidden/>
    <w:qFormat/>
    <w:rsid w:val="002C2AE2"/>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FootnoteReference">
    <w:name w:val="footnote reference"/>
    <w:basedOn w:val="DefaultParagraphFont"/>
    <w:uiPriority w:val="99"/>
    <w:semiHidden/>
    <w:rsid w:val="001F5F95"/>
    <w:rPr>
      <w:vertAlign w:val="superscript"/>
    </w:rPr>
  </w:style>
  <w:style w:type="paragraph" w:styleId="EndnoteText">
    <w:name w:val="endnote text"/>
    <w:basedOn w:val="Normal"/>
    <w:link w:val="EndnoteTextChar"/>
    <w:uiPriority w:val="99"/>
    <w:semiHidden/>
    <w:rsid w:val="00A23215"/>
    <w:pPr>
      <w:spacing w:before="0" w:line="240" w:lineRule="auto"/>
    </w:pPr>
    <w:rPr>
      <w:sz w:val="20"/>
    </w:rPr>
  </w:style>
  <w:style w:type="character" w:customStyle="1" w:styleId="EndnoteTextChar">
    <w:name w:val="Endnote Text Char"/>
    <w:basedOn w:val="DefaultParagraphFont"/>
    <w:link w:val="EndnoteText"/>
    <w:uiPriority w:val="99"/>
    <w:semiHidden/>
    <w:rsid w:val="00A23215"/>
    <w:rPr>
      <w:rFonts w:ascii="Trebuchet MS" w:hAnsi="Trebuchet MS"/>
      <w:lang w:val="en-AU"/>
    </w:rPr>
  </w:style>
  <w:style w:type="character" w:styleId="EndnoteReference">
    <w:name w:val="endnote reference"/>
    <w:basedOn w:val="DefaultParagraphFont"/>
    <w:uiPriority w:val="99"/>
    <w:semiHidden/>
    <w:rsid w:val="00A23215"/>
    <w:rPr>
      <w:vertAlign w:val="superscript"/>
    </w:rPr>
  </w:style>
  <w:style w:type="character" w:customStyle="1" w:styleId="FootnoteTextChar">
    <w:name w:val="Footnote Text Char"/>
    <w:basedOn w:val="DefaultParagraphFont"/>
    <w:link w:val="FootnoteText"/>
    <w:uiPriority w:val="99"/>
    <w:rsid w:val="00AB3D41"/>
    <w:rPr>
      <w:rFonts w:ascii="Trebuchet MS" w:hAnsi="Trebuchet MS"/>
      <w:sz w:val="16"/>
      <w:lang w:val="en-AU"/>
    </w:rPr>
  </w:style>
  <w:style w:type="character" w:styleId="CommentReference">
    <w:name w:val="annotation reference"/>
    <w:basedOn w:val="DefaultParagraphFont"/>
    <w:uiPriority w:val="99"/>
    <w:semiHidden/>
    <w:rsid w:val="00CD0D65"/>
    <w:rPr>
      <w:sz w:val="16"/>
      <w:szCs w:val="16"/>
    </w:rPr>
  </w:style>
  <w:style w:type="paragraph" w:styleId="CommentText">
    <w:name w:val="annotation text"/>
    <w:basedOn w:val="Normal"/>
    <w:link w:val="CommentTextChar"/>
    <w:uiPriority w:val="99"/>
    <w:semiHidden/>
    <w:rsid w:val="00CD0D65"/>
    <w:pPr>
      <w:spacing w:line="240" w:lineRule="auto"/>
    </w:pPr>
    <w:rPr>
      <w:sz w:val="20"/>
    </w:rPr>
  </w:style>
  <w:style w:type="character" w:customStyle="1" w:styleId="CommentTextChar">
    <w:name w:val="Comment Text Char"/>
    <w:basedOn w:val="DefaultParagraphFont"/>
    <w:link w:val="CommentText"/>
    <w:uiPriority w:val="99"/>
    <w:semiHidden/>
    <w:rsid w:val="00CD0D65"/>
    <w:rPr>
      <w:rFonts w:ascii="Trebuchet MS" w:hAnsi="Trebuchet MS"/>
      <w:lang w:val="en-AU"/>
    </w:rPr>
  </w:style>
  <w:style w:type="paragraph" w:styleId="CommentSubject">
    <w:name w:val="annotation subject"/>
    <w:basedOn w:val="CommentText"/>
    <w:next w:val="CommentText"/>
    <w:link w:val="CommentSubjectChar"/>
    <w:uiPriority w:val="99"/>
    <w:semiHidden/>
    <w:rsid w:val="00CD0D65"/>
    <w:rPr>
      <w:b/>
      <w:bCs/>
    </w:rPr>
  </w:style>
  <w:style w:type="character" w:customStyle="1" w:styleId="CommentSubjectChar">
    <w:name w:val="Comment Subject Char"/>
    <w:basedOn w:val="CommentTextChar"/>
    <w:link w:val="CommentSubject"/>
    <w:uiPriority w:val="99"/>
    <w:semiHidden/>
    <w:rsid w:val="00CD0D65"/>
    <w:rPr>
      <w:rFonts w:ascii="Trebuchet MS" w:hAnsi="Trebuchet MS"/>
      <w:b/>
      <w:bCs/>
      <w:lang w:val="en-AU"/>
    </w:rPr>
  </w:style>
  <w:style w:type="character" w:customStyle="1" w:styleId="Heading2Char">
    <w:name w:val="Heading 2 Char"/>
    <w:basedOn w:val="DefaultParagraphFont"/>
    <w:link w:val="Heading2"/>
    <w:rsid w:val="00402DD8"/>
    <w:rPr>
      <w:rFonts w:ascii="Tahoma" w:hAnsi="Tahoma" w:cs="Tahoma"/>
      <w:sz w:val="28"/>
      <w:lang w:val="en-AU"/>
    </w:rPr>
  </w:style>
</w:styles>
</file>

<file path=word/webSettings.xml><?xml version="1.0" encoding="utf-8"?>
<w:webSettings xmlns:r="http://schemas.openxmlformats.org/officeDocument/2006/relationships" xmlns:w="http://schemas.openxmlformats.org/wordprocessingml/2006/main">
  <w:divs>
    <w:div w:id="369963510">
      <w:bodyDiv w:val="1"/>
      <w:marLeft w:val="0"/>
      <w:marRight w:val="0"/>
      <w:marTop w:val="0"/>
      <w:marBottom w:val="0"/>
      <w:divBdr>
        <w:top w:val="none" w:sz="0" w:space="0" w:color="auto"/>
        <w:left w:val="none" w:sz="0" w:space="0" w:color="auto"/>
        <w:bottom w:val="none" w:sz="0" w:space="0" w:color="auto"/>
        <w:right w:val="none" w:sz="0" w:space="0" w:color="auto"/>
      </w:divBdr>
    </w:div>
    <w:div w:id="540559475">
      <w:bodyDiv w:val="1"/>
      <w:marLeft w:val="0"/>
      <w:marRight w:val="0"/>
      <w:marTop w:val="0"/>
      <w:marBottom w:val="0"/>
      <w:divBdr>
        <w:top w:val="none" w:sz="0" w:space="0" w:color="auto"/>
        <w:left w:val="none" w:sz="0" w:space="0" w:color="auto"/>
        <w:bottom w:val="none" w:sz="0" w:space="0" w:color="auto"/>
        <w:right w:val="none" w:sz="0" w:space="0" w:color="auto"/>
      </w:divBdr>
    </w:div>
    <w:div w:id="1767381724">
      <w:bodyDiv w:val="1"/>
      <w:marLeft w:val="0"/>
      <w:marRight w:val="0"/>
      <w:marTop w:val="0"/>
      <w:marBottom w:val="0"/>
      <w:divBdr>
        <w:top w:val="none" w:sz="0" w:space="0" w:color="auto"/>
        <w:left w:val="none" w:sz="0" w:space="0" w:color="auto"/>
        <w:bottom w:val="none" w:sz="0" w:space="0" w:color="auto"/>
        <w:right w:val="none" w:sz="0" w:space="0" w:color="auto"/>
      </w:divBdr>
    </w:div>
    <w:div w:id="1930118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48FA-F19D-408E-A65F-265CA596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38</Pages>
  <Words>15809</Words>
  <Characters>90112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105710</CharactersWithSpaces>
  <SharedDoc>false</SharedDoc>
  <HLinks>
    <vt:vector size="12" baseType="variant">
      <vt:variant>
        <vt:i4>262219</vt:i4>
      </vt:variant>
      <vt:variant>
        <vt:i4>0</vt:i4>
      </vt:variant>
      <vt:variant>
        <vt:i4>0</vt:i4>
      </vt:variant>
      <vt:variant>
        <vt:i4>5</vt:i4>
      </vt:variant>
      <vt:variant>
        <vt:lpwstr>http://www.voced.edu.au/</vt:lpwstr>
      </vt:variant>
      <vt:variant>
        <vt:lpwstr/>
      </vt:variant>
      <vt:variant>
        <vt:i4>1245211</vt:i4>
      </vt:variant>
      <vt:variant>
        <vt:i4>0</vt:i4>
      </vt:variant>
      <vt:variant>
        <vt:i4>0</vt:i4>
      </vt:variant>
      <vt:variant>
        <vt:i4>5</vt:i4>
      </vt:variant>
      <vt:variant>
        <vt:lpwstr>mailto:ncver@ncver.edu.au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Alex Cook</cp:lastModifiedBy>
  <cp:revision>31</cp:revision>
  <cp:lastPrinted>2013-03-06T23:14:00Z</cp:lastPrinted>
  <dcterms:created xsi:type="dcterms:W3CDTF">2013-01-18T05:58:00Z</dcterms:created>
  <dcterms:modified xsi:type="dcterms:W3CDTF">2013-03-27T01:59:00Z</dcterms:modified>
</cp:coreProperties>
</file>