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27" w:rsidRDefault="00177827" w:rsidP="00177827">
      <w:pPr>
        <w:pStyle w:val="PublicationTitle"/>
        <w:spacing w:before="0"/>
      </w:pPr>
      <w:bookmarkStart w:id="0" w:name="_Toc296423677"/>
      <w:bookmarkStart w:id="1" w:name="_Toc296497508"/>
    </w:p>
    <w:p w:rsidR="00177827" w:rsidRDefault="00177827" w:rsidP="00177827">
      <w:pPr>
        <w:pStyle w:val="PublicationTitle"/>
        <w:spacing w:before="0"/>
      </w:pPr>
    </w:p>
    <w:p w:rsidR="00F727E2" w:rsidRPr="005C2FCF" w:rsidRDefault="00F727E2" w:rsidP="00F727E2">
      <w:pPr>
        <w:pStyle w:val="PublicationTitle"/>
        <w:spacing w:before="0"/>
      </w:pPr>
      <w:bookmarkStart w:id="2" w:name="_Toc98394872"/>
      <w:bookmarkEnd w:id="0"/>
      <w:bookmarkEnd w:id="1"/>
      <w:r>
        <w:rPr>
          <w:noProof/>
          <w:lang w:eastAsia="en-AU"/>
        </w:rPr>
        <w:drawing>
          <wp:anchor distT="0" distB="0" distL="114300" distR="114300" simplePos="0" relativeHeight="251663360" behindDoc="0" locked="0" layoutInCell="1" allowOverlap="1">
            <wp:simplePos x="0" y="0"/>
            <wp:positionH relativeFrom="page">
              <wp:align>left</wp:align>
            </wp:positionH>
            <wp:positionV relativeFrom="paragraph">
              <wp:posOffset>-1835150</wp:posOffset>
            </wp:positionV>
            <wp:extent cx="2395220" cy="561975"/>
            <wp:effectExtent l="19050" t="0" r="5080" b="0"/>
            <wp:wrapSquare wrapText="bothSides"/>
            <wp:docPr id="17" name="Picture 3" descr="P:\PublicationComponents\logos\NCVER LOGOS\WMF - word\ncver left tab_mon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PublicationComponents\logos\NCVER LOGOS\WMF - word\ncver left tab_mono.wmf"/>
                    <pic:cNvPicPr>
                      <a:picLocks noChangeAspect="1" noChangeArrowheads="1"/>
                    </pic:cNvPicPr>
                  </pic:nvPicPr>
                  <pic:blipFill>
                    <a:blip r:embed="rId8" cstate="print"/>
                    <a:srcRect/>
                    <a:stretch>
                      <a:fillRect/>
                    </a:stretch>
                  </pic:blipFill>
                  <pic:spPr bwMode="auto">
                    <a:xfrm>
                      <a:off x="0" y="0"/>
                      <a:ext cx="2395220" cy="561975"/>
                    </a:xfrm>
                    <a:prstGeom prst="rect">
                      <a:avLst/>
                    </a:prstGeom>
                    <a:noFill/>
                    <a:ln w="9525">
                      <a:noFill/>
                      <a:miter lim="800000"/>
                      <a:headEnd/>
                      <a:tailEnd/>
                    </a:ln>
                  </pic:spPr>
                </pic:pic>
              </a:graphicData>
            </a:graphic>
          </wp:anchor>
        </w:drawing>
      </w:r>
      <w:bookmarkEnd w:id="2"/>
      <w:r>
        <w:rPr>
          <w:noProof/>
        </w:rPr>
        <w:t xml:space="preserve">How learning English facilitates integration for adult migrants: </w:t>
      </w:r>
      <w:r>
        <w:rPr>
          <w:noProof/>
        </w:rPr>
        <w:br/>
        <w:t>the Jarrah Language Centre experience</w:t>
      </w:r>
    </w:p>
    <w:p w:rsidR="00F727E2" w:rsidRDefault="00F727E2" w:rsidP="00F727E2">
      <w:pPr>
        <w:pStyle w:val="Authors"/>
      </w:pPr>
      <w:bookmarkStart w:id="3" w:name="_Toc296423678"/>
      <w:bookmarkStart w:id="4" w:name="_Toc296497509"/>
      <w:r>
        <w:t>Meaghan Leith</w:t>
      </w:r>
    </w:p>
    <w:bookmarkEnd w:id="3"/>
    <w:bookmarkEnd w:id="4"/>
    <w:p w:rsidR="00F727E2" w:rsidRDefault="00F727E2" w:rsidP="00F727E2">
      <w:pPr>
        <w:pStyle w:val="Organisation"/>
      </w:pPr>
      <w:r>
        <w:t>Holmesglen</w:t>
      </w:r>
    </w:p>
    <w:p w:rsidR="00F727E2" w:rsidRDefault="00F727E2" w:rsidP="00F727E2">
      <w:pPr>
        <w:pStyle w:val="Organisation"/>
      </w:pPr>
      <w:r>
        <w:t xml:space="preserve">Participant in the NCVER Building Researcher Capacity </w:t>
      </w:r>
      <w:r w:rsidR="00E0311A">
        <w:br/>
        <w:t>Academic P</w:t>
      </w:r>
      <w:r>
        <w:t>rogram 2009</w:t>
      </w:r>
    </w:p>
    <w:p w:rsidR="00DB599C" w:rsidRDefault="00EC7AE7" w:rsidP="0006125F">
      <w:pPr>
        <w:pStyle w:val="Heading3"/>
        <w:ind w:right="-1"/>
      </w:pPr>
      <w:r>
        <w:rPr>
          <w:noProof/>
          <w:lang w:eastAsia="en-AU"/>
        </w:rPr>
        <w:pict>
          <v:shapetype id="_x0000_t202" coordsize="21600,21600" o:spt="202" path="m,l,21600r21600,l21600,xe">
            <v:stroke joinstyle="miter"/>
            <v:path gradientshapeok="t" o:connecttype="rect"/>
          </v:shapetype>
          <v:shape id="_x0000_s1036" type="#_x0000_t202" style="position:absolute;margin-left:79.95pt;margin-top:555.35pt;width:264.8pt;height:83pt;z-index:251660288;mso-position-vertical-relative:margin" filled="f" stroked="f">
            <v:textbox style="mso-next-textbox:#_x0000_s1036">
              <w:txbxContent>
                <w:p w:rsidR="00501F2B" w:rsidRDefault="00501F2B" w:rsidP="00F727E2">
                  <w:pPr>
                    <w:pStyle w:val="Heading3"/>
                  </w:pPr>
                  <w:r w:rsidRPr="000D2AF4">
                    <w:t xml:space="preserve">NATIONAL CENTRE FOR VOCATIONAL EDUCATION RESEARCH </w:t>
                  </w:r>
                </w:p>
                <w:p w:rsidR="00501F2B" w:rsidRPr="00F727E2" w:rsidRDefault="00501F2B" w:rsidP="00F727E2">
                  <w:pPr>
                    <w:pStyle w:val="Heading3"/>
                    <w:spacing w:before="80"/>
                    <w:rPr>
                      <w:b/>
                    </w:rPr>
                  </w:pPr>
                  <w:r>
                    <w:rPr>
                      <w:b/>
                    </w:rPr>
                    <w:t>OCCASIONAL PAPER</w:t>
                  </w:r>
                </w:p>
              </w:txbxContent>
            </v:textbox>
            <w10:wrap anchory="margin"/>
          </v:shape>
        </w:pict>
      </w:r>
      <w:r>
        <w:rPr>
          <w:noProof/>
          <w:lang w:eastAsia="en-AU"/>
        </w:rPr>
        <w:pict>
          <v:shape id="_x0000_s1034" type="#_x0000_t202" style="position:absolute;margin-left:73.1pt;margin-top:659.7pt;width:357pt;height:83pt;z-index:251658240;mso-position-vertical-relative:margin" filled="f" stroked="f">
            <v:textbox style="mso-next-textbox:#_x0000_s1034">
              <w:txbxContent>
                <w:p w:rsidR="00501F2B" w:rsidRDefault="00501F2B" w:rsidP="006C5DA9">
                  <w:pPr>
                    <w:pStyle w:val="Imprint"/>
                    <w:spacing w:before="0"/>
                    <w:ind w:left="142" w:right="10"/>
                    <w:rPr>
                      <w:color w:val="000000"/>
                    </w:rPr>
                  </w:pPr>
                  <w:r w:rsidRPr="005C2FCF">
                    <w:rPr>
                      <w:color w:val="000000"/>
                    </w:rPr>
                    <w:t>The views and opinions expressed in this document are those of the author/</w:t>
                  </w:r>
                  <w:r>
                    <w:rPr>
                      <w:color w:val="000000"/>
                    </w:rPr>
                    <w:br/>
                  </w:r>
                  <w:r w:rsidRPr="005C2FCF">
                    <w:rPr>
                      <w:color w:val="000000"/>
                    </w:rPr>
                    <w:t>project</w:t>
                  </w:r>
                  <w:r>
                    <w:rPr>
                      <w:color w:val="000000"/>
                    </w:rPr>
                    <w:t xml:space="preserve"> </w:t>
                  </w:r>
                  <w:r w:rsidRPr="005C2FCF">
                    <w:rPr>
                      <w:color w:val="000000"/>
                    </w:rPr>
                    <w:t xml:space="preserve">team and do not necessarily reflect the views of the Australian Government, </w:t>
                  </w:r>
                  <w:r>
                    <w:rPr>
                      <w:color w:val="000000"/>
                    </w:rPr>
                    <w:br/>
                  </w:r>
                  <w:r w:rsidRPr="005C2FCF">
                    <w:rPr>
                      <w:color w:val="000000"/>
                    </w:rPr>
                    <w:t>state and territory governments or NCVER.</w:t>
                  </w:r>
                </w:p>
                <w:p w:rsidR="00501F2B" w:rsidRPr="005C2FCF" w:rsidRDefault="00501F2B" w:rsidP="006C5DA9">
                  <w:pPr>
                    <w:pStyle w:val="Imprint"/>
                    <w:spacing w:before="120"/>
                    <w:ind w:left="142" w:right="10"/>
                    <w:rPr>
                      <w:color w:val="000000"/>
                    </w:rPr>
                  </w:pPr>
                  <w:r w:rsidRPr="005C2FCF">
                    <w:rPr>
                      <w:color w:val="000000"/>
                    </w:rPr>
                    <w:t>Any interpretation of data is the responsibility of the author/project team.</w:t>
                  </w:r>
                </w:p>
                <w:p w:rsidR="00501F2B" w:rsidRDefault="00501F2B" w:rsidP="00DB599C">
                  <w:pPr>
                    <w:ind w:left="284" w:right="294"/>
                  </w:pPr>
                </w:p>
              </w:txbxContent>
            </v:textbox>
            <w10:wrap anchory="margin"/>
          </v:shape>
        </w:pict>
      </w:r>
    </w:p>
    <w:p w:rsidR="00F727E2" w:rsidRPr="00BF57BD" w:rsidRDefault="00FE4A2D" w:rsidP="004E6E83">
      <w:pPr>
        <w:pStyle w:val="Heading3"/>
        <w:ind w:right="-1"/>
      </w:pPr>
      <w:r w:rsidRPr="005C2FCF">
        <w:br w:type="page"/>
      </w:r>
    </w:p>
    <w:tbl>
      <w:tblPr>
        <w:tblStyle w:val="TableGrid"/>
        <w:tblW w:w="0" w:type="auto"/>
        <w:tblInd w:w="170" w:type="dxa"/>
        <w:tblBorders>
          <w:left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left w:w="170" w:type="dxa"/>
          <w:right w:w="170" w:type="dxa"/>
        </w:tblCellMar>
        <w:tblLook w:val="04A0"/>
      </w:tblPr>
      <w:tblGrid>
        <w:gridCol w:w="8647"/>
      </w:tblGrid>
      <w:tr w:rsidR="004E6E83" w:rsidRPr="004E6E83" w:rsidTr="004E6E83">
        <w:tc>
          <w:tcPr>
            <w:tcW w:w="8647" w:type="dxa"/>
            <w:shd w:val="clear" w:color="auto" w:fill="D9D9D9" w:themeFill="background1" w:themeFillShade="D9"/>
          </w:tcPr>
          <w:p w:rsidR="004E6E83" w:rsidRPr="004E6E83" w:rsidRDefault="004E6E83" w:rsidP="004E6E83">
            <w:pPr>
              <w:pStyle w:val="Text"/>
              <w:spacing w:after="240"/>
              <w:ind w:right="0"/>
            </w:pPr>
            <w:r w:rsidRPr="004E6E83">
              <w:lastRenderedPageBreak/>
              <w:t>As part of the National Centre for Vocational Education Research (NCVER) Building Researcher Capacity scheme, academic scholarships were created to encourage VET practitioners to undertake university study at honours, master’s or doctorate level. These scholarships also provided participants with an opportunity to have their research peer</w:t>
            </w:r>
            <w:r>
              <w:t xml:space="preserve"> </w:t>
            </w:r>
            <w:r w:rsidRPr="004E6E83">
              <w:t>reviewed and published by NCVER.</w:t>
            </w:r>
          </w:p>
        </w:tc>
      </w:tr>
    </w:tbl>
    <w:p w:rsidR="00233BFA" w:rsidRPr="00E236D0" w:rsidRDefault="00EC7AE7" w:rsidP="00233BFA">
      <w:pPr>
        <w:pStyle w:val="Imprint"/>
        <w:rPr>
          <w:b/>
          <w:sz w:val="19"/>
          <w:szCs w:val="19"/>
        </w:rPr>
      </w:pPr>
      <w:r>
        <w:rPr>
          <w:b/>
          <w:noProof/>
          <w:sz w:val="19"/>
          <w:szCs w:val="19"/>
          <w:lang w:eastAsia="en-AU"/>
        </w:rPr>
        <w:pict>
          <v:shape id="_x0000_s1040" type="#_x0000_t202" style="position:absolute;margin-left:.45pt;margin-top:89.2pt;width:436.95pt;height:518.4pt;z-index:251664384;mso-position-horizontal-relative:text;mso-position-vertical-relative:text;v-text-anchor:bottom" filled="f" stroked="f">
            <v:textbox style="mso-next-textbox:#_x0000_s1040" inset="0,,0">
              <w:txbxContent>
                <w:p w:rsidR="00501F2B" w:rsidRPr="00F727E2" w:rsidRDefault="00501F2B" w:rsidP="00EC52C3">
                  <w:pPr>
                    <w:pStyle w:val="Imprint"/>
                    <w:rPr>
                      <w:b/>
                    </w:rPr>
                  </w:pPr>
                  <w:r w:rsidRPr="00F727E2">
                    <w:rPr>
                      <w:b/>
                    </w:rPr>
                    <w:t>© Commonwe</w:t>
                  </w:r>
                  <w:r w:rsidR="009E1173">
                    <w:rPr>
                      <w:b/>
                    </w:rPr>
                    <w:t>alth of Australia, 2012</w:t>
                  </w:r>
                </w:p>
                <w:p w:rsidR="00501F2B" w:rsidRDefault="00501F2B" w:rsidP="00EC52C3">
                  <w:pPr>
                    <w:pStyle w:val="Imprint"/>
                    <w:rPr>
                      <w:sz w:val="20"/>
                    </w:rPr>
                  </w:pPr>
                  <w:r w:rsidRPr="00E80270">
                    <w:rPr>
                      <w:noProof/>
                      <w:sz w:val="20"/>
                      <w:lang w:eastAsia="en-AU"/>
                    </w:rPr>
                    <w:drawing>
                      <wp:inline distT="0" distB="0" distL="0" distR="0">
                        <wp:extent cx="850265" cy="302895"/>
                        <wp:effectExtent l="19050" t="0" r="6985" b="0"/>
                        <wp:docPr id="2"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9"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rsidR="00501F2B" w:rsidRPr="00F727E2" w:rsidRDefault="00501F2B" w:rsidP="00EC52C3">
                  <w:pPr>
                    <w:pStyle w:val="Imprint"/>
                    <w:spacing w:before="80"/>
                  </w:pPr>
                  <w:r w:rsidRPr="00C66E90">
                    <w:t xml:space="preserve">With the exception of the Commonwealth Coat of Arms, the Department’s logo, any material protected by a trade mark and where otherwise noted all material presented in this document is provided under a Creative </w:t>
                  </w:r>
                  <w:r w:rsidRPr="00F727E2">
                    <w:t xml:space="preserve">Commons Attribution 3.0 Australia &lt;http://creativecommons.org/licenses/by/3.0/au&gt; licence. </w:t>
                  </w:r>
                </w:p>
                <w:p w:rsidR="00501F2B" w:rsidRPr="00F727E2" w:rsidRDefault="00501F2B" w:rsidP="00EC52C3">
                  <w:pPr>
                    <w:pStyle w:val="Imprint"/>
                    <w:spacing w:before="80"/>
                  </w:pPr>
                  <w:r w:rsidRPr="00F727E2">
                    <w:t>The details of the relevant licence conditions are available on the Creative Commons website (accessible using the links provided) as is the full legal code for the CC BY 3.0 AU licence &lt;http://creativecommons.org/licenses/by/3.0/legalcode&gt;.</w:t>
                  </w:r>
                </w:p>
                <w:p w:rsidR="00501F2B" w:rsidRPr="00F727E2" w:rsidRDefault="00501F2B" w:rsidP="00EC52C3">
                  <w:pPr>
                    <w:pStyle w:val="Imprint"/>
                    <w:spacing w:before="80"/>
                  </w:pPr>
                  <w:r w:rsidRPr="00F727E2">
                    <w:t>The Creative Commons licence conditions do not apply to all logos, graphic design, artwork and photographs. Requests and enquiries concerning other reproduction and rights should be directed to the National Centre for Vocational Education Research (NCVER).</w:t>
                  </w:r>
                </w:p>
                <w:p w:rsidR="00501F2B" w:rsidRPr="00F727E2" w:rsidRDefault="00501F2B" w:rsidP="00EC52C3">
                  <w:pPr>
                    <w:pStyle w:val="Imprint"/>
                    <w:spacing w:before="80"/>
                  </w:pPr>
                  <w:r w:rsidRPr="00F727E2">
                    <w:t xml:space="preserve">This document should be attributed as </w:t>
                  </w:r>
                  <w:r w:rsidR="009E1173">
                    <w:t>Leith, M 2012</w:t>
                  </w:r>
                  <w:r>
                    <w:t xml:space="preserve">, </w:t>
                  </w:r>
                  <w:proofErr w:type="gramStart"/>
                  <w:r>
                    <w:rPr>
                      <w:i/>
                    </w:rPr>
                    <w:t>How</w:t>
                  </w:r>
                  <w:proofErr w:type="gramEnd"/>
                  <w:r>
                    <w:rPr>
                      <w:i/>
                    </w:rPr>
                    <w:t xml:space="preserve"> learning English facilitates integration for adult migrants: the Jarrah Language Centre experience</w:t>
                  </w:r>
                  <w:r w:rsidRPr="00F727E2">
                    <w:t>, NCVER, Adelaide.</w:t>
                  </w:r>
                </w:p>
                <w:p w:rsidR="00501F2B" w:rsidRPr="00F727E2" w:rsidRDefault="00501F2B" w:rsidP="00EC52C3">
                  <w:pPr>
                    <w:pStyle w:val="Imprint"/>
                  </w:pPr>
                  <w:r w:rsidRPr="00F727E2">
                    <w:t xml:space="preserve">This work has been produced by NCVER under the National Vocational Education and Training Research and Evaluation (NVETRE) Program, which is coordinated and managed by NCVER on behalf of the Australian Government and state and territory governments. Funding is provided through the Department of Education, Employment and Workplace Relations. </w:t>
                  </w:r>
                </w:p>
                <w:p w:rsidR="00501F2B" w:rsidRPr="00F727E2" w:rsidRDefault="00501F2B" w:rsidP="00EC52C3">
                  <w:pPr>
                    <w:pStyle w:val="Imprint"/>
                    <w:spacing w:before="80"/>
                  </w:pPr>
                  <w:r w:rsidRPr="00F727E2">
                    <w:t xml:space="preserve">The NVETRE program is based upon priorities approved by ministers with responsibility for vocational education and training (VET). This research aims to improve policy and practice in the VET sector. </w:t>
                  </w:r>
                  <w:proofErr w:type="gramStart"/>
                  <w:r w:rsidRPr="00F727E2">
                    <w:t>For further information about the program go to the NCVER website &lt;http://www.ncver.edu.au&gt;.</w:t>
                  </w:r>
                  <w:proofErr w:type="gramEnd"/>
                  <w:r w:rsidRPr="00F727E2">
                    <w:t xml:space="preserve"> The author/project team was funded to undertake this research via a grant under the NVETRE program. These grants are awarded to organisations through a competitive process, in which NCVER does not participate. </w:t>
                  </w:r>
                </w:p>
                <w:p w:rsidR="00501F2B" w:rsidRDefault="00501F2B" w:rsidP="00EC52C3">
                  <w:pPr>
                    <w:pStyle w:val="Imprint"/>
                    <w:spacing w:before="80"/>
                    <w:rPr>
                      <w:lang w:val="en-US"/>
                    </w:rPr>
                  </w:pPr>
                  <w:r w:rsidRPr="00F727E2">
                    <w:t>The views and opinions expressed in this</w:t>
                  </w:r>
                  <w:r w:rsidRPr="003716FE">
                    <w:rPr>
                      <w:lang w:val="en-US"/>
                    </w:rPr>
                    <w:t xml:space="preserve"> document are those of the author/project team and do not necessarily reflect the views of the Australian Government, state and territory governments or NCVER.</w:t>
                  </w:r>
                </w:p>
                <w:p w:rsidR="00501F2B" w:rsidRPr="005C2FCF" w:rsidRDefault="00501F2B" w:rsidP="00EC52C3">
                  <w:pPr>
                    <w:pStyle w:val="Imprint"/>
                    <w:spacing w:before="80"/>
                    <w:rPr>
                      <w:color w:val="000000"/>
                    </w:rPr>
                  </w:pPr>
                  <w:r>
                    <w:rPr>
                      <w:color w:val="000000"/>
                    </w:rPr>
                    <w:t>ISBN</w:t>
                  </w:r>
                  <w:r>
                    <w:rPr>
                      <w:color w:val="000000"/>
                    </w:rPr>
                    <w:tab/>
                    <w:t>978 1 921955 88 4</w:t>
                  </w:r>
                  <w:r>
                    <w:rPr>
                      <w:color w:val="000000"/>
                    </w:rPr>
                    <w:br/>
                  </w:r>
                  <w:r w:rsidRPr="005C2FCF">
                    <w:rPr>
                      <w:color w:val="000000"/>
                    </w:rPr>
                    <w:t>TD/TNC</w:t>
                  </w:r>
                  <w:r w:rsidRPr="005C2FCF">
                    <w:rPr>
                      <w:color w:val="000000"/>
                    </w:rPr>
                    <w:tab/>
                  </w:r>
                  <w:r>
                    <w:rPr>
                      <w:color w:val="000000"/>
                    </w:rPr>
                    <w:t>106.02</w:t>
                  </w:r>
                </w:p>
                <w:p w:rsidR="00501F2B" w:rsidRPr="005C2FCF" w:rsidRDefault="00501F2B" w:rsidP="00EC52C3">
                  <w:pPr>
                    <w:pStyle w:val="Imprint"/>
                    <w:spacing w:before="80"/>
                    <w:rPr>
                      <w:color w:val="000000"/>
                    </w:rPr>
                  </w:pPr>
                  <w:r w:rsidRPr="005C2FCF">
                    <w:rPr>
                      <w:color w:val="000000"/>
                    </w:rPr>
                    <w:t>Published by NCVER</w:t>
                  </w:r>
                  <w:r>
                    <w:rPr>
                      <w:color w:val="000000"/>
                    </w:rPr>
                    <w:t xml:space="preserve">, </w:t>
                  </w:r>
                  <w:r w:rsidRPr="005C2FCF">
                    <w:rPr>
                      <w:color w:val="000000"/>
                    </w:rPr>
                    <w:t>ABN 87 007 967 311</w:t>
                  </w:r>
                </w:p>
                <w:p w:rsidR="00501F2B" w:rsidRPr="005C2FCF" w:rsidRDefault="00501F2B" w:rsidP="00EC52C3">
                  <w:pPr>
                    <w:pStyle w:val="Imprint"/>
                    <w:spacing w:before="80"/>
                    <w:rPr>
                      <w:color w:val="000000"/>
                    </w:rPr>
                  </w:pPr>
                  <w:r w:rsidRPr="005C2FCF">
                    <w:rPr>
                      <w:color w:val="000000"/>
                    </w:rPr>
                    <w:t>Level 11, 33 King William Street, Adelaide, SA 5000</w:t>
                  </w:r>
                  <w:r w:rsidRPr="005C2FCF">
                    <w:rPr>
                      <w:color w:val="000000"/>
                    </w:rPr>
                    <w:br/>
                    <w:t>PO Box 8288 Station Arcade, Adelaide SA 5000, Australia</w:t>
                  </w:r>
                </w:p>
                <w:p w:rsidR="00501F2B" w:rsidRDefault="00501F2B" w:rsidP="00EC52C3">
                  <w:pPr>
                    <w:pStyle w:val="Imprint"/>
                    <w:ind w:right="1700"/>
                    <w:rPr>
                      <w:color w:val="000000"/>
                    </w:rPr>
                  </w:pPr>
                  <w:r w:rsidRPr="00F727E2">
                    <w:rPr>
                      <w:b/>
                      <w:color w:val="000000"/>
                    </w:rPr>
                    <w:t>P</w:t>
                  </w:r>
                  <w:r w:rsidRPr="005C2FCF">
                    <w:rPr>
                      <w:color w:val="000000"/>
                    </w:rPr>
                    <w:t xml:space="preserve"> +61 8 8230 8400 </w:t>
                  </w:r>
                  <w:r>
                    <w:rPr>
                      <w:color w:val="000000"/>
                    </w:rPr>
                    <w:t xml:space="preserve">  </w:t>
                  </w:r>
                  <w:r w:rsidRPr="00F727E2">
                    <w:rPr>
                      <w:b/>
                      <w:color w:val="000000"/>
                    </w:rPr>
                    <w:t>F</w:t>
                  </w:r>
                  <w:r w:rsidRPr="005C2FCF">
                    <w:rPr>
                      <w:color w:val="000000"/>
                    </w:rPr>
                    <w:t xml:space="preserve"> +61 8 8212 3436</w:t>
                  </w:r>
                  <w:r>
                    <w:rPr>
                      <w:color w:val="000000"/>
                    </w:rPr>
                    <w:t xml:space="preserve">   </w:t>
                  </w:r>
                  <w:r w:rsidRPr="00F727E2">
                    <w:rPr>
                      <w:b/>
                      <w:color w:val="000000"/>
                    </w:rPr>
                    <w:t>E</w:t>
                  </w:r>
                  <w:r w:rsidRPr="005C2FCF">
                    <w:rPr>
                      <w:color w:val="000000"/>
                    </w:rPr>
                    <w:t xml:space="preserve"> </w:t>
                  </w:r>
                  <w:hyperlink r:id="rId10" w:history="1">
                    <w:r w:rsidRPr="00441898">
                      <w:rPr>
                        <w:rStyle w:val="Hyperlink"/>
                        <w:sz w:val="16"/>
                      </w:rPr>
                      <w:t>ncver@ncver.edu.au</w:t>
                    </w:r>
                  </w:hyperlink>
                  <w:r>
                    <w:rPr>
                      <w:color w:val="000000"/>
                    </w:rPr>
                    <w:t xml:space="preserve">   </w:t>
                  </w:r>
                  <w:r w:rsidRPr="00F727E2">
                    <w:rPr>
                      <w:b/>
                      <w:color w:val="000000"/>
                    </w:rPr>
                    <w:t>W</w:t>
                  </w:r>
                  <w:r>
                    <w:rPr>
                      <w:color w:val="000000"/>
                    </w:rPr>
                    <w:t xml:space="preserve"> </w:t>
                  </w:r>
                  <w:r w:rsidRPr="005C2FCF">
                    <w:rPr>
                      <w:color w:val="000000"/>
                    </w:rPr>
                    <w:t>&lt;http://www.ncver.edu.au&gt;</w:t>
                  </w:r>
                  <w:r>
                    <w:rPr>
                      <w:color w:val="000000"/>
                    </w:rPr>
                    <w:t xml:space="preserve"> </w:t>
                  </w:r>
                </w:p>
              </w:txbxContent>
            </v:textbox>
          </v:shape>
        </w:pict>
      </w:r>
    </w:p>
    <w:p w:rsidR="00EC52C3" w:rsidRDefault="00EC52C3">
      <w:pPr>
        <w:spacing w:before="0" w:line="240" w:lineRule="auto"/>
        <w:sectPr w:rsidR="00EC52C3" w:rsidSect="00F60BA5">
          <w:pgSz w:w="11907" w:h="16840" w:code="9"/>
          <w:pgMar w:top="1276" w:right="1701" w:bottom="1276" w:left="1418" w:header="709" w:footer="556" w:gutter="0"/>
          <w:cols w:space="708"/>
          <w:docGrid w:linePitch="360"/>
        </w:sectPr>
      </w:pPr>
    </w:p>
    <w:p w:rsidR="009E231A" w:rsidRPr="00C77DC6" w:rsidRDefault="00FE4A2D" w:rsidP="0049453B">
      <w:pPr>
        <w:pStyle w:val="Abouttheresearch"/>
      </w:pPr>
      <w:bookmarkStart w:id="5" w:name="_Toc73766312"/>
      <w:bookmarkStart w:id="6" w:name="_Toc77937774"/>
      <w:bookmarkStart w:id="7" w:name="_Toc80174750"/>
      <w:bookmarkStart w:id="8" w:name="_Toc81560506"/>
      <w:bookmarkStart w:id="9" w:name="_Toc82071799"/>
      <w:bookmarkStart w:id="10" w:name="_Toc82151754"/>
      <w:bookmarkStart w:id="11" w:name="_Toc82498260"/>
      <w:bookmarkStart w:id="12" w:name="_Toc86829097"/>
      <w:bookmarkStart w:id="13" w:name="_Toc89226248"/>
      <w:bookmarkStart w:id="14" w:name="_Toc89240893"/>
      <w:bookmarkStart w:id="15" w:name="_Toc98394875"/>
      <w:bookmarkStart w:id="16" w:name="_Toc296423679"/>
      <w:bookmarkStart w:id="17" w:name="_Toc296497510"/>
      <w:bookmarkStart w:id="18" w:name="_Toc495748330"/>
      <w:bookmarkStart w:id="19" w:name="_Toc495810630"/>
      <w:bookmarkStart w:id="20" w:name="_Toc6031787"/>
      <w:bookmarkStart w:id="21" w:name="_Toc6031844"/>
      <w:r w:rsidRPr="005C2FCF">
        <w:lastRenderedPageBreak/>
        <w:t>About the research</w:t>
      </w:r>
      <w:bookmarkEnd w:id="5"/>
      <w:bookmarkEnd w:id="6"/>
      <w:bookmarkEnd w:id="7"/>
      <w:bookmarkEnd w:id="8"/>
      <w:bookmarkEnd w:id="9"/>
      <w:bookmarkEnd w:id="10"/>
      <w:bookmarkEnd w:id="11"/>
      <w:bookmarkEnd w:id="12"/>
      <w:bookmarkEnd w:id="13"/>
      <w:bookmarkEnd w:id="14"/>
      <w:bookmarkEnd w:id="15"/>
      <w:bookmarkEnd w:id="16"/>
      <w:bookmarkEnd w:id="17"/>
    </w:p>
    <w:p w:rsidR="001B43CF" w:rsidRDefault="00610CD3" w:rsidP="00F93048">
      <w:pPr>
        <w:pStyle w:val="Abouttheresearchpubtitle"/>
      </w:pPr>
      <w:bookmarkStart w:id="22" w:name="_Toc98394877"/>
      <w:r>
        <w:t>How learning English facilitates integration for adult migrants: the Jarrah Language Centre experience</w:t>
      </w:r>
    </w:p>
    <w:bookmarkEnd w:id="22"/>
    <w:p w:rsidR="009E231A" w:rsidRPr="001B43CF" w:rsidRDefault="00610CD3" w:rsidP="00874DA5">
      <w:pPr>
        <w:pStyle w:val="Heading3"/>
      </w:pPr>
      <w:r>
        <w:t>Meaghan Leith, Holmesglen</w:t>
      </w:r>
    </w:p>
    <w:p w:rsidR="00610CD3" w:rsidRPr="006D192C" w:rsidRDefault="00610CD3" w:rsidP="00610CD3">
      <w:pPr>
        <w:pStyle w:val="Text"/>
        <w:rPr>
          <w:rFonts w:cs="Arial"/>
          <w:szCs w:val="22"/>
        </w:rPr>
      </w:pPr>
      <w:bookmarkStart w:id="23" w:name="_Toc98394878"/>
      <w:bookmarkStart w:id="24" w:name="_Toc296423682"/>
      <w:bookmarkStart w:id="25" w:name="_Toc296497513"/>
      <w:r w:rsidRPr="006D192C">
        <w:rPr>
          <w:rFonts w:cs="Arial"/>
          <w:szCs w:val="22"/>
        </w:rPr>
        <w:t>Building the research capacity of the vocational education and training (VET) sector is a key concern for the National Centre for Vocational Education Research (NCVER). To assist wit</w:t>
      </w:r>
      <w:r>
        <w:rPr>
          <w:rFonts w:cs="Arial"/>
          <w:szCs w:val="22"/>
        </w:rPr>
        <w:t>h this objective, NCVER support</w:t>
      </w:r>
      <w:r w:rsidR="004E6E83">
        <w:rPr>
          <w:rFonts w:cs="Arial"/>
          <w:szCs w:val="22"/>
        </w:rPr>
        <w:t>ed</w:t>
      </w:r>
      <w:r w:rsidRPr="006D192C">
        <w:rPr>
          <w:rFonts w:cs="Arial"/>
          <w:szCs w:val="22"/>
        </w:rPr>
        <w:t xml:space="preserve"> an academic scholarship prog</w:t>
      </w:r>
      <w:r>
        <w:rPr>
          <w:rFonts w:cs="Arial"/>
          <w:szCs w:val="22"/>
        </w:rPr>
        <w:t>ram, whereby VET practitioners a</w:t>
      </w:r>
      <w:r w:rsidRPr="006D192C">
        <w:rPr>
          <w:rFonts w:cs="Arial"/>
          <w:szCs w:val="22"/>
        </w:rPr>
        <w:t>re sponsored to undert</w:t>
      </w:r>
      <w:r>
        <w:rPr>
          <w:rFonts w:cs="Arial"/>
          <w:szCs w:val="22"/>
        </w:rPr>
        <w:t>ake university study at honours</w:t>
      </w:r>
      <w:r w:rsidRPr="006D192C">
        <w:rPr>
          <w:rFonts w:cs="Arial"/>
          <w:szCs w:val="22"/>
        </w:rPr>
        <w:t>, master’s, or doctorate level.</w:t>
      </w:r>
      <w:r>
        <w:rPr>
          <w:rFonts w:cs="Arial"/>
          <w:szCs w:val="22"/>
        </w:rPr>
        <w:t xml:space="preserve"> NCVER then publishe</w:t>
      </w:r>
      <w:r w:rsidR="004E6E83">
        <w:rPr>
          <w:rFonts w:cs="Arial"/>
          <w:szCs w:val="22"/>
        </w:rPr>
        <w:t>d</w:t>
      </w:r>
      <w:r>
        <w:rPr>
          <w:rFonts w:cs="Arial"/>
          <w:szCs w:val="22"/>
        </w:rPr>
        <w:t xml:space="preserve"> a snapshot of their research.</w:t>
      </w:r>
    </w:p>
    <w:p w:rsidR="00610CD3" w:rsidRDefault="00610CD3" w:rsidP="00610CD3">
      <w:pPr>
        <w:pStyle w:val="Text"/>
        <w:rPr>
          <w:rFonts w:cs="Arial"/>
          <w:szCs w:val="22"/>
        </w:rPr>
      </w:pPr>
      <w:r>
        <w:rPr>
          <w:rFonts w:cs="Arial"/>
          <w:szCs w:val="22"/>
        </w:rPr>
        <w:t xml:space="preserve">Meaghan Leith </w:t>
      </w:r>
      <w:r w:rsidRPr="006D192C">
        <w:rPr>
          <w:rFonts w:cs="Arial"/>
          <w:szCs w:val="22"/>
        </w:rPr>
        <w:t>received an academic scholarship in 2009 to assis</w:t>
      </w:r>
      <w:r>
        <w:rPr>
          <w:rFonts w:cs="Arial"/>
          <w:szCs w:val="22"/>
        </w:rPr>
        <w:t>t with her doctoral studies at t</w:t>
      </w:r>
      <w:r w:rsidRPr="006D192C">
        <w:rPr>
          <w:rFonts w:cs="Arial"/>
          <w:szCs w:val="22"/>
        </w:rPr>
        <w:t>he University of Melbourne</w:t>
      </w:r>
      <w:r>
        <w:rPr>
          <w:rFonts w:cs="Arial"/>
          <w:szCs w:val="22"/>
        </w:rPr>
        <w:t xml:space="preserve">. Meaghan is </w:t>
      </w:r>
      <w:proofErr w:type="gramStart"/>
      <w:r>
        <w:rPr>
          <w:rFonts w:cs="Arial"/>
          <w:szCs w:val="22"/>
        </w:rPr>
        <w:t>an English</w:t>
      </w:r>
      <w:proofErr w:type="gramEnd"/>
      <w:r>
        <w:rPr>
          <w:rFonts w:cs="Arial"/>
          <w:szCs w:val="22"/>
        </w:rPr>
        <w:t xml:space="preserve"> as a second language teacher of adult </w:t>
      </w:r>
      <w:r w:rsidRPr="006D192C">
        <w:rPr>
          <w:rFonts w:cs="Arial"/>
          <w:szCs w:val="22"/>
        </w:rPr>
        <w:t>migrants and intern</w:t>
      </w:r>
      <w:r>
        <w:rPr>
          <w:rFonts w:cs="Arial"/>
          <w:szCs w:val="22"/>
        </w:rPr>
        <w:t>ational students at Holmesglen</w:t>
      </w:r>
      <w:r w:rsidRPr="006D192C">
        <w:rPr>
          <w:rFonts w:cs="Arial"/>
          <w:szCs w:val="22"/>
        </w:rPr>
        <w:t xml:space="preserve"> in Melbourne. </w:t>
      </w:r>
      <w:r>
        <w:rPr>
          <w:rFonts w:cs="Arial"/>
          <w:szCs w:val="22"/>
        </w:rPr>
        <w:t>Her research explores how studying English as a second language can help adult migrants to integrate into Australian society.</w:t>
      </w:r>
    </w:p>
    <w:p w:rsidR="00610CD3" w:rsidRPr="006D192C" w:rsidRDefault="00610CD3" w:rsidP="00610CD3">
      <w:pPr>
        <w:pStyle w:val="Text"/>
        <w:rPr>
          <w:rFonts w:cs="Arial"/>
          <w:szCs w:val="22"/>
        </w:rPr>
      </w:pPr>
      <w:r>
        <w:rPr>
          <w:rFonts w:cs="Arial"/>
          <w:szCs w:val="22"/>
        </w:rPr>
        <w:t>A survey was distributed to migrants at the commencement of their English studies at the Jarrah Language Centre to gather demographic data. Fourteen were selected from this group to be interviewed four times over a period of approximately two years to garner a sense of their post-course experiences, their level of integration and any changes to their circumstances</w:t>
      </w:r>
      <w:r w:rsidR="004E6E83">
        <w:rPr>
          <w:rFonts w:cs="Arial"/>
          <w:szCs w:val="22"/>
        </w:rPr>
        <w:t xml:space="preserve"> during that time</w:t>
      </w:r>
      <w:r>
        <w:rPr>
          <w:rFonts w:cs="Arial"/>
          <w:szCs w:val="22"/>
        </w:rPr>
        <w:t xml:space="preserve">. </w:t>
      </w:r>
    </w:p>
    <w:p w:rsidR="009E231A" w:rsidRPr="005C2FCF" w:rsidRDefault="00FE4A2D" w:rsidP="0049453B">
      <w:pPr>
        <w:pStyle w:val="Keymessages"/>
      </w:pPr>
      <w:r w:rsidRPr="005C2FCF">
        <w:t>Key messages</w:t>
      </w:r>
      <w:bookmarkEnd w:id="23"/>
      <w:bookmarkEnd w:id="24"/>
      <w:bookmarkEnd w:id="25"/>
    </w:p>
    <w:p w:rsidR="00610CD3" w:rsidRDefault="00610CD3" w:rsidP="00610CD3">
      <w:pPr>
        <w:pStyle w:val="Dotpoint1"/>
      </w:pPr>
      <w:r>
        <w:t>Not being competent and confident in using English was seen by migrants and language centre teachers and staff as the biggest barrier to integration.</w:t>
      </w:r>
      <w:r w:rsidRPr="00D17F19">
        <w:t xml:space="preserve"> </w:t>
      </w:r>
    </w:p>
    <w:p w:rsidR="00610CD3" w:rsidRDefault="00610CD3" w:rsidP="00610CD3">
      <w:pPr>
        <w:pStyle w:val="Dotpoint1"/>
      </w:pPr>
      <w:r>
        <w:t xml:space="preserve">Most migrants undertook </w:t>
      </w:r>
      <w:r>
        <w:rPr>
          <w:rFonts w:cs="Arial"/>
          <w:szCs w:val="22"/>
        </w:rPr>
        <w:t>English as a second language</w:t>
      </w:r>
      <w:r>
        <w:t xml:space="preserve"> classes to improve their spoken English and valued the speaking opportunities </w:t>
      </w:r>
      <w:r w:rsidR="00DD5C97">
        <w:t xml:space="preserve">provided </w:t>
      </w:r>
      <w:r>
        <w:t>in their classes, but they would like more opportunities to speak everyday English in class.</w:t>
      </w:r>
    </w:p>
    <w:p w:rsidR="00610CD3" w:rsidRDefault="00610CD3" w:rsidP="00610CD3">
      <w:pPr>
        <w:pStyle w:val="Dotpoint1"/>
      </w:pPr>
      <w:r>
        <w:t xml:space="preserve">Migrants found undertaking </w:t>
      </w:r>
      <w:r>
        <w:rPr>
          <w:rFonts w:cs="Arial"/>
          <w:szCs w:val="22"/>
        </w:rPr>
        <w:t>English language</w:t>
      </w:r>
      <w:r>
        <w:t xml:space="preserve"> classes valuable in helping them to move into mainstream study and employment. By the time of the last interview, most migrants were either in full- or part-time work or were continuing with mainstream study.</w:t>
      </w:r>
    </w:p>
    <w:p w:rsidR="00610CD3" w:rsidRPr="009E231A" w:rsidRDefault="00610CD3" w:rsidP="00610CD3">
      <w:pPr>
        <w:pStyle w:val="Dotpoint1"/>
      </w:pPr>
      <w:r>
        <w:rPr>
          <w:rFonts w:cs="Arial"/>
          <w:szCs w:val="22"/>
        </w:rPr>
        <w:t>English as a second language</w:t>
      </w:r>
      <w:r>
        <w:t xml:space="preserve"> programs, </w:t>
      </w:r>
      <w:proofErr w:type="gramStart"/>
      <w:r>
        <w:t>on their own,</w:t>
      </w:r>
      <w:proofErr w:type="gramEnd"/>
      <w:r>
        <w:t xml:space="preserve"> are not enough to ensure gaining permanent employment. Instead, they are a pathway to further study or low-level jobs. Having a language centre </w:t>
      </w:r>
      <w:r w:rsidR="00DD5C97">
        <w:t>located</w:t>
      </w:r>
      <w:r>
        <w:t xml:space="preserve"> in a TAFE institute also encourages movement into further study. </w:t>
      </w:r>
    </w:p>
    <w:p w:rsidR="009E231A" w:rsidRPr="005C2FCF" w:rsidRDefault="009E231A" w:rsidP="0048643A">
      <w:pPr>
        <w:pStyle w:val="Text"/>
      </w:pPr>
    </w:p>
    <w:p w:rsidR="009E231A" w:rsidRPr="005C2FCF" w:rsidRDefault="00FE4A2D" w:rsidP="0048643A">
      <w:pPr>
        <w:pStyle w:val="Text"/>
      </w:pPr>
      <w:r w:rsidRPr="005C2FCF">
        <w:t xml:space="preserve">Tom </w:t>
      </w:r>
      <w:proofErr w:type="spellStart"/>
      <w:r w:rsidRPr="005C2FCF">
        <w:t>Karmel</w:t>
      </w:r>
      <w:proofErr w:type="spellEnd"/>
      <w:r w:rsidRPr="005C2FCF">
        <w:br/>
        <w:t>Managing Director, NCVER</w:t>
      </w:r>
    </w:p>
    <w:p w:rsidR="00BD032A" w:rsidRDefault="00BD032A">
      <w:pPr>
        <w:spacing w:before="0" w:line="240" w:lineRule="auto"/>
        <w:sectPr w:rsidR="00BD032A" w:rsidSect="00F60BA5">
          <w:pgSz w:w="11907" w:h="16840" w:code="9"/>
          <w:pgMar w:top="1276" w:right="1701" w:bottom="1276" w:left="1418" w:header="709" w:footer="556" w:gutter="0"/>
          <w:cols w:space="708"/>
          <w:docGrid w:linePitch="360"/>
        </w:sectPr>
      </w:pPr>
    </w:p>
    <w:p w:rsidR="00610CD3" w:rsidRDefault="00610CD3" w:rsidP="00610CD3">
      <w:pPr>
        <w:pStyle w:val="Heading1"/>
      </w:pPr>
      <w:bookmarkStart w:id="26" w:name="_Toc309645482"/>
      <w:r>
        <w:lastRenderedPageBreak/>
        <w:t>Acknowledgments</w:t>
      </w:r>
      <w:bookmarkEnd w:id="26"/>
    </w:p>
    <w:p w:rsidR="00610CD3" w:rsidRPr="001956F7" w:rsidRDefault="00610CD3" w:rsidP="00610CD3">
      <w:pPr>
        <w:pStyle w:val="Text"/>
        <w:rPr>
          <w:color w:val="000000" w:themeColor="text1"/>
        </w:rPr>
      </w:pPr>
      <w:r w:rsidRPr="00F06FB5">
        <w:t xml:space="preserve">I extend my gratitude to the following individuals and organisations for their support and guidance with this </w:t>
      </w:r>
      <w:r>
        <w:t xml:space="preserve">occasional </w:t>
      </w:r>
      <w:r w:rsidRPr="00F06FB5">
        <w:t>paper</w:t>
      </w:r>
      <w:r>
        <w:t xml:space="preserve"> and the research on which it is based: </w:t>
      </w:r>
    </w:p>
    <w:p w:rsidR="00610CD3" w:rsidRPr="001956F7" w:rsidRDefault="00610CD3" w:rsidP="001956F7">
      <w:pPr>
        <w:pStyle w:val="Dotpoint1"/>
      </w:pPr>
      <w:r w:rsidRPr="002244D5">
        <w:t xml:space="preserve">the NCVER </w:t>
      </w:r>
      <w:r w:rsidR="00E0311A">
        <w:t>Building Researcher Capacity Academic Scholarship P</w:t>
      </w:r>
      <w:r w:rsidRPr="002244D5">
        <w:t>rogram</w:t>
      </w:r>
      <w:r>
        <w:t>,</w:t>
      </w:r>
      <w:r w:rsidRPr="002244D5">
        <w:t xml:space="preserve"> which partially funded this research project, </w:t>
      </w:r>
      <w:r w:rsidRPr="001956F7">
        <w:t xml:space="preserve">and Roger Harris, </w:t>
      </w:r>
      <w:proofErr w:type="spellStart"/>
      <w:r w:rsidRPr="001956F7">
        <w:t>Llandis</w:t>
      </w:r>
      <w:proofErr w:type="spellEnd"/>
      <w:r w:rsidRPr="001956F7">
        <w:t xml:space="preserve"> Barratt-Pugh, Geri </w:t>
      </w:r>
      <w:proofErr w:type="spellStart"/>
      <w:r w:rsidRPr="001956F7">
        <w:t>Pancini</w:t>
      </w:r>
      <w:proofErr w:type="spellEnd"/>
      <w:r w:rsidRPr="001956F7">
        <w:t xml:space="preserve"> and Bridget Wibrow for their encouragement and patience </w:t>
      </w:r>
    </w:p>
    <w:p w:rsidR="00610CD3" w:rsidRPr="001956F7" w:rsidRDefault="00610CD3" w:rsidP="001956F7">
      <w:pPr>
        <w:pStyle w:val="Dotpoint1"/>
      </w:pPr>
      <w:r w:rsidRPr="001956F7">
        <w:t xml:space="preserve">Professors John </w:t>
      </w:r>
      <w:proofErr w:type="spellStart"/>
      <w:r w:rsidRPr="001956F7">
        <w:t>Polesel</w:t>
      </w:r>
      <w:proofErr w:type="spellEnd"/>
      <w:r w:rsidRPr="001956F7">
        <w:t xml:space="preserve"> and Jack Keating for their </w:t>
      </w:r>
      <w:r w:rsidRPr="001956F7">
        <w:rPr>
          <w:szCs w:val="22"/>
        </w:rPr>
        <w:t>clarity of vision, navigational skills and good cheer</w:t>
      </w:r>
    </w:p>
    <w:p w:rsidR="00610CD3" w:rsidRPr="001956F7" w:rsidRDefault="00610CD3" w:rsidP="001956F7">
      <w:pPr>
        <w:pStyle w:val="Dotpoint1"/>
      </w:pPr>
      <w:r w:rsidRPr="001956F7">
        <w:t xml:space="preserve">Elma </w:t>
      </w:r>
      <w:proofErr w:type="spellStart"/>
      <w:r w:rsidRPr="001956F7">
        <w:t>Avdi</w:t>
      </w:r>
      <w:proofErr w:type="spellEnd"/>
      <w:r w:rsidRPr="001956F7">
        <w:t xml:space="preserve">, Cecilia </w:t>
      </w:r>
      <w:proofErr w:type="spellStart"/>
      <w:r w:rsidRPr="001956F7">
        <w:t>Tunnock</w:t>
      </w:r>
      <w:proofErr w:type="spellEnd"/>
      <w:r w:rsidRPr="001956F7">
        <w:t>, and Bessie O’Connor for reviewing, and offering insight and suggestions on earlier drafts of this paper</w:t>
      </w:r>
    </w:p>
    <w:p w:rsidR="00610CD3" w:rsidRPr="001956F7" w:rsidRDefault="00610CD3" w:rsidP="001956F7">
      <w:pPr>
        <w:pStyle w:val="Dotpoint1"/>
      </w:pPr>
      <w:r w:rsidRPr="001956F7">
        <w:t xml:space="preserve">Holmesglen for providing considerable financial and material support, as well as time release, for this research </w:t>
      </w:r>
    </w:p>
    <w:p w:rsidR="00610CD3" w:rsidRPr="001956F7" w:rsidRDefault="00610CD3" w:rsidP="001956F7">
      <w:pPr>
        <w:pStyle w:val="Dotpoint1"/>
      </w:pPr>
      <w:r w:rsidRPr="001956F7">
        <w:t>Jarrah Language Centre staff who shared their views and experiences</w:t>
      </w:r>
    </w:p>
    <w:p w:rsidR="00610CD3" w:rsidRPr="002244D5" w:rsidRDefault="00610CD3" w:rsidP="001956F7">
      <w:pPr>
        <w:pStyle w:val="Dotpoint1"/>
      </w:pPr>
      <w:proofErr w:type="gramStart"/>
      <w:r w:rsidRPr="001956F7">
        <w:t>most</w:t>
      </w:r>
      <w:proofErr w:type="gramEnd"/>
      <w:r w:rsidRPr="001956F7">
        <w:t xml:space="preserve"> importantly, the former Jarrah Language Centre students whose input was invaluable, </w:t>
      </w:r>
      <w:r w:rsidRPr="001956F7">
        <w:rPr>
          <w:szCs w:val="22"/>
        </w:rPr>
        <w:t xml:space="preserve">especially </w:t>
      </w:r>
      <w:r w:rsidRPr="001956F7">
        <w:t>the 14 migrants who</w:t>
      </w:r>
      <w:r w:rsidRPr="002244D5">
        <w:t xml:space="preserve">, over two-and-a-half years, so generously shared their experiences and perceptions </w:t>
      </w:r>
      <w:r w:rsidRPr="002244D5">
        <w:rPr>
          <w:szCs w:val="22"/>
        </w:rPr>
        <w:t>with me.</w:t>
      </w:r>
      <w:r w:rsidRPr="002244D5">
        <w:t xml:space="preserve"> It was a privilege to listen to your stories.</w:t>
      </w:r>
    </w:p>
    <w:p w:rsidR="00177827" w:rsidRDefault="00177827" w:rsidP="00874DA5">
      <w:pPr>
        <w:pStyle w:val="Contents"/>
      </w:pPr>
    </w:p>
    <w:p w:rsidR="00177827" w:rsidRDefault="00177827" w:rsidP="00874DA5">
      <w:pPr>
        <w:pStyle w:val="Contents"/>
        <w:sectPr w:rsidR="00177827" w:rsidSect="00F60BA5">
          <w:footerReference w:type="even" r:id="rId11"/>
          <w:pgSz w:w="11907" w:h="16840" w:code="9"/>
          <w:pgMar w:top="1276" w:right="1701" w:bottom="1276" w:left="1418" w:header="709" w:footer="556" w:gutter="0"/>
          <w:cols w:space="708"/>
          <w:docGrid w:linePitch="360"/>
        </w:sectPr>
      </w:pPr>
    </w:p>
    <w:p w:rsidR="009E231A" w:rsidRPr="00DC5F5C" w:rsidRDefault="00FE4A2D" w:rsidP="00874DA5">
      <w:pPr>
        <w:pStyle w:val="Contents"/>
      </w:pPr>
      <w:bookmarkStart w:id="27" w:name="_Toc98394880"/>
      <w:bookmarkStart w:id="28" w:name="_Toc296423683"/>
      <w:bookmarkStart w:id="29" w:name="_Toc296497514"/>
      <w:r w:rsidRPr="00DC5F5C">
        <w:lastRenderedPageBreak/>
        <w:t>Contents</w:t>
      </w:r>
      <w:bookmarkEnd w:id="27"/>
      <w:bookmarkEnd w:id="28"/>
      <w:bookmarkEnd w:id="29"/>
    </w:p>
    <w:p w:rsidR="006C011B" w:rsidRDefault="00EC7AE7">
      <w:pPr>
        <w:pStyle w:val="TOC1"/>
        <w:rPr>
          <w:rFonts w:asciiTheme="minorHAnsi" w:eastAsiaTheme="minorEastAsia" w:hAnsiTheme="minorHAnsi" w:cstheme="minorBidi"/>
          <w:color w:val="auto"/>
          <w:sz w:val="22"/>
          <w:szCs w:val="22"/>
          <w:lang w:eastAsia="en-AU"/>
        </w:rPr>
      </w:pPr>
      <w:r w:rsidRPr="00EC7AE7">
        <w:rPr>
          <w:rFonts w:ascii="Avant Garde" w:hAnsi="Avant Garde"/>
        </w:rPr>
        <w:fldChar w:fldCharType="begin"/>
      </w:r>
      <w:r w:rsidR="00FE4A2D" w:rsidRPr="009775C7">
        <w:rPr>
          <w:rFonts w:ascii="Avant Garde" w:hAnsi="Avant Garde"/>
        </w:rPr>
        <w:instrText xml:space="preserve"> TOC \o "1-2" </w:instrText>
      </w:r>
      <w:r w:rsidRPr="00EC7AE7">
        <w:rPr>
          <w:rFonts w:ascii="Avant Garde" w:hAnsi="Avant Garde"/>
        </w:rPr>
        <w:fldChar w:fldCharType="separate"/>
      </w:r>
      <w:r w:rsidR="006C011B">
        <w:t>Tables</w:t>
      </w:r>
      <w:r w:rsidR="006C011B">
        <w:tab/>
      </w:r>
      <w:r>
        <w:fldChar w:fldCharType="begin"/>
      </w:r>
      <w:r w:rsidR="006C011B">
        <w:instrText xml:space="preserve"> PAGEREF _Toc309645483 \h </w:instrText>
      </w:r>
      <w:r>
        <w:fldChar w:fldCharType="separate"/>
      </w:r>
      <w:r w:rsidR="006C011B">
        <w:t>6</w:t>
      </w:r>
      <w:r>
        <w:fldChar w:fldCharType="end"/>
      </w:r>
    </w:p>
    <w:p w:rsidR="006C011B" w:rsidRDefault="006C011B">
      <w:pPr>
        <w:pStyle w:val="TOC1"/>
        <w:rPr>
          <w:rFonts w:asciiTheme="minorHAnsi" w:eastAsiaTheme="minorEastAsia" w:hAnsiTheme="minorHAnsi" w:cstheme="minorBidi"/>
          <w:color w:val="auto"/>
          <w:sz w:val="22"/>
          <w:szCs w:val="22"/>
          <w:lang w:eastAsia="en-AU"/>
        </w:rPr>
      </w:pPr>
      <w:r>
        <w:t>Introduction and context</w:t>
      </w:r>
      <w:r>
        <w:tab/>
      </w:r>
      <w:r w:rsidR="00EC7AE7">
        <w:fldChar w:fldCharType="begin"/>
      </w:r>
      <w:r>
        <w:instrText xml:space="preserve"> PAGEREF _Toc309645485 \h </w:instrText>
      </w:r>
      <w:r w:rsidR="00EC7AE7">
        <w:fldChar w:fldCharType="separate"/>
      </w:r>
      <w:r>
        <w:t>7</w:t>
      </w:r>
      <w:r w:rsidR="00EC7AE7">
        <w:fldChar w:fldCharType="end"/>
      </w:r>
    </w:p>
    <w:p w:rsidR="006C011B" w:rsidRDefault="006C011B">
      <w:pPr>
        <w:pStyle w:val="TOC2"/>
        <w:rPr>
          <w:rFonts w:asciiTheme="minorHAnsi" w:eastAsiaTheme="minorEastAsia" w:hAnsiTheme="minorHAnsi" w:cstheme="minorBidi"/>
          <w:color w:val="auto"/>
          <w:sz w:val="22"/>
          <w:szCs w:val="22"/>
          <w:lang w:eastAsia="en-AU"/>
        </w:rPr>
      </w:pPr>
      <w:r>
        <w:t>Integration is …?</w:t>
      </w:r>
      <w:r>
        <w:tab/>
      </w:r>
      <w:r w:rsidR="00EC7AE7">
        <w:fldChar w:fldCharType="begin"/>
      </w:r>
      <w:r>
        <w:instrText xml:space="preserve"> PAGEREF _Toc309645486 \h </w:instrText>
      </w:r>
      <w:r w:rsidR="00EC7AE7">
        <w:fldChar w:fldCharType="separate"/>
      </w:r>
      <w:r>
        <w:t>7</w:t>
      </w:r>
      <w:r w:rsidR="00EC7AE7">
        <w:fldChar w:fldCharType="end"/>
      </w:r>
    </w:p>
    <w:p w:rsidR="006C011B" w:rsidRDefault="006C011B">
      <w:pPr>
        <w:pStyle w:val="TOC2"/>
        <w:rPr>
          <w:rFonts w:asciiTheme="minorHAnsi" w:eastAsiaTheme="minorEastAsia" w:hAnsiTheme="minorHAnsi" w:cstheme="minorBidi"/>
          <w:color w:val="auto"/>
          <w:sz w:val="22"/>
          <w:szCs w:val="22"/>
          <w:lang w:eastAsia="en-AU"/>
        </w:rPr>
      </w:pPr>
      <w:r>
        <w:t>This study</w:t>
      </w:r>
      <w:r>
        <w:tab/>
      </w:r>
      <w:r w:rsidR="00EC7AE7">
        <w:fldChar w:fldCharType="begin"/>
      </w:r>
      <w:r>
        <w:instrText xml:space="preserve"> PAGEREF _Toc309645487 \h </w:instrText>
      </w:r>
      <w:r w:rsidR="00EC7AE7">
        <w:fldChar w:fldCharType="separate"/>
      </w:r>
      <w:r>
        <w:t>10</w:t>
      </w:r>
      <w:r w:rsidR="00EC7AE7">
        <w:fldChar w:fldCharType="end"/>
      </w:r>
    </w:p>
    <w:p w:rsidR="006C011B" w:rsidRDefault="006C011B">
      <w:pPr>
        <w:pStyle w:val="TOC1"/>
        <w:rPr>
          <w:rFonts w:asciiTheme="minorHAnsi" w:eastAsiaTheme="minorEastAsia" w:hAnsiTheme="minorHAnsi" w:cstheme="minorBidi"/>
          <w:color w:val="auto"/>
          <w:sz w:val="22"/>
          <w:szCs w:val="22"/>
          <w:lang w:eastAsia="en-AU"/>
        </w:rPr>
      </w:pPr>
      <w:r>
        <w:t>Methodology</w:t>
      </w:r>
      <w:r>
        <w:tab/>
      </w:r>
      <w:r w:rsidR="00EC7AE7">
        <w:fldChar w:fldCharType="begin"/>
      </w:r>
      <w:r>
        <w:instrText xml:space="preserve"> PAGEREF _Toc309645488 \h </w:instrText>
      </w:r>
      <w:r w:rsidR="00EC7AE7">
        <w:fldChar w:fldCharType="separate"/>
      </w:r>
      <w:r>
        <w:t>11</w:t>
      </w:r>
      <w:r w:rsidR="00EC7AE7">
        <w:fldChar w:fldCharType="end"/>
      </w:r>
    </w:p>
    <w:p w:rsidR="006C011B" w:rsidRDefault="006C011B">
      <w:pPr>
        <w:pStyle w:val="TOC2"/>
        <w:rPr>
          <w:rFonts w:asciiTheme="minorHAnsi" w:eastAsiaTheme="minorEastAsia" w:hAnsiTheme="minorHAnsi" w:cstheme="minorBidi"/>
          <w:color w:val="auto"/>
          <w:sz w:val="22"/>
          <w:szCs w:val="22"/>
          <w:lang w:eastAsia="en-AU"/>
        </w:rPr>
      </w:pPr>
      <w:r w:rsidRPr="00112912">
        <w:rPr>
          <w:rFonts w:eastAsia="Arial Unicode MS"/>
        </w:rPr>
        <w:t>Document review</w:t>
      </w:r>
      <w:r>
        <w:tab/>
      </w:r>
      <w:r w:rsidR="00EC7AE7">
        <w:fldChar w:fldCharType="begin"/>
      </w:r>
      <w:r>
        <w:instrText xml:space="preserve"> PAGEREF _Toc309645489 \h </w:instrText>
      </w:r>
      <w:r w:rsidR="00EC7AE7">
        <w:fldChar w:fldCharType="separate"/>
      </w:r>
      <w:r>
        <w:t>11</w:t>
      </w:r>
      <w:r w:rsidR="00EC7AE7">
        <w:fldChar w:fldCharType="end"/>
      </w:r>
    </w:p>
    <w:p w:rsidR="006C011B" w:rsidRDefault="006C011B">
      <w:pPr>
        <w:pStyle w:val="TOC2"/>
        <w:rPr>
          <w:rFonts w:asciiTheme="minorHAnsi" w:eastAsiaTheme="minorEastAsia" w:hAnsiTheme="minorHAnsi" w:cstheme="minorBidi"/>
          <w:color w:val="auto"/>
          <w:sz w:val="22"/>
          <w:szCs w:val="22"/>
          <w:lang w:eastAsia="en-AU"/>
        </w:rPr>
      </w:pPr>
      <w:r w:rsidRPr="00112912">
        <w:rPr>
          <w:rFonts w:eastAsia="Arial Unicode MS"/>
        </w:rPr>
        <w:t>Student and teacher surveys</w:t>
      </w:r>
      <w:r>
        <w:tab/>
      </w:r>
      <w:r w:rsidR="00EC7AE7">
        <w:fldChar w:fldCharType="begin"/>
      </w:r>
      <w:r>
        <w:instrText xml:space="preserve"> PAGEREF _Toc309645490 \h </w:instrText>
      </w:r>
      <w:r w:rsidR="00EC7AE7">
        <w:fldChar w:fldCharType="separate"/>
      </w:r>
      <w:r>
        <w:t>12</w:t>
      </w:r>
      <w:r w:rsidR="00EC7AE7">
        <w:fldChar w:fldCharType="end"/>
      </w:r>
    </w:p>
    <w:p w:rsidR="006C011B" w:rsidRDefault="006C011B">
      <w:pPr>
        <w:pStyle w:val="TOC2"/>
        <w:rPr>
          <w:rFonts w:asciiTheme="minorHAnsi" w:eastAsiaTheme="minorEastAsia" w:hAnsiTheme="minorHAnsi" w:cstheme="minorBidi"/>
          <w:color w:val="auto"/>
          <w:sz w:val="22"/>
          <w:szCs w:val="22"/>
          <w:lang w:eastAsia="en-AU"/>
        </w:rPr>
      </w:pPr>
      <w:r w:rsidRPr="00112912">
        <w:rPr>
          <w:rFonts w:eastAsia="Arial Unicode MS"/>
        </w:rPr>
        <w:t>Follow-up student interviews</w:t>
      </w:r>
      <w:r>
        <w:tab/>
      </w:r>
      <w:r w:rsidR="00EC7AE7">
        <w:fldChar w:fldCharType="begin"/>
      </w:r>
      <w:r>
        <w:instrText xml:space="preserve"> PAGEREF _Toc309645491 \h </w:instrText>
      </w:r>
      <w:r w:rsidR="00EC7AE7">
        <w:fldChar w:fldCharType="separate"/>
      </w:r>
      <w:r>
        <w:t>12</w:t>
      </w:r>
      <w:r w:rsidR="00EC7AE7">
        <w:fldChar w:fldCharType="end"/>
      </w:r>
    </w:p>
    <w:p w:rsidR="006C011B" w:rsidRDefault="006C011B">
      <w:pPr>
        <w:pStyle w:val="TOC2"/>
        <w:rPr>
          <w:rFonts w:asciiTheme="minorHAnsi" w:eastAsiaTheme="minorEastAsia" w:hAnsiTheme="minorHAnsi" w:cstheme="minorBidi"/>
          <w:color w:val="auto"/>
          <w:sz w:val="22"/>
          <w:szCs w:val="22"/>
          <w:lang w:eastAsia="en-AU"/>
        </w:rPr>
      </w:pPr>
      <w:r w:rsidRPr="00112912">
        <w:rPr>
          <w:rFonts w:eastAsia="Arial Unicode MS"/>
        </w:rPr>
        <w:t>Limitations of the study</w:t>
      </w:r>
      <w:r>
        <w:tab/>
      </w:r>
      <w:r w:rsidR="00EC7AE7">
        <w:fldChar w:fldCharType="begin"/>
      </w:r>
      <w:r>
        <w:instrText xml:space="preserve"> PAGEREF _Toc309645492 \h </w:instrText>
      </w:r>
      <w:r w:rsidR="00EC7AE7">
        <w:fldChar w:fldCharType="separate"/>
      </w:r>
      <w:r>
        <w:t>13</w:t>
      </w:r>
      <w:r w:rsidR="00EC7AE7">
        <w:fldChar w:fldCharType="end"/>
      </w:r>
    </w:p>
    <w:p w:rsidR="006C011B" w:rsidRDefault="006C011B">
      <w:pPr>
        <w:pStyle w:val="TOC1"/>
        <w:rPr>
          <w:rFonts w:asciiTheme="minorHAnsi" w:eastAsiaTheme="minorEastAsia" w:hAnsiTheme="minorHAnsi" w:cstheme="minorBidi"/>
          <w:color w:val="auto"/>
          <w:sz w:val="22"/>
          <w:szCs w:val="22"/>
          <w:lang w:eastAsia="en-AU"/>
        </w:rPr>
      </w:pPr>
      <w:r>
        <w:t>Findings</w:t>
      </w:r>
      <w:r>
        <w:tab/>
      </w:r>
      <w:r w:rsidR="00EC7AE7">
        <w:fldChar w:fldCharType="begin"/>
      </w:r>
      <w:r>
        <w:instrText xml:space="preserve"> PAGEREF _Toc309645493 \h </w:instrText>
      </w:r>
      <w:r w:rsidR="00EC7AE7">
        <w:fldChar w:fldCharType="separate"/>
      </w:r>
      <w:r>
        <w:t>14</w:t>
      </w:r>
      <w:r w:rsidR="00EC7AE7">
        <w:fldChar w:fldCharType="end"/>
      </w:r>
    </w:p>
    <w:p w:rsidR="006C011B" w:rsidRDefault="006C011B">
      <w:pPr>
        <w:pStyle w:val="TOC2"/>
        <w:rPr>
          <w:rFonts w:asciiTheme="minorHAnsi" w:eastAsiaTheme="minorEastAsia" w:hAnsiTheme="minorHAnsi" w:cstheme="minorBidi"/>
          <w:color w:val="auto"/>
          <w:sz w:val="22"/>
          <w:szCs w:val="22"/>
          <w:lang w:eastAsia="en-AU"/>
        </w:rPr>
      </w:pPr>
      <w:r>
        <w:t>Psychosocial integration</w:t>
      </w:r>
      <w:r>
        <w:tab/>
      </w:r>
      <w:r w:rsidR="00EC7AE7">
        <w:fldChar w:fldCharType="begin"/>
      </w:r>
      <w:r>
        <w:instrText xml:space="preserve"> PAGEREF _Toc309645494 \h </w:instrText>
      </w:r>
      <w:r w:rsidR="00EC7AE7">
        <w:fldChar w:fldCharType="separate"/>
      </w:r>
      <w:r>
        <w:t>14</w:t>
      </w:r>
      <w:r w:rsidR="00EC7AE7">
        <w:fldChar w:fldCharType="end"/>
      </w:r>
    </w:p>
    <w:p w:rsidR="006C011B" w:rsidRDefault="006C011B">
      <w:pPr>
        <w:pStyle w:val="TOC2"/>
        <w:rPr>
          <w:rFonts w:asciiTheme="minorHAnsi" w:eastAsiaTheme="minorEastAsia" w:hAnsiTheme="minorHAnsi" w:cstheme="minorBidi"/>
          <w:color w:val="auto"/>
          <w:sz w:val="22"/>
          <w:szCs w:val="22"/>
          <w:lang w:eastAsia="en-AU"/>
        </w:rPr>
      </w:pPr>
      <w:r>
        <w:t>Economic integration</w:t>
      </w:r>
      <w:r>
        <w:tab/>
      </w:r>
      <w:r w:rsidR="00EC7AE7">
        <w:fldChar w:fldCharType="begin"/>
      </w:r>
      <w:r>
        <w:instrText xml:space="preserve"> PAGEREF _Toc309645495 \h </w:instrText>
      </w:r>
      <w:r w:rsidR="00EC7AE7">
        <w:fldChar w:fldCharType="separate"/>
      </w:r>
      <w:r>
        <w:t>20</w:t>
      </w:r>
      <w:r w:rsidR="00EC7AE7">
        <w:fldChar w:fldCharType="end"/>
      </w:r>
    </w:p>
    <w:p w:rsidR="006C011B" w:rsidRDefault="006C011B">
      <w:pPr>
        <w:pStyle w:val="TOC2"/>
        <w:rPr>
          <w:rFonts w:asciiTheme="minorHAnsi" w:eastAsiaTheme="minorEastAsia" w:hAnsiTheme="minorHAnsi" w:cstheme="minorBidi"/>
          <w:color w:val="auto"/>
          <w:sz w:val="22"/>
          <w:szCs w:val="22"/>
          <w:lang w:eastAsia="en-AU"/>
        </w:rPr>
      </w:pPr>
      <w:r>
        <w:t>Interviewed migrants’ work and further study experiences and outcomes</w:t>
      </w:r>
      <w:r>
        <w:tab/>
      </w:r>
      <w:r w:rsidR="00EC7AE7">
        <w:fldChar w:fldCharType="begin"/>
      </w:r>
      <w:r>
        <w:instrText xml:space="preserve"> PAGEREF _Toc309645496 \h </w:instrText>
      </w:r>
      <w:r w:rsidR="00EC7AE7">
        <w:fldChar w:fldCharType="separate"/>
      </w:r>
      <w:r>
        <w:t>24</w:t>
      </w:r>
      <w:r w:rsidR="00EC7AE7">
        <w:fldChar w:fldCharType="end"/>
      </w:r>
    </w:p>
    <w:p w:rsidR="006C011B" w:rsidRDefault="006C011B">
      <w:pPr>
        <w:pStyle w:val="TOC2"/>
        <w:rPr>
          <w:rFonts w:asciiTheme="minorHAnsi" w:eastAsiaTheme="minorEastAsia" w:hAnsiTheme="minorHAnsi" w:cstheme="minorBidi"/>
          <w:color w:val="auto"/>
          <w:sz w:val="22"/>
          <w:szCs w:val="22"/>
          <w:lang w:eastAsia="en-AU"/>
        </w:rPr>
      </w:pPr>
      <w:r>
        <w:t xml:space="preserve">Perceived benefits of government-funded English as a second </w:t>
      </w:r>
      <w:r>
        <w:br/>
        <w:t>language programs</w:t>
      </w:r>
      <w:r>
        <w:tab/>
      </w:r>
      <w:r w:rsidR="00EC7AE7">
        <w:fldChar w:fldCharType="begin"/>
      </w:r>
      <w:r>
        <w:instrText xml:space="preserve"> PAGEREF _Toc309645497 \h </w:instrText>
      </w:r>
      <w:r w:rsidR="00EC7AE7">
        <w:fldChar w:fldCharType="separate"/>
      </w:r>
      <w:r>
        <w:t>26</w:t>
      </w:r>
      <w:r w:rsidR="00EC7AE7">
        <w:fldChar w:fldCharType="end"/>
      </w:r>
    </w:p>
    <w:p w:rsidR="006C011B" w:rsidRDefault="006C011B">
      <w:pPr>
        <w:pStyle w:val="TOC2"/>
        <w:rPr>
          <w:rFonts w:asciiTheme="minorHAnsi" w:eastAsiaTheme="minorEastAsia" w:hAnsiTheme="minorHAnsi" w:cstheme="minorBidi"/>
          <w:color w:val="auto"/>
          <w:sz w:val="22"/>
          <w:szCs w:val="22"/>
          <w:lang w:eastAsia="en-AU"/>
        </w:rPr>
      </w:pPr>
      <w:r>
        <w:t>Integration</w:t>
      </w:r>
      <w:r w:rsidRPr="00112912">
        <w:rPr>
          <w:i/>
        </w:rPr>
        <w:t xml:space="preserve"> </w:t>
      </w:r>
      <w:r>
        <w:t xml:space="preserve">means …? </w:t>
      </w:r>
      <w:r w:rsidRPr="00112912">
        <w:rPr>
          <w:rFonts w:eastAsia="Arial Unicode MS"/>
        </w:rPr>
        <w:t>How migrants define and experience integration</w:t>
      </w:r>
      <w:r>
        <w:tab/>
      </w:r>
      <w:r w:rsidR="00EC7AE7">
        <w:fldChar w:fldCharType="begin"/>
      </w:r>
      <w:r>
        <w:instrText xml:space="preserve"> PAGEREF _Toc309645498 \h </w:instrText>
      </w:r>
      <w:r w:rsidR="00EC7AE7">
        <w:fldChar w:fldCharType="separate"/>
      </w:r>
      <w:r>
        <w:t>26</w:t>
      </w:r>
      <w:r w:rsidR="00EC7AE7">
        <w:fldChar w:fldCharType="end"/>
      </w:r>
    </w:p>
    <w:p w:rsidR="006C011B" w:rsidRDefault="006C011B">
      <w:pPr>
        <w:pStyle w:val="TOC1"/>
        <w:rPr>
          <w:rFonts w:asciiTheme="minorHAnsi" w:eastAsiaTheme="minorEastAsia" w:hAnsiTheme="minorHAnsi" w:cstheme="minorBidi"/>
          <w:color w:val="auto"/>
          <w:sz w:val="22"/>
          <w:szCs w:val="22"/>
          <w:lang w:eastAsia="en-AU"/>
        </w:rPr>
      </w:pPr>
      <w:r>
        <w:t>Conclusions and implications</w:t>
      </w:r>
      <w:r>
        <w:tab/>
      </w:r>
      <w:r w:rsidR="00EC7AE7">
        <w:fldChar w:fldCharType="begin"/>
      </w:r>
      <w:r>
        <w:instrText xml:space="preserve"> PAGEREF _Toc309645499 \h </w:instrText>
      </w:r>
      <w:r w:rsidR="00EC7AE7">
        <w:fldChar w:fldCharType="separate"/>
      </w:r>
      <w:r>
        <w:t>29</w:t>
      </w:r>
      <w:r w:rsidR="00EC7AE7">
        <w:fldChar w:fldCharType="end"/>
      </w:r>
    </w:p>
    <w:p w:rsidR="006C011B" w:rsidRDefault="006C011B">
      <w:pPr>
        <w:pStyle w:val="TOC1"/>
        <w:rPr>
          <w:rFonts w:asciiTheme="minorHAnsi" w:eastAsiaTheme="minorEastAsia" w:hAnsiTheme="minorHAnsi" w:cstheme="minorBidi"/>
          <w:color w:val="auto"/>
          <w:sz w:val="22"/>
          <w:szCs w:val="22"/>
          <w:lang w:eastAsia="en-AU"/>
        </w:rPr>
      </w:pPr>
      <w:r>
        <w:t>References</w:t>
      </w:r>
      <w:r>
        <w:tab/>
      </w:r>
      <w:r w:rsidR="00EC7AE7">
        <w:fldChar w:fldCharType="begin"/>
      </w:r>
      <w:r>
        <w:instrText xml:space="preserve"> PAGEREF _Toc309645500 \h </w:instrText>
      </w:r>
      <w:r w:rsidR="00EC7AE7">
        <w:fldChar w:fldCharType="separate"/>
      </w:r>
      <w:r>
        <w:t>31</w:t>
      </w:r>
      <w:r w:rsidR="00EC7AE7">
        <w:fldChar w:fldCharType="end"/>
      </w:r>
    </w:p>
    <w:p w:rsidR="006C011B" w:rsidRDefault="006C011B">
      <w:pPr>
        <w:pStyle w:val="TOC1"/>
      </w:pPr>
      <w:r>
        <w:t>Appendices</w:t>
      </w:r>
    </w:p>
    <w:p w:rsidR="006C011B" w:rsidRDefault="006C011B" w:rsidP="006C011B">
      <w:pPr>
        <w:pStyle w:val="TOC2"/>
        <w:rPr>
          <w:rFonts w:asciiTheme="minorHAnsi" w:eastAsiaTheme="minorEastAsia" w:hAnsiTheme="minorHAnsi" w:cstheme="minorBidi"/>
          <w:color w:val="auto"/>
          <w:sz w:val="22"/>
          <w:szCs w:val="22"/>
          <w:lang w:eastAsia="en-AU"/>
        </w:rPr>
      </w:pPr>
      <w:r>
        <w:t>1</w:t>
      </w:r>
      <w:r>
        <w:tab/>
      </w:r>
      <w:r w:rsidR="00EC7AE7">
        <w:fldChar w:fldCharType="begin"/>
      </w:r>
      <w:r>
        <w:instrText xml:space="preserve"> PAGEREF _Toc309645501 \h </w:instrText>
      </w:r>
      <w:r w:rsidR="00EC7AE7">
        <w:fldChar w:fldCharType="separate"/>
      </w:r>
      <w:r>
        <w:t>33</w:t>
      </w:r>
      <w:r w:rsidR="00EC7AE7">
        <w:fldChar w:fldCharType="end"/>
      </w:r>
    </w:p>
    <w:p w:rsidR="006C011B" w:rsidRDefault="006C011B" w:rsidP="006C011B">
      <w:pPr>
        <w:pStyle w:val="TOC2"/>
        <w:rPr>
          <w:rFonts w:asciiTheme="minorHAnsi" w:eastAsiaTheme="minorEastAsia" w:hAnsiTheme="minorHAnsi" w:cstheme="minorBidi"/>
          <w:color w:val="auto"/>
          <w:sz w:val="22"/>
          <w:szCs w:val="22"/>
          <w:lang w:eastAsia="en-AU"/>
        </w:rPr>
      </w:pPr>
      <w:r>
        <w:t>2</w:t>
      </w:r>
      <w:r>
        <w:tab/>
      </w:r>
      <w:r w:rsidR="00EC7AE7">
        <w:fldChar w:fldCharType="begin"/>
      </w:r>
      <w:r>
        <w:instrText xml:space="preserve"> PAGEREF _Toc309645502 \h </w:instrText>
      </w:r>
      <w:r w:rsidR="00EC7AE7">
        <w:fldChar w:fldCharType="separate"/>
      </w:r>
      <w:r>
        <w:t>34</w:t>
      </w:r>
      <w:r w:rsidR="00EC7AE7">
        <w:fldChar w:fldCharType="end"/>
      </w:r>
    </w:p>
    <w:p w:rsidR="006C011B" w:rsidRDefault="006C011B" w:rsidP="006C011B">
      <w:pPr>
        <w:pStyle w:val="TOC2"/>
        <w:rPr>
          <w:rFonts w:asciiTheme="minorHAnsi" w:eastAsiaTheme="minorEastAsia" w:hAnsiTheme="minorHAnsi" w:cstheme="minorBidi"/>
          <w:color w:val="auto"/>
          <w:sz w:val="22"/>
          <w:szCs w:val="22"/>
          <w:lang w:eastAsia="en-AU"/>
        </w:rPr>
      </w:pPr>
      <w:r>
        <w:t>3</w:t>
      </w:r>
      <w:r>
        <w:tab/>
      </w:r>
      <w:r w:rsidR="00EC7AE7">
        <w:fldChar w:fldCharType="begin"/>
      </w:r>
      <w:r>
        <w:instrText xml:space="preserve"> PAGEREF _Toc309645503 \h </w:instrText>
      </w:r>
      <w:r w:rsidR="00EC7AE7">
        <w:fldChar w:fldCharType="separate"/>
      </w:r>
      <w:r>
        <w:t>35</w:t>
      </w:r>
      <w:r w:rsidR="00EC7AE7">
        <w:fldChar w:fldCharType="end"/>
      </w:r>
    </w:p>
    <w:p w:rsidR="004E7227" w:rsidRDefault="00EC7AE7" w:rsidP="0048643A">
      <w:pPr>
        <w:pStyle w:val="Text"/>
      </w:pPr>
      <w:r w:rsidRPr="009775C7">
        <w:fldChar w:fldCharType="end"/>
      </w:r>
    </w:p>
    <w:p w:rsidR="004E7227" w:rsidRDefault="004E7227" w:rsidP="0048643A">
      <w:pPr>
        <w:pStyle w:val="Text"/>
        <w:rPr>
          <w:rFonts w:ascii="Tahoma" w:hAnsi="Tahoma" w:cs="Tahoma"/>
          <w:color w:val="000000"/>
          <w:kern w:val="28"/>
          <w:sz w:val="56"/>
          <w:szCs w:val="56"/>
        </w:rPr>
      </w:pPr>
      <w:r>
        <w:br w:type="page"/>
      </w:r>
    </w:p>
    <w:p w:rsidR="004E7227" w:rsidRDefault="004E7227" w:rsidP="004E7227">
      <w:pPr>
        <w:pStyle w:val="Heading1"/>
      </w:pPr>
      <w:bookmarkStart w:id="30" w:name="_Toc309645483"/>
      <w:r>
        <w:lastRenderedPageBreak/>
        <w:t>Tables</w:t>
      </w:r>
      <w:bookmarkEnd w:id="30"/>
    </w:p>
    <w:p w:rsidR="006C011B" w:rsidRDefault="00EC7AE7">
      <w:pPr>
        <w:pStyle w:val="TableofFigures"/>
        <w:tabs>
          <w:tab w:val="left" w:pos="880"/>
        </w:tabs>
        <w:rPr>
          <w:rFonts w:asciiTheme="minorHAnsi" w:eastAsiaTheme="minorEastAsia" w:hAnsiTheme="minorHAnsi" w:cstheme="minorBidi"/>
          <w:color w:val="auto"/>
          <w:sz w:val="22"/>
          <w:szCs w:val="22"/>
          <w:lang w:eastAsia="en-AU"/>
        </w:rPr>
      </w:pPr>
      <w:r w:rsidRPr="00EC7AE7">
        <w:fldChar w:fldCharType="begin"/>
      </w:r>
      <w:r w:rsidR="004E7227">
        <w:instrText xml:space="preserve"> TOC \f F \t "tabletitle" \c </w:instrText>
      </w:r>
      <w:r w:rsidRPr="00EC7AE7">
        <w:fldChar w:fldCharType="separate"/>
      </w:r>
      <w:r w:rsidR="006C011B">
        <w:t>1</w:t>
      </w:r>
      <w:r w:rsidR="006C011B">
        <w:rPr>
          <w:rFonts w:asciiTheme="minorHAnsi" w:eastAsiaTheme="minorEastAsia" w:hAnsiTheme="minorHAnsi" w:cstheme="minorBidi"/>
          <w:color w:val="auto"/>
          <w:sz w:val="22"/>
          <w:szCs w:val="22"/>
          <w:lang w:eastAsia="en-AU"/>
        </w:rPr>
        <w:tab/>
      </w:r>
      <w:r w:rsidR="006C011B">
        <w:t xml:space="preserve">Migrants’ immediate post-2007 English as a second language course </w:t>
      </w:r>
      <w:r w:rsidR="006C011B">
        <w:br/>
        <w:t>goals, July 2007</w:t>
      </w:r>
      <w:r w:rsidR="006C011B">
        <w:tab/>
      </w:r>
      <w:r>
        <w:fldChar w:fldCharType="begin"/>
      </w:r>
      <w:r w:rsidR="006C011B">
        <w:instrText xml:space="preserve"> PAGEREF _Toc309645545 \h </w:instrText>
      </w:r>
      <w:r>
        <w:fldChar w:fldCharType="separate"/>
      </w:r>
      <w:r w:rsidR="006C011B">
        <w:t>20</w:t>
      </w:r>
      <w:r>
        <w:fldChar w:fldCharType="end"/>
      </w:r>
    </w:p>
    <w:p w:rsidR="006C011B" w:rsidRDefault="006C011B">
      <w:pPr>
        <w:pStyle w:val="TableofFigures"/>
        <w:tabs>
          <w:tab w:val="left" w:pos="880"/>
        </w:tabs>
        <w:rPr>
          <w:rFonts w:asciiTheme="minorHAnsi" w:eastAsiaTheme="minorEastAsia" w:hAnsiTheme="minorHAnsi" w:cstheme="minorBidi"/>
          <w:color w:val="auto"/>
          <w:sz w:val="22"/>
          <w:szCs w:val="22"/>
          <w:lang w:eastAsia="en-AU"/>
        </w:rPr>
      </w:pPr>
      <w:r>
        <w:t>2</w:t>
      </w:r>
      <w:r>
        <w:rPr>
          <w:rFonts w:asciiTheme="minorHAnsi" w:eastAsiaTheme="minorEastAsia" w:hAnsiTheme="minorHAnsi" w:cstheme="minorBidi"/>
          <w:color w:val="auto"/>
          <w:sz w:val="22"/>
          <w:szCs w:val="22"/>
          <w:lang w:eastAsia="en-AU"/>
        </w:rPr>
        <w:tab/>
      </w:r>
      <w:r>
        <w:t>Migrants’ mainstream study pathways at Jarrah Institute, March 2011</w:t>
      </w:r>
      <w:r>
        <w:tab/>
      </w:r>
      <w:r w:rsidR="00EC7AE7">
        <w:fldChar w:fldCharType="begin"/>
      </w:r>
      <w:r>
        <w:instrText xml:space="preserve"> PAGEREF _Toc309645546 \h </w:instrText>
      </w:r>
      <w:r w:rsidR="00EC7AE7">
        <w:fldChar w:fldCharType="separate"/>
      </w:r>
      <w:r>
        <w:t>21</w:t>
      </w:r>
      <w:r w:rsidR="00EC7AE7">
        <w:fldChar w:fldCharType="end"/>
      </w:r>
    </w:p>
    <w:p w:rsidR="006C011B" w:rsidRDefault="006C011B">
      <w:pPr>
        <w:pStyle w:val="TableofFigures"/>
        <w:tabs>
          <w:tab w:val="left" w:pos="880"/>
        </w:tabs>
        <w:rPr>
          <w:rFonts w:asciiTheme="minorHAnsi" w:eastAsiaTheme="minorEastAsia" w:hAnsiTheme="minorHAnsi" w:cstheme="minorBidi"/>
          <w:color w:val="auto"/>
          <w:sz w:val="22"/>
          <w:szCs w:val="22"/>
          <w:lang w:eastAsia="en-AU"/>
        </w:rPr>
      </w:pPr>
      <w:r>
        <w:t>3</w:t>
      </w:r>
      <w:r>
        <w:rPr>
          <w:rFonts w:asciiTheme="minorHAnsi" w:eastAsiaTheme="minorEastAsia" w:hAnsiTheme="minorHAnsi" w:cstheme="minorBidi"/>
          <w:color w:val="auto"/>
          <w:sz w:val="22"/>
          <w:szCs w:val="22"/>
          <w:lang w:eastAsia="en-AU"/>
        </w:rPr>
        <w:tab/>
      </w:r>
      <w:r>
        <w:t>Migrants’ paid employment post-immigration, July 2007</w:t>
      </w:r>
      <w:r>
        <w:tab/>
      </w:r>
      <w:r w:rsidR="00EC7AE7">
        <w:fldChar w:fldCharType="begin"/>
      </w:r>
      <w:r>
        <w:instrText xml:space="preserve"> PAGEREF _Toc309645547 \h </w:instrText>
      </w:r>
      <w:r w:rsidR="00EC7AE7">
        <w:fldChar w:fldCharType="separate"/>
      </w:r>
      <w:r>
        <w:t>22</w:t>
      </w:r>
      <w:r w:rsidR="00EC7AE7">
        <w:fldChar w:fldCharType="end"/>
      </w:r>
    </w:p>
    <w:p w:rsidR="006C011B" w:rsidRDefault="006C011B">
      <w:pPr>
        <w:pStyle w:val="TableofFigures"/>
        <w:tabs>
          <w:tab w:val="left" w:pos="880"/>
        </w:tabs>
        <w:rPr>
          <w:rFonts w:asciiTheme="minorHAnsi" w:eastAsiaTheme="minorEastAsia" w:hAnsiTheme="minorHAnsi" w:cstheme="minorBidi"/>
          <w:color w:val="auto"/>
          <w:sz w:val="22"/>
          <w:szCs w:val="22"/>
          <w:lang w:eastAsia="en-AU"/>
        </w:rPr>
      </w:pPr>
      <w:r>
        <w:t>4</w:t>
      </w:r>
      <w:r>
        <w:rPr>
          <w:rFonts w:asciiTheme="minorHAnsi" w:eastAsiaTheme="minorEastAsia" w:hAnsiTheme="minorHAnsi" w:cstheme="minorBidi"/>
          <w:color w:val="auto"/>
          <w:sz w:val="22"/>
          <w:szCs w:val="22"/>
          <w:lang w:eastAsia="en-AU"/>
        </w:rPr>
        <w:tab/>
      </w:r>
      <w:r>
        <w:t>M</w:t>
      </w:r>
      <w:r w:rsidRPr="00041FE2">
        <w:rPr>
          <w:rFonts w:cs="Arial"/>
        </w:rPr>
        <w:t>igrants’ paid employment status by gender, July 2007</w:t>
      </w:r>
      <w:r>
        <w:tab/>
      </w:r>
      <w:r w:rsidR="00EC7AE7">
        <w:fldChar w:fldCharType="begin"/>
      </w:r>
      <w:r>
        <w:instrText xml:space="preserve"> PAGEREF _Toc309645548 \h </w:instrText>
      </w:r>
      <w:r w:rsidR="00EC7AE7">
        <w:fldChar w:fldCharType="separate"/>
      </w:r>
      <w:r>
        <w:t>22</w:t>
      </w:r>
      <w:r w:rsidR="00EC7AE7">
        <w:fldChar w:fldCharType="end"/>
      </w:r>
    </w:p>
    <w:p w:rsidR="006C011B" w:rsidRDefault="006C011B">
      <w:pPr>
        <w:pStyle w:val="TableofFigures"/>
        <w:tabs>
          <w:tab w:val="left" w:pos="1100"/>
        </w:tabs>
        <w:rPr>
          <w:rFonts w:asciiTheme="minorHAnsi" w:eastAsiaTheme="minorEastAsia" w:hAnsiTheme="minorHAnsi" w:cstheme="minorBidi"/>
          <w:color w:val="auto"/>
          <w:sz w:val="22"/>
          <w:szCs w:val="22"/>
          <w:lang w:eastAsia="en-AU"/>
        </w:rPr>
      </w:pPr>
      <w:r w:rsidRPr="00041FE2">
        <w:rPr>
          <w:rFonts w:eastAsia="Arial Unicode MS"/>
        </w:rPr>
        <w:t>A.1</w:t>
      </w:r>
      <w:r>
        <w:rPr>
          <w:rFonts w:asciiTheme="minorHAnsi" w:eastAsiaTheme="minorEastAsia" w:hAnsiTheme="minorHAnsi" w:cstheme="minorBidi"/>
          <w:color w:val="auto"/>
          <w:sz w:val="22"/>
          <w:szCs w:val="22"/>
          <w:lang w:eastAsia="en-AU"/>
        </w:rPr>
        <w:tab/>
      </w:r>
      <w:r w:rsidRPr="00041FE2">
        <w:rPr>
          <w:rFonts w:eastAsia="Arial Unicode MS"/>
        </w:rPr>
        <w:t>Surveyed migrants’ countries of birth</w:t>
      </w:r>
      <w:r>
        <w:tab/>
      </w:r>
      <w:r w:rsidR="00EC7AE7">
        <w:fldChar w:fldCharType="begin"/>
      </w:r>
      <w:r>
        <w:instrText xml:space="preserve"> PAGEREF _Toc309645549 \h </w:instrText>
      </w:r>
      <w:r w:rsidR="00EC7AE7">
        <w:fldChar w:fldCharType="separate"/>
      </w:r>
      <w:r>
        <w:t>33</w:t>
      </w:r>
      <w:r w:rsidR="00EC7AE7">
        <w:fldChar w:fldCharType="end"/>
      </w:r>
    </w:p>
    <w:p w:rsidR="006C011B" w:rsidRDefault="006C011B">
      <w:pPr>
        <w:pStyle w:val="TableofFigures"/>
        <w:tabs>
          <w:tab w:val="left" w:pos="1100"/>
        </w:tabs>
        <w:rPr>
          <w:rFonts w:asciiTheme="minorHAnsi" w:eastAsiaTheme="minorEastAsia" w:hAnsiTheme="minorHAnsi" w:cstheme="minorBidi"/>
          <w:color w:val="auto"/>
          <w:sz w:val="22"/>
          <w:szCs w:val="22"/>
          <w:lang w:eastAsia="en-AU"/>
        </w:rPr>
      </w:pPr>
      <w:r>
        <w:t>A.2</w:t>
      </w:r>
      <w:r>
        <w:rPr>
          <w:rFonts w:asciiTheme="minorHAnsi" w:eastAsiaTheme="minorEastAsia" w:hAnsiTheme="minorHAnsi" w:cstheme="minorBidi"/>
          <w:color w:val="auto"/>
          <w:sz w:val="22"/>
          <w:szCs w:val="22"/>
          <w:lang w:eastAsia="en-AU"/>
        </w:rPr>
        <w:tab/>
      </w:r>
      <w:r>
        <w:t>Surveyed migrants’ highest completed level of schooling</w:t>
      </w:r>
      <w:r>
        <w:tab/>
      </w:r>
      <w:r w:rsidR="00EC7AE7">
        <w:fldChar w:fldCharType="begin"/>
      </w:r>
      <w:r>
        <w:instrText xml:space="preserve"> PAGEREF _Toc309645550 \h </w:instrText>
      </w:r>
      <w:r w:rsidR="00EC7AE7">
        <w:fldChar w:fldCharType="separate"/>
      </w:r>
      <w:r>
        <w:t>33</w:t>
      </w:r>
      <w:r w:rsidR="00EC7AE7">
        <w:fldChar w:fldCharType="end"/>
      </w:r>
    </w:p>
    <w:p w:rsidR="006C011B" w:rsidRDefault="006C011B">
      <w:pPr>
        <w:pStyle w:val="TableofFigures"/>
        <w:tabs>
          <w:tab w:val="left" w:pos="1100"/>
        </w:tabs>
        <w:rPr>
          <w:rFonts w:asciiTheme="minorHAnsi" w:eastAsiaTheme="minorEastAsia" w:hAnsiTheme="minorHAnsi" w:cstheme="minorBidi"/>
          <w:color w:val="auto"/>
          <w:sz w:val="22"/>
          <w:szCs w:val="22"/>
          <w:lang w:eastAsia="en-AU"/>
        </w:rPr>
      </w:pPr>
      <w:r>
        <w:t>A.3</w:t>
      </w:r>
      <w:r>
        <w:rPr>
          <w:rFonts w:asciiTheme="minorHAnsi" w:eastAsiaTheme="minorEastAsia" w:hAnsiTheme="minorHAnsi" w:cstheme="minorBidi"/>
          <w:color w:val="auto"/>
          <w:sz w:val="22"/>
          <w:szCs w:val="22"/>
          <w:lang w:eastAsia="en-AU"/>
        </w:rPr>
        <w:tab/>
      </w:r>
      <w:r>
        <w:t>Interviewed migrant profile, July 2007</w:t>
      </w:r>
      <w:r>
        <w:tab/>
      </w:r>
      <w:r w:rsidR="00EC7AE7">
        <w:fldChar w:fldCharType="begin"/>
      </w:r>
      <w:r>
        <w:instrText xml:space="preserve"> PAGEREF _Toc309645551 \h </w:instrText>
      </w:r>
      <w:r w:rsidR="00EC7AE7">
        <w:fldChar w:fldCharType="separate"/>
      </w:r>
      <w:r>
        <w:t>34</w:t>
      </w:r>
      <w:r w:rsidR="00EC7AE7">
        <w:fldChar w:fldCharType="end"/>
      </w:r>
    </w:p>
    <w:p w:rsidR="006C011B" w:rsidRDefault="006C011B">
      <w:pPr>
        <w:pStyle w:val="TableofFigures"/>
        <w:tabs>
          <w:tab w:val="left" w:pos="1100"/>
        </w:tabs>
        <w:rPr>
          <w:rFonts w:asciiTheme="minorHAnsi" w:eastAsiaTheme="minorEastAsia" w:hAnsiTheme="minorHAnsi" w:cstheme="minorBidi"/>
          <w:color w:val="auto"/>
          <w:sz w:val="22"/>
          <w:szCs w:val="22"/>
          <w:lang w:eastAsia="en-AU"/>
        </w:rPr>
      </w:pPr>
      <w:r>
        <w:t>A.4</w:t>
      </w:r>
      <w:r>
        <w:rPr>
          <w:rFonts w:asciiTheme="minorHAnsi" w:eastAsiaTheme="minorEastAsia" w:hAnsiTheme="minorHAnsi" w:cstheme="minorBidi"/>
          <w:color w:val="auto"/>
          <w:sz w:val="22"/>
          <w:szCs w:val="22"/>
          <w:lang w:eastAsia="en-AU"/>
        </w:rPr>
        <w:tab/>
      </w:r>
      <w:r>
        <w:t xml:space="preserve">Interviewed migrants’ post-2007 English as a second language course </w:t>
      </w:r>
      <w:r>
        <w:br/>
        <w:t>goals and outcomes, mid-2008 and January 2010</w:t>
      </w:r>
      <w:r>
        <w:tab/>
      </w:r>
      <w:r w:rsidR="00EC7AE7">
        <w:fldChar w:fldCharType="begin"/>
      </w:r>
      <w:r>
        <w:instrText xml:space="preserve"> PAGEREF _Toc309645552 \h </w:instrText>
      </w:r>
      <w:r w:rsidR="00EC7AE7">
        <w:fldChar w:fldCharType="separate"/>
      </w:r>
      <w:r>
        <w:t>35</w:t>
      </w:r>
      <w:r w:rsidR="00EC7AE7">
        <w:fldChar w:fldCharType="end"/>
      </w:r>
    </w:p>
    <w:p w:rsidR="004E7227" w:rsidRDefault="00EC7AE7" w:rsidP="001956F7">
      <w:pPr>
        <w:pStyle w:val="Heading2"/>
      </w:pPr>
      <w:r>
        <w:fldChar w:fldCharType="end"/>
      </w:r>
    </w:p>
    <w:p w:rsidR="00A93867" w:rsidRPr="00A93867" w:rsidRDefault="00A93867">
      <w:pPr>
        <w:spacing w:before="0" w:line="240" w:lineRule="auto"/>
        <w:rPr>
          <w:rFonts w:ascii="Tahoma" w:hAnsi="Tahoma" w:cs="Tahoma"/>
          <w:b/>
          <w:color w:val="000000"/>
          <w:kern w:val="28"/>
          <w:sz w:val="56"/>
          <w:szCs w:val="56"/>
        </w:rPr>
      </w:pPr>
      <w:r w:rsidRPr="00A93867">
        <w:rPr>
          <w:b/>
        </w:rPr>
        <w:br w:type="page"/>
      </w:r>
    </w:p>
    <w:p w:rsidR="009E231A" w:rsidRDefault="001956F7" w:rsidP="008C0A74">
      <w:pPr>
        <w:pStyle w:val="Heading1"/>
      </w:pPr>
      <w:bookmarkStart w:id="31" w:name="_Toc309645485"/>
      <w:r>
        <w:lastRenderedPageBreak/>
        <w:t>Introduction and context</w:t>
      </w:r>
      <w:bookmarkEnd w:id="31"/>
    </w:p>
    <w:p w:rsidR="001956F7" w:rsidRPr="00127CA0" w:rsidRDefault="001956F7" w:rsidP="007E2B5E">
      <w:pPr>
        <w:pStyle w:val="Quote"/>
        <w:rPr>
          <w:b/>
        </w:rPr>
      </w:pPr>
      <w:r w:rsidRPr="00127CA0">
        <w:t xml:space="preserve">The Australian Government considers learning English one of the most important steps migrants … can take towards successfully settling in Australia. Learning English equips new arrivals with the language skills needed for </w:t>
      </w:r>
      <w:r w:rsidRPr="007E2B5E">
        <w:t>employment</w:t>
      </w:r>
      <w:r w:rsidRPr="00127CA0">
        <w:t xml:space="preserve"> and helps build the social connections necessary for successful integration into th</w:t>
      </w:r>
      <w:r>
        <w:t>e broader Australian community.</w:t>
      </w:r>
      <w:r w:rsidR="007E2B5E">
        <w:br/>
      </w:r>
      <w:r w:rsidR="007E2B5E">
        <w:tab/>
      </w:r>
      <w:r w:rsidRPr="00127CA0">
        <w:t xml:space="preserve">(Ferguson, </w:t>
      </w:r>
      <w:r>
        <w:t xml:space="preserve">cited </w:t>
      </w:r>
      <w:r w:rsidRPr="00127CA0">
        <w:t xml:space="preserve">in </w:t>
      </w:r>
      <w:r>
        <w:t>Department of Immigration and Citizenship</w:t>
      </w:r>
      <w:r w:rsidRPr="00127CA0">
        <w:t xml:space="preserve"> 2008a, p.5)</w:t>
      </w:r>
    </w:p>
    <w:p w:rsidR="001956F7" w:rsidRPr="00127CA0" w:rsidRDefault="001956F7" w:rsidP="00DD5C97">
      <w:pPr>
        <w:pStyle w:val="Text"/>
        <w:ind w:right="-143"/>
      </w:pPr>
      <w:r w:rsidRPr="00127CA0">
        <w:t xml:space="preserve">Australian governments have funded </w:t>
      </w:r>
      <w:r>
        <w:t>English as a second language (ESL)</w:t>
      </w:r>
      <w:r w:rsidRPr="00127CA0">
        <w:t xml:space="preserve"> instruc</w:t>
      </w:r>
      <w:r>
        <w:t xml:space="preserve">tion for </w:t>
      </w:r>
      <w:r w:rsidRPr="00127CA0">
        <w:t>adult migrant</w:t>
      </w:r>
      <w:r>
        <w:t>s for</w:t>
      </w:r>
      <w:r w:rsidRPr="00127CA0">
        <w:t xml:space="preserve"> </w:t>
      </w:r>
      <w:r>
        <w:t>over 60 years. The Commonwealth-</w:t>
      </w:r>
      <w:r w:rsidRPr="00127CA0">
        <w:t>funded Adult Migrant English Program (AMEP), which commenced</w:t>
      </w:r>
      <w:r w:rsidR="00DD5C97">
        <w:t xml:space="preserve"> </w:t>
      </w:r>
      <w:r w:rsidRPr="00127CA0">
        <w:t>in 194</w:t>
      </w:r>
      <w:r>
        <w:t>8 as part of the nation’s post-w</w:t>
      </w:r>
      <w:r w:rsidRPr="00127CA0">
        <w:t>ar migrant settlement program, is one</w:t>
      </w:r>
      <w:r>
        <w:t xml:space="preserve"> of the earliest models of free</w:t>
      </w:r>
      <w:r w:rsidRPr="00127CA0">
        <w:t xml:space="preserve"> </w:t>
      </w:r>
      <w:r>
        <w:t>host-</w:t>
      </w:r>
      <w:r w:rsidRPr="00127CA0">
        <w:t xml:space="preserve">language provision </w:t>
      </w:r>
      <w:r>
        <w:t xml:space="preserve">for large numbers of adult migrants </w:t>
      </w:r>
      <w:r w:rsidRPr="00127CA0">
        <w:t>in the world (Burns &amp; de</w:t>
      </w:r>
      <w:r w:rsidR="00DD5C97">
        <w:t> </w:t>
      </w:r>
      <w:r w:rsidRPr="00127CA0">
        <w:t xml:space="preserve">Silva Joyce 2007; Martin 1999). In Australia, </w:t>
      </w:r>
      <w:r w:rsidR="00DD5C97">
        <w:t xml:space="preserve">the </w:t>
      </w:r>
      <w:r w:rsidRPr="00127CA0">
        <w:t xml:space="preserve">states </w:t>
      </w:r>
      <w:r w:rsidRPr="007E2B5E">
        <w:t>and</w:t>
      </w:r>
      <w:r w:rsidRPr="00127CA0">
        <w:t xml:space="preserve"> territories also fund and deliver </w:t>
      </w:r>
      <w:r>
        <w:rPr>
          <w:rFonts w:cs="Arial"/>
          <w:szCs w:val="22"/>
        </w:rPr>
        <w:t>English as a</w:t>
      </w:r>
      <w:r w:rsidR="00DD5C97">
        <w:rPr>
          <w:rFonts w:cs="Arial"/>
          <w:szCs w:val="22"/>
        </w:rPr>
        <w:t> </w:t>
      </w:r>
      <w:r>
        <w:rPr>
          <w:rFonts w:cs="Arial"/>
          <w:szCs w:val="22"/>
        </w:rPr>
        <w:t>second language</w:t>
      </w:r>
      <w:r w:rsidRPr="00127CA0">
        <w:t xml:space="preserve"> instruction to adult migrants, </w:t>
      </w:r>
      <w:r w:rsidRPr="004508AA">
        <w:t>and hundreds</w:t>
      </w:r>
      <w:r w:rsidRPr="00127CA0">
        <w:t xml:space="preserve"> of millions of dollars are spent each year</w:t>
      </w:r>
      <w:r w:rsidR="00DD5C97">
        <w:t> </w:t>
      </w:r>
      <w:r w:rsidRPr="00127CA0">
        <w:t>by both levels of government on these programs. The principal reason for funding such provision is</w:t>
      </w:r>
      <w:r w:rsidR="00DD5C97">
        <w:t> </w:t>
      </w:r>
      <w:r w:rsidRPr="00127CA0">
        <w:t>to a</w:t>
      </w:r>
      <w:r>
        <w:t xml:space="preserve">ssist migrants from non-English </w:t>
      </w:r>
      <w:r w:rsidRPr="00127CA0">
        <w:t xml:space="preserve">speaking backgrounds to integrate into Australian society. </w:t>
      </w:r>
    </w:p>
    <w:p w:rsidR="001956F7" w:rsidRPr="00127CA0" w:rsidRDefault="001956F7" w:rsidP="001956F7">
      <w:pPr>
        <w:pStyle w:val="Heading2"/>
      </w:pPr>
      <w:bookmarkStart w:id="32" w:name="_Toc305074163"/>
      <w:bookmarkStart w:id="33" w:name="_Toc309645486"/>
      <w:r w:rsidRPr="00A04105">
        <w:t xml:space="preserve">Integration </w:t>
      </w:r>
      <w:r w:rsidRPr="00127CA0">
        <w:t>is</w:t>
      </w:r>
      <w:r>
        <w:t xml:space="preserve"> </w:t>
      </w:r>
      <w:r w:rsidRPr="00127CA0">
        <w:t>…?</w:t>
      </w:r>
      <w:bookmarkEnd w:id="32"/>
      <w:bookmarkEnd w:id="33"/>
    </w:p>
    <w:p w:rsidR="001956F7" w:rsidRPr="00127CA0" w:rsidRDefault="001956F7" w:rsidP="001956F7">
      <w:pPr>
        <w:pStyle w:val="Text"/>
        <w:rPr>
          <w:b/>
        </w:rPr>
      </w:pPr>
      <w:r w:rsidRPr="00127CA0">
        <w:t>The term</w:t>
      </w:r>
      <w:r w:rsidRPr="00127CA0">
        <w:rPr>
          <w:i/>
        </w:rPr>
        <w:t xml:space="preserve"> </w:t>
      </w:r>
      <w:r>
        <w:rPr>
          <w:i/>
        </w:rPr>
        <w:t>‘</w:t>
      </w:r>
      <w:r w:rsidRPr="00A04105">
        <w:t>integration</w:t>
      </w:r>
      <w:r>
        <w:t>’</w:t>
      </w:r>
      <w:r w:rsidRPr="00127CA0">
        <w:t xml:space="preserve"> is often used in discourse about migrants, and various definitions exist (Ager &amp; </w:t>
      </w:r>
      <w:proofErr w:type="spellStart"/>
      <w:r w:rsidRPr="00127CA0">
        <w:t>Strang</w:t>
      </w:r>
      <w:proofErr w:type="spellEnd"/>
      <w:r w:rsidRPr="00127CA0">
        <w:t xml:space="preserve"> 2008; </w:t>
      </w:r>
      <w:proofErr w:type="spellStart"/>
      <w:r w:rsidRPr="00127CA0">
        <w:t>Entzinger</w:t>
      </w:r>
      <w:proofErr w:type="spellEnd"/>
      <w:r w:rsidRPr="00127CA0">
        <w:t xml:space="preserve"> &amp; </w:t>
      </w:r>
      <w:proofErr w:type="spellStart"/>
      <w:r w:rsidRPr="00127CA0">
        <w:t>Biezeveld</w:t>
      </w:r>
      <w:proofErr w:type="spellEnd"/>
      <w:r w:rsidRPr="00127CA0">
        <w:t xml:space="preserve"> 2003). The United Nations Educational, Scientific and Cultural Organization (UN</w:t>
      </w:r>
      <w:r>
        <w:t>ESCO 2011)</w:t>
      </w:r>
      <w:r w:rsidRPr="00127CA0">
        <w:t xml:space="preserve"> acknowledges that integration is a ‘rather elusive concept’, and researchers like </w:t>
      </w:r>
      <w:proofErr w:type="spellStart"/>
      <w:r w:rsidRPr="00127CA0">
        <w:t>Vasta</w:t>
      </w:r>
      <w:proofErr w:type="spellEnd"/>
      <w:r w:rsidRPr="00127CA0">
        <w:t xml:space="preserve"> (2007) concur, describing integration as a ‘vague concept that can mean whatever people want it to mean’ (</w:t>
      </w:r>
      <w:proofErr w:type="spellStart"/>
      <w:r w:rsidRPr="00127CA0">
        <w:t>Vasta</w:t>
      </w:r>
      <w:proofErr w:type="spellEnd"/>
      <w:r w:rsidRPr="00127CA0">
        <w:t xml:space="preserve"> 2007, p.6). The multitude of usages of this term, as well as the seemingly interchangeable use of others, such as ‘settlement’</w:t>
      </w:r>
      <w:r>
        <w:t xml:space="preserve"> (</w:t>
      </w:r>
      <w:r w:rsidRPr="00127CA0">
        <w:t>Department of Im</w:t>
      </w:r>
      <w:r>
        <w:t>migration and Citizenship 2011)</w:t>
      </w:r>
      <w:r w:rsidRPr="00127CA0">
        <w:t>,</w:t>
      </w:r>
      <w:r w:rsidRPr="00127CA0">
        <w:rPr>
          <w:sz w:val="16"/>
          <w:szCs w:val="16"/>
        </w:rPr>
        <w:t xml:space="preserve"> </w:t>
      </w:r>
      <w:r w:rsidRPr="00127CA0">
        <w:t>‘adaptation’ (</w:t>
      </w:r>
      <w:proofErr w:type="spellStart"/>
      <w:r w:rsidRPr="00127CA0">
        <w:t>Entzinger</w:t>
      </w:r>
      <w:proofErr w:type="spellEnd"/>
      <w:r w:rsidRPr="00127CA0">
        <w:t xml:space="preserve"> &amp; </w:t>
      </w:r>
      <w:proofErr w:type="spellStart"/>
      <w:r w:rsidRPr="00127CA0">
        <w:t>Biezeveld</w:t>
      </w:r>
      <w:proofErr w:type="spellEnd"/>
      <w:r w:rsidRPr="00127CA0">
        <w:t xml:space="preserve"> 2003</w:t>
      </w:r>
      <w:r>
        <w:t>;</w:t>
      </w:r>
      <w:r>
        <w:rPr>
          <w:color w:val="FF0000"/>
        </w:rPr>
        <w:t xml:space="preserve"> </w:t>
      </w:r>
      <w:r>
        <w:t>Shakespeare-Finch &amp; Wickham 20</w:t>
      </w:r>
      <w:r w:rsidRPr="00821FCE">
        <w:t>09</w:t>
      </w:r>
      <w:r w:rsidRPr="00127CA0">
        <w:t>), ‘mutual adaptation’ (UNESCO 2011), ‘absorption’ (</w:t>
      </w:r>
      <w:proofErr w:type="spellStart"/>
      <w:r w:rsidRPr="00127CA0">
        <w:t>Jakubowicz</w:t>
      </w:r>
      <w:proofErr w:type="spellEnd"/>
      <w:r w:rsidRPr="00127CA0">
        <w:t xml:space="preserve"> 2009) and ‘incorporation’ (</w:t>
      </w:r>
      <w:proofErr w:type="spellStart"/>
      <w:r w:rsidRPr="00127CA0">
        <w:t>Inglis</w:t>
      </w:r>
      <w:proofErr w:type="spellEnd"/>
      <w:r w:rsidRPr="00127CA0">
        <w:t xml:space="preserve"> 2007) add weight to </w:t>
      </w:r>
      <w:proofErr w:type="spellStart"/>
      <w:r w:rsidRPr="00127CA0">
        <w:t>Vasta’s</w:t>
      </w:r>
      <w:proofErr w:type="spellEnd"/>
      <w:r w:rsidRPr="00127CA0">
        <w:t xml:space="preserve"> argument.  </w:t>
      </w:r>
    </w:p>
    <w:p w:rsidR="001956F7" w:rsidRPr="00127CA0" w:rsidRDefault="001956F7" w:rsidP="001956F7">
      <w:pPr>
        <w:pStyle w:val="Text"/>
      </w:pPr>
      <w:r w:rsidRPr="00127CA0">
        <w:t>In the Australian context, integration was official public policy from the mid-1960s to the mid-1970s, resurfacing in policy rhetoric and public discourse early this century</w:t>
      </w:r>
      <w:r w:rsidRPr="00127CA0">
        <w:rPr>
          <w:sz w:val="20"/>
        </w:rPr>
        <w:t xml:space="preserve">. </w:t>
      </w:r>
      <w:proofErr w:type="spellStart"/>
      <w:r w:rsidRPr="00127CA0">
        <w:t>Jakubowicz</w:t>
      </w:r>
      <w:proofErr w:type="spellEnd"/>
      <w:r w:rsidRPr="00127CA0">
        <w:t xml:space="preserve"> (2002, cited in </w:t>
      </w:r>
      <w:proofErr w:type="spellStart"/>
      <w:r w:rsidRPr="00127CA0">
        <w:t>Leuner</w:t>
      </w:r>
      <w:proofErr w:type="spellEnd"/>
      <w:r w:rsidRPr="00127CA0">
        <w:t xml:space="preserve"> 2007, p.83) states </w:t>
      </w:r>
      <w:r>
        <w:t xml:space="preserve">that </w:t>
      </w:r>
      <w:r w:rsidRPr="00127CA0">
        <w:t>integration is based on the notion that ‘individuals can retain their group cultures while the group is accepted into wider society’.</w:t>
      </w:r>
      <w:r w:rsidRPr="00127CA0">
        <w:rPr>
          <w:b/>
          <w:i/>
        </w:rPr>
        <w:t xml:space="preserve"> </w:t>
      </w:r>
      <w:r w:rsidRPr="00127CA0">
        <w:t xml:space="preserve">More recently in Australia, the term </w:t>
      </w:r>
      <w:r>
        <w:t>‘</w:t>
      </w:r>
      <w:r w:rsidRPr="00A04105">
        <w:t>integration</w:t>
      </w:r>
      <w:r>
        <w:t>’</w:t>
      </w:r>
      <w:r w:rsidRPr="00127CA0">
        <w:t xml:space="preserve"> has been perceived </w:t>
      </w:r>
      <w:r w:rsidRPr="005F14C9">
        <w:t>negatively by some academics (</w:t>
      </w:r>
      <w:proofErr w:type="spellStart"/>
      <w:r w:rsidRPr="005F14C9">
        <w:t>Jakubowicz</w:t>
      </w:r>
      <w:proofErr w:type="spellEnd"/>
      <w:r w:rsidRPr="005F14C9">
        <w:t xml:space="preserve"> </w:t>
      </w:r>
      <w:proofErr w:type="spellStart"/>
      <w:r>
        <w:t>n</w:t>
      </w:r>
      <w:r w:rsidRPr="005F14C9">
        <w:t>d</w:t>
      </w:r>
      <w:proofErr w:type="spellEnd"/>
      <w:r w:rsidRPr="005F14C9">
        <w:t>; McPherson 2010) and</w:t>
      </w:r>
      <w:r>
        <w:t xml:space="preserve"> also</w:t>
      </w:r>
      <w:r w:rsidRPr="005F14C9">
        <w:t xml:space="preserve"> </w:t>
      </w:r>
      <w:r>
        <w:t xml:space="preserve">by </w:t>
      </w:r>
      <w:r w:rsidRPr="005F14C9">
        <w:t xml:space="preserve">some </w:t>
      </w:r>
      <w:r>
        <w:t>policy-</w:t>
      </w:r>
      <w:r w:rsidRPr="005F14C9">
        <w:t>makers who suggest it carries</w:t>
      </w:r>
      <w:r w:rsidRPr="00127CA0">
        <w:t xml:space="preserve"> considerable ‘freight’ (Abbott 2006). Although integration is no longer policy, the term has continued to be part of public discourse. </w:t>
      </w:r>
    </w:p>
    <w:p w:rsidR="001956F7" w:rsidRPr="00127CA0" w:rsidRDefault="00DD5C97" w:rsidP="001956F7">
      <w:pPr>
        <w:pStyle w:val="Text"/>
        <w:rPr>
          <w:sz w:val="16"/>
          <w:szCs w:val="16"/>
        </w:rPr>
      </w:pPr>
      <w:r w:rsidRPr="00127CA0">
        <w:t xml:space="preserve">The </w:t>
      </w:r>
      <w:r w:rsidR="001956F7" w:rsidRPr="00127CA0">
        <w:t xml:space="preserve">Australian Government’s public policy is </w:t>
      </w:r>
      <w:r>
        <w:t xml:space="preserve">currently </w:t>
      </w:r>
      <w:r w:rsidR="001956F7" w:rsidRPr="00127CA0">
        <w:t xml:space="preserve">one of inclusion. As a result, the term </w:t>
      </w:r>
      <w:r w:rsidR="001956F7">
        <w:t>‘</w:t>
      </w:r>
      <w:r w:rsidR="001956F7" w:rsidRPr="00B074F0">
        <w:t>integration</w:t>
      </w:r>
      <w:r w:rsidR="001956F7">
        <w:t>’</w:t>
      </w:r>
      <w:r w:rsidR="001956F7" w:rsidRPr="00127CA0">
        <w:t xml:space="preserve"> has been increasingly replaced by the broader concept of ‘participation and inclusiveness’</w:t>
      </w:r>
      <w:r w:rsidR="001956F7">
        <w:rPr>
          <w:rStyle w:val="FootnoteReference"/>
          <w:rFonts w:cs="Arial"/>
          <w:szCs w:val="22"/>
        </w:rPr>
        <w:footnoteReference w:id="1"/>
      </w:r>
      <w:r w:rsidR="001956F7" w:rsidRPr="00127CA0">
        <w:t xml:space="preserve"> (Lundy 2011). However, </w:t>
      </w:r>
      <w:r>
        <w:t>‘integration’</w:t>
      </w:r>
      <w:r w:rsidR="001956F7" w:rsidRPr="00127CA0">
        <w:rPr>
          <w:i/>
        </w:rPr>
        <w:t xml:space="preserve"> </w:t>
      </w:r>
      <w:r w:rsidR="001956F7" w:rsidRPr="00127CA0">
        <w:t xml:space="preserve">is employed in the current study because it was prevalent in political and public discourse at the time this study commenced (July 2007), and is still widely used. In this paper, the term </w:t>
      </w:r>
      <w:r w:rsidR="001956F7" w:rsidRPr="00B074F0">
        <w:t>integration</w:t>
      </w:r>
      <w:r w:rsidR="001956F7" w:rsidRPr="00127CA0">
        <w:rPr>
          <w:i/>
        </w:rPr>
        <w:t xml:space="preserve"> </w:t>
      </w:r>
      <w:r w:rsidR="001956F7" w:rsidRPr="00127CA0">
        <w:t xml:space="preserve">does not carry negative connotations. It reflects </w:t>
      </w:r>
      <w:proofErr w:type="spellStart"/>
      <w:r w:rsidR="001956F7" w:rsidRPr="00127CA0">
        <w:lastRenderedPageBreak/>
        <w:t>Jakubowicz’s</w:t>
      </w:r>
      <w:proofErr w:type="spellEnd"/>
      <w:r w:rsidR="001956F7" w:rsidRPr="00127CA0">
        <w:t xml:space="preserve"> previously cited definition, as well as </w:t>
      </w:r>
      <w:proofErr w:type="spellStart"/>
      <w:r w:rsidR="001956F7" w:rsidRPr="00127CA0">
        <w:t>Inglis’</w:t>
      </w:r>
      <w:r w:rsidR="001956F7">
        <w:t>s</w:t>
      </w:r>
      <w:proofErr w:type="spellEnd"/>
      <w:r w:rsidR="001956F7" w:rsidRPr="00127CA0">
        <w:t xml:space="preserve"> conception of </w:t>
      </w:r>
      <w:r w:rsidR="001956F7" w:rsidRPr="00127CA0">
        <w:rPr>
          <w:i/>
        </w:rPr>
        <w:t>incorporation</w:t>
      </w:r>
      <w:r>
        <w:t xml:space="preserve">, </w:t>
      </w:r>
      <w:r w:rsidR="001956F7" w:rsidRPr="00127CA0">
        <w:t>which ‘refers to the way in which migrants become part of their societies of residence’ (</w:t>
      </w:r>
      <w:proofErr w:type="spellStart"/>
      <w:r w:rsidR="001956F7" w:rsidRPr="00127CA0">
        <w:t>Inglis</w:t>
      </w:r>
      <w:proofErr w:type="spellEnd"/>
      <w:r w:rsidR="001956F7" w:rsidRPr="00127CA0">
        <w:t xml:space="preserve"> 2007, p.187).</w:t>
      </w:r>
    </w:p>
    <w:p w:rsidR="001956F7" w:rsidRPr="000A2B64" w:rsidRDefault="001956F7" w:rsidP="007E2B5E">
      <w:pPr>
        <w:pStyle w:val="Text"/>
        <w:ind w:right="-143"/>
      </w:pPr>
      <w:r w:rsidRPr="000A2B64">
        <w:t xml:space="preserve">Integration is perceived as vital in maximising the social (including cultural and political) and economic benefits to the host society and to its migrants (Carrington, McIntosh &amp; </w:t>
      </w:r>
      <w:proofErr w:type="spellStart"/>
      <w:r w:rsidRPr="000A2B64">
        <w:t>Walmsley</w:t>
      </w:r>
      <w:proofErr w:type="spellEnd"/>
      <w:r w:rsidRPr="000A2B64">
        <w:t xml:space="preserve"> 2007; </w:t>
      </w:r>
      <w:proofErr w:type="spellStart"/>
      <w:r w:rsidRPr="000A2B64">
        <w:t>Gurría</w:t>
      </w:r>
      <w:proofErr w:type="spellEnd"/>
      <w:r w:rsidRPr="000A2B64">
        <w:t xml:space="preserve"> 2009; Lo</w:t>
      </w:r>
      <w:r w:rsidR="007E2B5E">
        <w:t> </w:t>
      </w:r>
      <w:r w:rsidRPr="000A2B64">
        <w:t xml:space="preserve">Bianco 1987). The receptiveness of the host society towards migrants </w:t>
      </w:r>
      <w:r w:rsidRPr="000A2B64">
        <w:rPr>
          <w:bCs/>
        </w:rPr>
        <w:t>is seen as a crucial factor in integration (</w:t>
      </w:r>
      <w:r w:rsidRPr="000A2B64">
        <w:t xml:space="preserve">Liebig 2007; Murray </w:t>
      </w:r>
      <w:r w:rsidRPr="00CE4597">
        <w:t>2010</w:t>
      </w:r>
      <w:r w:rsidRPr="00CE4597">
        <w:rPr>
          <w:bCs/>
        </w:rPr>
        <w:t>)</w:t>
      </w:r>
      <w:r w:rsidRPr="00CE4597">
        <w:t>, with the notion of reciprocity frequently featuring in definitions</w:t>
      </w:r>
      <w:r w:rsidR="007E2B5E">
        <w:t> </w:t>
      </w:r>
      <w:r w:rsidRPr="00CE4597">
        <w:t xml:space="preserve">and discussions of integration (Ager &amp; </w:t>
      </w:r>
      <w:proofErr w:type="spellStart"/>
      <w:r w:rsidRPr="00CE4597">
        <w:t>Strang</w:t>
      </w:r>
      <w:proofErr w:type="spellEnd"/>
      <w:r w:rsidRPr="00CE4597">
        <w:t xml:space="preserve"> 2008;</w:t>
      </w:r>
      <w:r w:rsidRPr="000A2B64">
        <w:t xml:space="preserve"> </w:t>
      </w:r>
      <w:proofErr w:type="spellStart"/>
      <w:r w:rsidRPr="000A2B64">
        <w:t>Entzinger</w:t>
      </w:r>
      <w:proofErr w:type="spellEnd"/>
      <w:r w:rsidRPr="000A2B64">
        <w:t xml:space="preserve"> &amp; </w:t>
      </w:r>
      <w:proofErr w:type="spellStart"/>
      <w:r w:rsidRPr="000A2B64">
        <w:t>Biezeveld</w:t>
      </w:r>
      <w:proofErr w:type="spellEnd"/>
      <w:r w:rsidRPr="000A2B64">
        <w:t xml:space="preserve"> 2003; </w:t>
      </w:r>
      <w:proofErr w:type="spellStart"/>
      <w:r w:rsidRPr="000A2B64">
        <w:t>Vasta</w:t>
      </w:r>
      <w:proofErr w:type="spellEnd"/>
      <w:r w:rsidRPr="000A2B64">
        <w:t xml:space="preserve"> 2007). Host</w:t>
      </w:r>
      <w:r w:rsidR="00DD5C97">
        <w:t>-</w:t>
      </w:r>
      <w:r w:rsidRPr="000A2B64">
        <w:t>language proficiency is perceived to be one of the biggest barriers to integration.</w:t>
      </w:r>
    </w:p>
    <w:p w:rsidR="001956F7" w:rsidRPr="00127CA0" w:rsidRDefault="001956F7" w:rsidP="001956F7">
      <w:pPr>
        <w:pStyle w:val="Heading3"/>
      </w:pPr>
      <w:r w:rsidRPr="00127CA0">
        <w:t>Integration and host language proficiency</w:t>
      </w:r>
    </w:p>
    <w:p w:rsidR="001956F7" w:rsidRPr="00127CA0" w:rsidRDefault="001956F7" w:rsidP="001956F7">
      <w:pPr>
        <w:pStyle w:val="Quote"/>
      </w:pPr>
      <w:r w:rsidRPr="00127CA0">
        <w:t xml:space="preserve">Language is a source of individual, personal identity </w:t>
      </w:r>
      <w:r>
        <w:t>…</w:t>
      </w:r>
      <w:r w:rsidRPr="00127CA0">
        <w:t xml:space="preserve"> group and cultural identity … national identity … human identity.</w:t>
      </w:r>
      <w:r w:rsidR="007E2B5E">
        <w:tab/>
      </w:r>
      <w:r w:rsidRPr="00127CA0">
        <w:t>(Lo Bianco 1987, p.1)</w:t>
      </w:r>
    </w:p>
    <w:p w:rsidR="001956F7" w:rsidRPr="00127CA0" w:rsidRDefault="001956F7" w:rsidP="00E56CF2">
      <w:pPr>
        <w:pStyle w:val="Text"/>
        <w:ind w:right="-143"/>
        <w:rPr>
          <w:sz w:val="28"/>
          <w:szCs w:val="28"/>
        </w:rPr>
      </w:pPr>
      <w:r w:rsidRPr="00127CA0">
        <w:t>Proficiency in a country’s host language is seen to be fundamental to achieving ‘full participation’</w:t>
      </w:r>
      <w:r>
        <w:t xml:space="preserve"> (</w:t>
      </w:r>
      <w:r w:rsidRPr="005F14C9">
        <w:t>Ager</w:t>
      </w:r>
      <w:r w:rsidR="00E56CF2">
        <w:t> </w:t>
      </w:r>
      <w:r w:rsidRPr="005F14C9">
        <w:t xml:space="preserve">&amp; </w:t>
      </w:r>
      <w:proofErr w:type="spellStart"/>
      <w:r w:rsidRPr="005F14C9">
        <w:t>Strang</w:t>
      </w:r>
      <w:proofErr w:type="spellEnd"/>
      <w:r w:rsidRPr="005F14C9">
        <w:t xml:space="preserve"> 2008;</w:t>
      </w:r>
      <w:r>
        <w:t xml:space="preserve"> Department of Immigration and Citizenship </w:t>
      </w:r>
      <w:r w:rsidRPr="002B3B08">
        <w:t>2008a)</w:t>
      </w:r>
      <w:r w:rsidRPr="00127CA0">
        <w:t xml:space="preserve"> or ‘full integration’</w:t>
      </w:r>
      <w:r w:rsidRPr="00127CA0">
        <w:rPr>
          <w:b/>
          <w:sz w:val="16"/>
          <w:szCs w:val="16"/>
        </w:rPr>
        <w:t xml:space="preserve"> </w:t>
      </w:r>
      <w:r w:rsidRPr="00127CA0">
        <w:t xml:space="preserve">into a new </w:t>
      </w:r>
      <w:r w:rsidRPr="00CE4597">
        <w:t>society (Putman 2004, p.7).</w:t>
      </w:r>
      <w:r>
        <w:t xml:space="preserve"> Psycho</w:t>
      </w:r>
      <w:r w:rsidRPr="00127CA0">
        <w:t>socially</w:t>
      </w:r>
      <w:r>
        <w:t>,</w:t>
      </w:r>
      <w:r w:rsidRPr="00127CA0">
        <w:rPr>
          <w:rStyle w:val="FootnoteReference"/>
          <w:i/>
          <w:szCs w:val="22"/>
        </w:rPr>
        <w:footnoteReference w:id="2"/>
      </w:r>
      <w:r w:rsidRPr="00127CA0">
        <w:t xml:space="preserve"> </w:t>
      </w:r>
      <w:r w:rsidRPr="00127CA0">
        <w:rPr>
          <w:bCs/>
        </w:rPr>
        <w:t>host language skills are viewed as ‘absolutely vital’ to building social cohesion by creating bridging and bonding social capital (</w:t>
      </w:r>
      <w:r w:rsidRPr="00127CA0">
        <w:t xml:space="preserve">Carrington, McIntosh &amp; </w:t>
      </w:r>
      <w:proofErr w:type="spellStart"/>
      <w:r w:rsidRPr="00127CA0">
        <w:t>Walmsley</w:t>
      </w:r>
      <w:proofErr w:type="spellEnd"/>
      <w:r w:rsidRPr="00127CA0">
        <w:t xml:space="preserve"> 2007, p.xii</w:t>
      </w:r>
      <w:r w:rsidRPr="00127CA0">
        <w:rPr>
          <w:bCs/>
        </w:rPr>
        <w:t xml:space="preserve">); fostering a sense of shared values; </w:t>
      </w:r>
      <w:r w:rsidRPr="00127CA0">
        <w:t>increasing migrants’ sense of self-worth; and</w:t>
      </w:r>
      <w:r w:rsidR="00E56CF2">
        <w:rPr>
          <w:b/>
          <w:sz w:val="16"/>
          <w:szCs w:val="16"/>
        </w:rPr>
        <w:t> </w:t>
      </w:r>
      <w:r w:rsidRPr="00127CA0">
        <w:t>reducing ethnic enclaves (</w:t>
      </w:r>
      <w:proofErr w:type="spellStart"/>
      <w:r w:rsidRPr="00127CA0">
        <w:t>Gurría</w:t>
      </w:r>
      <w:proofErr w:type="spellEnd"/>
      <w:r w:rsidRPr="00127CA0">
        <w:t xml:space="preserve"> 2008).</w:t>
      </w:r>
      <w:r w:rsidRPr="00127CA0">
        <w:rPr>
          <w:b/>
          <w:sz w:val="16"/>
          <w:szCs w:val="16"/>
        </w:rPr>
        <w:t xml:space="preserve"> </w:t>
      </w:r>
      <w:r w:rsidRPr="00127CA0">
        <w:t>Insufficient host</w:t>
      </w:r>
      <w:r w:rsidR="00DD5C97">
        <w:t>-</w:t>
      </w:r>
      <w:r w:rsidRPr="00127CA0">
        <w:t>language skills are seen as a major barrier to economic integration, especially in relation to addressing</w:t>
      </w:r>
      <w:r w:rsidRPr="00127CA0">
        <w:rPr>
          <w:sz w:val="16"/>
          <w:szCs w:val="16"/>
        </w:rPr>
        <w:t xml:space="preserve"> </w:t>
      </w:r>
      <w:r w:rsidRPr="00127CA0">
        <w:t xml:space="preserve">inequity and securing employment </w:t>
      </w:r>
      <w:r w:rsidRPr="00127CA0">
        <w:rPr>
          <w:bCs/>
        </w:rPr>
        <w:t>(</w:t>
      </w:r>
      <w:r w:rsidRPr="00127CA0">
        <w:t xml:space="preserve">Carrington, McIntosh &amp; </w:t>
      </w:r>
      <w:proofErr w:type="spellStart"/>
      <w:r w:rsidRPr="00127CA0">
        <w:t>Walmsley</w:t>
      </w:r>
      <w:proofErr w:type="spellEnd"/>
      <w:r w:rsidRPr="00127CA0">
        <w:t xml:space="preserve"> 200</w:t>
      </w:r>
      <w:r w:rsidRPr="00200F34">
        <w:t>7;</w:t>
      </w:r>
      <w:r w:rsidRPr="00127CA0">
        <w:t xml:space="preserve"> </w:t>
      </w:r>
      <w:proofErr w:type="spellStart"/>
      <w:r w:rsidRPr="00127CA0">
        <w:t>Gurría</w:t>
      </w:r>
      <w:proofErr w:type="spellEnd"/>
      <w:r w:rsidRPr="00127CA0">
        <w:t xml:space="preserve"> 2008; Liebig 2007).</w:t>
      </w:r>
      <w:r w:rsidRPr="00127CA0">
        <w:rPr>
          <w:b/>
          <w:sz w:val="16"/>
          <w:szCs w:val="16"/>
        </w:rPr>
        <w:t xml:space="preserve"> </w:t>
      </w:r>
      <w:r w:rsidRPr="00127CA0">
        <w:t>Various governments and researchers (such as Lo</w:t>
      </w:r>
      <w:r w:rsidRPr="00127CA0">
        <w:rPr>
          <w:b/>
        </w:rPr>
        <w:t xml:space="preserve"> </w:t>
      </w:r>
      <w:r w:rsidRPr="00127CA0">
        <w:t xml:space="preserve">Bianco 1987, </w:t>
      </w:r>
      <w:r>
        <w:t>200</w:t>
      </w:r>
      <w:r w:rsidRPr="005F14C9">
        <w:t>9</w:t>
      </w:r>
      <w:r w:rsidRPr="007C514D">
        <w:t>;</w:t>
      </w:r>
      <w:r w:rsidRPr="00127CA0">
        <w:t xml:space="preserve"> Norton 2008) make the point that language, culture and identity are linked.</w:t>
      </w:r>
      <w:r w:rsidRPr="00127CA0">
        <w:rPr>
          <w:b/>
          <w:sz w:val="16"/>
          <w:szCs w:val="16"/>
        </w:rPr>
        <w:t xml:space="preserve"> </w:t>
      </w:r>
      <w:r w:rsidRPr="00127CA0">
        <w:t xml:space="preserve">Put simply, </w:t>
      </w:r>
      <w:r w:rsidRPr="00127CA0">
        <w:rPr>
          <w:bCs/>
        </w:rPr>
        <w:t>the ability to understand and use a host country’s language is seen by politicians and</w:t>
      </w:r>
      <w:r w:rsidR="00E56CF2">
        <w:rPr>
          <w:bCs/>
        </w:rPr>
        <w:t> </w:t>
      </w:r>
      <w:r w:rsidRPr="00127CA0">
        <w:rPr>
          <w:bCs/>
        </w:rPr>
        <w:t>wider society as pivotal in improving social cohesion and facilitating migrants’ sense of belonging</w:t>
      </w:r>
      <w:r w:rsidRPr="00127CA0">
        <w:t>.</w:t>
      </w:r>
    </w:p>
    <w:p w:rsidR="001956F7" w:rsidRPr="00127CA0" w:rsidRDefault="001956F7" w:rsidP="001956F7">
      <w:pPr>
        <w:pStyle w:val="Heading3"/>
      </w:pPr>
      <w:r>
        <w:t>Formally l</w:t>
      </w:r>
      <w:r w:rsidRPr="00127CA0">
        <w:t>earning the host language</w:t>
      </w:r>
    </w:p>
    <w:p w:rsidR="001956F7" w:rsidRPr="007E2B5E" w:rsidRDefault="001956F7" w:rsidP="00E56CF2">
      <w:pPr>
        <w:pStyle w:val="Textlessbefore"/>
      </w:pPr>
      <w:r w:rsidRPr="007E2B5E">
        <w:t>Formal language instruction is seen to be valuable in psychosocial terms by enabling the transference of cultural knowledge (including the social norms of the host society), increasing learners’ self-esteem, self-confidence and social networks (</w:t>
      </w:r>
      <w:proofErr w:type="spellStart"/>
      <w:r w:rsidRPr="007E2B5E">
        <w:t>Balatti</w:t>
      </w:r>
      <w:proofErr w:type="spellEnd"/>
      <w:r w:rsidRPr="007E2B5E">
        <w:t>, Black &amp; Falk 2006), and in helping migrants negotiate new identities (</w:t>
      </w:r>
      <w:proofErr w:type="spellStart"/>
      <w:r w:rsidRPr="007E2B5E">
        <w:t>Faine</w:t>
      </w:r>
      <w:proofErr w:type="spellEnd"/>
      <w:r w:rsidRPr="007E2B5E">
        <w:t xml:space="preserve"> 2009; Lo Bianco 1987; Martin 1999; Norton 2008). Formal host</w:t>
      </w:r>
      <w:r w:rsidR="00DD5C97">
        <w:t>-</w:t>
      </w:r>
      <w:r w:rsidRPr="007E2B5E">
        <w:t xml:space="preserve">language provision is also seen as supporting economic integration by facilitating migrants’ articulation into further study and providing pathways to work (Department of Immigration and Citizenship 2008a; </w:t>
      </w:r>
      <w:proofErr w:type="spellStart"/>
      <w:r w:rsidRPr="007E2B5E">
        <w:t>Entzinger</w:t>
      </w:r>
      <w:proofErr w:type="spellEnd"/>
      <w:r w:rsidRPr="007E2B5E">
        <w:t xml:space="preserve"> &amp; </w:t>
      </w:r>
      <w:proofErr w:type="spellStart"/>
      <w:r w:rsidRPr="007E2B5E">
        <w:t>Biezeveld</w:t>
      </w:r>
      <w:proofErr w:type="spellEnd"/>
      <w:r w:rsidRPr="007E2B5E">
        <w:t xml:space="preserve"> 2003). </w:t>
      </w:r>
    </w:p>
    <w:p w:rsidR="001956F7" w:rsidRPr="00127CA0" w:rsidRDefault="001956F7" w:rsidP="001956F7">
      <w:pPr>
        <w:pStyle w:val="Text"/>
      </w:pPr>
      <w:r w:rsidRPr="00127CA0">
        <w:t xml:space="preserve">Considerable extrinsic motivation forces are at work on adult migrants to learn the language of the host country. Over the last decade, these extrinsic factors have grown, particularly in </w:t>
      </w:r>
      <w:smartTag w:uri="urn:schemas-microsoft-com:office:smarttags" w:element="place">
        <w:r w:rsidRPr="00127CA0">
          <w:t>Europe</w:t>
        </w:r>
      </w:smartTag>
      <w:r w:rsidRPr="00127CA0">
        <w:t>. Within the co</w:t>
      </w:r>
      <w:r>
        <w:t>ntext of the European Union</w:t>
      </w:r>
      <w:r w:rsidRPr="00127CA0">
        <w:t xml:space="preserve">, </w:t>
      </w:r>
      <w:proofErr w:type="spellStart"/>
      <w:r w:rsidRPr="00127CA0">
        <w:t>Entzinger</w:t>
      </w:r>
      <w:proofErr w:type="spellEnd"/>
      <w:r w:rsidRPr="00127CA0">
        <w:t xml:space="preserve"> and </w:t>
      </w:r>
      <w:proofErr w:type="spellStart"/>
      <w:r w:rsidRPr="00127CA0">
        <w:t>Biezeveld</w:t>
      </w:r>
      <w:proofErr w:type="spellEnd"/>
      <w:r w:rsidRPr="00127CA0">
        <w:t xml:space="preserve"> (2003, p.49) contend that the desire of member states to encourage</w:t>
      </w:r>
      <w:r w:rsidR="00DD5C97">
        <w:t xml:space="preserve"> the</w:t>
      </w:r>
      <w:r w:rsidRPr="00127CA0">
        <w:t xml:space="preserve"> ‘adaptation’ of m</w:t>
      </w:r>
      <w:r>
        <w:t>igrants to their new country has</w:t>
      </w:r>
      <w:r w:rsidRPr="00127CA0">
        <w:t xml:space="preserve"> resulted in acculturation</w:t>
      </w:r>
      <w:r w:rsidRPr="00127CA0">
        <w:rPr>
          <w:rStyle w:val="FootnoteReference"/>
          <w:rFonts w:cs="Arial"/>
          <w:szCs w:val="22"/>
        </w:rPr>
        <w:footnoteReference w:id="3"/>
      </w:r>
      <w:r w:rsidRPr="00127CA0">
        <w:rPr>
          <w:b/>
        </w:rPr>
        <w:t xml:space="preserve"> </w:t>
      </w:r>
      <w:r w:rsidRPr="00127CA0">
        <w:t xml:space="preserve">featuring more strongly in integration policies. They suggest this emphasis on acculturation in </w:t>
      </w:r>
      <w:smartTag w:uri="urn:schemas-microsoft-com:office:smarttags" w:element="place">
        <w:r w:rsidRPr="00127CA0">
          <w:t>Europe</w:t>
        </w:r>
      </w:smartTag>
      <w:r w:rsidRPr="00127CA0">
        <w:t xml:space="preserve"> is evident ‘by the large-scale introduction of language classes for immigrants, often of a mandatory nature’ (p.45). The im</w:t>
      </w:r>
      <w:r>
        <w:t>plementation of compulsory host-</w:t>
      </w:r>
      <w:r w:rsidRPr="00127CA0">
        <w:t xml:space="preserve">language instruction in </w:t>
      </w:r>
      <w:r w:rsidRPr="00127CA0">
        <w:lastRenderedPageBreak/>
        <w:t>some countries serves to fur</w:t>
      </w:r>
      <w:r>
        <w:t>ther highlight this policy goal</w:t>
      </w:r>
      <w:r w:rsidRPr="00127CA0">
        <w:t xml:space="preserve"> and is seen as addressing perceived or existing concerns related to migrant integration. </w:t>
      </w:r>
    </w:p>
    <w:p w:rsidR="001956F7" w:rsidRPr="00E56CF2" w:rsidRDefault="001956F7" w:rsidP="00E56CF2">
      <w:pPr>
        <w:pStyle w:val="Heading3"/>
        <w:rPr>
          <w:b/>
          <w:color w:val="000000" w:themeColor="text1"/>
        </w:rPr>
      </w:pPr>
      <w:r>
        <w:t xml:space="preserve">Adult migrant English as a </w:t>
      </w:r>
      <w:r w:rsidRPr="00E56CF2">
        <w:t>second</w:t>
      </w:r>
      <w:r>
        <w:t xml:space="preserve"> language </w:t>
      </w:r>
      <w:r w:rsidRPr="005F14C9">
        <w:t>programming in</w:t>
      </w:r>
      <w:r w:rsidRPr="00127CA0">
        <w:t xml:space="preserve"> Australia</w:t>
      </w:r>
      <w:r>
        <w:t xml:space="preserve"> </w:t>
      </w:r>
    </w:p>
    <w:p w:rsidR="001956F7" w:rsidRPr="00127CA0" w:rsidRDefault="001956F7" w:rsidP="00E56CF2">
      <w:pPr>
        <w:pStyle w:val="Textlessbefore"/>
        <w:rPr>
          <w:lang w:val="en-US"/>
        </w:rPr>
      </w:pPr>
      <w:r>
        <w:t xml:space="preserve">Although English as a second language </w:t>
      </w:r>
      <w:r w:rsidRPr="005F14C9">
        <w:t>programs are not compulsory for adult migrants to Australia, the importance of migrants having, acquiring or, indeed, formally learning English, is evident in other public policy domains.</w:t>
      </w:r>
      <w:r w:rsidRPr="005F14C9">
        <w:rPr>
          <w:b/>
        </w:rPr>
        <w:t xml:space="preserve"> </w:t>
      </w:r>
      <w:r w:rsidRPr="005F14C9">
        <w:t>For example, some applicants for skilled migrant visas</w:t>
      </w:r>
      <w:r>
        <w:t xml:space="preserve"> and/or permanent residence</w:t>
      </w:r>
      <w:r w:rsidRPr="005F14C9">
        <w:t xml:space="preserve"> visas are awarded ‘points’ towards their immigration according to their proficiency in English</w:t>
      </w:r>
      <w:r>
        <w:t>.</w:t>
      </w:r>
      <w:r w:rsidRPr="005F14C9">
        <w:rPr>
          <w:rStyle w:val="FootnoteReference"/>
          <w:rFonts w:cs="Arial"/>
          <w:szCs w:val="22"/>
        </w:rPr>
        <w:footnoteReference w:id="4"/>
      </w:r>
      <w:r w:rsidRPr="005F14C9">
        <w:t xml:space="preserve"> The </w:t>
      </w:r>
      <w:r w:rsidRPr="00127CA0">
        <w:t xml:space="preserve">Adult Migrant English Program </w:t>
      </w:r>
      <w:r w:rsidRPr="005F14C9">
        <w:t>surcharge (or fee) embedded in immigration visas for some migrants with limited English also emphasises the importance</w:t>
      </w:r>
      <w:r w:rsidRPr="00127CA0">
        <w:t xml:space="preserve"> of English skills. In addition, the language test component of the 2007 Citizenship Test also exemplifies the value placed by </w:t>
      </w:r>
      <w:r>
        <w:t xml:space="preserve">the </w:t>
      </w:r>
      <w:r w:rsidRPr="00127CA0">
        <w:t xml:space="preserve">government on migrants possessing, or developing, basic or </w:t>
      </w:r>
      <w:r w:rsidRPr="00127CA0">
        <w:rPr>
          <w:i/>
        </w:rPr>
        <w:t xml:space="preserve">functional </w:t>
      </w:r>
      <w:r w:rsidRPr="00127CA0">
        <w:t>English</w:t>
      </w:r>
      <w:r>
        <w:t>.</w:t>
      </w:r>
      <w:r w:rsidRPr="00127CA0">
        <w:rPr>
          <w:rStyle w:val="FootnoteReference"/>
          <w:rFonts w:cs="Arial"/>
          <w:szCs w:val="22"/>
        </w:rPr>
        <w:footnoteReference w:id="5"/>
      </w:r>
      <w:r w:rsidRPr="00127CA0">
        <w:rPr>
          <w:lang w:val="en-US"/>
        </w:rPr>
        <w:t xml:space="preserve"> </w:t>
      </w:r>
    </w:p>
    <w:p w:rsidR="001956F7" w:rsidRPr="00127CA0" w:rsidRDefault="001956F7" w:rsidP="00DD5C97">
      <w:pPr>
        <w:pStyle w:val="Text"/>
        <w:ind w:right="-143"/>
        <w:rPr>
          <w:b/>
          <w:sz w:val="18"/>
          <w:szCs w:val="18"/>
        </w:rPr>
      </w:pPr>
      <w:r w:rsidRPr="00127CA0">
        <w:t xml:space="preserve">Considerable research has been undertaken by </w:t>
      </w:r>
      <w:r>
        <w:t xml:space="preserve">the </w:t>
      </w:r>
      <w:r w:rsidR="00DD5C97" w:rsidRPr="00127CA0">
        <w:t xml:space="preserve">Australian Government </w:t>
      </w:r>
      <w:r w:rsidRPr="00127CA0">
        <w:t xml:space="preserve">into the </w:t>
      </w:r>
      <w:r>
        <w:t>integration process of recently arrived migrants (</w:t>
      </w:r>
      <w:r w:rsidRPr="00127CA0">
        <w:t>Continuous Survey of Australia</w:t>
      </w:r>
      <w:r>
        <w:t>’s Migrants [Department of Immigration and</w:t>
      </w:r>
      <w:r w:rsidR="00DD5C97">
        <w:t> </w:t>
      </w:r>
      <w:r>
        <w:t>Citizenship 2009, 2010];</w:t>
      </w:r>
      <w:r w:rsidRPr="00127CA0">
        <w:t xml:space="preserve"> Longitudinal Sur</w:t>
      </w:r>
      <w:r>
        <w:t>vey of Immigrants to Australia [Department of Immigration and</w:t>
      </w:r>
      <w:r w:rsidR="00DD5C97">
        <w:t> </w:t>
      </w:r>
      <w:r>
        <w:t xml:space="preserve">Citizenship </w:t>
      </w:r>
      <w:proofErr w:type="spellStart"/>
      <w:r>
        <w:t>nd</w:t>
      </w:r>
      <w:proofErr w:type="spellEnd"/>
      <w:r>
        <w:t>])</w:t>
      </w:r>
      <w:r w:rsidRPr="00127CA0">
        <w:t xml:space="preserve">. These studies have examined migrants’ general experiences, including their workforce participation, as well as </w:t>
      </w:r>
      <w:r>
        <w:t xml:space="preserve">their </w:t>
      </w:r>
      <w:r w:rsidRPr="00127CA0">
        <w:t xml:space="preserve">views of their English proficiency. Other research has focused on the integration of particular groups of migrants; for example, </w:t>
      </w:r>
      <w:r w:rsidRPr="000A2CBD">
        <w:t>Sha</w:t>
      </w:r>
      <w:r>
        <w:t xml:space="preserve">kespeare-Finch and Wickham </w:t>
      </w:r>
      <w:r w:rsidRPr="005F14C9">
        <w:t xml:space="preserve">(2009) examined </w:t>
      </w:r>
      <w:r>
        <w:t xml:space="preserve">recently </w:t>
      </w:r>
      <w:r w:rsidRPr="005F14C9">
        <w:t>arrived Sudanes</w:t>
      </w:r>
      <w:r>
        <w:t>e refugees’ psycho</w:t>
      </w:r>
      <w:r w:rsidRPr="005F14C9">
        <w:t>social ‘adaptation’ from a qualitative perspective, while Murray (2010) used a mixed methods research design to examine Sudanese refugees’ ‘resettlement’ experiences. Migrants’ general workforce integration has also been researched (see, for example, Liebig 2007), including, more specifically, refugees from visible minorities (Colic-</w:t>
      </w:r>
      <w:proofErr w:type="spellStart"/>
      <w:r w:rsidRPr="005F14C9">
        <w:t>Pseiker</w:t>
      </w:r>
      <w:proofErr w:type="spellEnd"/>
      <w:r w:rsidRPr="005F14C9">
        <w:t xml:space="preserve"> &amp; Tilbury 2007). The importance of the role played by </w:t>
      </w:r>
      <w:r>
        <w:t xml:space="preserve">English </w:t>
      </w:r>
      <w:proofErr w:type="gramStart"/>
      <w:r>
        <w:t>as a second language</w:t>
      </w:r>
      <w:r w:rsidRPr="005F14C9">
        <w:t xml:space="preserve"> teachers</w:t>
      </w:r>
      <w:proofErr w:type="gramEnd"/>
      <w:r w:rsidRPr="005F14C9">
        <w:t xml:space="preserve"> in explicitly assisting adult migrants plan for their possible future employment (</w:t>
      </w:r>
      <w:proofErr w:type="spellStart"/>
      <w:r w:rsidRPr="005F14C9">
        <w:t>Hanrahan</w:t>
      </w:r>
      <w:proofErr w:type="spellEnd"/>
      <w:r w:rsidRPr="005F14C9">
        <w:t xml:space="preserve"> 2009) has also been investigated. </w:t>
      </w:r>
      <w:r>
        <w:t xml:space="preserve">In relation to </w:t>
      </w:r>
      <w:r w:rsidRPr="005F14C9">
        <w:t>further studies</w:t>
      </w:r>
      <w:r>
        <w:t xml:space="preserve"> undertaken by migrants</w:t>
      </w:r>
      <w:r w:rsidRPr="005F14C9">
        <w:t xml:space="preserve">, </w:t>
      </w:r>
      <w:proofErr w:type="spellStart"/>
      <w:r w:rsidRPr="005F14C9">
        <w:t>Miralles</w:t>
      </w:r>
      <w:proofErr w:type="spellEnd"/>
      <w:r w:rsidRPr="005F14C9">
        <w:t xml:space="preserve"> (2004) examined migrants’ engagement in and </w:t>
      </w:r>
      <w:r>
        <w:t xml:space="preserve">their </w:t>
      </w:r>
      <w:r w:rsidRPr="005F14C9">
        <w:t>views of vocational</w:t>
      </w:r>
      <w:r w:rsidRPr="00127CA0">
        <w:t xml:space="preserve"> education and t</w:t>
      </w:r>
      <w:r>
        <w:t>raining (VET)</w:t>
      </w:r>
      <w:r w:rsidRPr="00127CA0">
        <w:t xml:space="preserve"> and uncovered negative perceptions of stand-alone </w:t>
      </w:r>
      <w:r>
        <w:t>English as a second language programs</w:t>
      </w:r>
      <w:r w:rsidRPr="00127CA0">
        <w:t xml:space="preserve"> and their preference for </w:t>
      </w:r>
      <w:r>
        <w:t>English language</w:t>
      </w:r>
      <w:r w:rsidRPr="00127CA0">
        <w:t xml:space="preserve"> support integrated into their </w:t>
      </w:r>
      <w:r>
        <w:t xml:space="preserve">mainstream </w:t>
      </w:r>
      <w:r w:rsidRPr="00127CA0">
        <w:t xml:space="preserve">VET studies.  </w:t>
      </w:r>
    </w:p>
    <w:p w:rsidR="001956F7" w:rsidRPr="00127CA0" w:rsidRDefault="001956F7" w:rsidP="001956F7">
      <w:pPr>
        <w:pStyle w:val="Text"/>
      </w:pPr>
      <w:r w:rsidRPr="00127CA0">
        <w:t xml:space="preserve">Extensive research has been undertaken into </w:t>
      </w:r>
      <w:r>
        <w:t>English as a second language</w:t>
      </w:r>
      <w:r w:rsidRPr="00127CA0">
        <w:t xml:space="preserve"> provision</w:t>
      </w:r>
      <w:r w:rsidRPr="00B907D4">
        <w:t xml:space="preserve"> </w:t>
      </w:r>
      <w:r>
        <w:t xml:space="preserve">for </w:t>
      </w:r>
      <w:r w:rsidRPr="00127CA0">
        <w:t>adult migrant</w:t>
      </w:r>
      <w:r>
        <w:t>s</w:t>
      </w:r>
      <w:r w:rsidRPr="00127CA0">
        <w:t>, particularly into the Adult Migrant English Program</w:t>
      </w:r>
      <w:r>
        <w:t>,</w:t>
      </w:r>
      <w:r w:rsidRPr="00127CA0">
        <w:t xml:space="preserve"> which is a highly</w:t>
      </w:r>
      <w:r>
        <w:t xml:space="preserve"> </w:t>
      </w:r>
      <w:r w:rsidRPr="00127CA0">
        <w:t>scrutinised program. This includes research into client satisfaction (</w:t>
      </w:r>
      <w:r>
        <w:t>Department of Immigration and Citizenship</w:t>
      </w:r>
      <w:r w:rsidRPr="00127CA0">
        <w:t xml:space="preserve"> 2008b), and how</w:t>
      </w:r>
      <w:r w:rsidRPr="00127CA0">
        <w:rPr>
          <w:sz w:val="16"/>
          <w:szCs w:val="16"/>
        </w:rPr>
        <w:t xml:space="preserve"> </w:t>
      </w:r>
      <w:r w:rsidRPr="00B66DF4">
        <w:t>the</w:t>
      </w:r>
      <w:r>
        <w:rPr>
          <w:sz w:val="16"/>
          <w:szCs w:val="16"/>
        </w:rPr>
        <w:t xml:space="preserve"> </w:t>
      </w:r>
      <w:r>
        <w:t>programs</w:t>
      </w:r>
      <w:r w:rsidRPr="005F14C9">
        <w:t xml:space="preserve"> can better meet the needs of particular groups of learners (see, for example, Burgoyne &amp; Hull 2007 on Sudanese refugee learners). Much research into the </w:t>
      </w:r>
      <w:r w:rsidRPr="00127CA0">
        <w:t>Adult Migrant English Program</w:t>
      </w:r>
      <w:r w:rsidRPr="005F14C9">
        <w:t xml:space="preserve"> was carried out by the former </w:t>
      </w:r>
      <w:r w:rsidRPr="00127CA0">
        <w:t>Adult Migrant English Program</w:t>
      </w:r>
      <w:r>
        <w:t xml:space="preserve"> Research Centre</w:t>
      </w:r>
      <w:r w:rsidRPr="005F14C9">
        <w:t xml:space="preserve"> and the National Centre for English </w:t>
      </w:r>
      <w:r>
        <w:t>Language Teaching and Research</w:t>
      </w:r>
      <w:r w:rsidRPr="005F14C9">
        <w:t xml:space="preserve">, including studies that examined various stakeholders’ experiences and perceptions of adult language learning (see, for example, Wigglesworth 2003). Many of the findings of these studies have been applicable to </w:t>
      </w:r>
      <w:r w:rsidR="00B66DF4">
        <w:t xml:space="preserve">the </w:t>
      </w:r>
      <w:r>
        <w:t>English as a second language</w:t>
      </w:r>
      <w:r w:rsidRPr="005F14C9">
        <w:t xml:space="preserve"> delivery </w:t>
      </w:r>
      <w:r>
        <w:t xml:space="preserve">funded by the states and </w:t>
      </w:r>
      <w:r w:rsidRPr="005F14C9">
        <w:t>t</w:t>
      </w:r>
      <w:r>
        <w:t>erritories</w:t>
      </w:r>
      <w:r w:rsidRPr="005F14C9">
        <w:t>. The rationale and methodology of these and</w:t>
      </w:r>
      <w:r w:rsidRPr="005F14C9">
        <w:rPr>
          <w:sz w:val="16"/>
          <w:szCs w:val="16"/>
        </w:rPr>
        <w:t xml:space="preserve"> </w:t>
      </w:r>
      <w:r>
        <w:t>other studies</w:t>
      </w:r>
      <w:r w:rsidRPr="005F14C9">
        <w:t xml:space="preserve"> such as</w:t>
      </w:r>
      <w:r>
        <w:t>:</w:t>
      </w:r>
      <w:r w:rsidRPr="005F14C9">
        <w:t xml:space="preserve"> research into Australian adult migrant </w:t>
      </w:r>
      <w:r>
        <w:t>English as a second language</w:t>
      </w:r>
      <w:r w:rsidRPr="005F14C9">
        <w:t xml:space="preserve"> learning strategies (Lunt 2000); </w:t>
      </w:r>
      <w:proofErr w:type="spellStart"/>
      <w:r w:rsidRPr="005F14C9">
        <w:t>Balatti</w:t>
      </w:r>
      <w:proofErr w:type="spellEnd"/>
      <w:r w:rsidRPr="005F14C9">
        <w:t>, Black and Falk’s examination (2006) of the social capital outcomes of learners who participated in literacy (and</w:t>
      </w:r>
      <w:r w:rsidRPr="004A50A0">
        <w:rPr>
          <w:color w:val="800080"/>
        </w:rPr>
        <w:t xml:space="preserve"> </w:t>
      </w:r>
      <w:r w:rsidRPr="005F14C9">
        <w:t>numeracy) programs</w:t>
      </w:r>
      <w:r w:rsidR="00B66DF4">
        <w:t xml:space="preserve"> conducted</w:t>
      </w:r>
      <w:r w:rsidRPr="005F14C9">
        <w:t xml:space="preserve"> in </w:t>
      </w:r>
      <w:r w:rsidR="00B66DF4">
        <w:t xml:space="preserve">the </w:t>
      </w:r>
      <w:r w:rsidRPr="005F14C9">
        <w:t xml:space="preserve">VET </w:t>
      </w:r>
      <w:r w:rsidR="00B66DF4">
        <w:t>sector</w:t>
      </w:r>
      <w:r w:rsidRPr="005F14C9">
        <w:t xml:space="preserve">; and research </w:t>
      </w:r>
      <w:r w:rsidR="00B66DF4">
        <w:lastRenderedPageBreak/>
        <w:t>undertaken</w:t>
      </w:r>
      <w:r w:rsidRPr="005F14C9">
        <w:t xml:space="preserve"> in New Zealand into adult student, teacher and provider perceptions of </w:t>
      </w:r>
      <w:r>
        <w:t>English as a second language</w:t>
      </w:r>
      <w:r w:rsidRPr="005F14C9">
        <w:t xml:space="preserve"> learning (Walker</w:t>
      </w:r>
      <w:r w:rsidRPr="00127CA0">
        <w:t xml:space="preserve"> 2005; White, Watts &amp; </w:t>
      </w:r>
      <w:proofErr w:type="spellStart"/>
      <w:r w:rsidRPr="00127CA0">
        <w:t>Trlin</w:t>
      </w:r>
      <w:proofErr w:type="spellEnd"/>
      <w:r w:rsidRPr="00127CA0">
        <w:t xml:space="preserve"> 2002) have informed the scope of the current study.</w:t>
      </w:r>
      <w:r w:rsidRPr="00127CA0">
        <w:rPr>
          <w:sz w:val="16"/>
          <w:szCs w:val="16"/>
        </w:rPr>
        <w:t xml:space="preserve">  </w:t>
      </w:r>
    </w:p>
    <w:p w:rsidR="001956F7" w:rsidRPr="00127CA0" w:rsidRDefault="001956F7" w:rsidP="001956F7">
      <w:pPr>
        <w:pStyle w:val="Heading2"/>
      </w:pPr>
      <w:bookmarkStart w:id="34" w:name="_Toc305074164"/>
      <w:bookmarkStart w:id="35" w:name="_Toc309645487"/>
      <w:r w:rsidRPr="00127CA0">
        <w:t>This study</w:t>
      </w:r>
      <w:bookmarkEnd w:id="34"/>
      <w:bookmarkEnd w:id="35"/>
      <w:r w:rsidRPr="00127CA0">
        <w:t xml:space="preserve"> </w:t>
      </w:r>
    </w:p>
    <w:p w:rsidR="001956F7" w:rsidRPr="003866D8" w:rsidRDefault="001956F7" w:rsidP="001956F7">
      <w:pPr>
        <w:pStyle w:val="Text"/>
      </w:pPr>
      <w:r w:rsidRPr="00127CA0">
        <w:t xml:space="preserve">This paper presents findings from a longitudinal case study into </w:t>
      </w:r>
      <w:r>
        <w:t xml:space="preserve">the </w:t>
      </w:r>
      <w:r w:rsidRPr="00127CA0">
        <w:t>government-</w:t>
      </w:r>
      <w:r>
        <w:t xml:space="preserve">funded English as a second language </w:t>
      </w:r>
      <w:r w:rsidRPr="005F14C9">
        <w:t>provision</w:t>
      </w:r>
      <w:r>
        <w:t xml:space="preserve"> for adult migrants</w:t>
      </w:r>
      <w:r w:rsidRPr="005F14C9">
        <w:t>.</w:t>
      </w:r>
      <w:r w:rsidRPr="00127CA0">
        <w:t xml:space="preserve"> This research sought to examine one setting and its participants, over time, and present a nuanced description of adult </w:t>
      </w:r>
      <w:r>
        <w:t xml:space="preserve">English as </w:t>
      </w:r>
      <w:proofErr w:type="gramStart"/>
      <w:r>
        <w:t>a second</w:t>
      </w:r>
      <w:proofErr w:type="gramEnd"/>
      <w:r>
        <w:t xml:space="preserve"> language</w:t>
      </w:r>
      <w:r w:rsidRPr="00127CA0">
        <w:t xml:space="preserve"> learning. Central to this study was an examination of migrants’ experiences and perceptions of </w:t>
      </w:r>
      <w:r>
        <w:t>English as a second language program</w:t>
      </w:r>
      <w:r w:rsidR="00501F2B">
        <w:t>ming</w:t>
      </w:r>
      <w:r w:rsidRPr="00127CA0">
        <w:t xml:space="preserve">, with particular emphasis on </w:t>
      </w:r>
      <w:r w:rsidR="00501F2B">
        <w:t>migrants’</w:t>
      </w:r>
      <w:r w:rsidRPr="00127CA0">
        <w:t xml:space="preserve"> opinions of </w:t>
      </w:r>
      <w:r w:rsidR="00501F2B">
        <w:t>its</w:t>
      </w:r>
      <w:r w:rsidRPr="00127CA0">
        <w:t xml:space="preserve"> role in facilitating their integration. The views of some of the </w:t>
      </w:r>
      <w:r w:rsidR="00B66DF4">
        <w:t xml:space="preserve">specific </w:t>
      </w:r>
      <w:r w:rsidRPr="00FF37E8">
        <w:t>centre</w:t>
      </w:r>
      <w:r w:rsidRPr="005F14C9">
        <w:t>’</w:t>
      </w:r>
      <w:r w:rsidRPr="00FF37E8">
        <w:t>s</w:t>
      </w:r>
      <w:r w:rsidRPr="00127CA0">
        <w:t xml:space="preserve"> </w:t>
      </w:r>
      <w:r>
        <w:t>English as a second language</w:t>
      </w:r>
      <w:r w:rsidRPr="00127CA0">
        <w:t xml:space="preserve"> teachers and program managers were also investigated, as these stakeholders have a significant influence on how migrants experience </w:t>
      </w:r>
      <w:r>
        <w:t>English language programs</w:t>
      </w:r>
      <w:r w:rsidRPr="00127CA0">
        <w:t xml:space="preserve"> and the ways in which government policy objectives are translated into practice. </w:t>
      </w:r>
      <w:r w:rsidRPr="00127CA0">
        <w:rPr>
          <w:rFonts w:eastAsia="Arial Unicode MS"/>
        </w:rPr>
        <w:t xml:space="preserve">As a result, this paper </w:t>
      </w:r>
      <w:r w:rsidRPr="00127CA0">
        <w:t>also discusses the relationship between language policy-in-intention, policy-in-implementation, and policy-in-experience (</w:t>
      </w:r>
      <w:proofErr w:type="spellStart"/>
      <w:r w:rsidRPr="00127CA0">
        <w:t>Guba</w:t>
      </w:r>
      <w:proofErr w:type="spellEnd"/>
      <w:r w:rsidRPr="00127CA0">
        <w:t xml:space="preserve"> 1984).</w:t>
      </w:r>
      <w:r w:rsidRPr="00127CA0">
        <w:rPr>
          <w:sz w:val="16"/>
          <w:szCs w:val="16"/>
        </w:rPr>
        <w:t xml:space="preserve"> </w:t>
      </w:r>
      <w:r w:rsidRPr="00127CA0">
        <w:t>The longitudinal approach adopted for this study enabled me to examine migrants</w:t>
      </w:r>
      <w:r w:rsidR="00B66DF4">
        <w:t>’</w:t>
      </w:r>
      <w:r w:rsidRPr="00127CA0">
        <w:t xml:space="preserve"> own, personal process of integration (Murray 2010) post</w:t>
      </w:r>
      <w:r w:rsidR="00B66DF4">
        <w:t xml:space="preserve"> their </w:t>
      </w:r>
      <w:r>
        <w:t>English language</w:t>
      </w:r>
      <w:r w:rsidRPr="00127CA0">
        <w:t xml:space="preserve"> instruction. </w:t>
      </w:r>
    </w:p>
    <w:p w:rsidR="001956F7" w:rsidRPr="00127CA0" w:rsidRDefault="001956F7" w:rsidP="001956F7">
      <w:pPr>
        <w:pStyle w:val="Heading3"/>
      </w:pPr>
      <w:r w:rsidRPr="00127CA0">
        <w:t>Conceptual framework</w:t>
      </w:r>
    </w:p>
    <w:p w:rsidR="001956F7" w:rsidRDefault="001956F7" w:rsidP="00E56CF2">
      <w:pPr>
        <w:pStyle w:val="Textlessbefore"/>
        <w:rPr>
          <w:rFonts w:eastAsia="Arial Unicode MS" w:cs="Tahoma"/>
        </w:rPr>
      </w:pPr>
      <w:r w:rsidRPr="00127CA0">
        <w:t xml:space="preserve">This </w:t>
      </w:r>
      <w:r w:rsidRPr="00127CA0">
        <w:rPr>
          <w:rFonts w:eastAsia="Arial Unicode MS"/>
        </w:rPr>
        <w:t xml:space="preserve">study shares the belief that </w:t>
      </w:r>
      <w:r w:rsidRPr="00127CA0">
        <w:rPr>
          <w:i/>
        </w:rPr>
        <w:t>‘</w:t>
      </w:r>
      <w:r w:rsidRPr="00127CA0">
        <w:t>language policies are not neutral statements but, rather, espouse particular values and goals’ (Lo Bianco 1987, p.5).</w:t>
      </w:r>
      <w:r w:rsidRPr="00127CA0">
        <w:rPr>
          <w:b/>
        </w:rPr>
        <w:t xml:space="preserve"> </w:t>
      </w:r>
      <w:r w:rsidRPr="00127CA0">
        <w:t xml:space="preserve">In adopting a </w:t>
      </w:r>
      <w:proofErr w:type="spellStart"/>
      <w:r w:rsidRPr="00127CA0">
        <w:t>sociocultural</w:t>
      </w:r>
      <w:proofErr w:type="spellEnd"/>
      <w:r w:rsidRPr="00127CA0">
        <w:t xml:space="preserve"> theory </w:t>
      </w:r>
      <w:r>
        <w:t xml:space="preserve">framework </w:t>
      </w:r>
      <w:r w:rsidRPr="00EC523A">
        <w:t xml:space="preserve">(Cross 2009; </w:t>
      </w:r>
      <w:proofErr w:type="spellStart"/>
      <w:r w:rsidRPr="00EC523A">
        <w:t>Lantolf</w:t>
      </w:r>
      <w:proofErr w:type="spellEnd"/>
      <w:r w:rsidRPr="00EC523A">
        <w:t xml:space="preserve"> &amp; </w:t>
      </w:r>
      <w:proofErr w:type="spellStart"/>
      <w:r w:rsidRPr="00EC523A">
        <w:t>Poehner</w:t>
      </w:r>
      <w:proofErr w:type="spellEnd"/>
      <w:r w:rsidRPr="00EC523A">
        <w:t xml:space="preserve"> 2008),</w:t>
      </w:r>
      <w:r w:rsidRPr="00127CA0">
        <w:t xml:space="preserve"> this paper reflects the view that one of the aims of language policy analysis is to</w:t>
      </w:r>
      <w:r w:rsidRPr="00127CA0">
        <w:rPr>
          <w:b/>
        </w:rPr>
        <w:t xml:space="preserve"> </w:t>
      </w:r>
      <w:r w:rsidRPr="00127CA0">
        <w:rPr>
          <w:i/>
        </w:rPr>
        <w:t>‘</w:t>
      </w:r>
      <w:r w:rsidRPr="00127CA0">
        <w:rPr>
          <w:iCs/>
        </w:rPr>
        <w:t>better understand the broader social, cultural, and historical processes and contexts from which, and within which, language policies are produced and promulgated’</w:t>
      </w:r>
      <w:r w:rsidRPr="00127CA0">
        <w:rPr>
          <w:b/>
        </w:rPr>
        <w:t xml:space="preserve"> </w:t>
      </w:r>
      <w:r w:rsidRPr="00127CA0">
        <w:t>(Cross 2009, p.23)</w:t>
      </w:r>
      <w:r w:rsidRPr="00127CA0">
        <w:rPr>
          <w:sz w:val="16"/>
          <w:szCs w:val="16"/>
        </w:rPr>
        <w:t xml:space="preserve">. </w:t>
      </w:r>
      <w:r w:rsidRPr="00127CA0">
        <w:rPr>
          <w:rFonts w:eastAsia="Arial Unicode MS"/>
        </w:rPr>
        <w:t xml:space="preserve">Within this framework, the role of English proficiency in facilitating integration is primarily discussed in social and economic (specifically workforce participation) terms. </w:t>
      </w:r>
      <w:r w:rsidRPr="00127CA0">
        <w:rPr>
          <w:rFonts w:eastAsia="Arial Unicode MS" w:cs="Tahoma"/>
        </w:rPr>
        <w:t>This paper, therefore, considers stakehol</w:t>
      </w:r>
      <w:r>
        <w:rPr>
          <w:rFonts w:eastAsia="Arial Unicode MS" w:cs="Tahoma"/>
        </w:rPr>
        <w:t>ders’ perceptions of the psycho</w:t>
      </w:r>
      <w:r w:rsidRPr="00127CA0">
        <w:rPr>
          <w:rFonts w:eastAsia="Arial Unicode MS" w:cs="Tahoma"/>
        </w:rPr>
        <w:t>social function</w:t>
      </w:r>
      <w:r w:rsidRPr="00B832D3">
        <w:rPr>
          <w:rFonts w:eastAsia="Arial Unicode MS" w:cs="Tahoma"/>
        </w:rPr>
        <w:t xml:space="preserve"> of </w:t>
      </w:r>
      <w:r>
        <w:rPr>
          <w:rFonts w:eastAsia="Arial Unicode MS" w:cs="Tahoma"/>
        </w:rPr>
        <w:t>English as a second language programs</w:t>
      </w:r>
      <w:r w:rsidRPr="00B832D3">
        <w:rPr>
          <w:rFonts w:eastAsia="Arial Unicode MS" w:cs="Tahoma"/>
        </w:rPr>
        <w:t xml:space="preserve"> and it</w:t>
      </w:r>
      <w:r>
        <w:rPr>
          <w:rFonts w:eastAsia="Arial Unicode MS" w:cs="Tahoma"/>
        </w:rPr>
        <w:t>s economic impact in relation to</w:t>
      </w:r>
      <w:r w:rsidRPr="00B832D3">
        <w:rPr>
          <w:rFonts w:eastAsia="Arial Unicode MS" w:cs="Tahoma"/>
        </w:rPr>
        <w:t xml:space="preserve"> migrants’ articulation into further study and work.</w:t>
      </w:r>
    </w:p>
    <w:p w:rsidR="001956F7" w:rsidRPr="003866D8" w:rsidRDefault="001956F7" w:rsidP="001956F7">
      <w:pPr>
        <w:pStyle w:val="Text"/>
        <w:rPr>
          <w:rFonts w:eastAsia="Arial Unicode MS"/>
          <w:sz w:val="20"/>
        </w:rPr>
      </w:pPr>
      <w:r w:rsidRPr="003866D8">
        <w:rPr>
          <w:rFonts w:eastAsia="Arial Unicode MS"/>
        </w:rPr>
        <w:t>In the following sections the methodology adopted for this study is explained, and the findings and conclusions are discussed.</w:t>
      </w:r>
    </w:p>
    <w:p w:rsidR="001956F7" w:rsidRDefault="001956F7" w:rsidP="001956F7">
      <w:pPr>
        <w:pStyle w:val="Heading1"/>
      </w:pPr>
      <w:r>
        <w:br w:type="page"/>
      </w:r>
      <w:bookmarkStart w:id="36" w:name="_Toc305074165"/>
      <w:bookmarkStart w:id="37" w:name="_Toc309645488"/>
      <w:r>
        <w:lastRenderedPageBreak/>
        <w:t>Methodology</w:t>
      </w:r>
      <w:bookmarkEnd w:id="36"/>
      <w:bookmarkEnd w:id="37"/>
    </w:p>
    <w:p w:rsidR="001956F7" w:rsidRPr="00A9038A" w:rsidRDefault="001956F7" w:rsidP="001956F7">
      <w:pPr>
        <w:pStyle w:val="Text"/>
        <w:rPr>
          <w:color w:val="000000" w:themeColor="text1"/>
        </w:rPr>
      </w:pPr>
      <w:r w:rsidRPr="007F48E7">
        <w:t>This c</w:t>
      </w:r>
      <w:r>
        <w:t>ase study adopted a qualitative-dominant mixed-</w:t>
      </w:r>
      <w:r w:rsidRPr="007F48E7">
        <w:t xml:space="preserve">methods approach (Johnson, </w:t>
      </w:r>
      <w:proofErr w:type="spellStart"/>
      <w:r w:rsidRPr="007F48E7">
        <w:t>Onwuegbuzie</w:t>
      </w:r>
      <w:proofErr w:type="spellEnd"/>
      <w:r w:rsidRPr="007F48E7">
        <w:t xml:space="preserve"> </w:t>
      </w:r>
      <w:r w:rsidRPr="00127CA0">
        <w:t>&amp; Turner 2007). In so doing, it shares the qualitative researcher’s belief that all ‘</w:t>
      </w:r>
      <w:r>
        <w:t>research is value-bound</w:t>
      </w:r>
      <w:r w:rsidRPr="00127CA0">
        <w:t xml:space="preserve"> … and that knower and known cannot be separated because the subjective knower is the only source of reality’ (</w:t>
      </w:r>
      <w:proofErr w:type="spellStart"/>
      <w:r w:rsidRPr="007F48E7">
        <w:t>Guba</w:t>
      </w:r>
      <w:proofErr w:type="spellEnd"/>
      <w:r w:rsidRPr="007F48E7">
        <w:t xml:space="preserve"> 1990, </w:t>
      </w:r>
      <w:r>
        <w:t xml:space="preserve">paraphrased </w:t>
      </w:r>
      <w:r w:rsidRPr="007F48E7">
        <w:t xml:space="preserve">in </w:t>
      </w:r>
      <w:r w:rsidRPr="007F48E7">
        <w:rPr>
          <w:bCs/>
        </w:rPr>
        <w:t xml:space="preserve">Johnson &amp; </w:t>
      </w:r>
      <w:proofErr w:type="spellStart"/>
      <w:r w:rsidRPr="007F48E7">
        <w:rPr>
          <w:bCs/>
        </w:rPr>
        <w:t>Onwuegbuzie</w:t>
      </w:r>
      <w:proofErr w:type="spellEnd"/>
      <w:r w:rsidRPr="007F48E7">
        <w:rPr>
          <w:bCs/>
        </w:rPr>
        <w:t xml:space="preserve"> 2004</w:t>
      </w:r>
      <w:r w:rsidRPr="007F48E7">
        <w:t xml:space="preserve">, p.14). This research was informed by my professional experience as an </w:t>
      </w:r>
      <w:r>
        <w:t>English language</w:t>
      </w:r>
      <w:r w:rsidRPr="007F48E7">
        <w:t xml:space="preserve"> teacher of adult migrants in Australia and, more recently, my experiences and perceptions of learning French as a government-funded migrant learner in Québec, Canada. </w:t>
      </w:r>
      <w:r w:rsidRPr="007F48E7">
        <w:rPr>
          <w:rFonts w:eastAsia="Arial Unicode MS"/>
        </w:rPr>
        <w:t xml:space="preserve">At the time this study was undertaken, I was employed as an </w:t>
      </w:r>
      <w:r>
        <w:rPr>
          <w:rFonts w:eastAsia="Arial Unicode MS"/>
        </w:rPr>
        <w:t>English as a second language</w:t>
      </w:r>
      <w:r w:rsidRPr="007F48E7">
        <w:rPr>
          <w:rFonts w:eastAsia="Arial Unicode MS"/>
        </w:rPr>
        <w:t xml:space="preserve"> teacher at the research site.</w:t>
      </w:r>
    </w:p>
    <w:p w:rsidR="001956F7" w:rsidRPr="00A9038A" w:rsidRDefault="001956F7" w:rsidP="001956F7">
      <w:pPr>
        <w:pStyle w:val="Text"/>
        <w:rPr>
          <w:color w:val="000000" w:themeColor="text1"/>
          <w:sz w:val="18"/>
          <w:szCs w:val="18"/>
        </w:rPr>
      </w:pPr>
      <w:r>
        <w:rPr>
          <w:rFonts w:eastAsia="Arial Unicode MS"/>
        </w:rPr>
        <w:t>This study was undertaken at Jarrah Institute, a large</w:t>
      </w:r>
      <w:r w:rsidRPr="00AF4E66">
        <w:rPr>
          <w:rFonts w:eastAsia="Arial Unicode MS"/>
        </w:rPr>
        <w:t xml:space="preserve"> multi-campus </w:t>
      </w:r>
      <w:r>
        <w:rPr>
          <w:rFonts w:eastAsia="Arial Unicode MS"/>
        </w:rPr>
        <w:t>TAFE (technical and further education) institute</w:t>
      </w:r>
      <w:r w:rsidRPr="00AF4E66">
        <w:rPr>
          <w:rFonts w:eastAsia="Arial Unicode MS"/>
        </w:rPr>
        <w:t xml:space="preserve"> in an Australian capital city. Its language</w:t>
      </w:r>
      <w:r w:rsidRPr="00AF4E66">
        <w:rPr>
          <w:rFonts w:eastAsia="Arial Unicode MS"/>
          <w:b/>
          <w:color w:val="800080"/>
        </w:rPr>
        <w:t xml:space="preserve"> </w:t>
      </w:r>
      <w:r w:rsidRPr="00AF4E66">
        <w:rPr>
          <w:rFonts w:eastAsia="Arial Unicode MS"/>
        </w:rPr>
        <w:t>centr</w:t>
      </w:r>
      <w:r>
        <w:rPr>
          <w:rFonts w:eastAsia="Arial Unicode MS"/>
        </w:rPr>
        <w:t>e, Jarrah Language Centre</w:t>
      </w:r>
      <w:r w:rsidRPr="00AF4E66">
        <w:rPr>
          <w:rFonts w:eastAsia="Arial Unicode MS"/>
        </w:rPr>
        <w:t>, is a large, profitable and entrepreneurial depart</w:t>
      </w:r>
      <w:r>
        <w:rPr>
          <w:rFonts w:eastAsia="Arial Unicode MS"/>
        </w:rPr>
        <w:t>ment.</w:t>
      </w:r>
      <w:r w:rsidRPr="003866D8">
        <w:rPr>
          <w:rFonts w:eastAsia="Arial Unicode MS"/>
        </w:rPr>
        <w:t xml:space="preserve"> Since the late 1990s, </w:t>
      </w:r>
      <w:r>
        <w:rPr>
          <w:rFonts w:eastAsia="Arial Unicode MS"/>
        </w:rPr>
        <w:t xml:space="preserve">the </w:t>
      </w:r>
      <w:r w:rsidRPr="003866D8">
        <w:rPr>
          <w:rFonts w:eastAsia="Arial Unicode MS"/>
        </w:rPr>
        <w:t xml:space="preserve">Jarrah Language Centre has delivered </w:t>
      </w:r>
      <w:r>
        <w:rPr>
          <w:rFonts w:eastAsia="Arial Unicode MS"/>
        </w:rPr>
        <w:t>English as a second language</w:t>
      </w:r>
      <w:r w:rsidRPr="003866D8">
        <w:rPr>
          <w:rFonts w:eastAsia="Arial Unicode MS"/>
        </w:rPr>
        <w:t xml:space="preserve"> programs to three types of students: </w:t>
      </w:r>
      <w:r w:rsidRPr="003866D8">
        <w:t xml:space="preserve">state government-funded migrant learners (hereafter, called migrants), </w:t>
      </w:r>
      <w:r>
        <w:t>Commonwealth-</w:t>
      </w:r>
      <w:r w:rsidRPr="003866D8">
        <w:t xml:space="preserve">funded </w:t>
      </w:r>
      <w:r>
        <w:t>Adult Migrant En</w:t>
      </w:r>
      <w:r w:rsidR="00B66DF4">
        <w:t>glish</w:t>
      </w:r>
      <w:r>
        <w:t xml:space="preserve"> Program</w:t>
      </w:r>
      <w:r w:rsidRPr="003866D8">
        <w:t xml:space="preserve"> clients, and full-fee-paying international (ELICOS</w:t>
      </w:r>
      <w:r w:rsidRPr="003866D8">
        <w:rPr>
          <w:rStyle w:val="FootnoteReference"/>
          <w:rFonts w:cs="Arial"/>
          <w:szCs w:val="22"/>
        </w:rPr>
        <w:footnoteReference w:id="6"/>
      </w:r>
      <w:r w:rsidRPr="003866D8">
        <w:t>) students. These three student types are regularly combined in the same class</w:t>
      </w:r>
      <w:r w:rsidRPr="00A9038A">
        <w:rPr>
          <w:color w:val="000000" w:themeColor="text1"/>
        </w:rPr>
        <w:t>.</w:t>
      </w:r>
      <w:r w:rsidRPr="00A9038A">
        <w:rPr>
          <w:color w:val="000000" w:themeColor="text1"/>
          <w:sz w:val="18"/>
          <w:szCs w:val="18"/>
        </w:rPr>
        <w:t xml:space="preserve"> </w:t>
      </w:r>
    </w:p>
    <w:p w:rsidR="001956F7" w:rsidRPr="003866D8" w:rsidRDefault="001956F7" w:rsidP="001956F7">
      <w:pPr>
        <w:pStyle w:val="Text"/>
      </w:pPr>
      <w:r w:rsidRPr="00AF4E66">
        <w:t>At the time this study comm</w:t>
      </w:r>
      <w:r>
        <w:t>enced (July 2007), there were 1</w:t>
      </w:r>
      <w:r w:rsidRPr="00AF4E66">
        <w:t>202 learners studying in week</w:t>
      </w:r>
      <w:r>
        <w:t>-</w:t>
      </w:r>
      <w:r w:rsidRPr="00AF4E66">
        <w:t xml:space="preserve">day </w:t>
      </w:r>
      <w:r>
        <w:t>English as a second language</w:t>
      </w:r>
      <w:r w:rsidRPr="00AF4E66">
        <w:t xml:space="preserve"> classes at the three </w:t>
      </w:r>
      <w:r>
        <w:rPr>
          <w:rFonts w:eastAsia="Arial Unicode MS"/>
        </w:rPr>
        <w:t>Jarrah Institute</w:t>
      </w:r>
      <w:r w:rsidRPr="00AF4E66">
        <w:t xml:space="preserve"> campuses</w:t>
      </w:r>
      <w:r>
        <w:t xml:space="preserve">. </w:t>
      </w:r>
      <w:r w:rsidRPr="00AF4E66">
        <w:t>P</w:t>
      </w:r>
      <w:r w:rsidRPr="00AF4E66">
        <w:rPr>
          <w:rFonts w:eastAsia="Arial Unicode MS"/>
        </w:rPr>
        <w:t xml:space="preserve">rimary data for this study were collected only at the </w:t>
      </w:r>
      <w:r w:rsidRPr="003866D8">
        <w:rPr>
          <w:rFonts w:eastAsia="Arial Unicode MS"/>
        </w:rPr>
        <w:t xml:space="preserve">principal and largest of the three language centre </w:t>
      </w:r>
      <w:r>
        <w:rPr>
          <w:rFonts w:eastAsia="Arial Unicode MS"/>
        </w:rPr>
        <w:t>campuses</w:t>
      </w:r>
      <w:r w:rsidRPr="003866D8">
        <w:rPr>
          <w:rFonts w:eastAsia="Arial Unicode MS"/>
        </w:rPr>
        <w:t xml:space="preserve">. </w:t>
      </w:r>
    </w:p>
    <w:p w:rsidR="001956F7" w:rsidRPr="00A9038A" w:rsidRDefault="001956F7" w:rsidP="00A9038A">
      <w:pPr>
        <w:pStyle w:val="Text"/>
        <w:rPr>
          <w:rFonts w:eastAsia="Arial Unicode MS"/>
          <w:b/>
          <w:color w:val="000000" w:themeColor="text1"/>
        </w:rPr>
      </w:pPr>
      <w:r w:rsidRPr="003866D8">
        <w:rPr>
          <w:rFonts w:eastAsia="Arial Unicode MS"/>
        </w:rPr>
        <w:t xml:space="preserve">Of the 646 students enrolled in the centre’s </w:t>
      </w:r>
      <w:r>
        <w:rPr>
          <w:rFonts w:eastAsia="Arial Unicode MS"/>
        </w:rPr>
        <w:t>English as a second language</w:t>
      </w:r>
      <w:r w:rsidRPr="003866D8">
        <w:rPr>
          <w:rFonts w:eastAsia="Arial Unicode MS"/>
        </w:rPr>
        <w:t xml:space="preserve"> programs, one-quarter (N</w:t>
      </w:r>
      <w:r w:rsidR="00A9038A">
        <w:rPr>
          <w:rFonts w:eastAsia="Arial Unicode MS"/>
        </w:rPr>
        <w:t> </w:t>
      </w:r>
      <w:r w:rsidRPr="003866D8">
        <w:rPr>
          <w:rFonts w:eastAsia="Arial Unicode MS"/>
        </w:rPr>
        <w:t>=</w:t>
      </w:r>
      <w:r w:rsidR="00A9038A">
        <w:rPr>
          <w:rFonts w:eastAsia="Arial Unicode MS"/>
        </w:rPr>
        <w:t> </w:t>
      </w:r>
      <w:r w:rsidRPr="003866D8">
        <w:rPr>
          <w:rFonts w:eastAsia="Arial Unicode MS"/>
        </w:rPr>
        <w:t>163) were migrants</w:t>
      </w:r>
      <w:r w:rsidRPr="003866D8">
        <w:rPr>
          <w:rFonts w:eastAsia="Arial Unicode MS"/>
          <w:b/>
        </w:rPr>
        <w:t xml:space="preserve"> </w:t>
      </w:r>
      <w:r w:rsidRPr="003866D8">
        <w:rPr>
          <w:rFonts w:eastAsia="Arial Unicode MS"/>
        </w:rPr>
        <w:t>(</w:t>
      </w:r>
      <w:r w:rsidRPr="003866D8">
        <w:t xml:space="preserve">full-fee-paying international </w:t>
      </w:r>
      <w:r w:rsidRPr="003866D8">
        <w:rPr>
          <w:rFonts w:eastAsia="Arial Unicode MS"/>
        </w:rPr>
        <w:t>N</w:t>
      </w:r>
      <w:r>
        <w:rPr>
          <w:rFonts w:eastAsia="Arial Unicode MS"/>
        </w:rPr>
        <w:t xml:space="preserve"> </w:t>
      </w:r>
      <w:r w:rsidRPr="003866D8">
        <w:rPr>
          <w:rFonts w:eastAsia="Arial Unicode MS"/>
        </w:rPr>
        <w:t>=</w:t>
      </w:r>
      <w:r>
        <w:rPr>
          <w:rFonts w:eastAsia="Arial Unicode MS"/>
        </w:rPr>
        <w:t xml:space="preserve"> </w:t>
      </w:r>
      <w:r w:rsidRPr="003866D8">
        <w:rPr>
          <w:rFonts w:eastAsia="Arial Unicode MS"/>
        </w:rPr>
        <w:t xml:space="preserve">449; </w:t>
      </w:r>
      <w:r>
        <w:t>Adult Migrant En</w:t>
      </w:r>
      <w:r w:rsidR="00B66DF4">
        <w:t>glish</w:t>
      </w:r>
      <w:r>
        <w:t xml:space="preserve"> Program</w:t>
      </w:r>
      <w:r>
        <w:rPr>
          <w:rStyle w:val="FootnoteReference"/>
        </w:rPr>
        <w:footnoteReference w:id="7"/>
      </w:r>
      <w:r w:rsidRPr="003866D8">
        <w:t xml:space="preserve"> </w:t>
      </w:r>
      <w:r w:rsidRPr="003866D8">
        <w:rPr>
          <w:rFonts w:eastAsia="Arial Unicode MS"/>
        </w:rPr>
        <w:t>N</w:t>
      </w:r>
      <w:r w:rsidR="00A9038A">
        <w:rPr>
          <w:rFonts w:eastAsia="Arial Unicode MS"/>
        </w:rPr>
        <w:t> </w:t>
      </w:r>
      <w:r w:rsidRPr="003866D8">
        <w:rPr>
          <w:rFonts w:eastAsia="Arial Unicode MS"/>
        </w:rPr>
        <w:t>=</w:t>
      </w:r>
      <w:r w:rsidR="00A9038A">
        <w:rPr>
          <w:rFonts w:eastAsia="Arial Unicode MS"/>
        </w:rPr>
        <w:t> </w:t>
      </w:r>
      <w:r w:rsidRPr="003866D8">
        <w:rPr>
          <w:rFonts w:eastAsia="Arial Unicode MS"/>
        </w:rPr>
        <w:t xml:space="preserve">34). Due to the English language demands of this research, only intermediate and advanced level </w:t>
      </w:r>
      <w:r>
        <w:rPr>
          <w:rFonts w:eastAsia="Arial Unicode MS"/>
        </w:rPr>
        <w:t>English language</w:t>
      </w:r>
      <w:r w:rsidRPr="003866D8">
        <w:rPr>
          <w:rFonts w:eastAsia="Arial Unicode MS"/>
        </w:rPr>
        <w:t xml:space="preserve"> students were recruited to participate. Students were drawn from </w:t>
      </w:r>
      <w:r>
        <w:rPr>
          <w:rFonts w:eastAsia="Arial Unicode MS"/>
        </w:rPr>
        <w:t>15</w:t>
      </w:r>
      <w:r w:rsidRPr="003866D8">
        <w:rPr>
          <w:rFonts w:eastAsia="Arial Unicode MS"/>
        </w:rPr>
        <w:t xml:space="preserve"> full-time classes: ten classes</w:t>
      </w:r>
      <w:r>
        <w:rPr>
          <w:rFonts w:eastAsia="Arial Unicode MS"/>
        </w:rPr>
        <w:t xml:space="preserve"> had a g</w:t>
      </w:r>
      <w:r w:rsidRPr="00AF4E66">
        <w:rPr>
          <w:rFonts w:eastAsia="Arial Unicode MS"/>
        </w:rPr>
        <w:t>eneral English focus, four were further study (mainstream) preparation programs, and</w:t>
      </w:r>
      <w:r w:rsidR="00B66DF4">
        <w:rPr>
          <w:rFonts w:eastAsia="Arial Unicode MS"/>
        </w:rPr>
        <w:t> </w:t>
      </w:r>
      <w:r w:rsidRPr="00AF4E66">
        <w:rPr>
          <w:rFonts w:eastAsia="Arial Unicode MS"/>
        </w:rPr>
        <w:t xml:space="preserve">only </w:t>
      </w:r>
      <w:r w:rsidRPr="00AF4E66">
        <w:t>one was a wor</w:t>
      </w:r>
      <w:r>
        <w:t>k-specific course: Certificate III</w:t>
      </w:r>
      <w:r w:rsidRPr="00AF4E66">
        <w:t xml:space="preserve"> English</w:t>
      </w:r>
      <w:r>
        <w:t xml:space="preserve"> for Office Administration</w:t>
      </w:r>
      <w:r w:rsidRPr="00AF4E66">
        <w:t>.</w:t>
      </w:r>
      <w:r w:rsidRPr="00AF4E66">
        <w:rPr>
          <w:color w:val="800080"/>
        </w:rPr>
        <w:t xml:space="preserve"> </w:t>
      </w:r>
      <w:r w:rsidRPr="00AF4E66">
        <w:rPr>
          <w:rFonts w:eastAsia="Arial Unicode MS"/>
        </w:rPr>
        <w:t>The teachers</w:t>
      </w:r>
      <w:r w:rsidR="00B66DF4">
        <w:rPr>
          <w:rFonts w:eastAsia="Arial Unicode MS"/>
        </w:rPr>
        <w:t> </w:t>
      </w:r>
      <w:r w:rsidRPr="00AF4E66">
        <w:rPr>
          <w:rFonts w:eastAsia="Arial Unicode MS"/>
        </w:rPr>
        <w:t xml:space="preserve">of these classes were also included in this research, as were </w:t>
      </w:r>
      <w:r w:rsidRPr="00A9038A">
        <w:rPr>
          <w:rFonts w:eastAsia="Arial Unicode MS"/>
          <w:color w:val="000000" w:themeColor="text1"/>
        </w:rPr>
        <w:t>two of the four Jarrah</w:t>
      </w:r>
      <w:r>
        <w:rPr>
          <w:rFonts w:eastAsia="Arial Unicode MS"/>
        </w:rPr>
        <w:t xml:space="preserve"> Language Centre</w:t>
      </w:r>
      <w:r w:rsidRPr="00AF4E66">
        <w:rPr>
          <w:rFonts w:eastAsia="Arial Unicode MS"/>
        </w:rPr>
        <w:t xml:space="preserve"> managers. Three main methods were used to collect data: document review, surveys, and individual interviews. </w:t>
      </w:r>
    </w:p>
    <w:p w:rsidR="001956F7" w:rsidRPr="00B26525" w:rsidRDefault="001956F7" w:rsidP="001956F7">
      <w:pPr>
        <w:pStyle w:val="Heading2"/>
        <w:rPr>
          <w:rFonts w:eastAsia="Arial Unicode MS"/>
          <w:sz w:val="22"/>
          <w:szCs w:val="22"/>
        </w:rPr>
      </w:pPr>
      <w:bookmarkStart w:id="38" w:name="_Toc305074166"/>
      <w:bookmarkStart w:id="39" w:name="_Toc309645489"/>
      <w:r>
        <w:rPr>
          <w:rFonts w:eastAsia="Arial Unicode MS"/>
        </w:rPr>
        <w:t>D</w:t>
      </w:r>
      <w:r w:rsidRPr="005845C0">
        <w:rPr>
          <w:rFonts w:eastAsia="Arial Unicode MS"/>
        </w:rPr>
        <w:t>ocument</w:t>
      </w:r>
      <w:r>
        <w:rPr>
          <w:rFonts w:eastAsia="Arial Unicode MS"/>
        </w:rPr>
        <w:t xml:space="preserve"> review</w:t>
      </w:r>
      <w:bookmarkEnd w:id="38"/>
      <w:bookmarkEnd w:id="39"/>
      <w:r>
        <w:rPr>
          <w:rFonts w:eastAsia="Arial Unicode MS"/>
          <w:sz w:val="22"/>
          <w:szCs w:val="22"/>
        </w:rPr>
        <w:t xml:space="preserve"> </w:t>
      </w:r>
    </w:p>
    <w:p w:rsidR="001956F7" w:rsidRDefault="001956F7" w:rsidP="001956F7">
      <w:pPr>
        <w:pStyle w:val="Text"/>
      </w:pPr>
      <w:r w:rsidRPr="00AF4E66">
        <w:rPr>
          <w:rFonts w:eastAsia="Arial Unicode MS"/>
        </w:rPr>
        <w:t xml:space="preserve">A wide variety of documentation was analysed </w:t>
      </w:r>
      <w:r w:rsidR="00B66DF4">
        <w:rPr>
          <w:rFonts w:eastAsia="Arial Unicode MS"/>
        </w:rPr>
        <w:t>for</w:t>
      </w:r>
      <w:r w:rsidRPr="00AF4E66">
        <w:rPr>
          <w:rFonts w:eastAsia="Arial Unicode MS"/>
        </w:rPr>
        <w:t xml:space="preserve"> this research, including government policy literature related to immigration, integration and, more specifically, English proficiency and </w:t>
      </w:r>
      <w:r>
        <w:rPr>
          <w:rFonts w:eastAsia="Arial Unicode MS"/>
        </w:rPr>
        <w:t>English as a second language</w:t>
      </w:r>
      <w:r w:rsidRPr="00AF4E66">
        <w:rPr>
          <w:rFonts w:eastAsia="Arial Unicode MS"/>
        </w:rPr>
        <w:t xml:space="preserve"> learning. In addition, newspaper articles, television programs, letters to editors, blogs and You Tube videos were examined to gauge </w:t>
      </w:r>
      <w:r>
        <w:rPr>
          <w:rFonts w:eastAsia="Arial Unicode MS"/>
        </w:rPr>
        <w:t xml:space="preserve">the </w:t>
      </w:r>
      <w:r w:rsidRPr="00AF4E66">
        <w:rPr>
          <w:rFonts w:eastAsia="Arial Unicode MS"/>
        </w:rPr>
        <w:t xml:space="preserve">political ethos </w:t>
      </w:r>
      <w:r w:rsidR="00B66DF4">
        <w:rPr>
          <w:rFonts w:eastAsia="Arial Unicode MS"/>
        </w:rPr>
        <w:t>and</w:t>
      </w:r>
      <w:r w:rsidRPr="00AF4E66">
        <w:rPr>
          <w:rFonts w:eastAsia="Arial Unicode MS"/>
        </w:rPr>
        <w:t xml:space="preserve"> public </w:t>
      </w:r>
      <w:r w:rsidRPr="00BC73D6">
        <w:rPr>
          <w:rFonts w:eastAsia="Arial Unicode MS"/>
        </w:rPr>
        <w:t>opinion relat</w:t>
      </w:r>
      <w:r w:rsidR="00B66DF4">
        <w:rPr>
          <w:rFonts w:eastAsia="Arial Unicode MS"/>
        </w:rPr>
        <w:t>ing</w:t>
      </w:r>
      <w:r w:rsidRPr="00BC73D6">
        <w:rPr>
          <w:rFonts w:eastAsia="Arial Unicode MS"/>
        </w:rPr>
        <w:t xml:space="preserve"> to immigration, integration, migrants and adult </w:t>
      </w:r>
      <w:r>
        <w:rPr>
          <w:rFonts w:eastAsia="Arial Unicode MS"/>
        </w:rPr>
        <w:t>English as a second language</w:t>
      </w:r>
      <w:r w:rsidRPr="00BC73D6">
        <w:rPr>
          <w:rFonts w:eastAsia="Arial Unicode MS"/>
        </w:rPr>
        <w:t xml:space="preserve"> learning (</w:t>
      </w:r>
      <w:proofErr w:type="spellStart"/>
      <w:r>
        <w:rPr>
          <w:rFonts w:eastAsia="Arial Unicode MS"/>
        </w:rPr>
        <w:t>Jakubowicz</w:t>
      </w:r>
      <w:proofErr w:type="spellEnd"/>
      <w:r>
        <w:rPr>
          <w:rFonts w:eastAsia="Arial Unicode MS"/>
        </w:rPr>
        <w:t xml:space="preserve"> 2009; Markus 2010;</w:t>
      </w:r>
      <w:r w:rsidRPr="00BC73D6">
        <w:rPr>
          <w:rFonts w:eastAsia="Arial Unicode MS"/>
        </w:rPr>
        <w:t xml:space="preserve"> Murray 2010).</w:t>
      </w:r>
      <w:r w:rsidRPr="00AF4E66">
        <w:rPr>
          <w:b/>
          <w:color w:val="FF0000"/>
          <w:sz w:val="18"/>
          <w:szCs w:val="18"/>
        </w:rPr>
        <w:t xml:space="preserve"> </w:t>
      </w:r>
      <w:r w:rsidRPr="00AF4E66">
        <w:t xml:space="preserve">Consequently, contemporary issues that emerged in the policy and public domain were pursued with the participants; for example, notions of integration and ‘Australian values’ were discussed with migrants. </w:t>
      </w:r>
    </w:p>
    <w:p w:rsidR="001956F7" w:rsidRDefault="001956F7" w:rsidP="001956F7">
      <w:pPr>
        <w:pStyle w:val="Text"/>
        <w:rPr>
          <w:rFonts w:eastAsia="Arial Unicode MS"/>
        </w:rPr>
      </w:pPr>
      <w:r w:rsidRPr="00AF4E66">
        <w:rPr>
          <w:rFonts w:eastAsia="Arial Unicode MS"/>
        </w:rPr>
        <w:lastRenderedPageBreak/>
        <w:t xml:space="preserve">Historical and contemporary </w:t>
      </w:r>
      <w:r>
        <w:rPr>
          <w:rFonts w:eastAsia="Arial Unicode MS"/>
        </w:rPr>
        <w:t xml:space="preserve">Jarrah Institute </w:t>
      </w:r>
      <w:r w:rsidRPr="00AF4E66">
        <w:rPr>
          <w:rFonts w:eastAsia="Arial Unicode MS"/>
        </w:rPr>
        <w:t xml:space="preserve">documents were also analysed. </w:t>
      </w:r>
      <w:r>
        <w:rPr>
          <w:rFonts w:eastAsia="Arial Unicode MS"/>
        </w:rPr>
        <w:t>The language centre</w:t>
      </w:r>
      <w:r w:rsidRPr="00AF4E66">
        <w:rPr>
          <w:rFonts w:eastAsia="Arial Unicode MS"/>
        </w:rPr>
        <w:t xml:space="preserve"> provided me with</w:t>
      </w:r>
      <w:r>
        <w:rPr>
          <w:rFonts w:eastAsia="Arial Unicode MS"/>
        </w:rPr>
        <w:t xml:space="preserve"> de-identified</w:t>
      </w:r>
      <w:r w:rsidRPr="00AF4E66">
        <w:rPr>
          <w:rFonts w:eastAsia="Arial Unicode MS"/>
        </w:rPr>
        <w:t xml:space="preserve"> demographic data on all </w:t>
      </w:r>
      <w:r>
        <w:rPr>
          <w:rFonts w:eastAsia="Arial Unicode MS"/>
        </w:rPr>
        <w:t>English as a second language</w:t>
      </w:r>
      <w:r w:rsidRPr="00AF4E66">
        <w:rPr>
          <w:rFonts w:eastAsia="Arial Unicode MS"/>
        </w:rPr>
        <w:t xml:space="preserve"> learners </w:t>
      </w:r>
      <w:r w:rsidR="00501F2B">
        <w:rPr>
          <w:rFonts w:eastAsia="Arial Unicode MS"/>
        </w:rPr>
        <w:t>enrolled in</w:t>
      </w:r>
      <w:r>
        <w:rPr>
          <w:rFonts w:eastAsia="Arial Unicode MS"/>
        </w:rPr>
        <w:t xml:space="preserve"> </w:t>
      </w:r>
      <w:r w:rsidRPr="00AF4E66">
        <w:rPr>
          <w:rFonts w:eastAsia="Arial Unicode MS"/>
        </w:rPr>
        <w:t>July 2007</w:t>
      </w:r>
      <w:r w:rsidR="00501F2B">
        <w:rPr>
          <w:rFonts w:eastAsia="Arial Unicode MS"/>
        </w:rPr>
        <w:t>. These</w:t>
      </w:r>
      <w:r w:rsidRPr="00AF4E66">
        <w:rPr>
          <w:rFonts w:eastAsia="Arial Unicode MS"/>
        </w:rPr>
        <w:t xml:space="preserve"> were valuable in assisting me to situate the researched group within their larger </w:t>
      </w:r>
      <w:r>
        <w:rPr>
          <w:rFonts w:eastAsia="Arial Unicode MS"/>
        </w:rPr>
        <w:t>English language</w:t>
      </w:r>
      <w:r w:rsidRPr="00AF4E66">
        <w:rPr>
          <w:rFonts w:eastAsia="Arial Unicode MS"/>
        </w:rPr>
        <w:t xml:space="preserve"> learner cohort. In addition, </w:t>
      </w:r>
      <w:r>
        <w:rPr>
          <w:rFonts w:eastAsia="Arial Unicode MS"/>
        </w:rPr>
        <w:t>Jarrah Institute</w:t>
      </w:r>
      <w:r w:rsidRPr="00AF4E66">
        <w:rPr>
          <w:rFonts w:eastAsia="Arial Unicode MS"/>
        </w:rPr>
        <w:t xml:space="preserve"> data</w:t>
      </w:r>
      <w:r w:rsidR="00B66DF4">
        <w:rPr>
          <w:rFonts w:eastAsia="Arial Unicode MS"/>
        </w:rPr>
        <w:t>,</w:t>
      </w:r>
      <w:r w:rsidRPr="00AF4E66">
        <w:rPr>
          <w:rFonts w:eastAsia="Arial Unicode MS"/>
        </w:rPr>
        <w:t xml:space="preserve"> </w:t>
      </w:r>
      <w:r>
        <w:rPr>
          <w:rFonts w:eastAsia="Arial Unicode MS"/>
        </w:rPr>
        <w:t xml:space="preserve">subsequently </w:t>
      </w:r>
      <w:r w:rsidRPr="00AF4E66">
        <w:rPr>
          <w:rFonts w:eastAsia="Arial Unicode MS"/>
        </w:rPr>
        <w:t>collected on the surveyed migrants</w:t>
      </w:r>
      <w:r w:rsidR="00B66DF4">
        <w:rPr>
          <w:rFonts w:eastAsia="Arial Unicode MS"/>
        </w:rPr>
        <w:t>,</w:t>
      </w:r>
      <w:r w:rsidRPr="00AF4E66">
        <w:rPr>
          <w:rFonts w:eastAsia="Arial Unicode MS"/>
        </w:rPr>
        <w:t xml:space="preserve"> were also made available to me (in March 2011).</w:t>
      </w:r>
    </w:p>
    <w:p w:rsidR="001956F7" w:rsidRPr="005845C0" w:rsidRDefault="001956F7" w:rsidP="001956F7">
      <w:pPr>
        <w:pStyle w:val="Heading2"/>
        <w:rPr>
          <w:rFonts w:eastAsia="Arial Unicode MS"/>
          <w:sz w:val="22"/>
          <w:szCs w:val="22"/>
        </w:rPr>
      </w:pPr>
      <w:bookmarkStart w:id="40" w:name="_Toc305074167"/>
      <w:bookmarkStart w:id="41" w:name="_Toc309645490"/>
      <w:r w:rsidRPr="005845C0">
        <w:rPr>
          <w:rFonts w:eastAsia="Arial Unicode MS"/>
        </w:rPr>
        <w:t>Student and teacher surveys</w:t>
      </w:r>
      <w:bookmarkEnd w:id="40"/>
      <w:bookmarkEnd w:id="41"/>
      <w:r w:rsidRPr="005845C0">
        <w:rPr>
          <w:rFonts w:eastAsia="Arial Unicode MS"/>
          <w:color w:val="FF0000"/>
          <w:sz w:val="22"/>
          <w:szCs w:val="22"/>
        </w:rPr>
        <w:t xml:space="preserve"> </w:t>
      </w:r>
    </w:p>
    <w:p w:rsidR="001956F7" w:rsidRPr="00AF4E66" w:rsidRDefault="001956F7" w:rsidP="001956F7">
      <w:pPr>
        <w:pStyle w:val="Text"/>
        <w:rPr>
          <w:rFonts w:eastAsia="Arial Unicode MS"/>
        </w:rPr>
      </w:pPr>
      <w:r w:rsidRPr="00AF4E66">
        <w:rPr>
          <w:rFonts w:eastAsia="Arial Unicode MS"/>
        </w:rPr>
        <w:t xml:space="preserve">In July 2007, start-of-class </w:t>
      </w:r>
      <w:r w:rsidRPr="009F5115">
        <w:rPr>
          <w:rFonts w:eastAsia="Arial Unicode MS"/>
        </w:rPr>
        <w:t xml:space="preserve">surveys </w:t>
      </w:r>
      <w:r w:rsidRPr="00AF4E66">
        <w:rPr>
          <w:rFonts w:eastAsia="Arial Unicode MS"/>
        </w:rPr>
        <w:t xml:space="preserve">were disseminated to the </w:t>
      </w:r>
      <w:r w:rsidRPr="009F5115">
        <w:rPr>
          <w:rFonts w:eastAsia="Arial Unicode MS"/>
        </w:rPr>
        <w:t xml:space="preserve">100 </w:t>
      </w:r>
      <w:r>
        <w:rPr>
          <w:rFonts w:eastAsia="Arial Unicode MS"/>
        </w:rPr>
        <w:t>language centre</w:t>
      </w:r>
      <w:r w:rsidRPr="00AF4E66">
        <w:rPr>
          <w:rFonts w:eastAsia="Arial Unicode MS"/>
        </w:rPr>
        <w:t xml:space="preserve"> migrants in </w:t>
      </w:r>
      <w:r w:rsidR="00B66DF4">
        <w:rPr>
          <w:rFonts w:eastAsia="Arial Unicode MS"/>
        </w:rPr>
        <w:t>l</w:t>
      </w:r>
      <w:r w:rsidRPr="00AF4E66">
        <w:rPr>
          <w:rFonts w:eastAsia="Arial Unicode MS"/>
        </w:rPr>
        <w:t>evel</w:t>
      </w:r>
      <w:r>
        <w:rPr>
          <w:rFonts w:eastAsia="Arial Unicode MS"/>
        </w:rPr>
        <w:t>s</w:t>
      </w:r>
      <w:r w:rsidRPr="00AF4E66">
        <w:rPr>
          <w:rFonts w:eastAsia="Arial Unicode MS"/>
        </w:rPr>
        <w:t xml:space="preserve"> 3, 4 and 5</w:t>
      </w:r>
      <w:r w:rsidRPr="00AF4E66">
        <w:rPr>
          <w:rFonts w:eastAsia="Arial Unicode MS"/>
          <w:b/>
          <w:sz w:val="14"/>
          <w:szCs w:val="14"/>
        </w:rPr>
        <w:t xml:space="preserve"> </w:t>
      </w:r>
      <w:r w:rsidRPr="00AF4E66">
        <w:rPr>
          <w:rFonts w:eastAsia="Arial Unicode MS"/>
        </w:rPr>
        <w:t xml:space="preserve">(intermediate and advanced level) full-time </w:t>
      </w:r>
      <w:r>
        <w:rPr>
          <w:rFonts w:eastAsia="Arial Unicode MS"/>
        </w:rPr>
        <w:t>English as a second language classes</w:t>
      </w:r>
      <w:r w:rsidRPr="00AF4E66">
        <w:rPr>
          <w:rFonts w:eastAsia="Arial Unicode MS"/>
        </w:rPr>
        <w:t xml:space="preserve"> and their teachers.</w:t>
      </w:r>
      <w:r w:rsidRPr="00AF4E66">
        <w:rPr>
          <w:rFonts w:eastAsia="Arial Unicode MS"/>
          <w:color w:val="800080"/>
        </w:rPr>
        <w:t xml:space="preserve"> </w:t>
      </w:r>
      <w:r w:rsidRPr="00AF4E66">
        <w:rPr>
          <w:rFonts w:eastAsia="Arial Unicode MS"/>
        </w:rPr>
        <w:t>Sixty-one migrants (61%) completed the surveys (4</w:t>
      </w:r>
      <w:r>
        <w:rPr>
          <w:rFonts w:eastAsia="Arial Unicode MS"/>
        </w:rPr>
        <w:t>6 females and 15 males), and 26</w:t>
      </w:r>
      <w:r w:rsidRPr="00AF4E66">
        <w:rPr>
          <w:rFonts w:eastAsia="Arial Unicode MS"/>
        </w:rPr>
        <w:t xml:space="preserve"> </w:t>
      </w:r>
      <w:r>
        <w:rPr>
          <w:rFonts w:eastAsia="Arial Unicode MS"/>
        </w:rPr>
        <w:t xml:space="preserve">of the 29 </w:t>
      </w:r>
      <w:r w:rsidRPr="00AF4E66">
        <w:rPr>
          <w:rFonts w:eastAsia="Arial Unicode MS"/>
        </w:rPr>
        <w:t xml:space="preserve">teacher surveys (90%) were collected (20 females and six males). </w:t>
      </w:r>
    </w:p>
    <w:p w:rsidR="001956F7" w:rsidRPr="005845C0" w:rsidRDefault="001956F7" w:rsidP="001956F7">
      <w:pPr>
        <w:pStyle w:val="Heading3"/>
        <w:rPr>
          <w:rFonts w:eastAsia="Arial Unicode MS"/>
        </w:rPr>
      </w:pPr>
      <w:r w:rsidRPr="003866D8">
        <w:rPr>
          <w:rFonts w:eastAsia="Arial Unicode MS"/>
        </w:rPr>
        <w:t xml:space="preserve">Broad </w:t>
      </w:r>
      <w:r>
        <w:rPr>
          <w:rFonts w:eastAsia="Arial Unicode MS"/>
        </w:rPr>
        <w:t>m</w:t>
      </w:r>
      <w:r w:rsidRPr="00D26EF6">
        <w:rPr>
          <w:rFonts w:eastAsia="Arial Unicode MS"/>
        </w:rPr>
        <w:t>igrant demographic data</w:t>
      </w:r>
      <w:r>
        <w:rPr>
          <w:rFonts w:eastAsia="Arial Unicode MS"/>
        </w:rPr>
        <w:t xml:space="preserve"> </w:t>
      </w:r>
    </w:p>
    <w:p w:rsidR="001956F7" w:rsidRPr="00AF4E66" w:rsidRDefault="001956F7" w:rsidP="0065293E">
      <w:pPr>
        <w:pStyle w:val="Textlessbefore"/>
      </w:pPr>
      <w:r>
        <w:t>The 61</w:t>
      </w:r>
      <w:r w:rsidRPr="00AF4E66">
        <w:t xml:space="preserve"> migrants </w:t>
      </w:r>
      <w:r>
        <w:t xml:space="preserve">who completed the survey </w:t>
      </w:r>
      <w:r w:rsidRPr="00AF4E66">
        <w:t xml:space="preserve">came from </w:t>
      </w:r>
      <w:r>
        <w:t>17</w:t>
      </w:r>
      <w:r w:rsidRPr="00AF4E66">
        <w:t xml:space="preserve"> different </w:t>
      </w:r>
      <w:r w:rsidRPr="009F5115">
        <w:t>countries;</w:t>
      </w:r>
      <w:r w:rsidRPr="00AF4E66">
        <w:t xml:space="preserve"> Chine</w:t>
      </w:r>
      <w:r>
        <w:t>se-born migrants dominated (44</w:t>
      </w:r>
      <w:r w:rsidRPr="00AF4E66">
        <w:t>%)</w:t>
      </w:r>
      <w:r>
        <w:t>,</w:t>
      </w:r>
      <w:r w:rsidRPr="00AF4E66">
        <w:t xml:space="preserve"> with Korean-born migrants representin</w:t>
      </w:r>
      <w:r>
        <w:t>g the second largest group (16%) (</w:t>
      </w:r>
      <w:proofErr w:type="gramStart"/>
      <w:r>
        <w:t>see</w:t>
      </w:r>
      <w:proofErr w:type="gramEnd"/>
      <w:r>
        <w:t xml:space="preserve"> a</w:t>
      </w:r>
      <w:r w:rsidRPr="003866D8">
        <w:t>ppendix</w:t>
      </w:r>
      <w:r w:rsidRPr="00AF4E66">
        <w:t xml:space="preserve"> 1). Migrants ranged in </w:t>
      </w:r>
      <w:r w:rsidRPr="009F5115">
        <w:t xml:space="preserve">age </w:t>
      </w:r>
      <w:r w:rsidRPr="00AF4E66">
        <w:t xml:space="preserve">from </w:t>
      </w:r>
      <w:r>
        <w:t>19</w:t>
      </w:r>
      <w:r w:rsidRPr="00AF4E66">
        <w:t xml:space="preserve"> to </w:t>
      </w:r>
      <w:r>
        <w:t>59</w:t>
      </w:r>
      <w:r w:rsidRPr="00AF4E66">
        <w:t xml:space="preserve"> years old, with an average age of 35 years. The largest number of migrants was in</w:t>
      </w:r>
      <w:r>
        <w:t xml:space="preserve"> the 31 to 40-year-old bracket </w:t>
      </w:r>
      <w:r w:rsidRPr="00AF4E66">
        <w:t>(N</w:t>
      </w:r>
      <w:r>
        <w:t xml:space="preserve"> </w:t>
      </w:r>
      <w:r w:rsidRPr="00AF4E66">
        <w:t>=</w:t>
      </w:r>
      <w:r>
        <w:t xml:space="preserve"> </w:t>
      </w:r>
      <w:r w:rsidRPr="00AF4E66">
        <w:t xml:space="preserve">24, </w:t>
      </w:r>
      <w:r w:rsidRPr="00BC73D6">
        <w:t>39</w:t>
      </w:r>
      <w:r w:rsidRPr="00AF4E66">
        <w:t>%)</w:t>
      </w:r>
      <w:r>
        <w:t>. T</w:t>
      </w:r>
      <w:r w:rsidRPr="00AF4E66">
        <w:t xml:space="preserve">hree-quarters of the learners in this study were </w:t>
      </w:r>
      <w:r w:rsidRPr="009F5115">
        <w:t>women</w:t>
      </w:r>
      <w:r w:rsidRPr="00AF4E66">
        <w:t xml:space="preserve"> (N</w:t>
      </w:r>
      <w:r>
        <w:t xml:space="preserve"> </w:t>
      </w:r>
      <w:r w:rsidRPr="00AF4E66">
        <w:t>=</w:t>
      </w:r>
      <w:r>
        <w:t xml:space="preserve"> </w:t>
      </w:r>
      <w:r w:rsidRPr="00AF4E66">
        <w:t>4</w:t>
      </w:r>
      <w:r>
        <w:t>6</w:t>
      </w:r>
      <w:r w:rsidRPr="00AF4E66">
        <w:t xml:space="preserve">), and female students dominated all age groups. </w:t>
      </w:r>
    </w:p>
    <w:p w:rsidR="001956F7" w:rsidRPr="00811D30" w:rsidRDefault="001956F7" w:rsidP="001956F7">
      <w:pPr>
        <w:pStyle w:val="Text"/>
        <w:rPr>
          <w:color w:val="800080"/>
          <w:sz w:val="16"/>
          <w:szCs w:val="16"/>
        </w:rPr>
      </w:pPr>
      <w:r w:rsidRPr="00AF4E66">
        <w:t xml:space="preserve">In terms of </w:t>
      </w:r>
      <w:r w:rsidRPr="009F5115">
        <w:t>level of education,</w:t>
      </w:r>
      <w:r>
        <w:t xml:space="preserve"> </w:t>
      </w:r>
      <w:r w:rsidRPr="00AF4E66">
        <w:t xml:space="preserve">two-thirds </w:t>
      </w:r>
      <w:r>
        <w:t>of the group</w:t>
      </w:r>
      <w:r w:rsidRPr="00AF4E66">
        <w:rPr>
          <w:sz w:val="16"/>
          <w:szCs w:val="16"/>
        </w:rPr>
        <w:t xml:space="preserve"> </w:t>
      </w:r>
      <w:r w:rsidRPr="00AF4E66">
        <w:t xml:space="preserve">had completed </w:t>
      </w:r>
      <w:r w:rsidRPr="00BC73D6">
        <w:t>degrees; nine</w:t>
      </w:r>
      <w:r w:rsidRPr="00AF4E66">
        <w:t xml:space="preserve"> of </w:t>
      </w:r>
      <w:r>
        <w:t xml:space="preserve">these </w:t>
      </w:r>
      <w:r w:rsidRPr="00AF4E66">
        <w:t>had master</w:t>
      </w:r>
      <w:r>
        <w:t>’</w:t>
      </w:r>
      <w:r w:rsidRPr="00AF4E66">
        <w:t xml:space="preserve">s (seven females and two males), and one female had a PhD. Eight learners (13%) had vocational qualifications, </w:t>
      </w:r>
      <w:r>
        <w:t xml:space="preserve">and nearly one-fifth of the group had not completed post-school qualifications, including </w:t>
      </w:r>
      <w:r w:rsidRPr="00AF4E66">
        <w:t xml:space="preserve">one migrant </w:t>
      </w:r>
      <w:r>
        <w:t>who had not finished</w:t>
      </w:r>
      <w:r w:rsidRPr="00AF4E66">
        <w:t xml:space="preserve"> </w:t>
      </w:r>
      <w:r>
        <w:t xml:space="preserve">high </w:t>
      </w:r>
      <w:r w:rsidRPr="00AF4E66">
        <w:t xml:space="preserve">school </w:t>
      </w:r>
      <w:r>
        <w:rPr>
          <w:rFonts w:eastAsia="Arial Unicode MS"/>
        </w:rPr>
        <w:t xml:space="preserve">(see </w:t>
      </w:r>
      <w:r>
        <w:t>a</w:t>
      </w:r>
      <w:r w:rsidRPr="003866D8">
        <w:t>ppendix</w:t>
      </w:r>
      <w:r w:rsidRPr="003866D8">
        <w:rPr>
          <w:rFonts w:eastAsia="Arial Unicode MS"/>
        </w:rPr>
        <w:t xml:space="preserve"> 1</w:t>
      </w:r>
      <w:r w:rsidRPr="00AF4E66">
        <w:rPr>
          <w:rFonts w:eastAsia="Arial Unicode MS"/>
        </w:rPr>
        <w:t>)</w:t>
      </w:r>
      <w:r w:rsidRPr="00AF4E66">
        <w:t xml:space="preserve">. This group’s profile </w:t>
      </w:r>
      <w:r w:rsidRPr="000F30FA">
        <w:t xml:space="preserve">was generally representative of </w:t>
      </w:r>
      <w:r>
        <w:t>the Jarrah Language Centre</w:t>
      </w:r>
      <w:r w:rsidRPr="000F30FA">
        <w:t>’s migrant cohort.</w:t>
      </w:r>
    </w:p>
    <w:p w:rsidR="001956F7" w:rsidRPr="0065293E" w:rsidRDefault="001956F7" w:rsidP="00B66DF4">
      <w:pPr>
        <w:pStyle w:val="Text"/>
        <w:ind w:right="-143"/>
        <w:rPr>
          <w:rFonts w:eastAsia="Arial Unicode MS"/>
          <w:b/>
          <w:color w:val="000000" w:themeColor="text1"/>
          <w:sz w:val="28"/>
          <w:szCs w:val="28"/>
        </w:rPr>
      </w:pPr>
      <w:r w:rsidRPr="003913A5">
        <w:t xml:space="preserve">These migrants </w:t>
      </w:r>
      <w:r w:rsidRPr="007D3958">
        <w:t xml:space="preserve">arrived in </w:t>
      </w:r>
      <w:smartTag w:uri="urn:schemas-microsoft-com:office:smarttags" w:element="country-region">
        <w:smartTag w:uri="urn:schemas-microsoft-com:office:smarttags" w:element="place">
          <w:r w:rsidRPr="007D3958">
            <w:t>Australia</w:t>
          </w:r>
        </w:smartTag>
      </w:smartTag>
      <w:r w:rsidRPr="007D3958">
        <w:t xml:space="preserve"> between </w:t>
      </w:r>
      <w:r>
        <w:t xml:space="preserve">December </w:t>
      </w:r>
      <w:r w:rsidRPr="007D3958">
        <w:t xml:space="preserve">1998 and </w:t>
      </w:r>
      <w:r w:rsidRPr="00E37D25">
        <w:t>June 2007.</w:t>
      </w:r>
      <w:r w:rsidRPr="007D3958">
        <w:t xml:space="preserve"> The vast majority had some</w:t>
      </w:r>
      <w:r w:rsidR="00B66DF4">
        <w:t> </w:t>
      </w:r>
      <w:r w:rsidRPr="007D3958">
        <w:t>experience of learning English</w:t>
      </w:r>
      <w:r w:rsidRPr="003913A5">
        <w:t xml:space="preserve"> before immigrating (</w:t>
      </w:r>
      <w:r>
        <w:t>N = 52</w:t>
      </w:r>
      <w:r w:rsidRPr="003913A5">
        <w:t xml:space="preserve">, </w:t>
      </w:r>
      <w:r w:rsidRPr="007D51A9">
        <w:t xml:space="preserve">85%), ranging from three months to more than </w:t>
      </w:r>
      <w:r>
        <w:t>20</w:t>
      </w:r>
      <w:r w:rsidRPr="007D51A9">
        <w:t xml:space="preserve"> years. Two-thirds of the group had studied </w:t>
      </w:r>
      <w:r>
        <w:t>English as a second language</w:t>
      </w:r>
      <w:r w:rsidRPr="007D51A9">
        <w:t xml:space="preserve"> in Australia</w:t>
      </w:r>
      <w:r w:rsidRPr="003913A5">
        <w:t xml:space="preserve"> </w:t>
      </w:r>
      <w:r>
        <w:t xml:space="preserve">prior to their current course </w:t>
      </w:r>
      <w:r w:rsidRPr="003913A5">
        <w:t>(N</w:t>
      </w:r>
      <w:r>
        <w:t xml:space="preserve"> </w:t>
      </w:r>
      <w:r w:rsidRPr="003913A5">
        <w:t>=</w:t>
      </w:r>
      <w:r>
        <w:t xml:space="preserve"> 41). Of these, n</w:t>
      </w:r>
      <w:r w:rsidRPr="003913A5">
        <w:t>early two-thirds (</w:t>
      </w:r>
      <w:r>
        <w:t xml:space="preserve">N = </w:t>
      </w:r>
      <w:r w:rsidRPr="00C52046">
        <w:t>26/41, 63%)</w:t>
      </w:r>
      <w:r w:rsidRPr="003913A5">
        <w:t xml:space="preserve"> had </w:t>
      </w:r>
      <w:r w:rsidRPr="00A434C8">
        <w:t>previou</w:t>
      </w:r>
      <w:r w:rsidRPr="00B66DF4">
        <w:rPr>
          <w:color w:val="000000" w:themeColor="text1"/>
        </w:rPr>
        <w:t>s</w:t>
      </w:r>
      <w:r w:rsidRPr="00A434C8">
        <w:t>ly</w:t>
      </w:r>
      <w:r w:rsidRPr="00B66DF4">
        <w:rPr>
          <w:color w:val="000000" w:themeColor="text1"/>
        </w:rPr>
        <w:t xml:space="preserve"> </w:t>
      </w:r>
      <w:r w:rsidRPr="003913A5">
        <w:t xml:space="preserve">undertaken </w:t>
      </w:r>
      <w:r>
        <w:t>English as a second language</w:t>
      </w:r>
      <w:r w:rsidRPr="003913A5">
        <w:t xml:space="preserve"> </w:t>
      </w:r>
      <w:r>
        <w:t>instruction at the c</w:t>
      </w:r>
      <w:r w:rsidRPr="003913A5">
        <w:t xml:space="preserve">entre. This retention rate </w:t>
      </w:r>
      <w:r>
        <w:t>would seem</w:t>
      </w:r>
      <w:r w:rsidRPr="003913A5">
        <w:t xml:space="preserve"> to suggest that</w:t>
      </w:r>
      <w:r w:rsidR="00B66DF4">
        <w:t> </w:t>
      </w:r>
      <w:r w:rsidRPr="003913A5">
        <w:t xml:space="preserve">these migrants held positive views of the </w:t>
      </w:r>
      <w:r>
        <w:t>English language</w:t>
      </w:r>
      <w:r w:rsidRPr="003913A5">
        <w:t xml:space="preserve"> programs offered</w:t>
      </w:r>
      <w:r>
        <w:t xml:space="preserve"> at the c</w:t>
      </w:r>
      <w:r w:rsidRPr="003913A5">
        <w:t>entre.</w:t>
      </w:r>
      <w:r w:rsidRPr="003913A5">
        <w:rPr>
          <w:b/>
          <w:color w:val="800080"/>
        </w:rPr>
        <w:t xml:space="preserve"> </w:t>
      </w:r>
    </w:p>
    <w:p w:rsidR="001956F7" w:rsidRPr="005845C0" w:rsidRDefault="001956F7" w:rsidP="001956F7">
      <w:pPr>
        <w:pStyle w:val="Heading2"/>
        <w:rPr>
          <w:rFonts w:eastAsia="Arial Unicode MS"/>
          <w:sz w:val="22"/>
          <w:szCs w:val="22"/>
        </w:rPr>
      </w:pPr>
      <w:bookmarkStart w:id="42" w:name="_Toc305074168"/>
      <w:bookmarkStart w:id="43" w:name="_Toc309645491"/>
      <w:r>
        <w:rPr>
          <w:rFonts w:eastAsia="Arial Unicode MS"/>
        </w:rPr>
        <w:t>Follow-up student interviews</w:t>
      </w:r>
      <w:bookmarkEnd w:id="42"/>
      <w:bookmarkEnd w:id="43"/>
      <w:r w:rsidRPr="005845C0">
        <w:rPr>
          <w:rFonts w:eastAsia="Arial Unicode MS"/>
          <w:color w:val="FF0000"/>
          <w:sz w:val="22"/>
          <w:szCs w:val="22"/>
        </w:rPr>
        <w:t xml:space="preserve"> </w:t>
      </w:r>
    </w:p>
    <w:p w:rsidR="001956F7" w:rsidRPr="003913A5" w:rsidRDefault="001956F7" w:rsidP="001956F7">
      <w:pPr>
        <w:pStyle w:val="Text"/>
        <w:rPr>
          <w:rFonts w:eastAsia="Arial Unicode MS"/>
          <w:b/>
        </w:rPr>
      </w:pPr>
      <w:r w:rsidRPr="003913A5">
        <w:rPr>
          <w:rFonts w:eastAsia="Arial Unicode MS"/>
        </w:rPr>
        <w:t xml:space="preserve">Data from the </w:t>
      </w:r>
      <w:r>
        <w:rPr>
          <w:rFonts w:eastAsia="Arial Unicode MS"/>
        </w:rPr>
        <w:t>61</w:t>
      </w:r>
      <w:r w:rsidRPr="003913A5">
        <w:rPr>
          <w:rFonts w:eastAsia="Arial Unicode MS"/>
        </w:rPr>
        <w:t xml:space="preserve"> migrant surveys assisted me to select </w:t>
      </w:r>
      <w:r>
        <w:rPr>
          <w:rFonts w:eastAsia="Arial Unicode MS"/>
        </w:rPr>
        <w:t>16</w:t>
      </w:r>
      <w:r w:rsidRPr="003866D8">
        <w:rPr>
          <w:rFonts w:eastAsia="Arial Unicode MS"/>
        </w:rPr>
        <w:t xml:space="preserve"> migrants</w:t>
      </w:r>
      <w:r w:rsidRPr="004A50A0">
        <w:rPr>
          <w:rFonts w:eastAsia="Arial Unicode MS"/>
        </w:rPr>
        <w:t xml:space="preserve"> </w:t>
      </w:r>
      <w:r w:rsidRPr="003913A5">
        <w:rPr>
          <w:rFonts w:eastAsia="Arial Unicode MS"/>
        </w:rPr>
        <w:t xml:space="preserve">to interview at the end of their current </w:t>
      </w:r>
      <w:r>
        <w:rPr>
          <w:rFonts w:eastAsia="Arial Unicode MS"/>
        </w:rPr>
        <w:t>English language</w:t>
      </w:r>
      <w:r w:rsidRPr="003913A5">
        <w:rPr>
          <w:rFonts w:eastAsia="Arial Unicode MS"/>
        </w:rPr>
        <w:t xml:space="preserve"> course (December 2007). Purposeful sampling was used, and </w:t>
      </w:r>
      <w:r>
        <w:rPr>
          <w:rFonts w:eastAsia="Arial Unicode MS"/>
        </w:rPr>
        <w:t xml:space="preserve">effort was made to select </w:t>
      </w:r>
      <w:r w:rsidRPr="003913A5">
        <w:rPr>
          <w:rFonts w:eastAsia="Arial Unicode MS"/>
        </w:rPr>
        <w:t>learners who presented</w:t>
      </w:r>
      <w:r w:rsidRPr="003913A5">
        <w:rPr>
          <w:rFonts w:eastAsia="Arial Unicode MS"/>
          <w:color w:val="000000"/>
        </w:rPr>
        <w:t xml:space="preserve"> with unique attributes</w:t>
      </w:r>
      <w:r w:rsidRPr="003913A5">
        <w:rPr>
          <w:rFonts w:eastAsia="Arial Unicode MS"/>
        </w:rPr>
        <w:t>, but who were also</w:t>
      </w:r>
      <w:r>
        <w:rPr>
          <w:rFonts w:eastAsia="Arial Unicode MS"/>
        </w:rPr>
        <w:t xml:space="preserve"> broadly representative of the c</w:t>
      </w:r>
      <w:r w:rsidRPr="003913A5">
        <w:rPr>
          <w:rFonts w:eastAsia="Arial Unicode MS"/>
        </w:rPr>
        <w:t>entre’s migrant cohort in terms of age, gender, and country of origin.</w:t>
      </w:r>
    </w:p>
    <w:p w:rsidR="001956F7" w:rsidRDefault="001956F7" w:rsidP="001956F7">
      <w:pPr>
        <w:pStyle w:val="Text"/>
        <w:rPr>
          <w:bCs/>
        </w:rPr>
      </w:pPr>
      <w:r w:rsidRPr="003913A5">
        <w:rPr>
          <w:rFonts w:eastAsia="Arial Unicode MS"/>
        </w:rPr>
        <w:t xml:space="preserve">Although two of the four </w:t>
      </w:r>
      <w:r>
        <w:rPr>
          <w:rFonts w:eastAsia="Arial Unicode MS"/>
        </w:rPr>
        <w:t>language centre</w:t>
      </w:r>
      <w:r w:rsidRPr="003913A5">
        <w:rPr>
          <w:rFonts w:eastAsia="Arial Unicode MS"/>
        </w:rPr>
        <w:t xml:space="preserve"> managers </w:t>
      </w:r>
      <w:r w:rsidRPr="00F24F2F">
        <w:rPr>
          <w:rFonts w:eastAsia="Arial Unicode MS"/>
        </w:rPr>
        <w:t>were interviewed</w:t>
      </w:r>
      <w:r w:rsidRPr="003913A5">
        <w:rPr>
          <w:rFonts w:eastAsia="Arial Unicode MS"/>
        </w:rPr>
        <w:t xml:space="preserve"> (one female, one male), migrants were the principal focus of this </w:t>
      </w:r>
      <w:r>
        <w:rPr>
          <w:rFonts w:eastAsia="Arial Unicode MS"/>
        </w:rPr>
        <w:t xml:space="preserve">study. </w:t>
      </w:r>
      <w:r w:rsidRPr="003866D8">
        <w:rPr>
          <w:rFonts w:eastAsia="Arial Unicode MS"/>
        </w:rPr>
        <w:t>Fourteen</w:t>
      </w:r>
      <w:r w:rsidRPr="003866D8">
        <w:rPr>
          <w:rStyle w:val="FootnoteReference"/>
          <w:rFonts w:eastAsia="Arial Unicode MS" w:cs="Arial"/>
          <w:szCs w:val="22"/>
        </w:rPr>
        <w:footnoteReference w:id="8"/>
      </w:r>
      <w:r w:rsidRPr="003866D8">
        <w:rPr>
          <w:rFonts w:eastAsia="Arial Unicode MS"/>
        </w:rPr>
        <w:t xml:space="preserve"> migrants (11 females, and three males) were interviewed over two years (December 2007 to January 2010) (s</w:t>
      </w:r>
      <w:r>
        <w:rPr>
          <w:rFonts w:eastAsia="Arial Unicode MS"/>
        </w:rPr>
        <w:t>ee appendix 2</w:t>
      </w:r>
      <w:r w:rsidRPr="003913A5">
        <w:rPr>
          <w:rFonts w:eastAsia="Arial Unicode MS"/>
        </w:rPr>
        <w:t>).</w:t>
      </w:r>
      <w:r w:rsidRPr="003913A5">
        <w:rPr>
          <w:rFonts w:eastAsia="Arial Unicode MS"/>
          <w:color w:val="FF0000"/>
        </w:rPr>
        <w:t xml:space="preserve"> </w:t>
      </w:r>
      <w:r w:rsidRPr="003913A5">
        <w:rPr>
          <w:rFonts w:eastAsia="Arial Unicode MS"/>
        </w:rPr>
        <w:t>These interviews were he</w:t>
      </w:r>
      <w:r>
        <w:rPr>
          <w:rFonts w:eastAsia="Arial Unicode MS"/>
        </w:rPr>
        <w:t>ld four times at approximately</w:t>
      </w:r>
      <w:r w:rsidRPr="003913A5">
        <w:rPr>
          <w:rFonts w:eastAsia="Arial Unicode MS"/>
        </w:rPr>
        <w:t xml:space="preserve"> </w:t>
      </w:r>
      <w:r>
        <w:rPr>
          <w:rFonts w:eastAsia="Arial Unicode MS"/>
        </w:rPr>
        <w:t>eight-month intervals,</w:t>
      </w:r>
      <w:r w:rsidRPr="003913A5">
        <w:rPr>
          <w:rFonts w:eastAsia="Arial Unicode MS"/>
        </w:rPr>
        <w:t xml:space="preserve"> the </w:t>
      </w:r>
      <w:r w:rsidRPr="003913A5">
        <w:rPr>
          <w:bCs/>
        </w:rPr>
        <w:t>first interview occurrin</w:t>
      </w:r>
      <w:r>
        <w:rPr>
          <w:bCs/>
        </w:rPr>
        <w:t>g at the end of their Semester Two</w:t>
      </w:r>
      <w:r w:rsidRPr="003913A5">
        <w:rPr>
          <w:bCs/>
        </w:rPr>
        <w:t xml:space="preserve"> (</w:t>
      </w:r>
      <w:r>
        <w:rPr>
          <w:bCs/>
        </w:rPr>
        <w:t>July—</w:t>
      </w:r>
      <w:r w:rsidRPr="003913A5">
        <w:rPr>
          <w:bCs/>
        </w:rPr>
        <w:t>December) 2007 course</w:t>
      </w:r>
      <w:r w:rsidRPr="003913A5">
        <w:rPr>
          <w:rFonts w:eastAsia="Arial Unicode MS"/>
        </w:rPr>
        <w:t>.</w:t>
      </w:r>
      <w:r w:rsidRPr="003913A5">
        <w:rPr>
          <w:rFonts w:eastAsia="Arial Unicode MS"/>
          <w:sz w:val="16"/>
          <w:szCs w:val="16"/>
        </w:rPr>
        <w:t xml:space="preserve"> </w:t>
      </w:r>
      <w:r w:rsidRPr="003913A5">
        <w:rPr>
          <w:bCs/>
        </w:rPr>
        <w:t xml:space="preserve">This </w:t>
      </w:r>
      <w:r w:rsidRPr="00931EB6">
        <w:rPr>
          <w:bCs/>
        </w:rPr>
        <w:t xml:space="preserve">tracking </w:t>
      </w:r>
      <w:r w:rsidRPr="003913A5">
        <w:rPr>
          <w:bCs/>
        </w:rPr>
        <w:t xml:space="preserve">sought to uncover: </w:t>
      </w:r>
    </w:p>
    <w:p w:rsidR="001956F7" w:rsidRPr="0065293E" w:rsidRDefault="001956F7" w:rsidP="0065293E">
      <w:pPr>
        <w:pStyle w:val="Dotpoint1"/>
      </w:pPr>
      <w:r w:rsidRPr="003913A5">
        <w:t xml:space="preserve">any changes to migrants’ </w:t>
      </w:r>
      <w:r w:rsidRPr="0065293E">
        <w:t xml:space="preserve">circumstances (for example, study or employment status) </w:t>
      </w:r>
    </w:p>
    <w:p w:rsidR="001956F7" w:rsidRPr="0065293E" w:rsidRDefault="001956F7" w:rsidP="0065293E">
      <w:pPr>
        <w:pStyle w:val="Dotpoint1"/>
      </w:pPr>
      <w:r w:rsidRPr="0065293E">
        <w:lastRenderedPageBreak/>
        <w:t>migrants’ post-course experiences in general and, more specifically, their experiences in using English</w:t>
      </w:r>
    </w:p>
    <w:p w:rsidR="001956F7" w:rsidRPr="0065293E" w:rsidRDefault="001956F7" w:rsidP="0065293E">
      <w:pPr>
        <w:pStyle w:val="Dotpoint1"/>
      </w:pPr>
      <w:r w:rsidRPr="0065293E">
        <w:t xml:space="preserve">migrants’ sense of their own integration and </w:t>
      </w:r>
      <w:r w:rsidR="00B66DF4">
        <w:t xml:space="preserve">their </w:t>
      </w:r>
      <w:r w:rsidRPr="0065293E">
        <w:t xml:space="preserve">opinion of their English proficiency </w:t>
      </w:r>
    </w:p>
    <w:p w:rsidR="001956F7" w:rsidRPr="00AC673F" w:rsidRDefault="001956F7" w:rsidP="0065293E">
      <w:pPr>
        <w:pStyle w:val="Dotpoint1"/>
      </w:pPr>
      <w:proofErr w:type="gramStart"/>
      <w:r w:rsidRPr="0065293E">
        <w:t>any</w:t>
      </w:r>
      <w:proofErr w:type="gramEnd"/>
      <w:r w:rsidRPr="0065293E">
        <w:t xml:space="preserve"> possible shifts in migrants’</w:t>
      </w:r>
      <w:r w:rsidRPr="009E40D8">
        <w:t xml:space="preserve"> perceptions of the value of their </w:t>
      </w:r>
      <w:r>
        <w:t>English as a second language</w:t>
      </w:r>
      <w:r w:rsidRPr="009E40D8">
        <w:t xml:space="preserve"> </w:t>
      </w:r>
      <w:r w:rsidRPr="003866D8">
        <w:t>course</w:t>
      </w:r>
      <w:r w:rsidRPr="009E40D8">
        <w:t xml:space="preserve">, particularly in terms of facilitating their integration. </w:t>
      </w:r>
    </w:p>
    <w:p w:rsidR="001956F7" w:rsidRPr="003913A5" w:rsidRDefault="001956F7" w:rsidP="001956F7">
      <w:pPr>
        <w:pStyle w:val="Text"/>
        <w:rPr>
          <w:rFonts w:eastAsia="Arial Unicode MS"/>
        </w:rPr>
      </w:pPr>
      <w:r w:rsidRPr="003913A5">
        <w:rPr>
          <w:rFonts w:eastAsia="Arial Unicode MS"/>
        </w:rPr>
        <w:t>Pseudonyms</w:t>
      </w:r>
      <w:r>
        <w:rPr>
          <w:rFonts w:eastAsia="Arial Unicode MS"/>
        </w:rPr>
        <w:t xml:space="preserve"> have been </w:t>
      </w:r>
      <w:r w:rsidRPr="003866D8">
        <w:rPr>
          <w:rFonts w:eastAsia="Arial Unicode MS"/>
        </w:rPr>
        <w:t>used in this paper to</w:t>
      </w:r>
      <w:r>
        <w:rPr>
          <w:rFonts w:eastAsia="Arial Unicode MS"/>
          <w:color w:val="0000FF"/>
        </w:rPr>
        <w:t xml:space="preserve"> </w:t>
      </w:r>
      <w:r w:rsidRPr="003913A5">
        <w:rPr>
          <w:rFonts w:eastAsia="Arial Unicode MS"/>
        </w:rPr>
        <w:t xml:space="preserve">protect the identities of participants. </w:t>
      </w:r>
    </w:p>
    <w:p w:rsidR="001956F7" w:rsidRPr="00AC673F" w:rsidRDefault="001956F7" w:rsidP="001956F7">
      <w:pPr>
        <w:pStyle w:val="Heading2"/>
        <w:rPr>
          <w:rFonts w:eastAsia="Arial Unicode MS"/>
        </w:rPr>
      </w:pPr>
      <w:bookmarkStart w:id="44" w:name="_Toc305074169"/>
      <w:bookmarkStart w:id="45" w:name="_Toc309645492"/>
      <w:r w:rsidRPr="00A016D5">
        <w:rPr>
          <w:rFonts w:eastAsia="Arial Unicode MS"/>
        </w:rPr>
        <w:t>Limitations of the study</w:t>
      </w:r>
      <w:bookmarkEnd w:id="44"/>
      <w:bookmarkEnd w:id="45"/>
    </w:p>
    <w:p w:rsidR="001956F7" w:rsidRPr="0065293E" w:rsidRDefault="001956F7" w:rsidP="0065293E">
      <w:pPr>
        <w:pStyle w:val="Text"/>
        <w:rPr>
          <w:szCs w:val="16"/>
        </w:rPr>
      </w:pPr>
      <w:r>
        <w:t>E</w:t>
      </w:r>
      <w:r w:rsidRPr="00891D4A">
        <w:t xml:space="preserve">ven though </w:t>
      </w:r>
      <w:r>
        <w:t xml:space="preserve">the </w:t>
      </w:r>
      <w:r w:rsidRPr="00891D4A">
        <w:t xml:space="preserve">migrants selected to participate </w:t>
      </w:r>
      <w:r w:rsidRPr="00A35CD1">
        <w:t>in this research</w:t>
      </w:r>
      <w:r>
        <w:t xml:space="preserve"> possessed intermediate to</w:t>
      </w:r>
      <w:r w:rsidRPr="00891D4A">
        <w:t xml:space="preserve"> advanced level English proficiency, </w:t>
      </w:r>
      <w:r w:rsidRPr="00891D4A">
        <w:rPr>
          <w:rFonts w:eastAsia="Arial Unicode MS"/>
        </w:rPr>
        <w:t>I acknowledge that requir</w:t>
      </w:r>
      <w:r>
        <w:t>ing migr</w:t>
      </w:r>
      <w:r w:rsidRPr="00891D4A">
        <w:t xml:space="preserve">ants from </w:t>
      </w:r>
      <w:r>
        <w:t xml:space="preserve">non-English speaking backgrounds </w:t>
      </w:r>
      <w:r w:rsidRPr="00891D4A">
        <w:t xml:space="preserve">to express their beliefs, feelings and experiences </w:t>
      </w:r>
      <w:r>
        <w:t xml:space="preserve">in English </w:t>
      </w:r>
      <w:r w:rsidR="00B66DF4">
        <w:t>has the</w:t>
      </w:r>
      <w:r w:rsidRPr="00891D4A">
        <w:t xml:space="preserve"> potential</w:t>
      </w:r>
      <w:r w:rsidR="00B66DF4">
        <w:t xml:space="preserve"> to</w:t>
      </w:r>
      <w:r w:rsidRPr="00891D4A">
        <w:t xml:space="preserve"> limit their ability to articulate </w:t>
      </w:r>
      <w:r>
        <w:t xml:space="preserve">precisely </w:t>
      </w:r>
      <w:r w:rsidRPr="00891D4A">
        <w:t>what they want to say.</w:t>
      </w:r>
      <w:r w:rsidRPr="00891D4A">
        <w:rPr>
          <w:rFonts w:ascii="Arial" w:hAnsi="Arial"/>
          <w:sz w:val="20"/>
        </w:rPr>
        <w:t xml:space="preserve"> </w:t>
      </w:r>
      <w:r>
        <w:rPr>
          <w:rFonts w:eastAsia="Arial Unicode MS"/>
        </w:rPr>
        <w:t>In addition, in r</w:t>
      </w:r>
      <w:r w:rsidRPr="000349EF">
        <w:rPr>
          <w:rFonts w:eastAsia="Arial Unicode MS"/>
        </w:rPr>
        <w:t xml:space="preserve">eflecting its predominantly qualitative case </w:t>
      </w:r>
      <w:r>
        <w:rPr>
          <w:rFonts w:eastAsia="Arial Unicode MS"/>
        </w:rPr>
        <w:t>study methodology, this paper</w:t>
      </w:r>
      <w:r w:rsidRPr="000349EF">
        <w:rPr>
          <w:rFonts w:eastAsia="Arial Unicode MS"/>
        </w:rPr>
        <w:t xml:space="preserve"> does not suggest that the findings can be generalised and applied</w:t>
      </w:r>
      <w:r>
        <w:rPr>
          <w:rFonts w:eastAsia="Arial Unicode MS"/>
        </w:rPr>
        <w:t xml:space="preserve"> to other settings, particularly as t</w:t>
      </w:r>
      <w:r w:rsidRPr="000349EF">
        <w:rPr>
          <w:rFonts w:eastAsia="Arial Unicode MS"/>
        </w:rPr>
        <w:t xml:space="preserve">he number of participants included in </w:t>
      </w:r>
      <w:r>
        <w:rPr>
          <w:rFonts w:eastAsia="Arial Unicode MS"/>
        </w:rPr>
        <w:t xml:space="preserve">this research was not </w:t>
      </w:r>
      <w:r w:rsidRPr="00A35CD1">
        <w:rPr>
          <w:rFonts w:eastAsia="Arial Unicode MS"/>
        </w:rPr>
        <w:t>large.</w:t>
      </w:r>
      <w:r w:rsidRPr="00A35CD1">
        <w:t xml:space="preserve"> However, the </w:t>
      </w:r>
      <w:r w:rsidRPr="0065293E">
        <w:t>findings from this study may resonate with individuals in other settings.</w:t>
      </w:r>
    </w:p>
    <w:p w:rsidR="001956F7" w:rsidRPr="000A2B64" w:rsidRDefault="001956F7" w:rsidP="0065293E">
      <w:pPr>
        <w:pStyle w:val="Text"/>
      </w:pPr>
      <w:r w:rsidRPr="0065293E">
        <w:rPr>
          <w:rFonts w:eastAsia="Arial Unicode MS"/>
        </w:rPr>
        <w:t>The following section discusses</w:t>
      </w:r>
      <w:r w:rsidRPr="000A2B64">
        <w:rPr>
          <w:rFonts w:eastAsia="Arial Unicode MS"/>
        </w:rPr>
        <w:t xml:space="preserve"> the findings fro</w:t>
      </w:r>
      <w:r>
        <w:rPr>
          <w:rFonts w:eastAsia="Arial Unicode MS"/>
        </w:rPr>
        <w:t>m this study in terms of psycho</w:t>
      </w:r>
      <w:r w:rsidRPr="000A2B64">
        <w:rPr>
          <w:rFonts w:eastAsia="Arial Unicode MS"/>
        </w:rPr>
        <w:t>social and economic integration.</w:t>
      </w:r>
    </w:p>
    <w:p w:rsidR="001956F7" w:rsidRPr="005940BF" w:rsidRDefault="001956F7" w:rsidP="001956F7">
      <w:pPr>
        <w:pStyle w:val="Heading1"/>
      </w:pPr>
      <w:r>
        <w:br w:type="page"/>
      </w:r>
      <w:bookmarkStart w:id="46" w:name="_Toc305074170"/>
      <w:bookmarkStart w:id="47" w:name="_Toc309645493"/>
      <w:r>
        <w:lastRenderedPageBreak/>
        <w:t>Findings</w:t>
      </w:r>
      <w:bookmarkEnd w:id="46"/>
      <w:bookmarkEnd w:id="47"/>
    </w:p>
    <w:p w:rsidR="001956F7" w:rsidRPr="00E145AF" w:rsidRDefault="001956F7" w:rsidP="001956F7">
      <w:pPr>
        <w:pStyle w:val="Text"/>
      </w:pPr>
      <w:r w:rsidRPr="004A385A">
        <w:t xml:space="preserve">A variety of reasons were nominated by </w:t>
      </w:r>
      <w:r>
        <w:t>Jarrah Language Centre</w:t>
      </w:r>
      <w:r w:rsidRPr="004A385A">
        <w:t xml:space="preserve"> migrants </w:t>
      </w:r>
      <w:r>
        <w:t>for</w:t>
      </w:r>
      <w:r w:rsidRPr="004A385A">
        <w:t xml:space="preserve"> undertaking their </w:t>
      </w:r>
      <w:r>
        <w:t>English as a second language</w:t>
      </w:r>
      <w:r w:rsidRPr="004A385A">
        <w:t xml:space="preserve"> courses and, in general, their</w:t>
      </w:r>
      <w:r w:rsidRPr="004A385A">
        <w:rPr>
          <w:b/>
          <w:color w:val="FF6600"/>
        </w:rPr>
        <w:t xml:space="preserve"> </w:t>
      </w:r>
      <w:r w:rsidRPr="004A385A">
        <w:t>reasons reflected the government</w:t>
      </w:r>
      <w:r>
        <w:t>’s — and the c</w:t>
      </w:r>
      <w:r w:rsidRPr="004A385A">
        <w:t xml:space="preserve">entre’s </w:t>
      </w:r>
      <w:r>
        <w:t>—</w:t>
      </w:r>
      <w:r w:rsidRPr="004A385A">
        <w:t xml:space="preserve"> </w:t>
      </w:r>
      <w:r>
        <w:t>psycho</w:t>
      </w:r>
      <w:r w:rsidRPr="00BB3794">
        <w:t>social and economic</w:t>
      </w:r>
      <w:r w:rsidRPr="004A385A">
        <w:t xml:space="preserve"> integration aims of adult </w:t>
      </w:r>
      <w:r>
        <w:t>English as a second language</w:t>
      </w:r>
      <w:r w:rsidRPr="004A385A">
        <w:t xml:space="preserve"> provision.</w:t>
      </w:r>
      <w:r w:rsidRPr="004A385A">
        <w:rPr>
          <w:b/>
          <w:sz w:val="16"/>
          <w:szCs w:val="16"/>
        </w:rPr>
        <w:t xml:space="preserve"> </w:t>
      </w:r>
      <w:r w:rsidRPr="004A385A">
        <w:t xml:space="preserve">The majority of comments made by </w:t>
      </w:r>
      <w:r>
        <w:t>language centre</w:t>
      </w:r>
      <w:r w:rsidRPr="004A385A">
        <w:t xml:space="preserve"> stakeholders were positive to very positive in terms of </w:t>
      </w:r>
      <w:r w:rsidRPr="00BB3794">
        <w:t>the effectiveness</w:t>
      </w:r>
      <w:r w:rsidRPr="004A385A">
        <w:t xml:space="preserve"> of </w:t>
      </w:r>
      <w:r>
        <w:t>the centre’s</w:t>
      </w:r>
      <w:r w:rsidRPr="004A385A">
        <w:t xml:space="preserve"> programs in improving students’ English and, thus, supporting their integration into Australian society.</w:t>
      </w:r>
    </w:p>
    <w:p w:rsidR="001956F7" w:rsidRPr="004A385A" w:rsidRDefault="001956F7" w:rsidP="001956F7">
      <w:pPr>
        <w:pStyle w:val="Heading2"/>
      </w:pPr>
      <w:bookmarkStart w:id="48" w:name="_Toc305074171"/>
      <w:bookmarkStart w:id="49" w:name="_Toc309645494"/>
      <w:r>
        <w:t>Psycho</w:t>
      </w:r>
      <w:r w:rsidRPr="004A385A">
        <w:t>social integration</w:t>
      </w:r>
      <w:bookmarkEnd w:id="48"/>
      <w:bookmarkEnd w:id="49"/>
    </w:p>
    <w:p w:rsidR="001956F7" w:rsidRPr="00127CA0" w:rsidRDefault="001956F7" w:rsidP="001956F7">
      <w:pPr>
        <w:pStyle w:val="Text"/>
      </w:pPr>
      <w:r w:rsidRPr="00BB3794">
        <w:t>Many migrants</w:t>
      </w:r>
      <w:r w:rsidRPr="004A385A">
        <w:t xml:space="preserve"> commented on the positive impact of studying </w:t>
      </w:r>
      <w:r>
        <w:t>English as a second language</w:t>
      </w:r>
      <w:r w:rsidRPr="004A385A">
        <w:t xml:space="preserve"> in terms of their sense of </w:t>
      </w:r>
      <w:r w:rsidRPr="00BB3794">
        <w:t>self.</w:t>
      </w:r>
      <w:r w:rsidRPr="004A385A">
        <w:rPr>
          <w:rFonts w:cs="Tahoma"/>
          <w:b/>
          <w:color w:val="660066"/>
        </w:rPr>
        <w:t xml:space="preserve"> </w:t>
      </w:r>
      <w:r w:rsidRPr="004A385A">
        <w:t xml:space="preserve">They described the </w:t>
      </w:r>
      <w:r w:rsidRPr="00127CA0">
        <w:t xml:space="preserve">benefits of studying </w:t>
      </w:r>
      <w:r>
        <w:t>English as a second language</w:t>
      </w:r>
      <w:r w:rsidRPr="00127CA0">
        <w:t xml:space="preserve"> </w:t>
      </w:r>
      <w:r>
        <w:t>as</w:t>
      </w:r>
      <w:r w:rsidRPr="00127CA0">
        <w:t xml:space="preserve"> helping them to experience ‘less anxieties’ and feel ‘more comfortable’ in Australia. Nearly two-thirds of the group stated that they were undertaking their </w:t>
      </w:r>
      <w:r>
        <w:t xml:space="preserve">English </w:t>
      </w:r>
      <w:r w:rsidRPr="00127CA0">
        <w:t>classes to develop their confidence to use English (N</w:t>
      </w:r>
      <w:r>
        <w:t xml:space="preserve"> </w:t>
      </w:r>
      <w:r w:rsidRPr="00127CA0">
        <w:t>=</w:t>
      </w:r>
      <w:r>
        <w:t xml:space="preserve"> </w:t>
      </w:r>
      <w:r w:rsidRPr="00127CA0">
        <w:t>39</w:t>
      </w:r>
      <w:r>
        <w:t>, 64%), which was</w:t>
      </w:r>
      <w:r w:rsidRPr="00127CA0">
        <w:t xml:space="preserve"> the </w:t>
      </w:r>
      <w:r w:rsidRPr="0036198B">
        <w:t>second most popular answer.</w:t>
      </w:r>
      <w:r w:rsidRPr="00127CA0">
        <w:t xml:space="preserve"> This was seen to be beneficial in terms of assisting them to negotiate their lives in Australian society. </w:t>
      </w:r>
    </w:p>
    <w:p w:rsidR="001956F7" w:rsidRPr="00127CA0" w:rsidRDefault="001956F7" w:rsidP="001956F7">
      <w:pPr>
        <w:pStyle w:val="Text"/>
        <w:rPr>
          <w:u w:val="single"/>
        </w:rPr>
      </w:pPr>
      <w:r w:rsidRPr="00127CA0">
        <w:t xml:space="preserve">Learning </w:t>
      </w:r>
      <w:r>
        <w:t>English as a second language</w:t>
      </w:r>
      <w:r w:rsidRPr="00127CA0">
        <w:t xml:space="preserve"> was perceived by </w:t>
      </w:r>
      <w:r>
        <w:t xml:space="preserve">both </w:t>
      </w:r>
      <w:r w:rsidRPr="00127CA0">
        <w:t xml:space="preserve">students and </w:t>
      </w:r>
      <w:r>
        <w:t>language centre</w:t>
      </w:r>
      <w:r w:rsidRPr="00127CA0">
        <w:t xml:space="preserve"> personnel as an identity-challenging experience</w:t>
      </w:r>
      <w:r w:rsidR="00B66DF4">
        <w:t>.</w:t>
      </w:r>
      <w:r w:rsidRPr="00127CA0">
        <w:rPr>
          <w:b/>
        </w:rPr>
        <w:t xml:space="preserve"> </w:t>
      </w:r>
      <w:r w:rsidR="003B356C">
        <w:t xml:space="preserve">The </w:t>
      </w:r>
      <w:r>
        <w:t>students saw</w:t>
      </w:r>
      <w:r w:rsidRPr="00127CA0">
        <w:t xml:space="preserve"> </w:t>
      </w:r>
      <w:r>
        <w:t>their</w:t>
      </w:r>
      <w:r w:rsidRPr="00127CA0">
        <w:t xml:space="preserve"> teachers to be a significant force in developing </w:t>
      </w:r>
      <w:r>
        <w:t>their</w:t>
      </w:r>
      <w:r w:rsidRPr="00127CA0">
        <w:t xml:space="preserve"> skills and confidence in English</w:t>
      </w:r>
      <w:r w:rsidR="003B356C">
        <w:t>, commenting</w:t>
      </w:r>
      <w:r w:rsidRPr="00127CA0">
        <w:rPr>
          <w:b/>
        </w:rPr>
        <w:t xml:space="preserve"> </w:t>
      </w:r>
      <w:r w:rsidRPr="00127CA0">
        <w:t xml:space="preserve">favourably not only on </w:t>
      </w:r>
      <w:r>
        <w:t xml:space="preserve">the </w:t>
      </w:r>
      <w:r w:rsidRPr="00127CA0">
        <w:t>professional attributes</w:t>
      </w:r>
      <w:r>
        <w:t xml:space="preserve"> of the centre’s teachers</w:t>
      </w:r>
      <w:r w:rsidRPr="00127CA0">
        <w:t xml:space="preserve">, but also </w:t>
      </w:r>
      <w:r>
        <w:t xml:space="preserve">on </w:t>
      </w:r>
      <w:r w:rsidRPr="00127CA0">
        <w:t xml:space="preserve">their interpersonal skills. </w:t>
      </w:r>
      <w:smartTag w:uri="urn:schemas-microsoft-com:office:smarttags" w:element="place">
        <w:r w:rsidRPr="00127CA0">
          <w:t>Yana</w:t>
        </w:r>
      </w:smartTag>
      <w:r w:rsidRPr="00127CA0">
        <w:t xml:space="preserve"> summed this up stating, ‘When teachers are friendly, it’s help to study English’</w:t>
      </w:r>
      <w:r>
        <w:t>.</w:t>
      </w:r>
      <w:r>
        <w:rPr>
          <w:rStyle w:val="FootnoteReference"/>
        </w:rPr>
        <w:footnoteReference w:id="9"/>
      </w:r>
      <w:r w:rsidRPr="00127CA0">
        <w:t xml:space="preserve"> In addition, a small number of migrants mentioned the relaxed and informal relationship that existed between them and their teachers (</w:t>
      </w:r>
      <w:r>
        <w:t>Department of Immigration and Citizenship</w:t>
      </w:r>
      <w:r w:rsidRPr="00127CA0">
        <w:t xml:space="preserve"> 2008a). </w:t>
      </w:r>
      <w:proofErr w:type="spellStart"/>
      <w:r w:rsidRPr="00127CA0">
        <w:t>Swarna</w:t>
      </w:r>
      <w:proofErr w:type="spellEnd"/>
      <w:r w:rsidRPr="00127CA0">
        <w:t xml:space="preserve">, for example, described </w:t>
      </w:r>
      <w:r>
        <w:t>language centre</w:t>
      </w:r>
      <w:r w:rsidRPr="00127CA0">
        <w:t xml:space="preserve"> teachers’ ‘easy way’ of teaching </w:t>
      </w:r>
      <w:r>
        <w:t>by comparison with</w:t>
      </w:r>
      <w:r w:rsidRPr="00127CA0">
        <w:t xml:space="preserve"> her experiences in India</w:t>
      </w:r>
      <w:r>
        <w:t>,</w:t>
      </w:r>
      <w:r w:rsidRPr="00127CA0">
        <w:t xml:space="preserve"> where teachers taught in a ‘very theoretical way’, adding, ‘</w:t>
      </w:r>
      <w:r>
        <w:t>Here [at the centre]</w:t>
      </w:r>
      <w:r w:rsidRPr="00127CA0">
        <w:t xml:space="preserve"> we talk, we just laugh … so that’s a good way to improve our English’.</w:t>
      </w:r>
      <w:r w:rsidRPr="00127CA0">
        <w:rPr>
          <w:b/>
        </w:rPr>
        <w:t xml:space="preserve"> </w:t>
      </w:r>
      <w:r w:rsidRPr="00127CA0">
        <w:t>Several teachers also suggested that the dynamic</w:t>
      </w:r>
      <w:r w:rsidRPr="00127CA0">
        <w:rPr>
          <w:b/>
        </w:rPr>
        <w:t xml:space="preserve"> </w:t>
      </w:r>
      <w:r w:rsidRPr="00127CA0">
        <w:t xml:space="preserve">between students and teachers at </w:t>
      </w:r>
      <w:r>
        <w:t>the centre</w:t>
      </w:r>
      <w:r w:rsidRPr="00127CA0">
        <w:t xml:space="preserve"> was potentially different from some migrants’ first coun</w:t>
      </w:r>
      <w:r>
        <w:t>tries, and that this was psycho</w:t>
      </w:r>
      <w:r w:rsidRPr="00127CA0">
        <w:t>socially beneficial to learners.</w:t>
      </w:r>
    </w:p>
    <w:p w:rsidR="001956F7" w:rsidRPr="00127CA0" w:rsidRDefault="001956F7" w:rsidP="003B356C">
      <w:pPr>
        <w:pStyle w:val="Text"/>
        <w:ind w:right="-143"/>
      </w:pPr>
      <w:r w:rsidRPr="00127CA0">
        <w:t xml:space="preserve">Very few migrants nominated </w:t>
      </w:r>
      <w:r>
        <w:t>praise from teachers</w:t>
      </w:r>
      <w:r w:rsidRPr="00127CA0">
        <w:t xml:space="preserve"> as an aspect of their language learning that they liked (N</w:t>
      </w:r>
      <w:r>
        <w:t xml:space="preserve"> </w:t>
      </w:r>
      <w:r w:rsidRPr="00127CA0">
        <w:t>=</w:t>
      </w:r>
      <w:r>
        <w:t xml:space="preserve"> </w:t>
      </w:r>
      <w:r w:rsidRPr="00127CA0">
        <w:t xml:space="preserve">3, 5%). However, it seemed that praise from other </w:t>
      </w:r>
      <w:r w:rsidR="003B356C">
        <w:t xml:space="preserve">groups of </w:t>
      </w:r>
      <w:r w:rsidRPr="00127CA0">
        <w:t>people was valued by migrants in</w:t>
      </w:r>
      <w:r w:rsidR="003B356C">
        <w:t> </w:t>
      </w:r>
      <w:r w:rsidRPr="00127CA0">
        <w:t xml:space="preserve">terms of their self-concept and </w:t>
      </w:r>
      <w:r w:rsidRPr="00E145AF">
        <w:t>was seen by them as</w:t>
      </w:r>
      <w:r>
        <w:rPr>
          <w:color w:val="800080"/>
        </w:rPr>
        <w:t xml:space="preserve"> </w:t>
      </w:r>
      <w:r w:rsidRPr="00127CA0">
        <w:t>a</w:t>
      </w:r>
      <w:r>
        <w:t xml:space="preserve"> positive force in their psycho</w:t>
      </w:r>
      <w:r w:rsidRPr="00127CA0">
        <w:t xml:space="preserve">social integration. For example, in Yana’s first interview, she commented on her daughter’s criticism of </w:t>
      </w:r>
      <w:r>
        <w:t>her</w:t>
      </w:r>
      <w:r w:rsidRPr="00127CA0">
        <w:t xml:space="preserve"> spoken English. </w:t>
      </w:r>
      <w:r w:rsidR="003B356C">
        <w:t>By</w:t>
      </w:r>
      <w:r w:rsidRPr="00127CA0">
        <w:t xml:space="preserve"> contrast, in her second interview, Yana recounted how she had felt ‘very good’ after</w:t>
      </w:r>
      <w:r w:rsidR="003B356C">
        <w:t> </w:t>
      </w:r>
      <w:r w:rsidRPr="004A385A">
        <w:t xml:space="preserve">receiving the </w:t>
      </w:r>
      <w:r w:rsidRPr="00127CA0">
        <w:t xml:space="preserve">following positive feedback on her improved spoken English skills from her daughter: </w:t>
      </w:r>
    </w:p>
    <w:p w:rsidR="001956F7" w:rsidRPr="00127CA0" w:rsidRDefault="001956F7" w:rsidP="00E66F03">
      <w:pPr>
        <w:pStyle w:val="Quote"/>
      </w:pPr>
      <w:r w:rsidRPr="00127CA0">
        <w:t xml:space="preserve">Ma! You improve your English very high because you speaking with me for fifteen </w:t>
      </w:r>
      <w:r w:rsidRPr="00110BE2">
        <w:rPr>
          <w:i/>
        </w:rPr>
        <w:t>minutes</w:t>
      </w:r>
      <w:r w:rsidRPr="00127CA0">
        <w:t xml:space="preserve"> </w:t>
      </w:r>
      <w:r w:rsidR="00E66F03">
        <w:t>—</w:t>
      </w:r>
      <w:r w:rsidRPr="00127CA0">
        <w:t xml:space="preserve"> with </w:t>
      </w:r>
      <w:r w:rsidRPr="00110BE2">
        <w:rPr>
          <w:i/>
        </w:rPr>
        <w:t>me</w:t>
      </w:r>
      <w:r w:rsidRPr="00127CA0">
        <w:t xml:space="preserve">! With </w:t>
      </w:r>
      <w:r w:rsidRPr="00110BE2">
        <w:rPr>
          <w:i/>
        </w:rPr>
        <w:t>me</w:t>
      </w:r>
      <w:r w:rsidRPr="00127CA0">
        <w:t xml:space="preserve">! Not your English teacher at </w:t>
      </w:r>
      <w:r>
        <w:t>[Jarrah Language Centre]</w:t>
      </w:r>
      <w:r w:rsidRPr="00127CA0">
        <w:t xml:space="preserve"> because they wanted to understand you. But … with </w:t>
      </w:r>
      <w:r w:rsidRPr="00110BE2">
        <w:rPr>
          <w:i/>
        </w:rPr>
        <w:t>me</w:t>
      </w:r>
      <w:r w:rsidRPr="00127CA0">
        <w:t>!</w:t>
      </w:r>
    </w:p>
    <w:p w:rsidR="001956F7" w:rsidRPr="004A385A" w:rsidRDefault="001956F7" w:rsidP="001956F7">
      <w:pPr>
        <w:pStyle w:val="Text"/>
      </w:pPr>
      <w:r w:rsidRPr="004A385A">
        <w:t>It may be that migrants perceived praise from individuals other than their teachers as more genuine, more believable, and, thus, a truer reflection</w:t>
      </w:r>
      <w:r>
        <w:t xml:space="preserve"> of their </w:t>
      </w:r>
      <w:r w:rsidRPr="004A385A">
        <w:t xml:space="preserve">linguistic competence. </w:t>
      </w:r>
    </w:p>
    <w:p w:rsidR="001956F7" w:rsidRDefault="001956F7" w:rsidP="001956F7">
      <w:pPr>
        <w:pStyle w:val="Text"/>
        <w:rPr>
          <w:szCs w:val="22"/>
        </w:rPr>
      </w:pPr>
      <w:r w:rsidRPr="004A385A">
        <w:lastRenderedPageBreak/>
        <w:t xml:space="preserve">The capacity of </w:t>
      </w:r>
      <w:r>
        <w:t>English as a second language</w:t>
      </w:r>
      <w:r w:rsidRPr="004A385A">
        <w:t xml:space="preserve"> programs to provide migrants with information about </w:t>
      </w:r>
      <w:r w:rsidRPr="009B617B">
        <w:t>Australian life and culture</w:t>
      </w:r>
      <w:r w:rsidRPr="004A385A">
        <w:rPr>
          <w:b/>
        </w:rPr>
        <w:t xml:space="preserve"> </w:t>
      </w:r>
      <w:r w:rsidRPr="004A385A">
        <w:t xml:space="preserve">was perceived positively by migrants and their teachers. In describing their reasons for studying </w:t>
      </w:r>
      <w:r>
        <w:t>English at Jarrah Language Centre, 44% of the group</w:t>
      </w:r>
      <w:r w:rsidRPr="004A385A">
        <w:rPr>
          <w:b/>
        </w:rPr>
        <w:t xml:space="preserve"> </w:t>
      </w:r>
      <w:r w:rsidRPr="004A385A">
        <w:t>stated that they wanted to lear</w:t>
      </w:r>
      <w:r>
        <w:t>n about Australian life (N = 27</w:t>
      </w:r>
      <w:r w:rsidRPr="004A385A">
        <w:t xml:space="preserve">), and more than half of them stated that they liked learning about </w:t>
      </w:r>
      <w:r>
        <w:t>Australia (N = 33</w:t>
      </w:r>
      <w:r w:rsidRPr="004A385A">
        <w:t xml:space="preserve">, 54%). Migrants commented </w:t>
      </w:r>
      <w:r w:rsidRPr="00127CA0">
        <w:t>that ‘We are not only learning English, but also learning Australian culture’, ‘politics and Australian people as well’</w:t>
      </w:r>
      <w:r>
        <w:t>,</w:t>
      </w:r>
      <w:r w:rsidRPr="00127CA0">
        <w:t xml:space="preserve"> which w</w:t>
      </w:r>
      <w:r>
        <w:t>ere</w:t>
      </w:r>
      <w:r w:rsidRPr="00127CA0">
        <w:t xml:space="preserve"> seen as important in helping migrants to ‘get used to new life’. </w:t>
      </w:r>
      <w:r w:rsidRPr="00127CA0">
        <w:rPr>
          <w:szCs w:val="22"/>
        </w:rPr>
        <w:t>Migrants</w:t>
      </w:r>
      <w:r w:rsidRPr="004A385A">
        <w:rPr>
          <w:szCs w:val="22"/>
        </w:rPr>
        <w:t xml:space="preserve"> described the ways in which their </w:t>
      </w:r>
      <w:r>
        <w:rPr>
          <w:szCs w:val="22"/>
        </w:rPr>
        <w:t>English language</w:t>
      </w:r>
      <w:r w:rsidRPr="004A385A">
        <w:rPr>
          <w:szCs w:val="22"/>
        </w:rPr>
        <w:t xml:space="preserve"> programs had helped them to understand </w:t>
      </w:r>
      <w:r>
        <w:rPr>
          <w:szCs w:val="22"/>
        </w:rPr>
        <w:t>Australian society</w:t>
      </w:r>
      <w:r w:rsidRPr="004A385A">
        <w:rPr>
          <w:szCs w:val="22"/>
        </w:rPr>
        <w:t xml:space="preserve"> and </w:t>
      </w:r>
      <w:r>
        <w:rPr>
          <w:szCs w:val="22"/>
        </w:rPr>
        <w:t xml:space="preserve">enabled them to </w:t>
      </w:r>
      <w:r w:rsidR="003B356C">
        <w:rPr>
          <w:szCs w:val="22"/>
        </w:rPr>
        <w:t xml:space="preserve">ask </w:t>
      </w:r>
      <w:r w:rsidRPr="004A385A">
        <w:rPr>
          <w:szCs w:val="22"/>
        </w:rPr>
        <w:t>questions that would not b</w:t>
      </w:r>
      <w:r>
        <w:rPr>
          <w:szCs w:val="22"/>
        </w:rPr>
        <w:t>e possible outside the classroom,</w:t>
      </w:r>
      <w:r w:rsidRPr="004A385A">
        <w:rPr>
          <w:szCs w:val="22"/>
        </w:rPr>
        <w:t xml:space="preserve"> a point also made by some </w:t>
      </w:r>
      <w:r>
        <w:rPr>
          <w:szCs w:val="22"/>
        </w:rPr>
        <w:t>centre</w:t>
      </w:r>
      <w:r w:rsidRPr="004A385A">
        <w:rPr>
          <w:szCs w:val="22"/>
        </w:rPr>
        <w:t xml:space="preserve"> staff. </w:t>
      </w:r>
    </w:p>
    <w:p w:rsidR="001956F7" w:rsidRPr="00127CA0" w:rsidRDefault="001956F7" w:rsidP="001956F7">
      <w:pPr>
        <w:pStyle w:val="Text"/>
      </w:pPr>
      <w:r w:rsidRPr="004A385A">
        <w:t xml:space="preserve">Moreover, a number of migrants commented on the value of learning about </w:t>
      </w:r>
      <w:r w:rsidRPr="009B617B">
        <w:t>Australian history</w:t>
      </w:r>
      <w:r w:rsidRPr="004A385A">
        <w:t xml:space="preserve">. </w:t>
      </w:r>
      <w:r w:rsidRPr="00127CA0">
        <w:t xml:space="preserve">Yoko, for example, stated that learning about Australia’s immigrant heritage in </w:t>
      </w:r>
      <w:r>
        <w:t>English language</w:t>
      </w:r>
      <w:r w:rsidRPr="00127CA0">
        <w:t xml:space="preserve"> classes had highlighted to her the egalitarian nature of Australia and the opportunities that it afforded everyone:</w:t>
      </w:r>
    </w:p>
    <w:p w:rsidR="001956F7" w:rsidRPr="00127CA0" w:rsidRDefault="001956F7" w:rsidP="001956F7">
      <w:pPr>
        <w:pStyle w:val="Quote"/>
      </w:pPr>
      <w:r w:rsidRPr="00127CA0">
        <w:t xml:space="preserve">We learnt lots of history of Australia … </w:t>
      </w:r>
      <w:r>
        <w:t>[for example]</w:t>
      </w:r>
      <w:r w:rsidRPr="00127CA0">
        <w:t xml:space="preserve"> about convicts … It helped me to understand the culture more … </w:t>
      </w:r>
      <w:r>
        <w:t>I think people [here]</w:t>
      </w:r>
      <w:r w:rsidRPr="00127CA0">
        <w:t xml:space="preserve"> … can start from zero. Like, anyone can start from zero point and achieve something.</w:t>
      </w:r>
    </w:p>
    <w:p w:rsidR="001956F7" w:rsidRPr="00127CA0" w:rsidRDefault="001956F7" w:rsidP="001956F7">
      <w:pPr>
        <w:pStyle w:val="Text"/>
      </w:pPr>
      <w:r w:rsidRPr="00127CA0">
        <w:t>It was clear that many migrants shared</w:t>
      </w:r>
      <w:r>
        <w:t xml:space="preserve"> the view expressed by </w:t>
      </w:r>
      <w:r w:rsidR="003B356C">
        <w:t xml:space="preserve">the </w:t>
      </w:r>
      <w:r w:rsidRPr="004A385A">
        <w:t xml:space="preserve">government and </w:t>
      </w:r>
      <w:r w:rsidR="003B356C">
        <w:t xml:space="preserve">some </w:t>
      </w:r>
      <w:r>
        <w:t>centre</w:t>
      </w:r>
      <w:r w:rsidRPr="004A385A">
        <w:t xml:space="preserve"> personnel: that formally learning English was one way of helping migrants to live an </w:t>
      </w:r>
      <w:r w:rsidRPr="00127CA0">
        <w:t>‘easier’</w:t>
      </w:r>
      <w:r w:rsidRPr="004A385A">
        <w:t xml:space="preserve"> life, and this included increasing their sense of security and protection. Several migrants specifically commented on the ways in which learning English </w:t>
      </w:r>
      <w:r>
        <w:t xml:space="preserve">had </w:t>
      </w:r>
      <w:r w:rsidRPr="004A385A">
        <w:t xml:space="preserve">also increased their </w:t>
      </w:r>
      <w:proofErr w:type="spellStart"/>
      <w:r>
        <w:t>socio</w:t>
      </w:r>
      <w:r w:rsidRPr="009B617B">
        <w:t>political</w:t>
      </w:r>
      <w:proofErr w:type="spellEnd"/>
      <w:r w:rsidRPr="009B617B">
        <w:t xml:space="preserve"> power</w:t>
      </w:r>
      <w:r>
        <w:t>,</w:t>
      </w:r>
      <w:r w:rsidRPr="009B617B">
        <w:t xml:space="preserve"> which is seen as a key aspect of integration.</w:t>
      </w:r>
      <w:r w:rsidRPr="004A385A">
        <w:rPr>
          <w:sz w:val="16"/>
          <w:szCs w:val="16"/>
        </w:rPr>
        <w:t xml:space="preserve"> </w:t>
      </w:r>
      <w:r>
        <w:t>In his third interview (mid-</w:t>
      </w:r>
      <w:r w:rsidRPr="004A385A">
        <w:t xml:space="preserve">2009), Sudanese-Australian </w:t>
      </w:r>
      <w:proofErr w:type="spellStart"/>
      <w:r w:rsidRPr="00127CA0">
        <w:t>Manut</w:t>
      </w:r>
      <w:proofErr w:type="spellEnd"/>
      <w:r w:rsidRPr="00127CA0">
        <w:t xml:space="preserve"> spoke </w:t>
      </w:r>
      <w:r>
        <w:t>in some detail</w:t>
      </w:r>
      <w:r w:rsidRPr="00127CA0">
        <w:t xml:space="preserve"> about criticisms made in the media in 2007 by the federal Minister of Immigration, </w:t>
      </w:r>
      <w:r w:rsidR="003B356C">
        <w:t>in relation to</w:t>
      </w:r>
      <w:r w:rsidRPr="00127CA0">
        <w:t xml:space="preserve"> the perceived ‘failure’ of some Sudanese migrants to integrate (see also </w:t>
      </w:r>
      <w:proofErr w:type="spellStart"/>
      <w:r w:rsidRPr="00127CA0">
        <w:t>Jakubowicz</w:t>
      </w:r>
      <w:proofErr w:type="spellEnd"/>
      <w:r w:rsidRPr="00127CA0">
        <w:t xml:space="preserve"> 200</w:t>
      </w:r>
      <w:r w:rsidRPr="00260764">
        <w:t>9;</w:t>
      </w:r>
      <w:r w:rsidRPr="00127CA0">
        <w:t xml:space="preserve"> Murray 2010). </w:t>
      </w:r>
      <w:proofErr w:type="spellStart"/>
      <w:r w:rsidRPr="00127CA0">
        <w:t>Manut</w:t>
      </w:r>
      <w:proofErr w:type="spellEnd"/>
      <w:r w:rsidRPr="00127CA0">
        <w:t xml:space="preserve"> commented that formally studying </w:t>
      </w:r>
      <w:r>
        <w:t>English as a second language</w:t>
      </w:r>
      <w:r w:rsidRPr="00127CA0">
        <w:t xml:space="preserve"> was one way of empowering migrants through language</w:t>
      </w:r>
      <w:r>
        <w:t>,</w:t>
      </w:r>
      <w:r w:rsidRPr="00127CA0">
        <w:t xml:space="preserve"> which would enable them to advocate on their own behalf:</w:t>
      </w:r>
    </w:p>
    <w:p w:rsidR="001956F7" w:rsidRPr="00127CA0" w:rsidRDefault="001956F7" w:rsidP="001956F7">
      <w:pPr>
        <w:pStyle w:val="Quote"/>
      </w:pPr>
      <w:r w:rsidRPr="00127CA0">
        <w:t>You kno</w:t>
      </w:r>
      <w:r>
        <w:t>w, if you don’t know a language</w:t>
      </w:r>
      <w:r w:rsidRPr="00127CA0">
        <w:t xml:space="preserve"> … you can’t defend yourself and</w:t>
      </w:r>
      <w:r>
        <w:t xml:space="preserve"> you can’t even know your right[s]</w:t>
      </w:r>
      <w:r w:rsidRPr="00127CA0">
        <w:t xml:space="preserve"> … So,</w:t>
      </w:r>
      <w:r>
        <w:t xml:space="preserve"> if the Minister say not good [things]</w:t>
      </w:r>
      <w:r w:rsidRPr="00127CA0">
        <w:t xml:space="preserve">, how could I defend myself … if I don’t know the language? … </w:t>
      </w:r>
      <w:r>
        <w:t>[So]</w:t>
      </w:r>
      <w:r w:rsidRPr="00127CA0">
        <w:t xml:space="preserve"> I have to learn it. </w:t>
      </w:r>
    </w:p>
    <w:p w:rsidR="001956F7" w:rsidRPr="00127CA0" w:rsidRDefault="001956F7" w:rsidP="001956F7">
      <w:pPr>
        <w:pStyle w:val="Text"/>
      </w:pPr>
      <w:proofErr w:type="spellStart"/>
      <w:r w:rsidRPr="004A385A">
        <w:t>Manut’s</w:t>
      </w:r>
      <w:proofErr w:type="spellEnd"/>
      <w:r w:rsidRPr="004A385A">
        <w:t xml:space="preserve"> comments serve to highlight the point made by </w:t>
      </w:r>
      <w:r w:rsidR="003B356C">
        <w:t xml:space="preserve">the </w:t>
      </w:r>
      <w:r w:rsidRPr="004A385A">
        <w:t>go</w:t>
      </w:r>
      <w:r>
        <w:t>vernment and some language centre personnel:</w:t>
      </w:r>
      <w:r w:rsidRPr="004A385A">
        <w:t xml:space="preserve"> that studying </w:t>
      </w:r>
      <w:r>
        <w:t>English as a second language</w:t>
      </w:r>
      <w:r w:rsidRPr="004A385A">
        <w:t xml:space="preserve"> is a way of equipping migrants with the skills to undertake, as one of the teachers stated, </w:t>
      </w:r>
      <w:r w:rsidRPr="00127CA0">
        <w:t>more ‘complex’ tasks in society, which</w:t>
      </w:r>
      <w:r w:rsidRPr="00127CA0">
        <w:rPr>
          <w:b/>
          <w:sz w:val="16"/>
          <w:szCs w:val="16"/>
        </w:rPr>
        <w:t xml:space="preserve"> </w:t>
      </w:r>
      <w:r w:rsidRPr="00127CA0">
        <w:t xml:space="preserve">assist in, and are reflective of, migrants’ integration. In </w:t>
      </w:r>
      <w:proofErr w:type="spellStart"/>
      <w:r w:rsidRPr="00127CA0">
        <w:t>Manut’s</w:t>
      </w:r>
      <w:proofErr w:type="spellEnd"/>
      <w:r w:rsidRPr="00127CA0">
        <w:t xml:space="preserve"> case, learning English may have represented the opportunity to be empowered in a way that was not afforded to him in his country of birth. It seemed that it was important to him to claim this right by developing his English.</w:t>
      </w:r>
    </w:p>
    <w:p w:rsidR="001956F7" w:rsidRDefault="001956F7" w:rsidP="001956F7">
      <w:pPr>
        <w:pStyle w:val="Text"/>
      </w:pPr>
      <w:r w:rsidRPr="00127CA0">
        <w:t xml:space="preserve">The centre’s </w:t>
      </w:r>
      <w:r>
        <w:t>English as a second language</w:t>
      </w:r>
      <w:r w:rsidRPr="00127CA0">
        <w:t xml:space="preserve"> programs were perceived by some migrants and </w:t>
      </w:r>
      <w:r>
        <w:t>centre</w:t>
      </w:r>
      <w:r w:rsidRPr="00127CA0">
        <w:t xml:space="preserve"> personnel as valuable in providing an environment in which migrants were able to expand their social network</w:t>
      </w:r>
      <w:r w:rsidRPr="00E145AF">
        <w:t xml:space="preserve"> (see also </w:t>
      </w:r>
      <w:proofErr w:type="spellStart"/>
      <w:r w:rsidRPr="00E145AF">
        <w:t>Balatti</w:t>
      </w:r>
      <w:proofErr w:type="spellEnd"/>
      <w:r w:rsidRPr="00E145AF">
        <w:t xml:space="preserve">, Black &amp; Falk 2006; Shakespeare-Finch &amp; Wickham 2009). Over one-third </w:t>
      </w:r>
      <w:r w:rsidRPr="00127CA0">
        <w:t xml:space="preserve">of </w:t>
      </w:r>
      <w:r>
        <w:t>the</w:t>
      </w:r>
      <w:r w:rsidRPr="00127CA0">
        <w:t xml:space="preserve"> migrants (N</w:t>
      </w:r>
      <w:r>
        <w:t xml:space="preserve"> </w:t>
      </w:r>
      <w:r w:rsidRPr="00127CA0">
        <w:t>=</w:t>
      </w:r>
      <w:r>
        <w:t xml:space="preserve"> </w:t>
      </w:r>
      <w:r w:rsidRPr="00127CA0">
        <w:t xml:space="preserve">22, 36%) nominated one of their aims in undertaking their </w:t>
      </w:r>
      <w:r>
        <w:t xml:space="preserve">English language courses </w:t>
      </w:r>
      <w:r w:rsidR="00501F2B">
        <w:t>w</w:t>
      </w:r>
      <w:r w:rsidRPr="00127CA0">
        <w:t>as to meet new people and make friends. Although this number does not seem particularly significant, all interviewed m</w:t>
      </w:r>
      <w:r>
        <w:t>igrants commented on the psycho</w:t>
      </w:r>
      <w:r w:rsidRPr="00127CA0">
        <w:t xml:space="preserve">social benefits this afforded them. Nearly half </w:t>
      </w:r>
      <w:r w:rsidR="003B356C">
        <w:t xml:space="preserve">of </w:t>
      </w:r>
      <w:r w:rsidRPr="00127CA0">
        <w:t>the teachers thought that ‘networking’ was a reason for t</w:t>
      </w:r>
      <w:r>
        <w:t>heir students undertaking their language</w:t>
      </w:r>
      <w:r w:rsidRPr="00127CA0">
        <w:t xml:space="preserve"> programs (N</w:t>
      </w:r>
      <w:r>
        <w:t xml:space="preserve"> </w:t>
      </w:r>
      <w:r w:rsidRPr="00127CA0">
        <w:t>=</w:t>
      </w:r>
      <w:r>
        <w:t xml:space="preserve"> </w:t>
      </w:r>
      <w:r w:rsidRPr="00127CA0">
        <w:t xml:space="preserve">12, 46%). </w:t>
      </w:r>
    </w:p>
    <w:p w:rsidR="001956F7" w:rsidRPr="004A385A" w:rsidRDefault="001956F7" w:rsidP="001956F7">
      <w:pPr>
        <w:pStyle w:val="Text"/>
      </w:pPr>
      <w:r>
        <w:t>Jarrah Language Centre</w:t>
      </w:r>
      <w:r w:rsidRPr="00127CA0">
        <w:t xml:space="preserve"> students and teachers also highlighted t</w:t>
      </w:r>
      <w:r>
        <w:t>he ways in which English language courses</w:t>
      </w:r>
      <w:r w:rsidRPr="00127CA0">
        <w:t xml:space="preserve"> enabled migrants to mix with learners </w:t>
      </w:r>
      <w:r>
        <w:t>with</w:t>
      </w:r>
      <w:r w:rsidRPr="00127CA0">
        <w:t xml:space="preserve"> similar experiences. This solidarity of experience </w:t>
      </w:r>
      <w:r w:rsidRPr="00127CA0">
        <w:lastRenderedPageBreak/>
        <w:t>was perceived to offer migrants support and</w:t>
      </w:r>
      <w:r w:rsidRPr="00127CA0">
        <w:rPr>
          <w:sz w:val="16"/>
          <w:szCs w:val="16"/>
        </w:rPr>
        <w:t xml:space="preserve"> </w:t>
      </w:r>
      <w:r w:rsidRPr="00127CA0">
        <w:t>guidance</w:t>
      </w:r>
      <w:r w:rsidR="003B356C">
        <w:t>,</w:t>
      </w:r>
      <w:r w:rsidRPr="00127CA0">
        <w:t xml:space="preserve"> with one stating, ‘</w:t>
      </w:r>
      <w:r>
        <w:t>[we]</w:t>
      </w:r>
      <w:r w:rsidRPr="00127CA0">
        <w:rPr>
          <w:b/>
        </w:rPr>
        <w:t xml:space="preserve"> </w:t>
      </w:r>
      <w:r>
        <w:t>suffer from same problem [so we]</w:t>
      </w:r>
      <w:r w:rsidRPr="00127CA0">
        <w:t xml:space="preserve"> feel comfortable and better</w:t>
      </w:r>
      <w:r>
        <w:t>’</w:t>
      </w:r>
      <w:r w:rsidRPr="00127CA0">
        <w:t xml:space="preserve">. This capacity of </w:t>
      </w:r>
      <w:r>
        <w:t>English language</w:t>
      </w:r>
      <w:r w:rsidRPr="00127CA0">
        <w:t xml:space="preserve"> programs to enable migrants to meet, as one teacher stated, ‘people in similar situations as themselves’</w:t>
      </w:r>
      <w:r>
        <w:rPr>
          <w:i/>
          <w:color w:val="0000FF"/>
        </w:rPr>
        <w:t xml:space="preserve"> </w:t>
      </w:r>
      <w:r w:rsidRPr="004A385A">
        <w:t xml:space="preserve">was seen by </w:t>
      </w:r>
      <w:r>
        <w:t>language centre</w:t>
      </w:r>
      <w:r w:rsidRPr="004A385A">
        <w:t xml:space="preserve"> stak</w:t>
      </w:r>
      <w:r>
        <w:t>eholders as a meaningful psycho</w:t>
      </w:r>
      <w:r w:rsidRPr="004A385A">
        <w:t xml:space="preserve">social aspect of undertaking </w:t>
      </w:r>
      <w:r>
        <w:t>English language</w:t>
      </w:r>
      <w:r w:rsidRPr="004A385A">
        <w:t xml:space="preserve"> instruction. </w:t>
      </w:r>
    </w:p>
    <w:p w:rsidR="001956F7" w:rsidRPr="004A385A" w:rsidRDefault="001956F7" w:rsidP="001956F7">
      <w:pPr>
        <w:pStyle w:val="Text"/>
      </w:pPr>
      <w:r w:rsidRPr="004A385A">
        <w:t>Furthermore,</w:t>
      </w:r>
      <w:r w:rsidRPr="004A385A">
        <w:rPr>
          <w:color w:val="800080"/>
          <w:sz w:val="16"/>
          <w:szCs w:val="16"/>
        </w:rPr>
        <w:t xml:space="preserve"> </w:t>
      </w:r>
      <w:r w:rsidRPr="004A385A">
        <w:t xml:space="preserve">migrants </w:t>
      </w:r>
      <w:r w:rsidRPr="009B617B">
        <w:t>stated that they liked learning with students from other countries</w:t>
      </w:r>
      <w:r>
        <w:t xml:space="preserve"> and </w:t>
      </w:r>
      <w:r w:rsidRPr="00907145">
        <w:t>suggested that their courses afforded them direct experience of the multicultural fabric of Australian life.</w:t>
      </w:r>
      <w:r w:rsidRPr="009B617B">
        <w:t xml:space="preserve"> </w:t>
      </w:r>
      <w:r>
        <w:t xml:space="preserve">Several interviewed </w:t>
      </w:r>
      <w:r w:rsidRPr="009B617B">
        <w:t xml:space="preserve">migrants described the </w:t>
      </w:r>
      <w:proofErr w:type="spellStart"/>
      <w:r w:rsidRPr="009B617B">
        <w:t>monocultural</w:t>
      </w:r>
      <w:proofErr w:type="spellEnd"/>
      <w:r w:rsidRPr="009B617B">
        <w:t xml:space="preserve"> makeup of their countries of birth, and, thus, their limited experiences of different cultures. They explained how undertaking </w:t>
      </w:r>
      <w:r w:rsidR="003B356C">
        <w:t xml:space="preserve">their </w:t>
      </w:r>
      <w:r>
        <w:t>English language</w:t>
      </w:r>
      <w:r w:rsidRPr="009B617B">
        <w:t xml:space="preserve"> courses had helped them to gain greate</w:t>
      </w:r>
      <w:r>
        <w:t>r insight into various cultures,</w:t>
      </w:r>
      <w:r w:rsidRPr="009B617B">
        <w:t xml:space="preserve"> something that they </w:t>
      </w:r>
      <w:r>
        <w:t>(and their teachers)</w:t>
      </w:r>
      <w:r w:rsidRPr="009B617B">
        <w:t xml:space="preserve"> believed may not have been as readily available to them</w:t>
      </w:r>
      <w:r w:rsidR="003B356C">
        <w:t xml:space="preserve"> without this opportunity</w:t>
      </w:r>
      <w:r w:rsidRPr="009B617B">
        <w:t>. One mi</w:t>
      </w:r>
      <w:r>
        <w:t>grant encapsulated these psycho</w:t>
      </w:r>
      <w:r w:rsidRPr="009B617B">
        <w:t xml:space="preserve">social benefits of studying </w:t>
      </w:r>
      <w:r>
        <w:t>English as a second language</w:t>
      </w:r>
      <w:r w:rsidRPr="009B617B">
        <w:t xml:space="preserve"> at </w:t>
      </w:r>
      <w:r>
        <w:t>Jarrah Language Centre</w:t>
      </w:r>
      <w:r w:rsidRPr="009B617B">
        <w:t>, stating:</w:t>
      </w:r>
    </w:p>
    <w:p w:rsidR="001956F7" w:rsidRPr="00127CA0" w:rsidRDefault="001956F7" w:rsidP="001956F7">
      <w:pPr>
        <w:pStyle w:val="Quote"/>
        <w:rPr>
          <w:b/>
          <w:sz w:val="16"/>
          <w:szCs w:val="16"/>
        </w:rPr>
      </w:pPr>
      <w:r w:rsidRPr="00127CA0">
        <w:t xml:space="preserve">It makes people feel good </w:t>
      </w:r>
      <w:r>
        <w:t>… [because we]</w:t>
      </w:r>
      <w:r w:rsidRPr="00127CA0">
        <w:t xml:space="preserve"> can understand other countries’ migrants </w:t>
      </w:r>
      <w:r w:rsidRPr="00127CA0">
        <w:rPr>
          <w:sz w:val="14"/>
          <w:szCs w:val="14"/>
        </w:rPr>
        <w:t xml:space="preserve">… </w:t>
      </w:r>
      <w:r w:rsidRPr="00127CA0">
        <w:t xml:space="preserve">So when I meet … migrants … </w:t>
      </w:r>
      <w:r>
        <w:t>from [other]</w:t>
      </w:r>
      <w:r w:rsidRPr="00127CA0">
        <w:t xml:space="preserve"> countries, I don’t have any pre</w:t>
      </w:r>
      <w:r>
        <w:t>judice or discrimination; make [me] feel familiar with them. [So, the language centre]</w:t>
      </w:r>
      <w:r w:rsidRPr="00127CA0">
        <w:t xml:space="preserve"> was a very good place to meet othe</w:t>
      </w:r>
      <w:r>
        <w:t>r countries’ people. [Migrants often]</w:t>
      </w:r>
      <w:r w:rsidRPr="00127CA0">
        <w:t xml:space="preserve"> live </w:t>
      </w:r>
      <w:r>
        <w:t>in Australia in a very restrict[</w:t>
      </w:r>
      <w:proofErr w:type="spellStart"/>
      <w:proofErr w:type="gramStart"/>
      <w:r>
        <w:t>ed</w:t>
      </w:r>
      <w:proofErr w:type="spellEnd"/>
      <w:proofErr w:type="gramEnd"/>
      <w:r>
        <w:t>]</w:t>
      </w:r>
      <w:r w:rsidRPr="00127CA0">
        <w:t xml:space="preserve"> community … </w:t>
      </w:r>
      <w:r>
        <w:t>but [English</w:t>
      </w:r>
      <w:r w:rsidR="00E66F03">
        <w:t> </w:t>
      </w:r>
      <w:r>
        <w:t>as a second language classes]</w:t>
      </w:r>
      <w:r w:rsidRPr="00127CA0">
        <w:t xml:space="preserve"> gave </w:t>
      </w:r>
      <w:r w:rsidR="00E66F03">
        <w:t>…</w:t>
      </w:r>
      <w:r w:rsidRPr="00127CA0">
        <w:t xml:space="preserve"> oppo</w:t>
      </w:r>
      <w:r>
        <w:t>rtunity to meet another country’s</w:t>
      </w:r>
      <w:r w:rsidRPr="00127CA0">
        <w:t xml:space="preserve"> people so it</w:t>
      </w:r>
      <w:r w:rsidR="00E66F03">
        <w:t> </w:t>
      </w:r>
      <w:r w:rsidRPr="00127CA0">
        <w:t>was good.</w:t>
      </w:r>
      <w:r w:rsidRPr="00127CA0">
        <w:rPr>
          <w:b/>
        </w:rPr>
        <w:t xml:space="preserve"> </w:t>
      </w:r>
    </w:p>
    <w:p w:rsidR="001956F7" w:rsidRPr="004A385A" w:rsidRDefault="001956F7" w:rsidP="001956F7">
      <w:pPr>
        <w:pStyle w:val="Text"/>
      </w:pPr>
      <w:r w:rsidRPr="004A385A">
        <w:t xml:space="preserve">Studying </w:t>
      </w:r>
      <w:r>
        <w:t>English as a second language</w:t>
      </w:r>
      <w:r w:rsidRPr="004A385A">
        <w:t xml:space="preserve"> was perceived by migrants and </w:t>
      </w:r>
      <w:r>
        <w:t>centre personnel, as well as policy-</w:t>
      </w:r>
      <w:r w:rsidRPr="004A385A">
        <w:t>makers, as beneficial in providing an opportunity fo</w:t>
      </w:r>
      <w:r>
        <w:t>r migrants to mix in this wider</w:t>
      </w:r>
      <w:r w:rsidRPr="004A385A">
        <w:t xml:space="preserve"> multicultural social sphere. More generally, one migrant suggested that it is easier to integrate in Australia than </w:t>
      </w:r>
      <w:r>
        <w:t xml:space="preserve">in </w:t>
      </w:r>
      <w:r w:rsidRPr="004A385A">
        <w:t>her Asian country</w:t>
      </w:r>
      <w:r w:rsidRPr="00127CA0">
        <w:t xml:space="preserve"> ‘because everyone is different here’. </w:t>
      </w:r>
      <w:r>
        <w:t>The c</w:t>
      </w:r>
      <w:r w:rsidRPr="004A385A">
        <w:t xml:space="preserve">entre’s </w:t>
      </w:r>
      <w:r>
        <w:t xml:space="preserve">English </w:t>
      </w:r>
      <w:r w:rsidRPr="004A385A">
        <w:t>programs were perceived as valuable in highlighting this reality</w:t>
      </w:r>
      <w:r>
        <w:t xml:space="preserve"> and in giving migrants direct and meaningful</w:t>
      </w:r>
      <w:r w:rsidRPr="004A385A">
        <w:t xml:space="preserve"> experience of it.</w:t>
      </w:r>
    </w:p>
    <w:p w:rsidR="001956F7" w:rsidRPr="004A385A" w:rsidRDefault="001956F7" w:rsidP="001956F7">
      <w:pPr>
        <w:pStyle w:val="Text"/>
      </w:pPr>
      <w:r>
        <w:t>As previously noted</w:t>
      </w:r>
      <w:r w:rsidRPr="004A385A">
        <w:t xml:space="preserve">, Jarrah Language Centre had three types of </w:t>
      </w:r>
      <w:r>
        <w:t>English as a second language learners: s</w:t>
      </w:r>
      <w:r w:rsidRPr="004A385A">
        <w:t>tate-funded</w:t>
      </w:r>
      <w:r>
        <w:t xml:space="preserve"> migrants, </w:t>
      </w:r>
      <w:r w:rsidRPr="003866D8">
        <w:t>full-fee-paying international</w:t>
      </w:r>
      <w:r>
        <w:t xml:space="preserve"> students and Commonwealth</w:t>
      </w:r>
      <w:r w:rsidRPr="004A385A">
        <w:t>-funded A</w:t>
      </w:r>
      <w:r>
        <w:t>dult Migrant En</w:t>
      </w:r>
      <w:r w:rsidR="003B356C">
        <w:t>glish</w:t>
      </w:r>
      <w:r>
        <w:t xml:space="preserve"> Program</w:t>
      </w:r>
      <w:r w:rsidRPr="004A385A">
        <w:t xml:space="preserve"> clients</w:t>
      </w:r>
      <w:r>
        <w:t xml:space="preserve">. </w:t>
      </w:r>
      <w:r w:rsidRPr="004A385A">
        <w:t xml:space="preserve">All but one of the </w:t>
      </w:r>
      <w:r>
        <w:t xml:space="preserve">interviewed </w:t>
      </w:r>
      <w:r w:rsidRPr="004A385A">
        <w:t>migrants (</w:t>
      </w:r>
      <w:r>
        <w:t xml:space="preserve">N = </w:t>
      </w:r>
      <w:r w:rsidRPr="004A385A">
        <w:t xml:space="preserve">13/14) in this study supported combining student types in the same class, as did nearly all </w:t>
      </w:r>
      <w:r>
        <w:t>centre</w:t>
      </w:r>
      <w:r w:rsidRPr="004A385A">
        <w:t xml:space="preserve"> personnel. Learning English with </w:t>
      </w:r>
      <w:r>
        <w:t>fee-paying international</w:t>
      </w:r>
      <w:r w:rsidRPr="004A385A">
        <w:t xml:space="preserve"> students was seen to have had a positive impact on migrant learners. Migrants perceived </w:t>
      </w:r>
      <w:r>
        <w:t>these classmates</w:t>
      </w:r>
      <w:r w:rsidRPr="004A385A">
        <w:t xml:space="preserve"> as good role models</w:t>
      </w:r>
      <w:r>
        <w:t>,</w:t>
      </w:r>
      <w:r w:rsidRPr="004A385A">
        <w:t xml:space="preserve"> with three migrants stating that</w:t>
      </w:r>
      <w:r>
        <w:rPr>
          <w:i/>
          <w:color w:val="0000FF"/>
        </w:rPr>
        <w:t xml:space="preserve"> </w:t>
      </w:r>
      <w:r w:rsidRPr="000F1963">
        <w:rPr>
          <w:i/>
        </w:rPr>
        <w:t>‘</w:t>
      </w:r>
      <w:r w:rsidRPr="00127CA0">
        <w:t>international people is more work harder’, so ‘</w:t>
      </w:r>
      <w:r>
        <w:t>[we]</w:t>
      </w:r>
      <w:r w:rsidRPr="00127CA0">
        <w:t xml:space="preserve"> get motivation’, and, as a result, ‘You even push yourself harder, harder’.</w:t>
      </w:r>
      <w:r w:rsidRPr="004A385A">
        <w:t xml:space="preserve"> A number of migrants described how the </w:t>
      </w:r>
      <w:r w:rsidRPr="003866D8">
        <w:t>fee-paying international</w:t>
      </w:r>
      <w:r w:rsidRPr="004A385A">
        <w:t xml:space="preserve"> students </w:t>
      </w:r>
      <w:r>
        <w:t xml:space="preserve">at Jarrah Language Centre </w:t>
      </w:r>
      <w:r w:rsidRPr="004A385A">
        <w:t>had influenced their post-</w:t>
      </w:r>
      <w:r>
        <w:t>course</w:t>
      </w:r>
      <w:r w:rsidRPr="004A385A">
        <w:t xml:space="preserve"> further study goals, with </w:t>
      </w:r>
      <w:proofErr w:type="spellStart"/>
      <w:r w:rsidRPr="004A385A">
        <w:t>Gizem</w:t>
      </w:r>
      <w:proofErr w:type="spellEnd"/>
      <w:r w:rsidRPr="004A385A">
        <w:t xml:space="preserve"> suggesting: </w:t>
      </w:r>
    </w:p>
    <w:p w:rsidR="001956F7" w:rsidRPr="00127CA0" w:rsidRDefault="001956F7" w:rsidP="001956F7">
      <w:pPr>
        <w:pStyle w:val="Quote"/>
      </w:pPr>
      <w:r>
        <w:t>I</w:t>
      </w:r>
      <w:r w:rsidRPr="00127CA0">
        <w:t xml:space="preserve">nternational people …  paying money </w:t>
      </w:r>
      <w:r>
        <w:t>so they quickly wants to learn [English]</w:t>
      </w:r>
      <w:r w:rsidRPr="00127CA0">
        <w:t xml:space="preserve"> and go to their course … </w:t>
      </w:r>
      <w:r>
        <w:t xml:space="preserve">They coming and studying [and] they go to uni </w:t>
      </w:r>
      <w:r w:rsidR="00E66F03">
        <w:t>…</w:t>
      </w:r>
      <w:r>
        <w:t xml:space="preserve"> I say [to myself]</w:t>
      </w:r>
      <w:r w:rsidRPr="00127CA0">
        <w:t>, ‘Maybe why not? Maybe I can do that. If they do</w:t>
      </w:r>
      <w:r>
        <w:t xml:space="preserve"> </w:t>
      </w:r>
      <w:r w:rsidR="00E66F03">
        <w:t>…</w:t>
      </w:r>
      <w:r>
        <w:t xml:space="preserve"> I can do [it]</w:t>
      </w:r>
      <w:r w:rsidRPr="00127CA0">
        <w:t xml:space="preserve">, too.’ </w:t>
      </w:r>
    </w:p>
    <w:p w:rsidR="001956F7" w:rsidRPr="00127CA0" w:rsidRDefault="001956F7" w:rsidP="001956F7">
      <w:pPr>
        <w:pStyle w:val="Text"/>
      </w:pPr>
      <w:r w:rsidRPr="004A385A">
        <w:t xml:space="preserve">Reflecting these views, most </w:t>
      </w:r>
      <w:r>
        <w:t>centre</w:t>
      </w:r>
      <w:r w:rsidRPr="004A385A">
        <w:t xml:space="preserve"> personnel</w:t>
      </w:r>
      <w:r w:rsidRPr="003866D8">
        <w:t xml:space="preserve"> </w:t>
      </w:r>
      <w:r>
        <w:t xml:space="preserve">saw </w:t>
      </w:r>
      <w:r w:rsidRPr="003866D8">
        <w:t>fee-paying international</w:t>
      </w:r>
      <w:r w:rsidRPr="004A385A">
        <w:t xml:space="preserve"> students </w:t>
      </w:r>
      <w:r>
        <w:t>as exerting</w:t>
      </w:r>
      <w:r w:rsidRPr="004A385A">
        <w:t xml:space="preserve"> a positive </w:t>
      </w:r>
      <w:r w:rsidRPr="00127CA0">
        <w:t xml:space="preserve">influence in terms of increasing migrants’ ‘motivation’, and ‘migrants tend to learn faster when </w:t>
      </w:r>
      <w:r>
        <w:t>[</w:t>
      </w:r>
      <w:r w:rsidRPr="003866D8">
        <w:t>full-fee-paying international</w:t>
      </w:r>
      <w:r w:rsidRPr="00127CA0">
        <w:t xml:space="preserve"> </w:t>
      </w:r>
      <w:r>
        <w:t xml:space="preserve">students] </w:t>
      </w:r>
      <w:r w:rsidRPr="00127CA0">
        <w:t>are mixed in the class’. Several teachers described the ways in which ‘the mix’ ‘lifts the standard’ of the class</w:t>
      </w:r>
      <w:r w:rsidRPr="00127CA0">
        <w:rPr>
          <w:sz w:val="16"/>
          <w:szCs w:val="16"/>
        </w:rPr>
        <w:t>.</w:t>
      </w:r>
      <w:r w:rsidRPr="00127CA0">
        <w:t xml:space="preserve"> Others commented on the positive ‘“can do” attitude’ of </w:t>
      </w:r>
      <w:r>
        <w:t xml:space="preserve">the </w:t>
      </w:r>
      <w:r w:rsidRPr="003866D8">
        <w:t>fee-paying international</w:t>
      </w:r>
      <w:r w:rsidRPr="00127CA0">
        <w:t xml:space="preserve"> students and how, in their experience, this ‘</w:t>
      </w:r>
      <w:r>
        <w:t>probably inspires [migrants]</w:t>
      </w:r>
      <w:r w:rsidRPr="00127CA0">
        <w:t xml:space="preserve"> on to undertake more mainstream courses than they might otherwise have done’. </w:t>
      </w:r>
    </w:p>
    <w:p w:rsidR="001956F7" w:rsidRPr="005917D0" w:rsidRDefault="001956F7" w:rsidP="001956F7">
      <w:pPr>
        <w:pStyle w:val="Text"/>
        <w:rPr>
          <w:sz w:val="22"/>
        </w:rPr>
      </w:pPr>
      <w:r w:rsidRPr="00127CA0">
        <w:t xml:space="preserve">More generally, </w:t>
      </w:r>
      <w:r>
        <w:t>centre</w:t>
      </w:r>
      <w:r w:rsidRPr="00127CA0">
        <w:t xml:space="preserve"> staff and some of the interviewed migrants suggested that the ‘enthusiasm’ and ‘energy’ of</w:t>
      </w:r>
      <w:r w:rsidRPr="004A385A">
        <w:t xml:space="preserve"> the younger </w:t>
      </w:r>
      <w:r w:rsidRPr="003866D8">
        <w:t>fee-paying international</w:t>
      </w:r>
      <w:r w:rsidRPr="004A385A">
        <w:t xml:space="preserve"> learners were </w:t>
      </w:r>
      <w:r>
        <w:t>positive influences on the c</w:t>
      </w:r>
      <w:r w:rsidRPr="004A385A">
        <w:t xml:space="preserve">entre’s </w:t>
      </w:r>
      <w:r w:rsidRPr="004A385A">
        <w:lastRenderedPageBreak/>
        <w:t xml:space="preserve">migrant learners. Certainly, the </w:t>
      </w:r>
      <w:r w:rsidRPr="003866D8">
        <w:t>fee-paying international</w:t>
      </w:r>
      <w:r w:rsidRPr="004A385A">
        <w:t xml:space="preserve"> cohort at </w:t>
      </w:r>
      <w:r>
        <w:t>Jarrah Language Centre</w:t>
      </w:r>
      <w:r w:rsidRPr="004A385A">
        <w:t xml:space="preserve"> made a significant contribution to broadening the </w:t>
      </w:r>
      <w:r w:rsidRPr="004A385A">
        <w:rPr>
          <w:color w:val="000000"/>
        </w:rPr>
        <w:t xml:space="preserve">age range, gender mix and spread of </w:t>
      </w:r>
      <w:r w:rsidRPr="004A385A">
        <w:t>na</w:t>
      </w:r>
      <w:r>
        <w:t>tionalities represented in the c</w:t>
      </w:r>
      <w:r w:rsidRPr="004A385A">
        <w:t xml:space="preserve">entre’s total </w:t>
      </w:r>
      <w:r>
        <w:t>English as a second language learner population and which the centre</w:t>
      </w:r>
      <w:r w:rsidRPr="004A385A">
        <w:t xml:space="preserve"> endeavoured to reflect in each class. Some migrants in this study stated t</w:t>
      </w:r>
      <w:r>
        <w:t xml:space="preserve">hat it was this diversity of </w:t>
      </w:r>
      <w:r w:rsidRPr="004A385A">
        <w:t>cohort which had initially attract</w:t>
      </w:r>
      <w:r>
        <w:t>ed them to studying English as a second language at Jarrah Language Centre.</w:t>
      </w:r>
    </w:p>
    <w:p w:rsidR="001956F7" w:rsidRPr="007C3599" w:rsidRDefault="001956F7" w:rsidP="001956F7">
      <w:pPr>
        <w:pStyle w:val="Text"/>
      </w:pPr>
      <w:r w:rsidRPr="004A385A">
        <w:t xml:space="preserve">A small number of students made </w:t>
      </w:r>
      <w:r>
        <w:t>some</w:t>
      </w:r>
      <w:r w:rsidRPr="004A385A">
        <w:t xml:space="preserve"> suggestions </w:t>
      </w:r>
      <w:r>
        <w:t>about</w:t>
      </w:r>
      <w:r w:rsidRPr="004A385A">
        <w:t xml:space="preserve"> how </w:t>
      </w:r>
      <w:r>
        <w:t>the centre’s</w:t>
      </w:r>
      <w:r w:rsidRPr="004A385A">
        <w:t xml:space="preserve"> programs could be improved, such as</w:t>
      </w:r>
      <w:r w:rsidRPr="00E145AF">
        <w:t xml:space="preserve"> including</w:t>
      </w:r>
      <w:r>
        <w:rPr>
          <w:color w:val="0000FF"/>
        </w:rPr>
        <w:t xml:space="preserve"> </w:t>
      </w:r>
      <w:r w:rsidRPr="004A385A">
        <w:t xml:space="preserve">more Australian content, more homework, a greater focus on explicit error correction, </w:t>
      </w:r>
      <w:r w:rsidRPr="0005149F">
        <w:t>and more volunteer tutors.</w:t>
      </w:r>
      <w:r w:rsidRPr="004A385A">
        <w:t xml:space="preserve"> However, one recurring suggestion which emerged from a number of migrants was the need for </w:t>
      </w:r>
      <w:r>
        <w:t>the</w:t>
      </w:r>
      <w:r w:rsidRPr="004A385A">
        <w:t xml:space="preserve"> classes to focus more on equipping migrants with English that related to their daily lives, especially via spoken activities.</w:t>
      </w:r>
    </w:p>
    <w:p w:rsidR="001956F7" w:rsidRPr="004C16E8" w:rsidRDefault="001956F7" w:rsidP="001956F7">
      <w:pPr>
        <w:pStyle w:val="Heading3"/>
      </w:pPr>
      <w:r w:rsidRPr="002318DA">
        <w:t>Real-life</w:t>
      </w:r>
      <w:r w:rsidRPr="004C16E8">
        <w:t xml:space="preserve"> English</w:t>
      </w:r>
    </w:p>
    <w:p w:rsidR="001956F7" w:rsidRPr="00E66F03" w:rsidRDefault="001956F7" w:rsidP="00E66F03">
      <w:pPr>
        <w:pStyle w:val="Textlessbefore"/>
        <w:rPr>
          <w:b/>
          <w:color w:val="000000" w:themeColor="text1"/>
          <w:sz w:val="28"/>
          <w:szCs w:val="28"/>
        </w:rPr>
      </w:pPr>
      <w:r w:rsidRPr="004A385A">
        <w:t xml:space="preserve">The most popular reason given by students </w:t>
      </w:r>
      <w:r>
        <w:t>for undertaking their</w:t>
      </w:r>
      <w:r w:rsidRPr="004A385A">
        <w:t xml:space="preserve"> </w:t>
      </w:r>
      <w:r>
        <w:t>English as a second language</w:t>
      </w:r>
      <w:r w:rsidRPr="004A385A">
        <w:t xml:space="preserve"> course </w:t>
      </w:r>
      <w:r>
        <w:t xml:space="preserve">(July 2007) </w:t>
      </w:r>
      <w:r w:rsidRPr="004A385A">
        <w:t xml:space="preserve">was to improve their spoken English </w:t>
      </w:r>
      <w:r w:rsidRPr="004A385A">
        <w:rPr>
          <w:szCs w:val="22"/>
        </w:rPr>
        <w:t>(</w:t>
      </w:r>
      <w:r>
        <w:rPr>
          <w:szCs w:val="22"/>
        </w:rPr>
        <w:t xml:space="preserve">N = </w:t>
      </w:r>
      <w:r w:rsidRPr="004A385A">
        <w:rPr>
          <w:szCs w:val="22"/>
        </w:rPr>
        <w:t>49, 80%).</w:t>
      </w:r>
      <w:r w:rsidRPr="004A385A">
        <w:t xml:space="preserve"> Only one-third (</w:t>
      </w:r>
      <w:r>
        <w:t xml:space="preserve">N = </w:t>
      </w:r>
      <w:r w:rsidRPr="004A385A">
        <w:t xml:space="preserve">21, 34%) of the group stated that they practised English outside the classroom because, as a number of migrants suggested, they </w:t>
      </w:r>
      <w:r>
        <w:rPr>
          <w:i/>
          <w:color w:val="0000FF"/>
        </w:rPr>
        <w:t>‘</w:t>
      </w:r>
      <w:r w:rsidRPr="00127CA0">
        <w:t>have not environment to speak English’.</w:t>
      </w:r>
      <w:r w:rsidRPr="004A385A">
        <w:t xml:space="preserve"> All but one </w:t>
      </w:r>
      <w:r w:rsidRPr="004A385A">
        <w:rPr>
          <w:szCs w:val="22"/>
        </w:rPr>
        <w:t xml:space="preserve">teacher </w:t>
      </w:r>
      <w:r w:rsidRPr="004A385A">
        <w:t xml:space="preserve">commented that they believed their students were studying </w:t>
      </w:r>
      <w:r>
        <w:t>English as a second language</w:t>
      </w:r>
      <w:r w:rsidRPr="004A385A">
        <w:t xml:space="preserve"> to increase their speaking ability. </w:t>
      </w:r>
      <w:r w:rsidR="003B356C">
        <w:rPr>
          <w:szCs w:val="22"/>
        </w:rPr>
        <w:t xml:space="preserve">Language </w:t>
      </w:r>
      <w:r>
        <w:rPr>
          <w:szCs w:val="22"/>
        </w:rPr>
        <w:t>centre</w:t>
      </w:r>
      <w:r w:rsidRPr="003837D5">
        <w:rPr>
          <w:szCs w:val="22"/>
        </w:rPr>
        <w:t xml:space="preserve"> stakeholders </w:t>
      </w:r>
      <w:r w:rsidR="005B181A">
        <w:rPr>
          <w:szCs w:val="22"/>
        </w:rPr>
        <w:t xml:space="preserve">clearly agreed </w:t>
      </w:r>
      <w:r w:rsidRPr="003837D5">
        <w:rPr>
          <w:szCs w:val="22"/>
        </w:rPr>
        <w:t>that</w:t>
      </w:r>
      <w:r w:rsidRPr="003837D5">
        <w:rPr>
          <w:rFonts w:ascii="Arial" w:hAnsi="Arial"/>
          <w:szCs w:val="22"/>
        </w:rPr>
        <w:t xml:space="preserve"> </w:t>
      </w:r>
      <w:r w:rsidRPr="003837D5">
        <w:rPr>
          <w:szCs w:val="22"/>
        </w:rPr>
        <w:t>developing better spoken English was crucial to facilitating integration</w:t>
      </w:r>
      <w:r>
        <w:rPr>
          <w:szCs w:val="22"/>
        </w:rPr>
        <w:t xml:space="preserve"> </w:t>
      </w:r>
      <w:r w:rsidRPr="003837D5">
        <w:rPr>
          <w:szCs w:val="22"/>
        </w:rPr>
        <w:t xml:space="preserve">and that the </w:t>
      </w:r>
      <w:r>
        <w:rPr>
          <w:szCs w:val="22"/>
        </w:rPr>
        <w:t>English as a second language</w:t>
      </w:r>
      <w:r w:rsidRPr="003837D5">
        <w:rPr>
          <w:szCs w:val="22"/>
        </w:rPr>
        <w:t xml:space="preserve"> classroom was </w:t>
      </w:r>
      <w:r w:rsidRPr="00D223EC">
        <w:rPr>
          <w:szCs w:val="22"/>
        </w:rPr>
        <w:t>the best</w:t>
      </w:r>
      <w:r>
        <w:rPr>
          <w:color w:val="FF0000"/>
          <w:szCs w:val="22"/>
        </w:rPr>
        <w:t xml:space="preserve"> </w:t>
      </w:r>
      <w:r w:rsidRPr="003837D5">
        <w:rPr>
          <w:szCs w:val="22"/>
        </w:rPr>
        <w:t xml:space="preserve">environment </w:t>
      </w:r>
      <w:r>
        <w:rPr>
          <w:szCs w:val="22"/>
        </w:rPr>
        <w:t xml:space="preserve">for </w:t>
      </w:r>
      <w:r w:rsidRPr="003837D5">
        <w:rPr>
          <w:szCs w:val="22"/>
        </w:rPr>
        <w:t>migrants</w:t>
      </w:r>
      <w:r w:rsidRPr="004A385A">
        <w:rPr>
          <w:szCs w:val="22"/>
        </w:rPr>
        <w:t xml:space="preserve"> </w:t>
      </w:r>
      <w:r>
        <w:rPr>
          <w:szCs w:val="22"/>
        </w:rPr>
        <w:t>to achieve</w:t>
      </w:r>
      <w:r w:rsidRPr="004A385A">
        <w:rPr>
          <w:szCs w:val="22"/>
        </w:rPr>
        <w:t xml:space="preserve"> </w:t>
      </w:r>
      <w:r>
        <w:rPr>
          <w:szCs w:val="22"/>
        </w:rPr>
        <w:t>this</w:t>
      </w:r>
      <w:r w:rsidRPr="004A385A">
        <w:rPr>
          <w:szCs w:val="22"/>
        </w:rPr>
        <w:t xml:space="preserve">.  </w:t>
      </w:r>
    </w:p>
    <w:p w:rsidR="001956F7" w:rsidRPr="00127CA0" w:rsidRDefault="001956F7" w:rsidP="001956F7">
      <w:pPr>
        <w:pStyle w:val="Text"/>
        <w:rPr>
          <w:b/>
        </w:rPr>
      </w:pPr>
      <w:r w:rsidRPr="004A385A">
        <w:t>However, the notion of knowin</w:t>
      </w:r>
      <w:r>
        <w:t>g English, but not being able (</w:t>
      </w:r>
      <w:r w:rsidRPr="004A385A">
        <w:t xml:space="preserve">or confident) to speak in English, emerged as an issue for a </w:t>
      </w:r>
      <w:r>
        <w:t>number of migrants</w:t>
      </w:r>
      <w:r w:rsidRPr="004A385A">
        <w:t xml:space="preserve">. One student summarised this problem, stating, </w:t>
      </w:r>
      <w:r w:rsidRPr="00127CA0">
        <w:t>‘Because, in my heart, I know English, but I just don’t know how to use it’.</w:t>
      </w:r>
      <w:r w:rsidRPr="004A385A">
        <w:rPr>
          <w:color w:val="FF0000"/>
          <w:sz w:val="16"/>
          <w:szCs w:val="16"/>
        </w:rPr>
        <w:t xml:space="preserve"> </w:t>
      </w:r>
      <w:r w:rsidRPr="004A385A">
        <w:t>Consequently, even though some migrants commented favourably on the opportunities they had to speak English in class</w:t>
      </w:r>
      <w:r w:rsidRPr="004A385A">
        <w:rPr>
          <w:sz w:val="16"/>
          <w:szCs w:val="16"/>
        </w:rPr>
        <w:t xml:space="preserve">, </w:t>
      </w:r>
      <w:r w:rsidRPr="004A385A">
        <w:t xml:space="preserve">a number of them </w:t>
      </w:r>
      <w:r>
        <w:t>—</w:t>
      </w:r>
      <w:r w:rsidRPr="004A385A">
        <w:t xml:space="preserve"> including those who were undertaking further study </w:t>
      </w:r>
      <w:r>
        <w:t xml:space="preserve">in </w:t>
      </w:r>
      <w:r w:rsidR="005B181A">
        <w:t xml:space="preserve">the </w:t>
      </w:r>
      <w:r>
        <w:t>English language</w:t>
      </w:r>
      <w:r w:rsidRPr="004A385A">
        <w:t xml:space="preserve"> </w:t>
      </w:r>
      <w:r>
        <w:t>—</w:t>
      </w:r>
      <w:r w:rsidRPr="004A385A">
        <w:t xml:space="preserve"> stated during and </w:t>
      </w:r>
      <w:r>
        <w:t>after the course</w:t>
      </w:r>
      <w:r w:rsidRPr="004A385A">
        <w:t xml:space="preserve"> that they wanted more occasions to speak English in their classroom.</w:t>
      </w:r>
      <w:r w:rsidRPr="004A385A">
        <w:rPr>
          <w:b/>
        </w:rPr>
        <w:t xml:space="preserve"> </w:t>
      </w:r>
      <w:r w:rsidRPr="004A385A">
        <w:t xml:space="preserve">One surveyed student </w:t>
      </w:r>
      <w:r w:rsidRPr="00127CA0">
        <w:t xml:space="preserve">contended that teachers were operating from a false assumption </w:t>
      </w:r>
      <w:r>
        <w:t>in relation to</w:t>
      </w:r>
      <w:r w:rsidRPr="00127CA0">
        <w:t xml:space="preserve"> learners’ preferences, </w:t>
      </w:r>
      <w:r>
        <w:t>‘</w:t>
      </w:r>
      <w:r w:rsidRPr="00127CA0">
        <w:t>Because in the classroom the teacher thinks that writing is important but immigrants want to know the way how to speak in English</w:t>
      </w:r>
      <w:r>
        <w:t>’</w:t>
      </w:r>
      <w:r w:rsidRPr="00127CA0">
        <w:t xml:space="preserve">. A number of migrants stated that their teachers needed to include more opportunities for students to use, what we came to call, </w:t>
      </w:r>
      <w:r>
        <w:t xml:space="preserve">‘real </w:t>
      </w:r>
      <w:r w:rsidRPr="00300CD9">
        <w:t>world</w:t>
      </w:r>
      <w:r>
        <w:t>’</w:t>
      </w:r>
      <w:r w:rsidRPr="00127CA0">
        <w:t xml:space="preserve"> or </w:t>
      </w:r>
      <w:r>
        <w:t xml:space="preserve">‘real </w:t>
      </w:r>
      <w:r w:rsidRPr="00300CD9">
        <w:t>life</w:t>
      </w:r>
      <w:r>
        <w:t>’</w:t>
      </w:r>
      <w:r w:rsidRPr="00127CA0">
        <w:t xml:space="preserve"> English, with some of the core group of migrants repeatedly making this suggestion in several of their interviews. </w:t>
      </w:r>
    </w:p>
    <w:p w:rsidR="001956F7" w:rsidRPr="004A385A" w:rsidRDefault="001956F7" w:rsidP="001956F7">
      <w:pPr>
        <w:pStyle w:val="Text"/>
        <w:rPr>
          <w:color w:val="808080"/>
        </w:rPr>
      </w:pPr>
      <w:r w:rsidRPr="00127CA0">
        <w:t xml:space="preserve">Migrants </w:t>
      </w:r>
      <w:r w:rsidR="005B181A">
        <w:t>argu</w:t>
      </w:r>
      <w:r w:rsidRPr="00127CA0">
        <w:t>ed that they valued learning real-life English related to ‘Aussie English’, including Australian slang, idioms, and pronunciation, as well as more polite forms of spoken English. However, in discussing their desire to learn to use real-life English, migrants more often stated that they wanted to improve their general conversation skills for ‘everyday living’. One migrant,</w:t>
      </w:r>
      <w:r w:rsidRPr="00127CA0">
        <w:rPr>
          <w:sz w:val="16"/>
          <w:szCs w:val="16"/>
        </w:rPr>
        <w:t xml:space="preserve"> </w:t>
      </w:r>
      <w:r w:rsidRPr="00127CA0">
        <w:t>for example, stated that she was ‘very weak at everyday … casual conversation’, and could only participate in ‘</w:t>
      </w:r>
      <w:r>
        <w:t>very short conversation, [because]</w:t>
      </w:r>
      <w:r w:rsidRPr="00127CA0">
        <w:t xml:space="preserve"> I can’t continue’. She expressed the view that ‘most migrants need real-world conversation’,</w:t>
      </w:r>
      <w:r w:rsidRPr="004A385A">
        <w:t xml:space="preserve"> and her view of the worth of this type of speaking activity was bor</w:t>
      </w:r>
      <w:r w:rsidRPr="00785BB9">
        <w:t xml:space="preserve">ne </w:t>
      </w:r>
      <w:r w:rsidRPr="004A385A">
        <w:t>out by the comments of other students.</w:t>
      </w:r>
      <w:r w:rsidRPr="004A385A">
        <w:rPr>
          <w:color w:val="808080"/>
        </w:rPr>
        <w:t xml:space="preserve"> </w:t>
      </w:r>
    </w:p>
    <w:p w:rsidR="001956F7" w:rsidRPr="004A385A" w:rsidRDefault="005B181A" w:rsidP="001956F7">
      <w:pPr>
        <w:pStyle w:val="Text"/>
      </w:pPr>
      <w:r>
        <w:t>Other occasions for using</w:t>
      </w:r>
      <w:r w:rsidR="001956F7" w:rsidRPr="004A385A">
        <w:t xml:space="preserve"> language in speaking activities </w:t>
      </w:r>
      <w:r>
        <w:t>suggested by migrants included</w:t>
      </w:r>
      <w:r w:rsidR="001956F7" w:rsidRPr="00127CA0">
        <w:t xml:space="preserve"> ‘</w:t>
      </w:r>
      <w:r w:rsidR="001956F7">
        <w:t>scenario[s]</w:t>
      </w:r>
      <w:r w:rsidR="001956F7" w:rsidRPr="00127CA0">
        <w:t>’</w:t>
      </w:r>
      <w:r w:rsidR="001956F7" w:rsidRPr="004A385A">
        <w:t xml:space="preserve"> or role plays. One migrant, for instance, spoke enthusiastically of </w:t>
      </w:r>
      <w:r w:rsidR="001956F7">
        <w:t>a</w:t>
      </w:r>
      <w:r w:rsidR="001956F7" w:rsidRPr="004A385A">
        <w:t xml:space="preserve"> teacher with whom she had studied at another migrant </w:t>
      </w:r>
      <w:r w:rsidR="001956F7">
        <w:t>language</w:t>
      </w:r>
      <w:r w:rsidR="001956F7" w:rsidRPr="004A385A">
        <w:t xml:space="preserve"> centre who had regularly set pair role plays, such as talking with </w:t>
      </w:r>
      <w:r w:rsidR="001956F7" w:rsidRPr="004A385A">
        <w:lastRenderedPageBreak/>
        <w:t xml:space="preserve">their child’s teacher, or a new neighbour. She spoke of the benefits of such activities, as well as their application to real life: </w:t>
      </w:r>
    </w:p>
    <w:p w:rsidR="001956F7" w:rsidRPr="00127CA0" w:rsidRDefault="001956F7" w:rsidP="001956F7">
      <w:pPr>
        <w:pStyle w:val="Quote"/>
      </w:pPr>
      <w:r w:rsidRPr="00127CA0">
        <w:t xml:space="preserve">It was very good exercise … and real situation </w:t>
      </w:r>
      <w:r w:rsidR="00E66F03">
        <w:t>…</w:t>
      </w:r>
      <w:r w:rsidRPr="00127CA0">
        <w:t xml:space="preserve"> </w:t>
      </w:r>
      <w:r>
        <w:t>[because]</w:t>
      </w:r>
      <w:r w:rsidRPr="00127CA0">
        <w:t xml:space="preserve"> some vocabulary, I know vocabulary, but I can’t use them properly, but role playing make me </w:t>
      </w:r>
      <w:r>
        <w:t>use that properly</w:t>
      </w:r>
      <w:r w:rsidRPr="00127CA0">
        <w:t xml:space="preserve"> … </w:t>
      </w:r>
      <w:r>
        <w:t>[So this speaking]</w:t>
      </w:r>
      <w:r w:rsidRPr="00127CA0">
        <w:t xml:space="preserve"> exercise make me feel more comfortable.</w:t>
      </w:r>
    </w:p>
    <w:p w:rsidR="001956F7" w:rsidRPr="004A385A" w:rsidRDefault="001956F7" w:rsidP="001956F7">
      <w:pPr>
        <w:pStyle w:val="Text"/>
      </w:pPr>
      <w:r w:rsidRPr="004A385A">
        <w:t>She was not the only migrant who spoke of the</w:t>
      </w:r>
      <w:r w:rsidRPr="004A385A">
        <w:rPr>
          <w:b/>
        </w:rPr>
        <w:t xml:space="preserve"> </w:t>
      </w:r>
      <w:r w:rsidRPr="004A385A">
        <w:t>integrative</w:t>
      </w:r>
      <w:r w:rsidRPr="004A385A">
        <w:rPr>
          <w:b/>
        </w:rPr>
        <w:t xml:space="preserve"> </w:t>
      </w:r>
      <w:r w:rsidRPr="004A385A">
        <w:t>benefits of speaking activities that, in effect, functioned as ‘rehearsals for life’.</w:t>
      </w:r>
    </w:p>
    <w:p w:rsidR="001956F7" w:rsidRPr="00684DA5" w:rsidRDefault="001956F7" w:rsidP="001956F7">
      <w:pPr>
        <w:pStyle w:val="Text"/>
      </w:pPr>
      <w:r w:rsidRPr="00684DA5">
        <w:t>The survey showed that</w:t>
      </w:r>
      <w:r>
        <w:t>,</w:t>
      </w:r>
      <w:r w:rsidRPr="00684DA5">
        <w:t xml:space="preserve"> for some migrants who had dependent children in Australia, maximising their speaking in class was important</w:t>
      </w:r>
      <w:r>
        <w:t xml:space="preserve">. </w:t>
      </w:r>
      <w:r w:rsidR="009A20EF">
        <w:t>These parents suggested that b</w:t>
      </w:r>
      <w:r w:rsidRPr="00684DA5">
        <w:t>ecause</w:t>
      </w:r>
      <w:r>
        <w:t xml:space="preserve"> they wanted </w:t>
      </w:r>
      <w:r w:rsidRPr="00684DA5">
        <w:t xml:space="preserve">their children </w:t>
      </w:r>
      <w:r>
        <w:t>to maintain</w:t>
      </w:r>
      <w:r w:rsidRPr="00684DA5">
        <w:t xml:space="preserve"> their first language(s), they had limited opportunities to use English at home. Furthermore, for some migrants </w:t>
      </w:r>
      <w:r w:rsidR="009D251A">
        <w:t>with</w:t>
      </w:r>
      <w:r w:rsidRPr="00684DA5">
        <w:t xml:space="preserve"> school-aged children, there was a sense that the formal learning of</w:t>
      </w:r>
      <w:r w:rsidRPr="00684DA5">
        <w:rPr>
          <w:rFonts w:ascii="Arial" w:hAnsi="Arial"/>
        </w:rPr>
        <w:t xml:space="preserve"> </w:t>
      </w:r>
      <w:r w:rsidRPr="00684DA5">
        <w:t>English in a classroom,</w:t>
      </w:r>
      <w:r w:rsidRPr="00684DA5">
        <w:rPr>
          <w:color w:val="800080"/>
        </w:rPr>
        <w:t xml:space="preserve"> </w:t>
      </w:r>
      <w:r w:rsidRPr="00684DA5">
        <w:t xml:space="preserve">particularly its ability to develop their speaking skills, was important in assisting them to fulfil their responsibilities as parents. Ten </w:t>
      </w:r>
      <w:r>
        <w:t xml:space="preserve">students (16%, </w:t>
      </w:r>
      <w:r w:rsidRPr="00684DA5">
        <w:t xml:space="preserve">all female) nominated the desire to help their children to develop good English as one of their reasons for participating in their </w:t>
      </w:r>
      <w:r>
        <w:t>July—</w:t>
      </w:r>
      <w:r w:rsidRPr="00684DA5">
        <w:t>December 2007</w:t>
      </w:r>
      <w:r w:rsidRPr="00684DA5">
        <w:rPr>
          <w:sz w:val="16"/>
          <w:szCs w:val="16"/>
        </w:rPr>
        <w:t xml:space="preserve"> </w:t>
      </w:r>
      <w:r>
        <w:t>English language</w:t>
      </w:r>
      <w:r w:rsidRPr="00684DA5">
        <w:t xml:space="preserve"> course. </w:t>
      </w:r>
    </w:p>
    <w:p w:rsidR="001956F7" w:rsidRPr="00127CA0" w:rsidRDefault="001956F7" w:rsidP="001956F7">
      <w:pPr>
        <w:pStyle w:val="Text"/>
      </w:pPr>
      <w:r w:rsidRPr="00684DA5">
        <w:t xml:space="preserve">Of the </w:t>
      </w:r>
      <w:r>
        <w:t>14</w:t>
      </w:r>
      <w:r w:rsidRPr="00684DA5">
        <w:rPr>
          <w:color w:val="FF0000"/>
        </w:rPr>
        <w:t xml:space="preserve"> </w:t>
      </w:r>
      <w:r w:rsidRPr="00684DA5">
        <w:t>interviewed migrants, nine were parents</w:t>
      </w:r>
      <w:r w:rsidR="009D251A">
        <w:t xml:space="preserve"> and</w:t>
      </w:r>
      <w:r w:rsidRPr="00684DA5">
        <w:t xml:space="preserve"> eight of </w:t>
      </w:r>
      <w:r w:rsidR="009D251A">
        <w:t>these</w:t>
      </w:r>
      <w:r w:rsidRPr="00684DA5">
        <w:t xml:space="preserve"> had infant or school-aged children. Most of these migrants also spoke of the importance of spoken English to their roles as parents, specifically in terms of assisting their child </w:t>
      </w:r>
      <w:r>
        <w:t>academically</w:t>
      </w:r>
      <w:r w:rsidRPr="00684DA5">
        <w:t xml:space="preserve"> and socially. Several migrant mothers contended that their </w:t>
      </w:r>
      <w:r>
        <w:t>English language</w:t>
      </w:r>
      <w:r w:rsidRPr="00684DA5">
        <w:t xml:space="preserve"> studies at </w:t>
      </w:r>
      <w:r>
        <w:t>the centre</w:t>
      </w:r>
      <w:r w:rsidRPr="00684DA5">
        <w:t xml:space="preserve"> were important to them in relation to their children’s acceptance within their peer</w:t>
      </w:r>
      <w:r>
        <w:t xml:space="preserve"> group. This view of the psycho</w:t>
      </w:r>
      <w:r w:rsidRPr="00684DA5">
        <w:t xml:space="preserve">social integrative benefits to migrant parents of learning </w:t>
      </w:r>
      <w:r>
        <w:t xml:space="preserve">English </w:t>
      </w:r>
      <w:r w:rsidRPr="00684DA5">
        <w:t xml:space="preserve">was echoed by one of the </w:t>
      </w:r>
      <w:r>
        <w:t>centre</w:t>
      </w:r>
      <w:r w:rsidRPr="00684DA5">
        <w:t xml:space="preserve"> teachers who suggested that some migrants formally learn English to help them to ‘</w:t>
      </w:r>
      <w:r>
        <w:t>especially [deal with their]</w:t>
      </w:r>
      <w:r w:rsidRPr="00684DA5">
        <w:t xml:space="preserve"> children as they get older and their children’s friends</w:t>
      </w:r>
      <w:r w:rsidRPr="00684DA5">
        <w:rPr>
          <w:sz w:val="20"/>
        </w:rPr>
        <w:t>’</w:t>
      </w:r>
      <w:r w:rsidRPr="00684DA5">
        <w:t>.</w:t>
      </w:r>
    </w:p>
    <w:p w:rsidR="001956F7" w:rsidRPr="00127CA0" w:rsidRDefault="001956F7" w:rsidP="001956F7">
      <w:pPr>
        <w:pStyle w:val="Text"/>
      </w:pPr>
      <w:r w:rsidRPr="00127CA0">
        <w:t>Another migrant mother, Sunny, seemed to lament</w:t>
      </w:r>
      <w:r w:rsidRPr="00127CA0">
        <w:rPr>
          <w:sz w:val="16"/>
          <w:szCs w:val="16"/>
        </w:rPr>
        <w:t xml:space="preserve"> </w:t>
      </w:r>
      <w:r w:rsidRPr="00127CA0">
        <w:t>the extent to which her limited speaking skills had inhibited her ability to interact with other ‘Australian’ parents at her daughter’s netball matches and training sessions:</w:t>
      </w:r>
    </w:p>
    <w:p w:rsidR="001956F7" w:rsidRPr="00127CA0" w:rsidRDefault="001956F7" w:rsidP="001956F7">
      <w:pPr>
        <w:pStyle w:val="Quote"/>
      </w:pPr>
      <w:proofErr w:type="gramStart"/>
      <w:r w:rsidRPr="00127CA0">
        <w:t>so</w:t>
      </w:r>
      <w:proofErr w:type="gramEnd"/>
      <w:r w:rsidRPr="00127CA0">
        <w:t xml:space="preserve"> it’s a litt</w:t>
      </w:r>
      <w:r>
        <w:t>le bit pressure for me because [they are]</w:t>
      </w:r>
      <w:r w:rsidRPr="00127CA0">
        <w:t xml:space="preserve"> Australian girls and</w:t>
      </w:r>
      <w:r>
        <w:t xml:space="preserve"> </w:t>
      </w:r>
      <w:r w:rsidRPr="00127CA0">
        <w:t>…</w:t>
      </w:r>
      <w:r>
        <w:t xml:space="preserve"> </w:t>
      </w:r>
      <w:r w:rsidRPr="00127CA0">
        <w:t>during the games and</w:t>
      </w:r>
      <w:r>
        <w:t xml:space="preserve"> </w:t>
      </w:r>
      <w:r w:rsidRPr="00127CA0">
        <w:t>…</w:t>
      </w:r>
      <w:r>
        <w:t xml:space="preserve"> </w:t>
      </w:r>
      <w:r w:rsidRPr="00127CA0">
        <w:t xml:space="preserve">practice, most mums stay there, so it’s really difficult for me to stay there. </w:t>
      </w:r>
      <w:proofErr w:type="gramStart"/>
      <w:r w:rsidRPr="00127CA0">
        <w:t>Just a ‘Hi’, then something, then finish.</w:t>
      </w:r>
      <w:proofErr w:type="gramEnd"/>
    </w:p>
    <w:p w:rsidR="001956F7" w:rsidRPr="004A385A" w:rsidRDefault="001956F7" w:rsidP="001956F7">
      <w:pPr>
        <w:pStyle w:val="Text"/>
      </w:pPr>
      <w:r w:rsidRPr="004A385A">
        <w:t xml:space="preserve">She explained that her daughter </w:t>
      </w:r>
      <w:r>
        <w:t xml:space="preserve">had </w:t>
      </w:r>
      <w:r w:rsidR="009D251A">
        <w:t xml:space="preserve">now </w:t>
      </w:r>
      <w:r w:rsidRPr="004A385A">
        <w:t xml:space="preserve">left this netball team, and Sunny believed her own inadequate spoken </w:t>
      </w:r>
      <w:r w:rsidRPr="00077CF5">
        <w:t>English skills w</w:t>
      </w:r>
      <w:r>
        <w:t>ere implicated in this decision,</w:t>
      </w:r>
      <w:r w:rsidRPr="00077CF5">
        <w:t xml:space="preserve"> something that appeared to trouble her.</w:t>
      </w:r>
      <w:r w:rsidRPr="00077CF5">
        <w:rPr>
          <w:color w:val="FF0000"/>
        </w:rPr>
        <w:t xml:space="preserve"> </w:t>
      </w:r>
      <w:r>
        <w:t>It seemed</w:t>
      </w:r>
      <w:r w:rsidRPr="00077CF5">
        <w:t xml:space="preserve">, to some extent, </w:t>
      </w:r>
      <w:r>
        <w:t xml:space="preserve">that </w:t>
      </w:r>
      <w:proofErr w:type="spellStart"/>
      <w:r w:rsidRPr="00077CF5">
        <w:t>Sunny’s</w:t>
      </w:r>
      <w:proofErr w:type="spellEnd"/>
      <w:r w:rsidRPr="00077CF5">
        <w:t xml:space="preserve"> self-assessed limited real-life</w:t>
      </w:r>
      <w:r w:rsidRPr="00077CF5">
        <w:rPr>
          <w:i/>
        </w:rPr>
        <w:t xml:space="preserve"> </w:t>
      </w:r>
      <w:r w:rsidRPr="00077CF5">
        <w:t xml:space="preserve">English had had negative </w:t>
      </w:r>
      <w:r w:rsidRPr="0035040A">
        <w:t>integrative</w:t>
      </w:r>
      <w:r w:rsidRPr="0035040A">
        <w:rPr>
          <w:b/>
        </w:rPr>
        <w:t xml:space="preserve"> </w:t>
      </w:r>
      <w:r w:rsidRPr="0035040A">
        <w:t>consequences for her and her daughter, and had chall</w:t>
      </w:r>
      <w:r>
        <w:t xml:space="preserve">enged </w:t>
      </w:r>
      <w:proofErr w:type="spellStart"/>
      <w:r>
        <w:t>Sunny’s</w:t>
      </w:r>
      <w:proofErr w:type="spellEnd"/>
      <w:r>
        <w:t xml:space="preserve"> self-concept. She and other migrants</w:t>
      </w:r>
      <w:r w:rsidRPr="0035040A">
        <w:t xml:space="preserve"> expressed the view that the inclusion of more real-life speaking tasks in classes would have bee</w:t>
      </w:r>
      <w:r>
        <w:t>n beneficial in helping them deal with</w:t>
      </w:r>
      <w:r w:rsidRPr="0035040A">
        <w:t xml:space="preserve"> such rea</w:t>
      </w:r>
      <w:r>
        <w:t>l-world</w:t>
      </w:r>
      <w:r w:rsidRPr="0035040A">
        <w:t xml:space="preserve"> soci</w:t>
      </w:r>
      <w:r>
        <w:t>al situa</w:t>
      </w:r>
      <w:r w:rsidRPr="0035040A">
        <w:t>tions.</w:t>
      </w:r>
      <w:r w:rsidRPr="006C278A">
        <w:rPr>
          <w:color w:val="FF0000"/>
        </w:rPr>
        <w:t xml:space="preserve"> </w:t>
      </w:r>
    </w:p>
    <w:p w:rsidR="001956F7" w:rsidRPr="00E66F03" w:rsidRDefault="001956F7" w:rsidP="001956F7">
      <w:pPr>
        <w:pStyle w:val="Text"/>
        <w:rPr>
          <w:color w:val="000000" w:themeColor="text1"/>
        </w:rPr>
      </w:pPr>
      <w:r w:rsidRPr="004A385A">
        <w:t xml:space="preserve">More broadly, several interviewed migrants spoke of the ways in which their own </w:t>
      </w:r>
      <w:r>
        <w:t>English language</w:t>
      </w:r>
      <w:r w:rsidRPr="004A385A">
        <w:t xml:space="preserve"> studies </w:t>
      </w:r>
      <w:r w:rsidR="009D251A">
        <w:t xml:space="preserve">had </w:t>
      </w:r>
      <w:r w:rsidRPr="004A385A">
        <w:t>facilitated an interdependent English language learning relationship with their children, which these migrants found advantageous in terms of their own integration process. Xi, for instance, spoke positively of the dynamic between her and her senior secondary school-aged son regarding their studies, and how this was mutually beneficial for them, stating,</w:t>
      </w:r>
      <w:r w:rsidRPr="00127CA0">
        <w:t xml:space="preserve"> ‘Actually, we help each other!’</w:t>
      </w:r>
      <w:r w:rsidRPr="004A385A">
        <w:t xml:space="preserve"> To some of the migrant parents of school-aged children, formally learning </w:t>
      </w:r>
      <w:r>
        <w:t xml:space="preserve">English </w:t>
      </w:r>
      <w:r w:rsidRPr="004A385A">
        <w:t>seemed not only central to their own integration</w:t>
      </w:r>
      <w:r>
        <w:t xml:space="preserve"> and, as a result, their psychosocial wellbeing, but also by association —</w:t>
      </w:r>
      <w:r w:rsidRPr="004A385A">
        <w:t xml:space="preserve"> and, perhaps, more importantly </w:t>
      </w:r>
      <w:r>
        <w:t>—</w:t>
      </w:r>
      <w:r w:rsidRPr="004A385A">
        <w:t xml:space="preserve"> to that of their children.</w:t>
      </w:r>
    </w:p>
    <w:p w:rsidR="001956F7" w:rsidRPr="004A385A" w:rsidRDefault="001956F7" w:rsidP="009D251A">
      <w:pPr>
        <w:pStyle w:val="Text"/>
        <w:ind w:right="0"/>
      </w:pPr>
      <w:r w:rsidRPr="004A385A">
        <w:lastRenderedPageBreak/>
        <w:t xml:space="preserve">Another aspect of real-life English that emerged in this study related to students’ understanding of Australian </w:t>
      </w:r>
      <w:proofErr w:type="gramStart"/>
      <w:r w:rsidRPr="004A385A">
        <w:t>swear</w:t>
      </w:r>
      <w:proofErr w:type="gramEnd"/>
      <w:r w:rsidRPr="004A385A">
        <w:t xml:space="preserve"> words, and its importance to migrants’ integration. Ping enthusiastically described a</w:t>
      </w:r>
      <w:r w:rsidR="009D251A">
        <w:t> </w:t>
      </w:r>
      <w:r w:rsidRPr="004A385A">
        <w:t xml:space="preserve">‘swearing lesson’ her teacher had </w:t>
      </w:r>
      <w:r w:rsidR="009D251A">
        <w:t>conducted in</w:t>
      </w:r>
      <w:r w:rsidRPr="004A385A">
        <w:t xml:space="preserve"> her advanced </w:t>
      </w:r>
      <w:r>
        <w:t>English language</w:t>
      </w:r>
      <w:r w:rsidRPr="004A385A">
        <w:t xml:space="preserve"> class. She</w:t>
      </w:r>
      <w:r w:rsidRPr="009D251A">
        <w:rPr>
          <w:color w:val="000000" w:themeColor="text1"/>
          <w:sz w:val="16"/>
          <w:szCs w:val="16"/>
        </w:rPr>
        <w:t xml:space="preserve"> </w:t>
      </w:r>
      <w:r w:rsidRPr="004A385A">
        <w:t>explained that the formal classroom environment had enabled her to learn a form of real-life English that she belie</w:t>
      </w:r>
      <w:r>
        <w:t>ved was important to her psychosocial integration,</w:t>
      </w:r>
      <w:r w:rsidRPr="004A385A">
        <w:t xml:space="preserve"> one that, otherwise, would have been inaccessible to her:</w:t>
      </w:r>
    </w:p>
    <w:p w:rsidR="001956F7" w:rsidRPr="00127CA0" w:rsidRDefault="001956F7" w:rsidP="001956F7">
      <w:pPr>
        <w:pStyle w:val="Quote"/>
        <w:rPr>
          <w:sz w:val="16"/>
          <w:szCs w:val="16"/>
        </w:rPr>
      </w:pPr>
      <w:r>
        <w:t>It’s a very special thing what</w:t>
      </w:r>
      <w:r w:rsidRPr="00127CA0">
        <w:t xml:space="preserve"> she told us. We should know about some Australian bad words! It’s very important because if she, if n</w:t>
      </w:r>
      <w:r>
        <w:t xml:space="preserve">obody </w:t>
      </w:r>
      <w:proofErr w:type="gramStart"/>
      <w:r>
        <w:t>teach</w:t>
      </w:r>
      <w:proofErr w:type="gramEnd"/>
      <w:r>
        <w:t xml:space="preserve"> us, we don’t know. [So]</w:t>
      </w:r>
      <w:r w:rsidRPr="00127CA0">
        <w:t xml:space="preserve"> maybe when someone </w:t>
      </w:r>
      <w:proofErr w:type="gramStart"/>
      <w:r w:rsidRPr="00127CA0">
        <w:t>swear</w:t>
      </w:r>
      <w:proofErr w:type="gramEnd"/>
      <w:r w:rsidRPr="00127CA0">
        <w:t xml:space="preserve"> something, we just laughing or give him smile, so it’s not good. So when she taught us, ‘Oh! </w:t>
      </w:r>
      <w:r w:rsidR="00E66F03">
        <w:t>…</w:t>
      </w:r>
      <w:r w:rsidRPr="00127CA0">
        <w:t xml:space="preserve"> </w:t>
      </w:r>
      <w:r>
        <w:t>Oh, yes, yes!’ [Then, we understood]</w:t>
      </w:r>
      <w:r w:rsidRPr="00127CA0">
        <w:t xml:space="preserve"> … </w:t>
      </w:r>
      <w:r>
        <w:t xml:space="preserve"> Before [this teacher]</w:t>
      </w:r>
      <w:r w:rsidRPr="00127CA0">
        <w:t xml:space="preserve">, nobody, no-one, teach us this. </w:t>
      </w:r>
    </w:p>
    <w:p w:rsidR="001956F7" w:rsidRPr="004A385A" w:rsidRDefault="001956F7" w:rsidP="001956F7">
      <w:pPr>
        <w:pStyle w:val="Text"/>
      </w:pPr>
      <w:r w:rsidRPr="004A385A">
        <w:t>This lesson highlights not only this teacher’s ‘brave’ classroom content but, more importantly, the po</w:t>
      </w:r>
      <w:r>
        <w:t>tential real-life psycho</w:t>
      </w:r>
      <w:r w:rsidRPr="004A385A">
        <w:t>social integrative benefits to students of teachers doing so.</w:t>
      </w:r>
    </w:p>
    <w:p w:rsidR="001956F7" w:rsidRPr="004A385A" w:rsidRDefault="001956F7" w:rsidP="001956F7">
      <w:pPr>
        <w:pStyle w:val="Text"/>
      </w:pPr>
      <w:r w:rsidRPr="004A385A">
        <w:t xml:space="preserve">Despite some migrants stating that they wanted to </w:t>
      </w:r>
      <w:r w:rsidR="009D251A">
        <w:t>participate in</w:t>
      </w:r>
      <w:r w:rsidRPr="004A385A">
        <w:t xml:space="preserve"> more real-life English and more speaking in class</w:t>
      </w:r>
      <w:r w:rsidRPr="00BD4324">
        <w:t xml:space="preserve">, a few </w:t>
      </w:r>
      <w:r w:rsidRPr="004A385A">
        <w:t xml:space="preserve">commented on how they equated the development of their English skills with explicitly learning grammar. One of these migrants, Yoko, who was undertaking a </w:t>
      </w:r>
      <w:r w:rsidR="009D251A">
        <w:t>l</w:t>
      </w:r>
      <w:r w:rsidRPr="004A385A">
        <w:t>evel 5 class after completing three</w:t>
      </w:r>
      <w:r w:rsidRPr="004A385A">
        <w:rPr>
          <w:b/>
          <w:color w:val="FF0000"/>
        </w:rPr>
        <w:t xml:space="preserve"> </w:t>
      </w:r>
      <w:r>
        <w:t>lower-</w:t>
      </w:r>
      <w:r w:rsidRPr="004A385A">
        <w:t xml:space="preserve">level courses at </w:t>
      </w:r>
      <w:r>
        <w:t>the language centre</w:t>
      </w:r>
      <w:r w:rsidRPr="004A385A">
        <w:t xml:space="preserve"> explained:</w:t>
      </w:r>
    </w:p>
    <w:p w:rsidR="001956F7" w:rsidRPr="00127CA0" w:rsidRDefault="001956F7" w:rsidP="001956F7">
      <w:pPr>
        <w:pStyle w:val="Quote"/>
      </w:pPr>
      <w:r w:rsidRPr="00127CA0">
        <w:t>I felt I was doing more when I was learning</w:t>
      </w:r>
      <w:r>
        <w:t xml:space="preserve"> grammar; like, more studying; [I] felt like [I was]</w:t>
      </w:r>
      <w:r w:rsidRPr="00127CA0">
        <w:t xml:space="preserve"> studying, but now it feels more like everyday thing.</w:t>
      </w:r>
    </w:p>
    <w:p w:rsidR="001956F7" w:rsidRPr="004A385A" w:rsidRDefault="001956F7" w:rsidP="001956F7">
      <w:pPr>
        <w:pStyle w:val="Text"/>
      </w:pPr>
      <w:r w:rsidRPr="004A385A">
        <w:t xml:space="preserve">It may be that this comment not only reflects her preferred learning style (something she acknowledged), but also that her advanced-level </w:t>
      </w:r>
      <w:r>
        <w:t>English as a second language</w:t>
      </w:r>
      <w:r w:rsidRPr="004A385A">
        <w:t xml:space="preserve"> course was no longer as effecti</w:t>
      </w:r>
      <w:r>
        <w:t>ve for her. Perhaps, her psycho</w:t>
      </w:r>
      <w:r w:rsidRPr="004A385A">
        <w:t>linguistic needs m</w:t>
      </w:r>
      <w:r w:rsidR="009D251A">
        <w:t>ight</w:t>
      </w:r>
      <w:r w:rsidRPr="004A385A">
        <w:t xml:space="preserve"> have been better served by leaving the </w:t>
      </w:r>
      <w:r>
        <w:t>English as a second language classroom environment</w:t>
      </w:r>
      <w:r w:rsidRPr="004A385A">
        <w:t xml:space="preserve"> and articulating into further study or work</w:t>
      </w:r>
      <w:r>
        <w:t>.</w:t>
      </w:r>
      <w:r w:rsidRPr="004A385A">
        <w:rPr>
          <w:rStyle w:val="FootnoteReference"/>
          <w:rFonts w:cs="Arial"/>
          <w:szCs w:val="22"/>
        </w:rPr>
        <w:footnoteReference w:id="10"/>
      </w:r>
      <w:r w:rsidRPr="004A385A">
        <w:t xml:space="preserve"> Moreover, this example highlights the potential difficulty for teachers in meeting the various learning</w:t>
      </w:r>
      <w:r>
        <w:t xml:space="preserve"> styles and needs of English </w:t>
      </w:r>
      <w:proofErr w:type="gramStart"/>
      <w:r>
        <w:t>as a second language student</w:t>
      </w:r>
      <w:r w:rsidRPr="004A385A">
        <w:t>s</w:t>
      </w:r>
      <w:proofErr w:type="gramEnd"/>
      <w:r w:rsidRPr="004A385A">
        <w:t xml:space="preserve">, and striking the right balance between real-life </w:t>
      </w:r>
      <w:r w:rsidRPr="00B41498">
        <w:rPr>
          <w:color w:val="0000FF"/>
        </w:rPr>
        <w:t>‘</w:t>
      </w:r>
      <w:r w:rsidRPr="00B41498">
        <w:t>everyday’</w:t>
      </w:r>
      <w:r>
        <w:rPr>
          <w:i/>
          <w:color w:val="0000FF"/>
        </w:rPr>
        <w:t xml:space="preserve"> </w:t>
      </w:r>
      <w:r w:rsidRPr="004A385A">
        <w:t>Engl</w:t>
      </w:r>
      <w:r>
        <w:t>ish and more grammar-focu</w:t>
      </w:r>
      <w:r w:rsidRPr="004A385A">
        <w:t xml:space="preserve">sed </w:t>
      </w:r>
      <w:r>
        <w:t>language</w:t>
      </w:r>
      <w:r w:rsidRPr="004A385A">
        <w:t xml:space="preserve"> content. It may suggest that teachers need to combine both </w:t>
      </w:r>
      <w:r w:rsidR="009D251A">
        <w:t>elements</w:t>
      </w:r>
      <w:r w:rsidRPr="004A385A">
        <w:t xml:space="preserve">, as well as explicitly contextualise </w:t>
      </w:r>
      <w:r>
        <w:t xml:space="preserve">English </w:t>
      </w:r>
      <w:proofErr w:type="gramStart"/>
      <w:r>
        <w:t>as a second language</w:t>
      </w:r>
      <w:r w:rsidRPr="004A385A">
        <w:t xml:space="preserve"> activities</w:t>
      </w:r>
      <w:proofErr w:type="gramEnd"/>
      <w:r w:rsidRPr="004A385A">
        <w:t xml:space="preserve"> more often to their students. </w:t>
      </w:r>
    </w:p>
    <w:p w:rsidR="001956F7" w:rsidRPr="004A385A" w:rsidRDefault="001956F7" w:rsidP="001956F7">
      <w:pPr>
        <w:pStyle w:val="Text"/>
      </w:pPr>
      <w:r w:rsidRPr="004A385A">
        <w:t>Even though some student</w:t>
      </w:r>
      <w:r>
        <w:t>s stated that learning correct</w:t>
      </w:r>
      <w:r w:rsidRPr="004A385A">
        <w:t xml:space="preserve"> grammar was important, it seemed that migrants generally believed that increased practice in using spoken English in the classroom, especially real-life </w:t>
      </w:r>
      <w:proofErr w:type="gramStart"/>
      <w:r w:rsidRPr="004A385A">
        <w:t>English,</w:t>
      </w:r>
      <w:proofErr w:type="gramEnd"/>
      <w:r w:rsidRPr="004A385A">
        <w:t xml:space="preserve"> was</w:t>
      </w:r>
      <w:r>
        <w:t xml:space="preserve"> more important to their psycho</w:t>
      </w:r>
      <w:r w:rsidRPr="004A385A">
        <w:t xml:space="preserve">social integration. They expressed the view that the classroom was an environment in which they could </w:t>
      </w:r>
      <w:r>
        <w:t>— and should —</w:t>
      </w:r>
      <w:r w:rsidRPr="004A385A">
        <w:t xml:space="preserve"> have more chances to speak English than, it would seem, most had in the </w:t>
      </w:r>
      <w:r w:rsidRPr="004A385A">
        <w:rPr>
          <w:i/>
        </w:rPr>
        <w:t>real world</w:t>
      </w:r>
      <w:r w:rsidRPr="004A385A">
        <w:t>. Including more speaking tasks in classes was perceived by migrants to be beneficial in increasing their confidence and competence in speaking in English</w:t>
      </w:r>
      <w:r>
        <w:t>,</w:t>
      </w:r>
      <w:r w:rsidRPr="004A385A">
        <w:t xml:space="preserve"> </w:t>
      </w:r>
      <w:r>
        <w:t>which as a result</w:t>
      </w:r>
      <w:r w:rsidRPr="00491C6B">
        <w:t xml:space="preserve"> would support their integration.</w:t>
      </w:r>
    </w:p>
    <w:p w:rsidR="001956F7" w:rsidRPr="004A385A" w:rsidRDefault="001956F7" w:rsidP="001956F7">
      <w:pPr>
        <w:pStyle w:val="Text"/>
      </w:pPr>
      <w:r w:rsidRPr="004A385A">
        <w:t xml:space="preserve">The question, then, relates to </w:t>
      </w:r>
      <w:r w:rsidRPr="004A385A">
        <w:rPr>
          <w:i/>
        </w:rPr>
        <w:t xml:space="preserve">why </w:t>
      </w:r>
      <w:r w:rsidRPr="004A385A">
        <w:t>migrants were not wholly satisfied with the opportunities they were granted to speak English in class. Th</w:t>
      </w:r>
      <w:r w:rsidR="009D251A">
        <w:t>e</w:t>
      </w:r>
      <w:r w:rsidRPr="004A385A">
        <w:t xml:space="preserve"> discrepancy between perceived learner preference, teacher awareness of learners’ expectations, and what was included in </w:t>
      </w:r>
      <w:r>
        <w:t>English as a second language</w:t>
      </w:r>
      <w:r w:rsidRPr="004A385A">
        <w:t xml:space="preserve"> classes prompts further questions. Were </w:t>
      </w:r>
      <w:r>
        <w:t>the</w:t>
      </w:r>
      <w:r w:rsidRPr="004A385A">
        <w:t xml:space="preserve"> teachers aware that according to some migrants they were not including enough opportunities for students to engage in speaking tasks? Did teachers, in fact, believe they granted their students many (and sufficient) occasions in which to use spoken English? In discussing my initial</w:t>
      </w:r>
      <w:r>
        <w:t xml:space="preserve"> findings with a number of the c</w:t>
      </w:r>
      <w:r w:rsidRPr="004A385A">
        <w:t xml:space="preserve">entre’s teachers, </w:t>
      </w:r>
      <w:r w:rsidRPr="002D033D">
        <w:t>they</w:t>
      </w:r>
      <w:r w:rsidRPr="002D033D">
        <w:rPr>
          <w:b/>
          <w:color w:val="800080"/>
          <w:sz w:val="16"/>
          <w:szCs w:val="16"/>
        </w:rPr>
        <w:t xml:space="preserve"> </w:t>
      </w:r>
      <w:r w:rsidRPr="002D033D">
        <w:t>were not surprised</w:t>
      </w:r>
      <w:r w:rsidRPr="004A385A">
        <w:t xml:space="preserve"> that migrants had recommended </w:t>
      </w:r>
      <w:r>
        <w:t>that</w:t>
      </w:r>
      <w:r w:rsidRPr="004A385A">
        <w:t xml:space="preserve"> classes incorporate more speaking </w:t>
      </w:r>
      <w:r>
        <w:t xml:space="preserve">activities. It may be </w:t>
      </w:r>
      <w:r>
        <w:lastRenderedPageBreak/>
        <w:t>that the c</w:t>
      </w:r>
      <w:r w:rsidRPr="004A385A">
        <w:t xml:space="preserve">entre’s teachers need to </w:t>
      </w:r>
      <w:r>
        <w:t>have</w:t>
      </w:r>
      <w:r w:rsidRPr="004A385A">
        <w:t xml:space="preserve"> more discussion with students to clarify </w:t>
      </w:r>
      <w:r w:rsidR="009D251A">
        <w:t>students’</w:t>
      </w:r>
      <w:r w:rsidRPr="004A385A">
        <w:t xml:space="preserve"> needs </w:t>
      </w:r>
      <w:r>
        <w:t xml:space="preserve">in relation to </w:t>
      </w:r>
      <w:r w:rsidRPr="004A385A">
        <w:t>how to include more opportunities for migrants to learn about, and pract</w:t>
      </w:r>
      <w:r>
        <w:t>ise, ‘real life’ spoken English</w:t>
      </w:r>
      <w:r w:rsidRPr="004A385A">
        <w:t xml:space="preserve">.  </w:t>
      </w:r>
    </w:p>
    <w:p w:rsidR="001956F7" w:rsidRPr="004A385A" w:rsidRDefault="001956F7" w:rsidP="001956F7">
      <w:pPr>
        <w:pStyle w:val="Text"/>
      </w:pPr>
      <w:r w:rsidRPr="00491C6B">
        <w:t>In general</w:t>
      </w:r>
      <w:r w:rsidRPr="002D033D">
        <w:t xml:space="preserve">, </w:t>
      </w:r>
      <w:r w:rsidRPr="004A385A">
        <w:t xml:space="preserve">studying </w:t>
      </w:r>
      <w:r>
        <w:t>English as a second language</w:t>
      </w:r>
      <w:r w:rsidRPr="004A385A">
        <w:t xml:space="preserve"> was perceived by migrants and </w:t>
      </w:r>
      <w:r>
        <w:t>centre</w:t>
      </w:r>
      <w:r w:rsidRPr="004A385A">
        <w:t xml:space="preserve"> personnel as a challenging experience, including in terms of learners’ self-concept, but ultimately a linguistically, psychologically and socially rewarding one. </w:t>
      </w:r>
      <w:r w:rsidR="009D251A">
        <w:t>In many instances m</w:t>
      </w:r>
      <w:r w:rsidRPr="004A385A">
        <w:t xml:space="preserve">igrants and teachers saw </w:t>
      </w:r>
      <w:r>
        <w:t>the</w:t>
      </w:r>
      <w:r w:rsidR="009D251A">
        <w:t xml:space="preserve"> courses</w:t>
      </w:r>
      <w:r w:rsidRPr="004A385A">
        <w:t xml:space="preserve"> as the best opportunity migrants had for improving their English, </w:t>
      </w:r>
      <w:r w:rsidRPr="007F10FB">
        <w:t xml:space="preserve">and their confidence to use English. </w:t>
      </w:r>
    </w:p>
    <w:p w:rsidR="001956F7" w:rsidRPr="003B6624" w:rsidRDefault="001956F7" w:rsidP="001956F7">
      <w:pPr>
        <w:pStyle w:val="Text"/>
      </w:pPr>
      <w:r w:rsidRPr="004A385A">
        <w:t>Al</w:t>
      </w:r>
      <w:r>
        <w:t>though migrants’ general psycho</w:t>
      </w:r>
      <w:r w:rsidRPr="004A385A">
        <w:t xml:space="preserve">social integration is one factor in the funding of </w:t>
      </w:r>
      <w:r>
        <w:t>English as a second language</w:t>
      </w:r>
      <w:r w:rsidRPr="004A385A">
        <w:t xml:space="preserve"> courses, it does not appear to be the dominant focus of government. The following section analyses the ways in which adult </w:t>
      </w:r>
      <w:r>
        <w:t>English as a second language</w:t>
      </w:r>
      <w:r w:rsidRPr="004A385A">
        <w:t xml:space="preserve"> programs were perceived</w:t>
      </w:r>
      <w:r w:rsidRPr="004A385A">
        <w:rPr>
          <w:b/>
          <w:color w:val="FF00FF"/>
          <w:sz w:val="16"/>
          <w:szCs w:val="16"/>
        </w:rPr>
        <w:t xml:space="preserve"> </w:t>
      </w:r>
      <w:r w:rsidRPr="004A385A">
        <w:t xml:space="preserve">as assisting migrants in terms of their economic integration, principally in relation to migrants’ work and further study pathways. </w:t>
      </w:r>
    </w:p>
    <w:p w:rsidR="001956F7" w:rsidRPr="00363A26" w:rsidRDefault="001956F7" w:rsidP="00810675">
      <w:pPr>
        <w:pStyle w:val="Heading2"/>
      </w:pPr>
      <w:bookmarkStart w:id="50" w:name="_Toc305074172"/>
      <w:bookmarkStart w:id="51" w:name="_Toc309645495"/>
      <w:r>
        <w:t>Economic i</w:t>
      </w:r>
      <w:r w:rsidRPr="00363A26">
        <w:t>ntegration</w:t>
      </w:r>
      <w:bookmarkEnd w:id="50"/>
      <w:bookmarkEnd w:id="51"/>
    </w:p>
    <w:p w:rsidR="001956F7" w:rsidRPr="00363A26" w:rsidRDefault="001956F7" w:rsidP="001956F7">
      <w:pPr>
        <w:pStyle w:val="Quote"/>
        <w:rPr>
          <w:b/>
          <w:szCs w:val="24"/>
          <w:u w:val="single"/>
        </w:rPr>
      </w:pPr>
      <w:r>
        <w:t>[Jarrah Language Centre]</w:t>
      </w:r>
      <w:r w:rsidRPr="00127CA0">
        <w:t xml:space="preserve"> can offer you pathways to further study or employment</w:t>
      </w:r>
      <w:r w:rsidR="00FA1427">
        <w:t>.</w:t>
      </w:r>
      <w:r w:rsidR="00FA1427">
        <w:br/>
      </w:r>
      <w:r w:rsidR="00FA1427">
        <w:tab/>
      </w:r>
      <w:r w:rsidRPr="00363A26">
        <w:rPr>
          <w:sz w:val="16"/>
          <w:szCs w:val="16"/>
        </w:rPr>
        <w:t>(</w:t>
      </w:r>
      <w:r>
        <w:rPr>
          <w:sz w:val="16"/>
          <w:szCs w:val="16"/>
        </w:rPr>
        <w:t xml:space="preserve">Centre </w:t>
      </w:r>
      <w:r w:rsidRPr="00363A26">
        <w:rPr>
          <w:sz w:val="16"/>
          <w:szCs w:val="16"/>
        </w:rPr>
        <w:t>publicity literature, January 2011)</w:t>
      </w:r>
    </w:p>
    <w:p w:rsidR="001956F7" w:rsidRPr="00363A26" w:rsidRDefault="001956F7" w:rsidP="00810675">
      <w:pPr>
        <w:pStyle w:val="Heading3"/>
        <w:spacing w:before="200"/>
      </w:pPr>
      <w:r>
        <w:t>Further s</w:t>
      </w:r>
      <w:r w:rsidR="00FA1427">
        <w:t>tudy</w:t>
      </w:r>
    </w:p>
    <w:p w:rsidR="001956F7" w:rsidRDefault="001956F7" w:rsidP="009D251A">
      <w:pPr>
        <w:pStyle w:val="Textlessbefore"/>
        <w:ind w:right="-143"/>
      </w:pPr>
      <w:r w:rsidRPr="007E6D95">
        <w:t xml:space="preserve">Moving into mainstream study </w:t>
      </w:r>
      <w:r w:rsidRPr="00E145AF">
        <w:t xml:space="preserve">was a significant short-term goal for the majority of the 61 surveyed students at </w:t>
      </w:r>
      <w:r>
        <w:t>the language centre</w:t>
      </w:r>
      <w:r w:rsidRPr="00E145AF">
        <w:t xml:space="preserve">. In explaining </w:t>
      </w:r>
      <w:r w:rsidRPr="007E6D95">
        <w:t>their reaso</w:t>
      </w:r>
      <w:r>
        <w:t>ns for undertaking their July—December 2007</w:t>
      </w:r>
      <w:r w:rsidRPr="007E6D95">
        <w:t xml:space="preserve"> </w:t>
      </w:r>
      <w:r>
        <w:t>English language</w:t>
      </w:r>
      <w:r w:rsidRPr="007E6D95">
        <w:t xml:space="preserve"> program, two-thirds of the learners </w:t>
      </w:r>
      <w:r>
        <w:t>(N = 40</w:t>
      </w:r>
      <w:r w:rsidRPr="007E6D95">
        <w:t xml:space="preserve">) stated they wanted to improve their English </w:t>
      </w:r>
      <w:r w:rsidR="009D251A">
        <w:t xml:space="preserve">in order </w:t>
      </w:r>
      <w:r w:rsidRPr="007E6D95">
        <w:t>to move into further (mainstream) study</w:t>
      </w:r>
      <w:r>
        <w:t>; this</w:t>
      </w:r>
      <w:r w:rsidRPr="007E6D95">
        <w:t xml:space="preserve"> was the second most popular answer. </w:t>
      </w:r>
    </w:p>
    <w:p w:rsidR="001956F7" w:rsidRPr="00E145AF" w:rsidRDefault="001956F7" w:rsidP="001956F7">
      <w:pPr>
        <w:pStyle w:val="Text"/>
      </w:pPr>
      <w:r w:rsidRPr="00D223EC">
        <w:t xml:space="preserve">Migrants were </w:t>
      </w:r>
      <w:r>
        <w:t xml:space="preserve">also </w:t>
      </w:r>
      <w:r w:rsidRPr="00D223EC">
        <w:t xml:space="preserve">asked what they wanted to do immediately after their </w:t>
      </w:r>
      <w:r w:rsidRPr="00E145AF">
        <w:t>current (</w:t>
      </w:r>
      <w:r>
        <w:t>July—</w:t>
      </w:r>
      <w:r w:rsidRPr="00E145AF">
        <w:t xml:space="preserve">December 2007) </w:t>
      </w:r>
      <w:r>
        <w:t>language</w:t>
      </w:r>
      <w:r w:rsidRPr="00E145AF">
        <w:t xml:space="preserve"> course. Slightly more than half</w:t>
      </w:r>
      <w:r>
        <w:t xml:space="preserve"> of </w:t>
      </w:r>
      <w:r w:rsidRPr="00E145AF">
        <w:t>the group (</w:t>
      </w:r>
      <w:r>
        <w:t xml:space="preserve">N = </w:t>
      </w:r>
      <w:r w:rsidRPr="00E145AF">
        <w:t>33) wanted to articulate into mainstream study, and/or nearly two-fifths (</w:t>
      </w:r>
      <w:r>
        <w:t xml:space="preserve">N = </w:t>
      </w:r>
      <w:r w:rsidRPr="00E145AF">
        <w:t xml:space="preserve">23) wanted to enrol in another </w:t>
      </w:r>
      <w:r>
        <w:t>English as a second language</w:t>
      </w:r>
      <w:r w:rsidRPr="00E145AF">
        <w:t xml:space="preserve"> course</w:t>
      </w:r>
      <w:r w:rsidRPr="00E145AF">
        <w:rPr>
          <w:rStyle w:val="FootnoteReference"/>
          <w:rFonts w:cs="Arial"/>
          <w:szCs w:val="22"/>
        </w:rPr>
        <w:footnoteReference w:id="11"/>
      </w:r>
      <w:r w:rsidRPr="00E145AF">
        <w:t xml:space="preserve"> </w:t>
      </w:r>
      <w:r>
        <w:t>(see t</w:t>
      </w:r>
      <w:r w:rsidRPr="00E145AF">
        <w:t>able 1).</w:t>
      </w:r>
    </w:p>
    <w:p w:rsidR="001956F7" w:rsidRPr="001265F6" w:rsidRDefault="001956F7" w:rsidP="00810675">
      <w:pPr>
        <w:pStyle w:val="tabletitle"/>
        <w:spacing w:before="320"/>
        <w:rPr>
          <w:szCs w:val="17"/>
        </w:rPr>
      </w:pPr>
      <w:bookmarkStart w:id="52" w:name="_Toc305074181"/>
      <w:bookmarkStart w:id="53" w:name="_Toc309645545"/>
      <w:r>
        <w:t>Table 1</w:t>
      </w:r>
      <w:r w:rsidRPr="00FA37F0">
        <w:tab/>
        <w:t xml:space="preserve">Migrants’ </w:t>
      </w:r>
      <w:r w:rsidRPr="00E922C9">
        <w:t xml:space="preserve">immediate </w:t>
      </w:r>
      <w:r w:rsidRPr="00D223EC">
        <w:t>post-</w:t>
      </w:r>
      <w:r>
        <w:t xml:space="preserve">2007 </w:t>
      </w:r>
      <w:r w:rsidRPr="00FA1427">
        <w:t>English</w:t>
      </w:r>
      <w:r>
        <w:t xml:space="preserve"> as a second language </w:t>
      </w:r>
      <w:r w:rsidRPr="00D223EC">
        <w:t>course</w:t>
      </w:r>
      <w:r>
        <w:t xml:space="preserve"> goals, July 2007</w:t>
      </w:r>
      <w:bookmarkEnd w:id="52"/>
      <w:bookmarkEnd w:id="53"/>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6"/>
        <w:gridCol w:w="1275"/>
        <w:gridCol w:w="1276"/>
        <w:gridCol w:w="1276"/>
        <w:gridCol w:w="1276"/>
      </w:tblGrid>
      <w:tr w:rsidR="00CE254D" w:rsidRPr="00CE254D" w:rsidTr="00810675">
        <w:trPr>
          <w:cantSplit/>
        </w:trPr>
        <w:tc>
          <w:tcPr>
            <w:tcW w:w="3686" w:type="dxa"/>
            <w:tcBorders>
              <w:top w:val="single" w:sz="4" w:space="0" w:color="auto"/>
              <w:left w:val="nil"/>
              <w:bottom w:val="nil"/>
              <w:right w:val="nil"/>
            </w:tcBorders>
          </w:tcPr>
          <w:p w:rsidR="00CE254D" w:rsidRPr="00CE254D" w:rsidRDefault="00CE254D" w:rsidP="00CE254D">
            <w:pPr>
              <w:pStyle w:val="Tablehead1"/>
              <w:rPr>
                <w:szCs w:val="17"/>
              </w:rPr>
            </w:pPr>
            <w:r w:rsidRPr="00CE254D">
              <w:t>Post-2007 English as a second language course goals</w:t>
            </w:r>
          </w:p>
        </w:tc>
        <w:tc>
          <w:tcPr>
            <w:tcW w:w="2551" w:type="dxa"/>
            <w:gridSpan w:val="2"/>
            <w:tcBorders>
              <w:top w:val="single" w:sz="4" w:space="0" w:color="auto"/>
              <w:left w:val="nil"/>
              <w:bottom w:val="nil"/>
              <w:right w:val="nil"/>
            </w:tcBorders>
          </w:tcPr>
          <w:p w:rsidR="00CE254D" w:rsidRPr="00CE254D" w:rsidRDefault="00CE254D" w:rsidP="00810675">
            <w:pPr>
              <w:pStyle w:val="Tablehead1"/>
              <w:jc w:val="center"/>
            </w:pPr>
            <w:r w:rsidRPr="00CE254D">
              <w:t>Gender</w:t>
            </w:r>
          </w:p>
        </w:tc>
        <w:tc>
          <w:tcPr>
            <w:tcW w:w="2552" w:type="dxa"/>
            <w:gridSpan w:val="2"/>
            <w:tcBorders>
              <w:top w:val="single" w:sz="4" w:space="0" w:color="auto"/>
              <w:left w:val="nil"/>
              <w:bottom w:val="nil"/>
              <w:right w:val="nil"/>
            </w:tcBorders>
          </w:tcPr>
          <w:p w:rsidR="00CE254D" w:rsidRPr="00CE254D" w:rsidRDefault="00CE254D" w:rsidP="00810675">
            <w:pPr>
              <w:pStyle w:val="Tablehead1"/>
              <w:jc w:val="center"/>
            </w:pPr>
            <w:r w:rsidRPr="00CE254D">
              <w:t>Total</w:t>
            </w:r>
          </w:p>
        </w:tc>
      </w:tr>
      <w:tr w:rsidR="00CE254D" w:rsidRPr="007F176C" w:rsidTr="00810675">
        <w:trPr>
          <w:cantSplit/>
        </w:trPr>
        <w:tc>
          <w:tcPr>
            <w:tcW w:w="3686" w:type="dxa"/>
            <w:tcBorders>
              <w:top w:val="nil"/>
              <w:left w:val="nil"/>
              <w:bottom w:val="single" w:sz="4" w:space="0" w:color="auto"/>
              <w:right w:val="nil"/>
            </w:tcBorders>
          </w:tcPr>
          <w:p w:rsidR="00CE254D" w:rsidRPr="007F176C" w:rsidRDefault="00CE254D" w:rsidP="00CE254D">
            <w:pPr>
              <w:pStyle w:val="Tablehead2"/>
            </w:pPr>
          </w:p>
        </w:tc>
        <w:tc>
          <w:tcPr>
            <w:tcW w:w="1275" w:type="dxa"/>
            <w:tcBorders>
              <w:top w:val="nil"/>
              <w:left w:val="nil"/>
              <w:bottom w:val="single" w:sz="4" w:space="0" w:color="auto"/>
              <w:right w:val="nil"/>
            </w:tcBorders>
          </w:tcPr>
          <w:p w:rsidR="00CE254D" w:rsidRPr="007F176C" w:rsidRDefault="00CE254D" w:rsidP="00810675">
            <w:pPr>
              <w:pStyle w:val="Tablehead2"/>
              <w:jc w:val="center"/>
            </w:pPr>
            <w:r w:rsidRPr="007F176C">
              <w:t>Female</w:t>
            </w:r>
          </w:p>
        </w:tc>
        <w:tc>
          <w:tcPr>
            <w:tcW w:w="1276" w:type="dxa"/>
            <w:tcBorders>
              <w:top w:val="nil"/>
              <w:left w:val="nil"/>
              <w:bottom w:val="single" w:sz="4" w:space="0" w:color="auto"/>
              <w:right w:val="nil"/>
            </w:tcBorders>
          </w:tcPr>
          <w:p w:rsidR="00CE254D" w:rsidRPr="007F176C" w:rsidRDefault="00CE254D" w:rsidP="00810675">
            <w:pPr>
              <w:pStyle w:val="Tablehead2"/>
              <w:jc w:val="center"/>
            </w:pPr>
            <w:r w:rsidRPr="007F176C">
              <w:t>Male</w:t>
            </w:r>
          </w:p>
        </w:tc>
        <w:tc>
          <w:tcPr>
            <w:tcW w:w="1276" w:type="dxa"/>
            <w:tcBorders>
              <w:top w:val="nil"/>
              <w:left w:val="nil"/>
              <w:bottom w:val="single" w:sz="4" w:space="0" w:color="auto"/>
              <w:right w:val="nil"/>
            </w:tcBorders>
          </w:tcPr>
          <w:p w:rsidR="00CE254D" w:rsidRPr="007F176C" w:rsidRDefault="00CE254D" w:rsidP="00810675">
            <w:pPr>
              <w:pStyle w:val="Tablehead2"/>
              <w:jc w:val="center"/>
            </w:pPr>
            <w:r w:rsidRPr="007F176C">
              <w:t>Number</w:t>
            </w:r>
          </w:p>
        </w:tc>
        <w:tc>
          <w:tcPr>
            <w:tcW w:w="1276" w:type="dxa"/>
            <w:tcBorders>
              <w:top w:val="nil"/>
              <w:left w:val="nil"/>
              <w:bottom w:val="single" w:sz="4" w:space="0" w:color="auto"/>
              <w:right w:val="nil"/>
            </w:tcBorders>
          </w:tcPr>
          <w:p w:rsidR="00CE254D" w:rsidRPr="00B72E35" w:rsidRDefault="00CE254D" w:rsidP="00810675">
            <w:pPr>
              <w:pStyle w:val="Tablehead2"/>
              <w:jc w:val="center"/>
            </w:pPr>
            <w:r w:rsidRPr="00B72E35">
              <w:t>%</w:t>
            </w:r>
          </w:p>
        </w:tc>
      </w:tr>
      <w:tr w:rsidR="001956F7" w:rsidRPr="00CE254D" w:rsidTr="00810675">
        <w:trPr>
          <w:cantSplit/>
        </w:trPr>
        <w:tc>
          <w:tcPr>
            <w:tcW w:w="3686" w:type="dxa"/>
            <w:tcBorders>
              <w:top w:val="single" w:sz="4" w:space="0" w:color="auto"/>
              <w:left w:val="nil"/>
              <w:bottom w:val="nil"/>
              <w:right w:val="nil"/>
            </w:tcBorders>
          </w:tcPr>
          <w:p w:rsidR="001956F7" w:rsidRPr="00CE254D" w:rsidRDefault="001956F7" w:rsidP="00CE254D">
            <w:pPr>
              <w:pStyle w:val="Tabletext"/>
            </w:pPr>
            <w:r w:rsidRPr="00CE254D">
              <w:t>Undertake a mainstream course</w:t>
            </w:r>
          </w:p>
        </w:tc>
        <w:tc>
          <w:tcPr>
            <w:tcW w:w="1275" w:type="dxa"/>
            <w:tcBorders>
              <w:top w:val="single" w:sz="4" w:space="0" w:color="auto"/>
              <w:left w:val="nil"/>
              <w:bottom w:val="nil"/>
              <w:right w:val="nil"/>
            </w:tcBorders>
          </w:tcPr>
          <w:p w:rsidR="001956F7" w:rsidRPr="00CE254D" w:rsidRDefault="001956F7" w:rsidP="00810675">
            <w:pPr>
              <w:pStyle w:val="Tabletext"/>
              <w:tabs>
                <w:tab w:val="decimal" w:pos="595"/>
              </w:tabs>
            </w:pPr>
            <w:r w:rsidRPr="00CE254D">
              <w:t>26</w:t>
            </w:r>
          </w:p>
        </w:tc>
        <w:tc>
          <w:tcPr>
            <w:tcW w:w="1276" w:type="dxa"/>
            <w:tcBorders>
              <w:top w:val="single" w:sz="4" w:space="0" w:color="auto"/>
              <w:left w:val="nil"/>
              <w:bottom w:val="nil"/>
              <w:right w:val="nil"/>
            </w:tcBorders>
          </w:tcPr>
          <w:p w:rsidR="001956F7" w:rsidRPr="00CE254D" w:rsidRDefault="001956F7" w:rsidP="00810675">
            <w:pPr>
              <w:pStyle w:val="Tabletext"/>
              <w:tabs>
                <w:tab w:val="decimal" w:pos="595"/>
              </w:tabs>
            </w:pPr>
            <w:r w:rsidRPr="00CE254D">
              <w:t>7</w:t>
            </w:r>
          </w:p>
        </w:tc>
        <w:tc>
          <w:tcPr>
            <w:tcW w:w="1276" w:type="dxa"/>
            <w:tcBorders>
              <w:top w:val="single" w:sz="4" w:space="0" w:color="auto"/>
              <w:left w:val="nil"/>
              <w:bottom w:val="nil"/>
              <w:right w:val="nil"/>
            </w:tcBorders>
          </w:tcPr>
          <w:p w:rsidR="001956F7" w:rsidRPr="00CE254D" w:rsidRDefault="001956F7" w:rsidP="00810675">
            <w:pPr>
              <w:pStyle w:val="Tabletext"/>
              <w:tabs>
                <w:tab w:val="decimal" w:pos="595"/>
              </w:tabs>
            </w:pPr>
            <w:r w:rsidRPr="00CE254D">
              <w:t>33</w:t>
            </w:r>
          </w:p>
        </w:tc>
        <w:tc>
          <w:tcPr>
            <w:tcW w:w="1276" w:type="dxa"/>
            <w:tcBorders>
              <w:top w:val="single" w:sz="4" w:space="0" w:color="auto"/>
              <w:left w:val="nil"/>
              <w:bottom w:val="nil"/>
              <w:right w:val="nil"/>
            </w:tcBorders>
          </w:tcPr>
          <w:p w:rsidR="001956F7" w:rsidRPr="00CE254D" w:rsidRDefault="001956F7" w:rsidP="00810675">
            <w:pPr>
              <w:pStyle w:val="Tabletext"/>
              <w:tabs>
                <w:tab w:val="decimal" w:pos="539"/>
              </w:tabs>
            </w:pPr>
            <w:r w:rsidRPr="00CE254D">
              <w:t>54.1</w:t>
            </w:r>
          </w:p>
        </w:tc>
      </w:tr>
      <w:tr w:rsidR="001956F7" w:rsidRPr="00CE254D" w:rsidTr="00810675">
        <w:trPr>
          <w:cantSplit/>
        </w:trPr>
        <w:tc>
          <w:tcPr>
            <w:tcW w:w="3686" w:type="dxa"/>
            <w:tcBorders>
              <w:top w:val="nil"/>
              <w:left w:val="nil"/>
              <w:bottom w:val="nil"/>
              <w:right w:val="nil"/>
            </w:tcBorders>
            <w:tcMar>
              <w:right w:w="0" w:type="dxa"/>
            </w:tcMar>
          </w:tcPr>
          <w:p w:rsidR="001956F7" w:rsidRPr="00CE254D" w:rsidRDefault="001956F7" w:rsidP="00CE254D">
            <w:pPr>
              <w:pStyle w:val="Tabletext"/>
            </w:pPr>
            <w:r w:rsidRPr="00CE254D">
              <w:t>Do another English as a second language course</w:t>
            </w:r>
          </w:p>
        </w:tc>
        <w:tc>
          <w:tcPr>
            <w:tcW w:w="1275" w:type="dxa"/>
            <w:tcBorders>
              <w:top w:val="nil"/>
              <w:left w:val="nil"/>
              <w:bottom w:val="nil"/>
              <w:right w:val="nil"/>
            </w:tcBorders>
          </w:tcPr>
          <w:p w:rsidR="001956F7" w:rsidRPr="00CE254D" w:rsidRDefault="001956F7" w:rsidP="00810675">
            <w:pPr>
              <w:pStyle w:val="Tabletext"/>
              <w:tabs>
                <w:tab w:val="decimal" w:pos="595"/>
              </w:tabs>
            </w:pPr>
            <w:r w:rsidRPr="00CE254D">
              <w:t>17</w:t>
            </w:r>
          </w:p>
        </w:tc>
        <w:tc>
          <w:tcPr>
            <w:tcW w:w="1276" w:type="dxa"/>
            <w:tcBorders>
              <w:top w:val="nil"/>
              <w:left w:val="nil"/>
              <w:bottom w:val="nil"/>
              <w:right w:val="nil"/>
            </w:tcBorders>
          </w:tcPr>
          <w:p w:rsidR="001956F7" w:rsidRPr="00CE254D" w:rsidRDefault="001956F7" w:rsidP="00810675">
            <w:pPr>
              <w:pStyle w:val="Tabletext"/>
              <w:tabs>
                <w:tab w:val="decimal" w:pos="595"/>
              </w:tabs>
            </w:pPr>
            <w:r w:rsidRPr="00CE254D">
              <w:t>6</w:t>
            </w:r>
          </w:p>
        </w:tc>
        <w:tc>
          <w:tcPr>
            <w:tcW w:w="1276" w:type="dxa"/>
            <w:tcBorders>
              <w:top w:val="nil"/>
              <w:left w:val="nil"/>
              <w:bottom w:val="nil"/>
              <w:right w:val="nil"/>
            </w:tcBorders>
          </w:tcPr>
          <w:p w:rsidR="001956F7" w:rsidRPr="00CE254D" w:rsidRDefault="001956F7" w:rsidP="00810675">
            <w:pPr>
              <w:pStyle w:val="Tabletext"/>
              <w:tabs>
                <w:tab w:val="decimal" w:pos="595"/>
              </w:tabs>
            </w:pPr>
            <w:r w:rsidRPr="00CE254D">
              <w:t>23</w:t>
            </w:r>
          </w:p>
        </w:tc>
        <w:tc>
          <w:tcPr>
            <w:tcW w:w="1276" w:type="dxa"/>
            <w:tcBorders>
              <w:top w:val="nil"/>
              <w:left w:val="nil"/>
              <w:bottom w:val="nil"/>
              <w:right w:val="nil"/>
            </w:tcBorders>
          </w:tcPr>
          <w:p w:rsidR="001956F7" w:rsidRPr="00CE254D" w:rsidRDefault="001956F7" w:rsidP="00810675">
            <w:pPr>
              <w:pStyle w:val="Tabletext"/>
              <w:tabs>
                <w:tab w:val="decimal" w:pos="539"/>
              </w:tabs>
            </w:pPr>
            <w:r w:rsidRPr="00CE254D">
              <w:t>37.7</w:t>
            </w:r>
          </w:p>
        </w:tc>
      </w:tr>
      <w:tr w:rsidR="001956F7" w:rsidRPr="00CE254D" w:rsidTr="00810675">
        <w:trPr>
          <w:cantSplit/>
        </w:trPr>
        <w:tc>
          <w:tcPr>
            <w:tcW w:w="3686" w:type="dxa"/>
            <w:tcBorders>
              <w:top w:val="nil"/>
              <w:left w:val="nil"/>
              <w:bottom w:val="nil"/>
              <w:right w:val="nil"/>
            </w:tcBorders>
          </w:tcPr>
          <w:p w:rsidR="001956F7" w:rsidRPr="00CE254D" w:rsidRDefault="001956F7" w:rsidP="00CE254D">
            <w:pPr>
              <w:pStyle w:val="Tabletext"/>
            </w:pPr>
            <w:r w:rsidRPr="00CE254D">
              <w:t>Get a paid job</w:t>
            </w:r>
          </w:p>
        </w:tc>
        <w:tc>
          <w:tcPr>
            <w:tcW w:w="1275" w:type="dxa"/>
            <w:tcBorders>
              <w:top w:val="nil"/>
              <w:left w:val="nil"/>
              <w:bottom w:val="nil"/>
              <w:right w:val="nil"/>
            </w:tcBorders>
          </w:tcPr>
          <w:p w:rsidR="001956F7" w:rsidRPr="00CE254D" w:rsidRDefault="001956F7" w:rsidP="00810675">
            <w:pPr>
              <w:pStyle w:val="Tabletext"/>
              <w:tabs>
                <w:tab w:val="decimal" w:pos="595"/>
              </w:tabs>
            </w:pPr>
            <w:r w:rsidRPr="00CE254D">
              <w:t>16</w:t>
            </w:r>
          </w:p>
        </w:tc>
        <w:tc>
          <w:tcPr>
            <w:tcW w:w="1276" w:type="dxa"/>
            <w:tcBorders>
              <w:top w:val="nil"/>
              <w:left w:val="nil"/>
              <w:bottom w:val="nil"/>
              <w:right w:val="nil"/>
            </w:tcBorders>
          </w:tcPr>
          <w:p w:rsidR="001956F7" w:rsidRPr="00CE254D" w:rsidRDefault="001956F7" w:rsidP="00810675">
            <w:pPr>
              <w:pStyle w:val="Tabletext"/>
              <w:tabs>
                <w:tab w:val="decimal" w:pos="595"/>
              </w:tabs>
            </w:pPr>
            <w:r w:rsidRPr="00CE254D">
              <w:t>2</w:t>
            </w:r>
          </w:p>
        </w:tc>
        <w:tc>
          <w:tcPr>
            <w:tcW w:w="1276" w:type="dxa"/>
            <w:tcBorders>
              <w:top w:val="nil"/>
              <w:left w:val="nil"/>
              <w:bottom w:val="nil"/>
              <w:right w:val="nil"/>
            </w:tcBorders>
          </w:tcPr>
          <w:p w:rsidR="001956F7" w:rsidRPr="00CE254D" w:rsidRDefault="001956F7" w:rsidP="00810675">
            <w:pPr>
              <w:pStyle w:val="Tabletext"/>
              <w:tabs>
                <w:tab w:val="decimal" w:pos="595"/>
              </w:tabs>
            </w:pPr>
            <w:r w:rsidRPr="00CE254D">
              <w:t>18</w:t>
            </w:r>
          </w:p>
        </w:tc>
        <w:tc>
          <w:tcPr>
            <w:tcW w:w="1276" w:type="dxa"/>
            <w:tcBorders>
              <w:top w:val="nil"/>
              <w:left w:val="nil"/>
              <w:bottom w:val="nil"/>
              <w:right w:val="nil"/>
            </w:tcBorders>
          </w:tcPr>
          <w:p w:rsidR="001956F7" w:rsidRPr="00CE254D" w:rsidRDefault="001956F7" w:rsidP="00810675">
            <w:pPr>
              <w:pStyle w:val="Tabletext"/>
              <w:tabs>
                <w:tab w:val="decimal" w:pos="539"/>
              </w:tabs>
            </w:pPr>
            <w:r w:rsidRPr="00CE254D">
              <w:t>29.5</w:t>
            </w:r>
          </w:p>
        </w:tc>
      </w:tr>
      <w:tr w:rsidR="001956F7" w:rsidRPr="00CE254D" w:rsidTr="00810675">
        <w:trPr>
          <w:cantSplit/>
        </w:trPr>
        <w:tc>
          <w:tcPr>
            <w:tcW w:w="3686" w:type="dxa"/>
            <w:tcBorders>
              <w:top w:val="nil"/>
              <w:left w:val="nil"/>
              <w:bottom w:val="nil"/>
              <w:right w:val="nil"/>
            </w:tcBorders>
          </w:tcPr>
          <w:p w:rsidR="001956F7" w:rsidRPr="00CE254D" w:rsidRDefault="001956F7" w:rsidP="00CE254D">
            <w:pPr>
              <w:pStyle w:val="Tabletext"/>
            </w:pPr>
            <w:r w:rsidRPr="00CE254D">
              <w:t xml:space="preserve">Do voluntary work </w:t>
            </w:r>
          </w:p>
        </w:tc>
        <w:tc>
          <w:tcPr>
            <w:tcW w:w="1275" w:type="dxa"/>
            <w:tcBorders>
              <w:top w:val="nil"/>
              <w:left w:val="nil"/>
              <w:bottom w:val="nil"/>
              <w:right w:val="nil"/>
            </w:tcBorders>
          </w:tcPr>
          <w:p w:rsidR="001956F7" w:rsidRPr="00CE254D" w:rsidRDefault="001956F7" w:rsidP="00810675">
            <w:pPr>
              <w:pStyle w:val="Tabletext"/>
              <w:tabs>
                <w:tab w:val="decimal" w:pos="595"/>
              </w:tabs>
            </w:pPr>
            <w:r w:rsidRPr="00CE254D">
              <w:t>1</w:t>
            </w:r>
          </w:p>
        </w:tc>
        <w:tc>
          <w:tcPr>
            <w:tcW w:w="1276" w:type="dxa"/>
            <w:tcBorders>
              <w:top w:val="nil"/>
              <w:left w:val="nil"/>
              <w:bottom w:val="nil"/>
              <w:right w:val="nil"/>
            </w:tcBorders>
          </w:tcPr>
          <w:p w:rsidR="001956F7" w:rsidRPr="00CE254D" w:rsidRDefault="001956F7" w:rsidP="00810675">
            <w:pPr>
              <w:pStyle w:val="Tabletext"/>
              <w:tabs>
                <w:tab w:val="decimal" w:pos="595"/>
              </w:tabs>
            </w:pPr>
            <w:r w:rsidRPr="00CE254D">
              <w:t>2</w:t>
            </w:r>
          </w:p>
        </w:tc>
        <w:tc>
          <w:tcPr>
            <w:tcW w:w="1276" w:type="dxa"/>
            <w:tcBorders>
              <w:top w:val="nil"/>
              <w:left w:val="nil"/>
              <w:bottom w:val="nil"/>
              <w:right w:val="nil"/>
            </w:tcBorders>
          </w:tcPr>
          <w:p w:rsidR="001956F7" w:rsidRPr="00CE254D" w:rsidRDefault="001956F7" w:rsidP="00810675">
            <w:pPr>
              <w:pStyle w:val="Tabletext"/>
              <w:tabs>
                <w:tab w:val="decimal" w:pos="595"/>
              </w:tabs>
            </w:pPr>
            <w:r w:rsidRPr="00CE254D">
              <w:t>3</w:t>
            </w:r>
          </w:p>
        </w:tc>
        <w:tc>
          <w:tcPr>
            <w:tcW w:w="1276" w:type="dxa"/>
            <w:tcBorders>
              <w:top w:val="nil"/>
              <w:left w:val="nil"/>
              <w:bottom w:val="nil"/>
              <w:right w:val="nil"/>
            </w:tcBorders>
          </w:tcPr>
          <w:p w:rsidR="001956F7" w:rsidRPr="00CE254D" w:rsidRDefault="001956F7" w:rsidP="00810675">
            <w:pPr>
              <w:pStyle w:val="Tabletext"/>
              <w:tabs>
                <w:tab w:val="decimal" w:pos="539"/>
              </w:tabs>
            </w:pPr>
            <w:r w:rsidRPr="00CE254D">
              <w:t xml:space="preserve"> 4.9</w:t>
            </w:r>
          </w:p>
        </w:tc>
      </w:tr>
      <w:tr w:rsidR="001956F7" w:rsidRPr="00CE254D" w:rsidTr="00810675">
        <w:trPr>
          <w:cantSplit/>
        </w:trPr>
        <w:tc>
          <w:tcPr>
            <w:tcW w:w="3686" w:type="dxa"/>
            <w:tcBorders>
              <w:top w:val="nil"/>
              <w:left w:val="nil"/>
              <w:bottom w:val="nil"/>
              <w:right w:val="nil"/>
            </w:tcBorders>
          </w:tcPr>
          <w:p w:rsidR="001956F7" w:rsidRPr="00CE254D" w:rsidRDefault="001956F7" w:rsidP="00CE254D">
            <w:pPr>
              <w:pStyle w:val="Tabletext"/>
            </w:pPr>
            <w:r w:rsidRPr="00CE254D">
              <w:t xml:space="preserve">Take a break from studying    </w:t>
            </w:r>
          </w:p>
        </w:tc>
        <w:tc>
          <w:tcPr>
            <w:tcW w:w="1275" w:type="dxa"/>
            <w:tcBorders>
              <w:top w:val="nil"/>
              <w:left w:val="nil"/>
              <w:bottom w:val="nil"/>
              <w:right w:val="nil"/>
            </w:tcBorders>
          </w:tcPr>
          <w:p w:rsidR="001956F7" w:rsidRPr="00CE254D" w:rsidRDefault="001956F7" w:rsidP="00810675">
            <w:pPr>
              <w:pStyle w:val="Tabletext"/>
              <w:tabs>
                <w:tab w:val="decimal" w:pos="595"/>
              </w:tabs>
            </w:pPr>
            <w:r w:rsidRPr="00CE254D">
              <w:t>2</w:t>
            </w:r>
          </w:p>
        </w:tc>
        <w:tc>
          <w:tcPr>
            <w:tcW w:w="1276" w:type="dxa"/>
            <w:tcBorders>
              <w:top w:val="nil"/>
              <w:left w:val="nil"/>
              <w:bottom w:val="nil"/>
              <w:right w:val="nil"/>
            </w:tcBorders>
          </w:tcPr>
          <w:p w:rsidR="001956F7" w:rsidRPr="00CE254D" w:rsidRDefault="001956F7" w:rsidP="00810675">
            <w:pPr>
              <w:pStyle w:val="Tabletext"/>
              <w:tabs>
                <w:tab w:val="decimal" w:pos="595"/>
              </w:tabs>
            </w:pPr>
            <w:r w:rsidRPr="00CE254D">
              <w:t>0</w:t>
            </w:r>
          </w:p>
        </w:tc>
        <w:tc>
          <w:tcPr>
            <w:tcW w:w="1276" w:type="dxa"/>
            <w:tcBorders>
              <w:top w:val="nil"/>
              <w:left w:val="nil"/>
              <w:bottom w:val="nil"/>
              <w:right w:val="nil"/>
            </w:tcBorders>
          </w:tcPr>
          <w:p w:rsidR="001956F7" w:rsidRPr="00CE254D" w:rsidRDefault="001956F7" w:rsidP="00810675">
            <w:pPr>
              <w:pStyle w:val="Tabletext"/>
              <w:tabs>
                <w:tab w:val="decimal" w:pos="595"/>
              </w:tabs>
            </w:pPr>
            <w:r w:rsidRPr="00CE254D">
              <w:t>2</w:t>
            </w:r>
          </w:p>
        </w:tc>
        <w:tc>
          <w:tcPr>
            <w:tcW w:w="1276" w:type="dxa"/>
            <w:tcBorders>
              <w:top w:val="nil"/>
              <w:left w:val="nil"/>
              <w:bottom w:val="nil"/>
              <w:right w:val="nil"/>
            </w:tcBorders>
          </w:tcPr>
          <w:p w:rsidR="001956F7" w:rsidRPr="00CE254D" w:rsidRDefault="001956F7" w:rsidP="00810675">
            <w:pPr>
              <w:pStyle w:val="Tabletext"/>
              <w:tabs>
                <w:tab w:val="decimal" w:pos="539"/>
              </w:tabs>
            </w:pPr>
            <w:r w:rsidRPr="00CE254D">
              <w:t xml:space="preserve"> 3.3</w:t>
            </w:r>
          </w:p>
        </w:tc>
      </w:tr>
      <w:tr w:rsidR="001956F7" w:rsidRPr="00CE254D" w:rsidTr="00810675">
        <w:trPr>
          <w:cantSplit/>
        </w:trPr>
        <w:tc>
          <w:tcPr>
            <w:tcW w:w="3686" w:type="dxa"/>
            <w:tcBorders>
              <w:top w:val="nil"/>
              <w:left w:val="nil"/>
              <w:bottom w:val="nil"/>
              <w:right w:val="nil"/>
            </w:tcBorders>
          </w:tcPr>
          <w:p w:rsidR="001956F7" w:rsidRPr="00CE254D" w:rsidRDefault="001956F7" w:rsidP="00CE254D">
            <w:pPr>
              <w:pStyle w:val="Tabletext"/>
            </w:pPr>
            <w:r w:rsidRPr="00CE254D">
              <w:t>Other: ‘Look after family’</w:t>
            </w:r>
          </w:p>
        </w:tc>
        <w:tc>
          <w:tcPr>
            <w:tcW w:w="1275" w:type="dxa"/>
            <w:tcBorders>
              <w:top w:val="nil"/>
              <w:left w:val="nil"/>
              <w:bottom w:val="nil"/>
              <w:right w:val="nil"/>
            </w:tcBorders>
          </w:tcPr>
          <w:p w:rsidR="001956F7" w:rsidRPr="00CE254D" w:rsidRDefault="001956F7" w:rsidP="00810675">
            <w:pPr>
              <w:pStyle w:val="Tabletext"/>
              <w:tabs>
                <w:tab w:val="decimal" w:pos="595"/>
              </w:tabs>
            </w:pPr>
            <w:r w:rsidRPr="00CE254D">
              <w:t>1</w:t>
            </w:r>
          </w:p>
        </w:tc>
        <w:tc>
          <w:tcPr>
            <w:tcW w:w="1276" w:type="dxa"/>
            <w:tcBorders>
              <w:top w:val="nil"/>
              <w:left w:val="nil"/>
              <w:bottom w:val="nil"/>
              <w:right w:val="nil"/>
            </w:tcBorders>
          </w:tcPr>
          <w:p w:rsidR="001956F7" w:rsidRPr="00CE254D" w:rsidRDefault="001956F7" w:rsidP="00810675">
            <w:pPr>
              <w:pStyle w:val="Tabletext"/>
              <w:tabs>
                <w:tab w:val="decimal" w:pos="595"/>
              </w:tabs>
            </w:pPr>
            <w:r w:rsidRPr="00CE254D">
              <w:t>0</w:t>
            </w:r>
          </w:p>
        </w:tc>
        <w:tc>
          <w:tcPr>
            <w:tcW w:w="1276" w:type="dxa"/>
            <w:tcBorders>
              <w:top w:val="nil"/>
              <w:left w:val="nil"/>
              <w:bottom w:val="nil"/>
              <w:right w:val="nil"/>
            </w:tcBorders>
          </w:tcPr>
          <w:p w:rsidR="001956F7" w:rsidRPr="00CE254D" w:rsidRDefault="001956F7" w:rsidP="00810675">
            <w:pPr>
              <w:pStyle w:val="Tabletext"/>
              <w:tabs>
                <w:tab w:val="decimal" w:pos="595"/>
              </w:tabs>
            </w:pPr>
            <w:r w:rsidRPr="00CE254D">
              <w:t>1</w:t>
            </w:r>
          </w:p>
        </w:tc>
        <w:tc>
          <w:tcPr>
            <w:tcW w:w="1276" w:type="dxa"/>
            <w:tcBorders>
              <w:top w:val="nil"/>
              <w:left w:val="nil"/>
              <w:bottom w:val="nil"/>
              <w:right w:val="nil"/>
            </w:tcBorders>
          </w:tcPr>
          <w:p w:rsidR="001956F7" w:rsidRPr="00CE254D" w:rsidRDefault="001956F7" w:rsidP="00810675">
            <w:pPr>
              <w:pStyle w:val="Tabletext"/>
              <w:tabs>
                <w:tab w:val="decimal" w:pos="539"/>
              </w:tabs>
            </w:pPr>
            <w:r w:rsidRPr="00CE254D">
              <w:t xml:space="preserve"> 1.6</w:t>
            </w:r>
          </w:p>
        </w:tc>
      </w:tr>
      <w:tr w:rsidR="001956F7" w:rsidRPr="00CE254D" w:rsidTr="00810675">
        <w:trPr>
          <w:cantSplit/>
        </w:trPr>
        <w:tc>
          <w:tcPr>
            <w:tcW w:w="3686" w:type="dxa"/>
            <w:tcBorders>
              <w:top w:val="nil"/>
              <w:left w:val="nil"/>
              <w:bottom w:val="single" w:sz="4" w:space="0" w:color="auto"/>
              <w:right w:val="nil"/>
            </w:tcBorders>
          </w:tcPr>
          <w:p w:rsidR="001956F7" w:rsidRPr="00CE254D" w:rsidRDefault="001956F7" w:rsidP="00CE254D">
            <w:pPr>
              <w:pStyle w:val="Tabletext"/>
            </w:pPr>
            <w:r w:rsidRPr="00CE254D">
              <w:t>Other: ‘Run my own business’</w:t>
            </w:r>
          </w:p>
        </w:tc>
        <w:tc>
          <w:tcPr>
            <w:tcW w:w="1275" w:type="dxa"/>
            <w:tcBorders>
              <w:top w:val="nil"/>
              <w:left w:val="nil"/>
              <w:bottom w:val="single" w:sz="4" w:space="0" w:color="auto"/>
              <w:right w:val="nil"/>
            </w:tcBorders>
          </w:tcPr>
          <w:p w:rsidR="001956F7" w:rsidRPr="00CE254D" w:rsidRDefault="001956F7" w:rsidP="00810675">
            <w:pPr>
              <w:pStyle w:val="Tabletext"/>
              <w:tabs>
                <w:tab w:val="decimal" w:pos="595"/>
              </w:tabs>
            </w:pPr>
            <w:r w:rsidRPr="00CE254D">
              <w:t>0</w:t>
            </w:r>
          </w:p>
        </w:tc>
        <w:tc>
          <w:tcPr>
            <w:tcW w:w="1276" w:type="dxa"/>
            <w:tcBorders>
              <w:top w:val="nil"/>
              <w:left w:val="nil"/>
              <w:bottom w:val="single" w:sz="4" w:space="0" w:color="auto"/>
              <w:right w:val="nil"/>
            </w:tcBorders>
          </w:tcPr>
          <w:p w:rsidR="001956F7" w:rsidRPr="00CE254D" w:rsidRDefault="001956F7" w:rsidP="00810675">
            <w:pPr>
              <w:pStyle w:val="Tabletext"/>
              <w:tabs>
                <w:tab w:val="decimal" w:pos="595"/>
              </w:tabs>
            </w:pPr>
            <w:r w:rsidRPr="00CE254D">
              <w:t>1</w:t>
            </w:r>
          </w:p>
        </w:tc>
        <w:tc>
          <w:tcPr>
            <w:tcW w:w="1276" w:type="dxa"/>
            <w:tcBorders>
              <w:top w:val="nil"/>
              <w:left w:val="nil"/>
              <w:bottom w:val="single" w:sz="4" w:space="0" w:color="auto"/>
              <w:right w:val="nil"/>
            </w:tcBorders>
          </w:tcPr>
          <w:p w:rsidR="001956F7" w:rsidRPr="00CE254D" w:rsidRDefault="001956F7" w:rsidP="00810675">
            <w:pPr>
              <w:pStyle w:val="Tabletext"/>
              <w:tabs>
                <w:tab w:val="decimal" w:pos="595"/>
              </w:tabs>
            </w:pPr>
            <w:r w:rsidRPr="00CE254D">
              <w:t>1</w:t>
            </w:r>
          </w:p>
        </w:tc>
        <w:tc>
          <w:tcPr>
            <w:tcW w:w="1276" w:type="dxa"/>
            <w:tcBorders>
              <w:top w:val="nil"/>
              <w:left w:val="nil"/>
              <w:bottom w:val="single" w:sz="4" w:space="0" w:color="auto"/>
              <w:right w:val="nil"/>
            </w:tcBorders>
          </w:tcPr>
          <w:p w:rsidR="001956F7" w:rsidRPr="00CE254D" w:rsidRDefault="001956F7" w:rsidP="00810675">
            <w:pPr>
              <w:pStyle w:val="Tabletext"/>
              <w:tabs>
                <w:tab w:val="decimal" w:pos="539"/>
              </w:tabs>
            </w:pPr>
            <w:r w:rsidRPr="00CE254D">
              <w:t xml:space="preserve"> 1.6</w:t>
            </w:r>
          </w:p>
        </w:tc>
      </w:tr>
    </w:tbl>
    <w:p w:rsidR="001956F7" w:rsidRPr="00E145AF" w:rsidRDefault="001956F7" w:rsidP="00FA1427">
      <w:pPr>
        <w:pStyle w:val="Source"/>
      </w:pPr>
      <w:r w:rsidRPr="00E145AF">
        <w:t>Note</w:t>
      </w:r>
      <w:r w:rsidR="009D251A">
        <w:t>s</w:t>
      </w:r>
      <w:r w:rsidRPr="00E145AF">
        <w:t>:</w:t>
      </w:r>
      <w:r w:rsidR="00FA1427">
        <w:tab/>
      </w:r>
      <w:r w:rsidRPr="00E145AF">
        <w:t>Multiple answers possible</w:t>
      </w:r>
      <w:r>
        <w:t>.</w:t>
      </w:r>
      <w:r w:rsidRPr="00E145AF">
        <w:t xml:space="preserve"> </w:t>
      </w:r>
      <w:r w:rsidR="009D251A">
        <w:t xml:space="preserve">N = </w:t>
      </w:r>
      <w:r w:rsidR="009D251A" w:rsidRPr="004926D6">
        <w:t>61 students</w:t>
      </w:r>
      <w:r w:rsidR="009D251A">
        <w:t>.</w:t>
      </w:r>
    </w:p>
    <w:p w:rsidR="00810675" w:rsidRPr="00E145AF" w:rsidRDefault="00810675" w:rsidP="009D251A">
      <w:pPr>
        <w:pStyle w:val="Textmorebefore"/>
      </w:pPr>
      <w:bookmarkStart w:id="54" w:name="_Toc305074182"/>
      <w:bookmarkStart w:id="55" w:name="_Toc290106389"/>
      <w:bookmarkStart w:id="56" w:name="_Toc290106398"/>
      <w:bookmarkStart w:id="57" w:name="_Toc290106407"/>
      <w:bookmarkStart w:id="58" w:name="_Toc290113932"/>
      <w:bookmarkStart w:id="59" w:name="_Toc290113941"/>
      <w:bookmarkStart w:id="60" w:name="_Toc290113950"/>
      <w:bookmarkStart w:id="61" w:name="_Toc290114021"/>
      <w:bookmarkStart w:id="62" w:name="_Toc290114030"/>
      <w:bookmarkStart w:id="63" w:name="_Toc290114039"/>
      <w:bookmarkStart w:id="64" w:name="_Toc290121156"/>
      <w:bookmarkStart w:id="65" w:name="_Toc290121165"/>
      <w:bookmarkStart w:id="66" w:name="_Toc290121174"/>
      <w:r w:rsidRPr="00E145AF">
        <w:t xml:space="preserve">It is not possible to ascertain the mainstream study pathways of </w:t>
      </w:r>
      <w:r>
        <w:t>language centre</w:t>
      </w:r>
      <w:r w:rsidRPr="00E145AF">
        <w:t xml:space="preserve"> migrants who subsequently undertook further study with other educational providers. However, data collected by Jarrah Institute in March 2011 show favourable </w:t>
      </w:r>
      <w:r w:rsidR="009D251A" w:rsidRPr="00E145AF">
        <w:t>articulation</w:t>
      </w:r>
      <w:r w:rsidR="009D251A">
        <w:t xml:space="preserve"> </w:t>
      </w:r>
      <w:r w:rsidRPr="00E145AF">
        <w:t xml:space="preserve">statistics </w:t>
      </w:r>
      <w:r>
        <w:t xml:space="preserve">by the language centre’s </w:t>
      </w:r>
      <w:r>
        <w:lastRenderedPageBreak/>
        <w:t>migrants</w:t>
      </w:r>
      <w:r w:rsidRPr="00E145AF">
        <w:t xml:space="preserve"> into the institute’s mainstream courses. Nearly one-third (</w:t>
      </w:r>
      <w:r>
        <w:t xml:space="preserve">N = </w:t>
      </w:r>
      <w:r w:rsidRPr="00E145AF">
        <w:t xml:space="preserve">19) of the 61 migrants enrolled in certificate, diploma or degree level mainstream courses </w:t>
      </w:r>
      <w:r>
        <w:t xml:space="preserve">in Jarrah Institute </w:t>
      </w:r>
      <w:r w:rsidRPr="00E145AF">
        <w:t xml:space="preserve">after undertaking </w:t>
      </w:r>
      <w:r>
        <w:t>English as a second language programs at the centre</w:t>
      </w:r>
      <w:r w:rsidRPr="00E145AF">
        <w:t>. Another four migrants undertook short courses at the institute, and six had undertaken mainstream study</w:t>
      </w:r>
      <w:r>
        <w:t xml:space="preserve"> at the institute</w:t>
      </w:r>
      <w:r w:rsidRPr="00E145AF">
        <w:t xml:space="preserve"> either during or prior to their July</w:t>
      </w:r>
      <w:r>
        <w:t>—</w:t>
      </w:r>
      <w:r w:rsidRPr="00E145AF">
        <w:t xml:space="preserve">December 2007 </w:t>
      </w:r>
      <w:r>
        <w:t>English language course (see t</w:t>
      </w:r>
      <w:r w:rsidRPr="00E145AF">
        <w:t xml:space="preserve">able 2). These statistics seem to confirm not only the advantages to students of providing pathways to further education but, also, the potential economic benefits to </w:t>
      </w:r>
      <w:r>
        <w:t>the language centre</w:t>
      </w:r>
      <w:r w:rsidRPr="00E145AF">
        <w:t xml:space="preserve"> and </w:t>
      </w:r>
      <w:r>
        <w:t>Jarrah Institute</w:t>
      </w:r>
      <w:r w:rsidRPr="00E145AF">
        <w:t xml:space="preserve"> of migrants doing so.   </w:t>
      </w:r>
    </w:p>
    <w:p w:rsidR="001956F7" w:rsidRPr="00810675" w:rsidRDefault="001956F7" w:rsidP="001956F7">
      <w:pPr>
        <w:pStyle w:val="tabletitle"/>
        <w:rPr>
          <w:color w:val="000000" w:themeColor="text1"/>
        </w:rPr>
      </w:pPr>
      <w:bookmarkStart w:id="67" w:name="_Toc309645546"/>
      <w:r>
        <w:t>Table 2</w:t>
      </w:r>
      <w:r w:rsidRPr="00FA37F0">
        <w:tab/>
        <w:t xml:space="preserve">Migrants’ </w:t>
      </w:r>
      <w:r w:rsidRPr="00E145AF">
        <w:t>mainstream</w:t>
      </w:r>
      <w:r w:rsidRPr="008016AE">
        <w:t xml:space="preserve"> </w:t>
      </w:r>
      <w:r>
        <w:t xml:space="preserve">study </w:t>
      </w:r>
      <w:r w:rsidRPr="008016AE">
        <w:t>pathways at Jarrah Institute</w:t>
      </w:r>
      <w:r>
        <w:t xml:space="preserve">, </w:t>
      </w:r>
      <w:r w:rsidRPr="009733C3">
        <w:t>March 2011</w:t>
      </w:r>
      <w:bookmarkEnd w:id="54"/>
      <w:bookmarkEnd w:id="55"/>
      <w:bookmarkEnd w:id="56"/>
      <w:bookmarkEnd w:id="57"/>
      <w:bookmarkEnd w:id="58"/>
      <w:bookmarkEnd w:id="59"/>
      <w:bookmarkEnd w:id="60"/>
      <w:bookmarkEnd w:id="61"/>
      <w:bookmarkEnd w:id="62"/>
      <w:bookmarkEnd w:id="63"/>
      <w:bookmarkEnd w:id="64"/>
      <w:bookmarkEnd w:id="65"/>
      <w:bookmarkEnd w:id="66"/>
      <w:bookmarkEnd w:id="67"/>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62"/>
        <w:gridCol w:w="1275"/>
        <w:gridCol w:w="1276"/>
        <w:gridCol w:w="1276"/>
      </w:tblGrid>
      <w:tr w:rsidR="00810675" w:rsidRPr="00B77D4B" w:rsidTr="00810675">
        <w:trPr>
          <w:cantSplit/>
          <w:tblHeader/>
        </w:trPr>
        <w:tc>
          <w:tcPr>
            <w:tcW w:w="4962" w:type="dxa"/>
            <w:tcBorders>
              <w:left w:val="nil"/>
              <w:bottom w:val="nil"/>
              <w:right w:val="nil"/>
            </w:tcBorders>
            <w:shd w:val="clear" w:color="auto" w:fill="FFFFFF"/>
          </w:tcPr>
          <w:p w:rsidR="00810675" w:rsidRPr="00B72E35" w:rsidRDefault="00810675" w:rsidP="00CE254D">
            <w:pPr>
              <w:pStyle w:val="Tablehead1"/>
              <w:rPr>
                <w:rFonts w:cs="Arial"/>
                <w:szCs w:val="17"/>
              </w:rPr>
            </w:pPr>
            <w:r w:rsidRPr="00CB3958">
              <w:t>Jarrah Institute mainstream study pathways</w:t>
            </w:r>
          </w:p>
        </w:tc>
        <w:tc>
          <w:tcPr>
            <w:tcW w:w="2551" w:type="dxa"/>
            <w:gridSpan w:val="2"/>
            <w:tcBorders>
              <w:top w:val="single" w:sz="4" w:space="0" w:color="auto"/>
              <w:left w:val="nil"/>
              <w:bottom w:val="nil"/>
              <w:right w:val="nil"/>
            </w:tcBorders>
            <w:shd w:val="clear" w:color="auto" w:fill="FFFFFF"/>
          </w:tcPr>
          <w:p w:rsidR="00810675" w:rsidRPr="008016AE" w:rsidRDefault="00810675" w:rsidP="00810675">
            <w:pPr>
              <w:pStyle w:val="Tablehead1"/>
              <w:jc w:val="center"/>
            </w:pPr>
            <w:r>
              <w:t>Gender</w:t>
            </w:r>
          </w:p>
        </w:tc>
        <w:tc>
          <w:tcPr>
            <w:tcW w:w="1276" w:type="dxa"/>
            <w:tcBorders>
              <w:left w:val="nil"/>
              <w:bottom w:val="nil"/>
              <w:right w:val="nil"/>
            </w:tcBorders>
            <w:shd w:val="clear" w:color="auto" w:fill="FFFFFF"/>
          </w:tcPr>
          <w:p w:rsidR="00810675" w:rsidRPr="008016AE" w:rsidRDefault="00810675" w:rsidP="00810675">
            <w:pPr>
              <w:pStyle w:val="Tablehead1"/>
              <w:jc w:val="center"/>
              <w:rPr>
                <w:rFonts w:cs="Arial"/>
                <w:color w:val="000000"/>
                <w:szCs w:val="17"/>
              </w:rPr>
            </w:pPr>
            <w:r>
              <w:t>Total</w:t>
            </w:r>
          </w:p>
        </w:tc>
      </w:tr>
      <w:tr w:rsidR="00CE254D" w:rsidRPr="00B77D4B" w:rsidTr="00810675">
        <w:trPr>
          <w:cantSplit/>
          <w:tblHeader/>
        </w:trPr>
        <w:tc>
          <w:tcPr>
            <w:tcW w:w="4962" w:type="dxa"/>
            <w:tcBorders>
              <w:top w:val="nil"/>
              <w:left w:val="nil"/>
              <w:right w:val="nil"/>
            </w:tcBorders>
            <w:shd w:val="clear" w:color="auto" w:fill="FFFFFF"/>
          </w:tcPr>
          <w:p w:rsidR="00CE254D" w:rsidRPr="003F2A0D" w:rsidRDefault="00CE254D" w:rsidP="00CE254D">
            <w:pPr>
              <w:pStyle w:val="Tablehead2"/>
            </w:pPr>
          </w:p>
        </w:tc>
        <w:tc>
          <w:tcPr>
            <w:tcW w:w="1275" w:type="dxa"/>
            <w:tcBorders>
              <w:top w:val="nil"/>
              <w:left w:val="nil"/>
              <w:right w:val="nil"/>
            </w:tcBorders>
            <w:shd w:val="clear" w:color="auto" w:fill="FFFFFF"/>
          </w:tcPr>
          <w:p w:rsidR="00CE254D" w:rsidRPr="00BA1EE1" w:rsidRDefault="00CE254D" w:rsidP="00810675">
            <w:pPr>
              <w:pStyle w:val="Tablehead2"/>
              <w:jc w:val="center"/>
            </w:pPr>
            <w:r w:rsidRPr="00BA1EE1">
              <w:t>Female</w:t>
            </w:r>
          </w:p>
        </w:tc>
        <w:tc>
          <w:tcPr>
            <w:tcW w:w="1276" w:type="dxa"/>
            <w:tcBorders>
              <w:top w:val="nil"/>
              <w:left w:val="nil"/>
              <w:bottom w:val="single" w:sz="4" w:space="0" w:color="auto"/>
              <w:right w:val="nil"/>
            </w:tcBorders>
            <w:shd w:val="clear" w:color="auto" w:fill="FFFFFF"/>
          </w:tcPr>
          <w:p w:rsidR="00CE254D" w:rsidRPr="00BA1EE1" w:rsidRDefault="00CE254D" w:rsidP="00810675">
            <w:pPr>
              <w:pStyle w:val="Tablehead2"/>
              <w:jc w:val="center"/>
            </w:pPr>
            <w:r w:rsidRPr="00BA1EE1">
              <w:t>Male</w:t>
            </w:r>
          </w:p>
        </w:tc>
        <w:tc>
          <w:tcPr>
            <w:tcW w:w="1276" w:type="dxa"/>
            <w:tcBorders>
              <w:top w:val="nil"/>
              <w:left w:val="nil"/>
              <w:right w:val="nil"/>
            </w:tcBorders>
            <w:shd w:val="clear" w:color="auto" w:fill="FFFFFF"/>
          </w:tcPr>
          <w:p w:rsidR="00CE254D" w:rsidRPr="003F2A0D" w:rsidRDefault="00CE254D" w:rsidP="00810675">
            <w:pPr>
              <w:pStyle w:val="Tablehead2"/>
              <w:jc w:val="center"/>
            </w:pPr>
          </w:p>
        </w:tc>
      </w:tr>
      <w:tr w:rsidR="00810675" w:rsidRPr="00B77D4B" w:rsidTr="00810675">
        <w:trPr>
          <w:cantSplit/>
          <w:tblHeader/>
        </w:trPr>
        <w:tc>
          <w:tcPr>
            <w:tcW w:w="4962" w:type="dxa"/>
            <w:tcBorders>
              <w:top w:val="nil"/>
              <w:left w:val="nil"/>
              <w:bottom w:val="nil"/>
              <w:right w:val="nil"/>
            </w:tcBorders>
            <w:shd w:val="clear" w:color="auto" w:fill="FFFFFF"/>
          </w:tcPr>
          <w:p w:rsidR="00810675" w:rsidRPr="00E145AF" w:rsidRDefault="00810675" w:rsidP="00CE254D">
            <w:pPr>
              <w:pStyle w:val="Tabletext"/>
            </w:pPr>
            <w:r w:rsidRPr="00E145AF">
              <w:t xml:space="preserve">Post-2007 </w:t>
            </w:r>
            <w:r>
              <w:t>English as a second language</w:t>
            </w:r>
            <w:r w:rsidRPr="00E145AF">
              <w:t xml:space="preserve"> course (certificate and above qualifications) </w:t>
            </w:r>
          </w:p>
        </w:tc>
        <w:tc>
          <w:tcPr>
            <w:tcW w:w="1275" w:type="dxa"/>
            <w:tcBorders>
              <w:top w:val="nil"/>
              <w:left w:val="nil"/>
              <w:bottom w:val="nil"/>
              <w:right w:val="nil"/>
            </w:tcBorders>
            <w:shd w:val="clear" w:color="auto" w:fill="FFFFFF"/>
          </w:tcPr>
          <w:p w:rsidR="00810675" w:rsidRPr="00137E56" w:rsidRDefault="00810675" w:rsidP="00810675">
            <w:pPr>
              <w:pStyle w:val="Tabletext"/>
              <w:tabs>
                <w:tab w:val="decimal" w:pos="595"/>
              </w:tabs>
            </w:pPr>
            <w:r w:rsidRPr="00137E56">
              <w:t>16</w:t>
            </w:r>
          </w:p>
        </w:tc>
        <w:tc>
          <w:tcPr>
            <w:tcW w:w="1276" w:type="dxa"/>
            <w:tcBorders>
              <w:top w:val="nil"/>
              <w:left w:val="nil"/>
              <w:bottom w:val="nil"/>
              <w:right w:val="nil"/>
            </w:tcBorders>
            <w:shd w:val="clear" w:color="auto" w:fill="FFFFFF"/>
          </w:tcPr>
          <w:p w:rsidR="00810675" w:rsidRPr="00137E56" w:rsidRDefault="00810675" w:rsidP="00810675">
            <w:pPr>
              <w:pStyle w:val="Tabletext"/>
              <w:tabs>
                <w:tab w:val="decimal" w:pos="595"/>
              </w:tabs>
            </w:pPr>
            <w:r w:rsidRPr="00137E56">
              <w:t>3</w:t>
            </w:r>
          </w:p>
        </w:tc>
        <w:tc>
          <w:tcPr>
            <w:tcW w:w="1276" w:type="dxa"/>
            <w:tcBorders>
              <w:top w:val="nil"/>
              <w:left w:val="nil"/>
              <w:bottom w:val="nil"/>
              <w:right w:val="nil"/>
            </w:tcBorders>
            <w:shd w:val="clear" w:color="auto" w:fill="FFFFFF"/>
          </w:tcPr>
          <w:p w:rsidR="00810675" w:rsidRPr="00137E56" w:rsidRDefault="00810675" w:rsidP="00810675">
            <w:pPr>
              <w:pStyle w:val="Tabletext"/>
              <w:tabs>
                <w:tab w:val="decimal" w:pos="595"/>
              </w:tabs>
            </w:pPr>
            <w:r w:rsidRPr="00137E56">
              <w:t>19</w:t>
            </w:r>
          </w:p>
        </w:tc>
      </w:tr>
      <w:tr w:rsidR="00810675" w:rsidRPr="00B77D4B" w:rsidTr="00810675">
        <w:trPr>
          <w:cantSplit/>
          <w:tblHeader/>
        </w:trPr>
        <w:tc>
          <w:tcPr>
            <w:tcW w:w="4962" w:type="dxa"/>
            <w:tcBorders>
              <w:top w:val="nil"/>
              <w:left w:val="nil"/>
              <w:bottom w:val="nil"/>
              <w:right w:val="nil"/>
            </w:tcBorders>
            <w:shd w:val="clear" w:color="auto" w:fill="FFFFFF"/>
          </w:tcPr>
          <w:p w:rsidR="00810675" w:rsidRPr="00E145AF" w:rsidRDefault="00810675" w:rsidP="00CE254D">
            <w:pPr>
              <w:pStyle w:val="Tabletext"/>
            </w:pPr>
            <w:r w:rsidRPr="00E145AF">
              <w:t xml:space="preserve">Post-2007 </w:t>
            </w:r>
            <w:r>
              <w:t>English as a second language</w:t>
            </w:r>
            <w:r w:rsidRPr="00E145AF">
              <w:t xml:space="preserve"> course (short courses) </w:t>
            </w:r>
          </w:p>
        </w:tc>
        <w:tc>
          <w:tcPr>
            <w:tcW w:w="1275" w:type="dxa"/>
            <w:tcBorders>
              <w:top w:val="nil"/>
              <w:left w:val="nil"/>
              <w:bottom w:val="nil"/>
              <w:right w:val="nil"/>
            </w:tcBorders>
            <w:shd w:val="clear" w:color="auto" w:fill="FFFFFF"/>
          </w:tcPr>
          <w:p w:rsidR="00810675" w:rsidRPr="00137E56" w:rsidRDefault="00810675" w:rsidP="00810675">
            <w:pPr>
              <w:pStyle w:val="Tabletext"/>
              <w:tabs>
                <w:tab w:val="decimal" w:pos="595"/>
              </w:tabs>
            </w:pPr>
            <w:r w:rsidRPr="00137E56">
              <w:t xml:space="preserve">  2</w:t>
            </w:r>
          </w:p>
        </w:tc>
        <w:tc>
          <w:tcPr>
            <w:tcW w:w="1276" w:type="dxa"/>
            <w:tcBorders>
              <w:top w:val="nil"/>
              <w:left w:val="nil"/>
              <w:bottom w:val="nil"/>
              <w:right w:val="nil"/>
            </w:tcBorders>
            <w:shd w:val="clear" w:color="auto" w:fill="FFFFFF"/>
          </w:tcPr>
          <w:p w:rsidR="00810675" w:rsidRPr="00137E56" w:rsidRDefault="00810675" w:rsidP="00810675">
            <w:pPr>
              <w:pStyle w:val="Tabletext"/>
              <w:tabs>
                <w:tab w:val="decimal" w:pos="595"/>
              </w:tabs>
            </w:pPr>
            <w:r w:rsidRPr="00137E56">
              <w:t>2</w:t>
            </w:r>
          </w:p>
        </w:tc>
        <w:tc>
          <w:tcPr>
            <w:tcW w:w="1276" w:type="dxa"/>
            <w:tcBorders>
              <w:top w:val="nil"/>
              <w:left w:val="nil"/>
              <w:bottom w:val="nil"/>
              <w:right w:val="nil"/>
            </w:tcBorders>
            <w:shd w:val="clear" w:color="auto" w:fill="FFFFFF"/>
          </w:tcPr>
          <w:p w:rsidR="00810675" w:rsidRPr="00137E56" w:rsidRDefault="00810675" w:rsidP="00810675">
            <w:pPr>
              <w:pStyle w:val="Tabletext"/>
              <w:tabs>
                <w:tab w:val="decimal" w:pos="595"/>
              </w:tabs>
            </w:pPr>
            <w:r w:rsidRPr="00137E56">
              <w:t xml:space="preserve">  4</w:t>
            </w:r>
          </w:p>
        </w:tc>
      </w:tr>
      <w:tr w:rsidR="00810675" w:rsidRPr="00B77D4B" w:rsidTr="00810675">
        <w:trPr>
          <w:cantSplit/>
          <w:tblHeader/>
        </w:trPr>
        <w:tc>
          <w:tcPr>
            <w:tcW w:w="4962" w:type="dxa"/>
            <w:tcBorders>
              <w:top w:val="nil"/>
              <w:left w:val="nil"/>
              <w:bottom w:val="nil"/>
              <w:right w:val="nil"/>
            </w:tcBorders>
            <w:shd w:val="clear" w:color="auto" w:fill="FFFFFF"/>
          </w:tcPr>
          <w:p w:rsidR="00810675" w:rsidRPr="00E145AF" w:rsidRDefault="00810675" w:rsidP="00CE254D">
            <w:pPr>
              <w:pStyle w:val="Tabletext"/>
            </w:pPr>
            <w:r w:rsidRPr="00E145AF">
              <w:t>Pre- or during July</w:t>
            </w:r>
            <w:r>
              <w:t>—</w:t>
            </w:r>
            <w:r w:rsidRPr="00E145AF">
              <w:t xml:space="preserve">December 2007 </w:t>
            </w:r>
            <w:r>
              <w:t>English as a second language</w:t>
            </w:r>
            <w:r w:rsidRPr="00E145AF">
              <w:t xml:space="preserve"> course</w:t>
            </w:r>
          </w:p>
        </w:tc>
        <w:tc>
          <w:tcPr>
            <w:tcW w:w="1275" w:type="dxa"/>
            <w:tcBorders>
              <w:top w:val="nil"/>
              <w:left w:val="nil"/>
              <w:bottom w:val="nil"/>
              <w:right w:val="nil"/>
            </w:tcBorders>
            <w:shd w:val="clear" w:color="auto" w:fill="FFFFFF"/>
          </w:tcPr>
          <w:p w:rsidR="00810675" w:rsidRPr="00137E56" w:rsidRDefault="00810675" w:rsidP="00810675">
            <w:pPr>
              <w:pStyle w:val="Tabletext"/>
              <w:tabs>
                <w:tab w:val="decimal" w:pos="595"/>
              </w:tabs>
            </w:pPr>
            <w:r w:rsidRPr="00137E56">
              <w:t xml:space="preserve"> 5</w:t>
            </w:r>
          </w:p>
        </w:tc>
        <w:tc>
          <w:tcPr>
            <w:tcW w:w="1276" w:type="dxa"/>
            <w:tcBorders>
              <w:top w:val="nil"/>
              <w:left w:val="nil"/>
              <w:bottom w:val="nil"/>
              <w:right w:val="nil"/>
            </w:tcBorders>
            <w:shd w:val="clear" w:color="auto" w:fill="FFFFFF"/>
          </w:tcPr>
          <w:p w:rsidR="00810675" w:rsidRPr="00137E56" w:rsidRDefault="00810675" w:rsidP="00810675">
            <w:pPr>
              <w:pStyle w:val="Tabletext"/>
              <w:tabs>
                <w:tab w:val="decimal" w:pos="595"/>
              </w:tabs>
            </w:pPr>
            <w:r w:rsidRPr="00137E56">
              <w:t>1</w:t>
            </w:r>
          </w:p>
        </w:tc>
        <w:tc>
          <w:tcPr>
            <w:tcW w:w="1276" w:type="dxa"/>
            <w:tcBorders>
              <w:top w:val="nil"/>
              <w:left w:val="nil"/>
              <w:bottom w:val="nil"/>
              <w:right w:val="nil"/>
            </w:tcBorders>
            <w:shd w:val="clear" w:color="auto" w:fill="FFFFFF"/>
          </w:tcPr>
          <w:p w:rsidR="00810675" w:rsidRPr="00137E56" w:rsidRDefault="00810675" w:rsidP="00810675">
            <w:pPr>
              <w:pStyle w:val="Tabletext"/>
              <w:tabs>
                <w:tab w:val="decimal" w:pos="595"/>
              </w:tabs>
            </w:pPr>
            <w:r w:rsidRPr="00137E56">
              <w:t xml:space="preserve">  6</w:t>
            </w:r>
          </w:p>
        </w:tc>
      </w:tr>
      <w:tr w:rsidR="001956F7" w:rsidRPr="00810675" w:rsidTr="00810675">
        <w:trPr>
          <w:cantSplit/>
        </w:trPr>
        <w:tc>
          <w:tcPr>
            <w:tcW w:w="4962" w:type="dxa"/>
            <w:tcBorders>
              <w:top w:val="nil"/>
              <w:left w:val="nil"/>
              <w:right w:val="nil"/>
            </w:tcBorders>
            <w:shd w:val="clear" w:color="auto" w:fill="FFFFFF"/>
          </w:tcPr>
          <w:p w:rsidR="001956F7" w:rsidRPr="00810675" w:rsidRDefault="001956F7" w:rsidP="00CE254D">
            <w:pPr>
              <w:pStyle w:val="Tabletext"/>
              <w:rPr>
                <w:b/>
              </w:rPr>
            </w:pPr>
            <w:r w:rsidRPr="00810675">
              <w:rPr>
                <w:b/>
              </w:rPr>
              <w:t>Total</w:t>
            </w:r>
          </w:p>
        </w:tc>
        <w:tc>
          <w:tcPr>
            <w:tcW w:w="1275" w:type="dxa"/>
            <w:tcBorders>
              <w:top w:val="nil"/>
              <w:left w:val="nil"/>
              <w:right w:val="nil"/>
            </w:tcBorders>
            <w:shd w:val="clear" w:color="auto" w:fill="FFFFFF"/>
          </w:tcPr>
          <w:p w:rsidR="001956F7" w:rsidRPr="00810675" w:rsidRDefault="001956F7" w:rsidP="00810675">
            <w:pPr>
              <w:pStyle w:val="Tabletext"/>
              <w:tabs>
                <w:tab w:val="decimal" w:pos="595"/>
              </w:tabs>
              <w:rPr>
                <w:b/>
              </w:rPr>
            </w:pPr>
            <w:r w:rsidRPr="00810675">
              <w:rPr>
                <w:b/>
              </w:rPr>
              <w:t>23</w:t>
            </w:r>
          </w:p>
        </w:tc>
        <w:tc>
          <w:tcPr>
            <w:tcW w:w="1276" w:type="dxa"/>
            <w:tcBorders>
              <w:top w:val="nil"/>
              <w:left w:val="nil"/>
              <w:right w:val="nil"/>
            </w:tcBorders>
            <w:shd w:val="clear" w:color="auto" w:fill="FFFFFF"/>
          </w:tcPr>
          <w:p w:rsidR="001956F7" w:rsidRPr="00810675" w:rsidRDefault="001956F7" w:rsidP="00810675">
            <w:pPr>
              <w:pStyle w:val="Tabletext"/>
              <w:tabs>
                <w:tab w:val="decimal" w:pos="595"/>
              </w:tabs>
              <w:rPr>
                <w:b/>
              </w:rPr>
            </w:pPr>
            <w:r w:rsidRPr="00810675">
              <w:rPr>
                <w:b/>
              </w:rPr>
              <w:t>6</w:t>
            </w:r>
          </w:p>
        </w:tc>
        <w:tc>
          <w:tcPr>
            <w:tcW w:w="1276" w:type="dxa"/>
            <w:tcBorders>
              <w:top w:val="nil"/>
              <w:left w:val="nil"/>
              <w:right w:val="nil"/>
            </w:tcBorders>
            <w:shd w:val="clear" w:color="auto" w:fill="FFFFFF"/>
          </w:tcPr>
          <w:p w:rsidR="001956F7" w:rsidRPr="00810675" w:rsidRDefault="001956F7" w:rsidP="00810675">
            <w:pPr>
              <w:pStyle w:val="Tabletext"/>
              <w:tabs>
                <w:tab w:val="decimal" w:pos="595"/>
              </w:tabs>
              <w:rPr>
                <w:b/>
              </w:rPr>
            </w:pPr>
            <w:r w:rsidRPr="00810675">
              <w:rPr>
                <w:b/>
              </w:rPr>
              <w:t xml:space="preserve"> 29</w:t>
            </w:r>
          </w:p>
        </w:tc>
      </w:tr>
    </w:tbl>
    <w:p w:rsidR="001956F7" w:rsidRPr="007E6D95" w:rsidRDefault="001956F7" w:rsidP="00810675">
      <w:pPr>
        <w:pStyle w:val="Textmorebefore"/>
      </w:pPr>
      <w:r>
        <w:t>T</w:t>
      </w:r>
      <w:r w:rsidRPr="007E6D95">
        <w:t>he majority of migra</w:t>
      </w:r>
      <w:r>
        <w:t>nts in this research were focus</w:t>
      </w:r>
      <w:r w:rsidRPr="007E6D95">
        <w:t>ed on moving into further study</w:t>
      </w:r>
      <w:r w:rsidRPr="007E6D95">
        <w:rPr>
          <w:color w:val="FF0000"/>
        </w:rPr>
        <w:t xml:space="preserve"> </w:t>
      </w:r>
      <w:r w:rsidRPr="007E6D95">
        <w:t xml:space="preserve">as a pathway to paid employment. More than half </w:t>
      </w:r>
      <w:r w:rsidR="009D251A">
        <w:t xml:space="preserve">of </w:t>
      </w:r>
      <w:r w:rsidRPr="007E6D95">
        <w:t>the group (</w:t>
      </w:r>
      <w:r>
        <w:t xml:space="preserve">N = </w:t>
      </w:r>
      <w:r w:rsidRPr="007E6D95">
        <w:t>30/54, 56%)</w:t>
      </w:r>
      <w:r w:rsidRPr="007E6D95">
        <w:rPr>
          <w:b/>
        </w:rPr>
        <w:t xml:space="preserve"> </w:t>
      </w:r>
      <w:r w:rsidRPr="007F10FB">
        <w:t>nominated</w:t>
      </w:r>
      <w:r>
        <w:t xml:space="preserve"> undertaking mainstream study </w:t>
      </w:r>
      <w:r w:rsidRPr="007E6D95">
        <w:t xml:space="preserve">as necessary in helping them to secure paid employment, and two-thirds of them </w:t>
      </w:r>
      <w:r w:rsidRPr="007F10FB">
        <w:t xml:space="preserve">stated </w:t>
      </w:r>
      <w:r w:rsidRPr="007E6D95">
        <w:t xml:space="preserve">that their </w:t>
      </w:r>
      <w:r>
        <w:t>English language</w:t>
      </w:r>
      <w:r w:rsidRPr="007E6D95">
        <w:t xml:space="preserve"> course was important in assisting them to build their English skills to </w:t>
      </w:r>
      <w:r>
        <w:t>enable their subsequent articulation</w:t>
      </w:r>
      <w:r w:rsidRPr="007E6D95">
        <w:t xml:space="preserve"> into further study. As a result, it s</w:t>
      </w:r>
      <w:r>
        <w:t>eems that migrants perceived the centre</w:t>
      </w:r>
      <w:r w:rsidRPr="007E6D95">
        <w:t xml:space="preserve">’s </w:t>
      </w:r>
      <w:r>
        <w:t>English as a second language program</w:t>
      </w:r>
      <w:r w:rsidRPr="007E6D95">
        <w:t xml:space="preserve"> as playing a significant role in facilitating their longer-term</w:t>
      </w:r>
      <w:r w:rsidRPr="007E6D95">
        <w:rPr>
          <w:sz w:val="16"/>
          <w:szCs w:val="16"/>
        </w:rPr>
        <w:t xml:space="preserve"> </w:t>
      </w:r>
      <w:r>
        <w:t>economic integration goals,</w:t>
      </w:r>
      <w:r w:rsidRPr="007E6D95">
        <w:t xml:space="preserve"> a view shared by </w:t>
      </w:r>
      <w:r>
        <w:t>the language centre</w:t>
      </w:r>
      <w:r w:rsidRPr="007E6D95">
        <w:t xml:space="preserve"> and its personnel. </w:t>
      </w:r>
    </w:p>
    <w:p w:rsidR="001956F7" w:rsidRPr="007E6D95" w:rsidRDefault="001956F7" w:rsidP="001956F7">
      <w:pPr>
        <w:pStyle w:val="Text"/>
      </w:pPr>
      <w:r w:rsidRPr="007E6D95">
        <w:t xml:space="preserve">It seems reasonable to conclude that the location of </w:t>
      </w:r>
      <w:r>
        <w:t>the language centre</w:t>
      </w:r>
      <w:r w:rsidRPr="007E6D95">
        <w:t xml:space="preserve"> within Jarrah Institute had some impact on migrants’ uptake of further education at </w:t>
      </w:r>
      <w:r>
        <w:t>the institute</w:t>
      </w:r>
      <w:r w:rsidRPr="00E145AF">
        <w:t xml:space="preserve">. This view was expressed by several teachers </w:t>
      </w:r>
      <w:r>
        <w:t>participating</w:t>
      </w:r>
      <w:r w:rsidRPr="00E145AF">
        <w:t xml:space="preserve"> in this study</w:t>
      </w:r>
      <w:r>
        <w:t>,</w:t>
      </w:r>
      <w:r w:rsidRPr="00E145AF">
        <w:t xml:space="preserve"> who specifically commented on the institute’s educational articulation arrangements. One teacher praised the ‘</w:t>
      </w:r>
      <w:r>
        <w:t>clear pathway[s]</w:t>
      </w:r>
      <w:r w:rsidRPr="00E145AF">
        <w:t xml:space="preserve"> offered’ to students, stating that ‘students get a good deal here in that both </w:t>
      </w:r>
      <w:r>
        <w:t>[</w:t>
      </w:r>
      <w:r w:rsidRPr="003866D8">
        <w:t>fee-paying international</w:t>
      </w:r>
      <w:r w:rsidRPr="004A385A">
        <w:t xml:space="preserve"> learners</w:t>
      </w:r>
      <w:r>
        <w:t>]</w:t>
      </w:r>
      <w:r w:rsidRPr="00E145AF">
        <w:t xml:space="preserve"> and migrant students can make the transition from a language course to a mainstream course’. Furthermore, the English language proficiency requirements of many of the institute’s mainstream courses</w:t>
      </w:r>
      <w:r w:rsidRPr="00E145AF">
        <w:rPr>
          <w:rStyle w:val="FootnoteReference"/>
          <w:rFonts w:cs="Arial"/>
          <w:szCs w:val="22"/>
        </w:rPr>
        <w:footnoteReference w:id="12"/>
      </w:r>
      <w:r w:rsidRPr="00E145AF">
        <w:t xml:space="preserve"> may also have been perceived by some migrants (as it was by a number of their teachers</w:t>
      </w:r>
      <w:r w:rsidRPr="007E6D95">
        <w:t xml:space="preserve">) as an advantage of studying at </w:t>
      </w:r>
      <w:r>
        <w:t>the language centre</w:t>
      </w:r>
      <w:r w:rsidRPr="007E6D95">
        <w:t xml:space="preserve">. Moreover, as previously mentioned, some migrants described the impact of studying with other </w:t>
      </w:r>
      <w:r>
        <w:t>English language</w:t>
      </w:r>
      <w:r w:rsidRPr="007E6D95">
        <w:t xml:space="preserve"> students, some of whom encouraged them to aim higher in te</w:t>
      </w:r>
      <w:r>
        <w:t>rms of further study goals. These factors were</w:t>
      </w:r>
      <w:r w:rsidRPr="007E6D95">
        <w:t xml:space="preserve"> perceived positively by </w:t>
      </w:r>
      <w:r>
        <w:t>a number of the language centre</w:t>
      </w:r>
      <w:r w:rsidRPr="007E6D95">
        <w:t xml:space="preserve"> stakeholders in relation to</w:t>
      </w:r>
      <w:r>
        <w:t xml:space="preserve"> migrants’ economic (and psycho</w:t>
      </w:r>
      <w:r w:rsidRPr="007E6D95">
        <w:t>social) integration.</w:t>
      </w:r>
      <w:r w:rsidRPr="007E6D95">
        <w:rPr>
          <w:sz w:val="16"/>
          <w:szCs w:val="16"/>
        </w:rPr>
        <w:t xml:space="preserve"> </w:t>
      </w:r>
    </w:p>
    <w:p w:rsidR="001956F7" w:rsidRPr="00B77D4B" w:rsidRDefault="001956F7" w:rsidP="001956F7">
      <w:pPr>
        <w:pStyle w:val="Text"/>
        <w:rPr>
          <w:rFonts w:ascii="Arial" w:hAnsi="Arial"/>
        </w:rPr>
      </w:pPr>
      <w:r>
        <w:t>One of the centre’s managers</w:t>
      </w:r>
      <w:r w:rsidRPr="007E6D95">
        <w:t xml:space="preserve"> commented that </w:t>
      </w:r>
      <w:r>
        <w:t>the</w:t>
      </w:r>
      <w:r w:rsidRPr="007E6D95">
        <w:t xml:space="preserve"> migrants </w:t>
      </w:r>
      <w:r>
        <w:t xml:space="preserve">studying there </w:t>
      </w:r>
      <w:r w:rsidRPr="007E6D95">
        <w:t xml:space="preserve">tend to move in and out of </w:t>
      </w:r>
      <w:r>
        <w:t>English language programs</w:t>
      </w:r>
      <w:r w:rsidRPr="007E6D95">
        <w:t>, as a result of personal or work commitments, and the data suggest that such movement did occur. It may be t</w:t>
      </w:r>
      <w:r>
        <w:t>hat the centre</w:t>
      </w:r>
      <w:r w:rsidRPr="007E6D95">
        <w:t xml:space="preserve"> also acted as a </w:t>
      </w:r>
      <w:r>
        <w:t>safety net,</w:t>
      </w:r>
      <w:r w:rsidRPr="007E6D95">
        <w:t xml:space="preserve"> one which migrants could return to, and/or one that simultaneously supported their mai</w:t>
      </w:r>
      <w:r>
        <w:t>nstream studies</w:t>
      </w:r>
      <w:r w:rsidRPr="007E6D95">
        <w:t>.</w:t>
      </w:r>
      <w:r>
        <w:t xml:space="preserve"> It seems that the c</w:t>
      </w:r>
      <w:r w:rsidRPr="007E6D95">
        <w:t xml:space="preserve">entre’s </w:t>
      </w:r>
      <w:r>
        <w:t>English as a second language</w:t>
      </w:r>
      <w:r w:rsidRPr="007E6D95">
        <w:t xml:space="preserve"> courses were seen by a majority of</w:t>
      </w:r>
      <w:r w:rsidRPr="007E6D95">
        <w:rPr>
          <w:sz w:val="16"/>
          <w:szCs w:val="16"/>
        </w:rPr>
        <w:t xml:space="preserve"> </w:t>
      </w:r>
      <w:r>
        <w:t>centre</w:t>
      </w:r>
      <w:r w:rsidRPr="008C6DED">
        <w:t xml:space="preserve"> </w:t>
      </w:r>
      <w:r w:rsidRPr="007E6D95">
        <w:t xml:space="preserve">stakeholders as a </w:t>
      </w:r>
      <w:r w:rsidRPr="007E6D95">
        <w:lastRenderedPageBreak/>
        <w:t>stepping stone to further study which, in turn, functioned as a pathway to future employment,</w:t>
      </w:r>
      <w:r w:rsidRPr="00F77559">
        <w:rPr>
          <w:rFonts w:ascii="Arial" w:hAnsi="Arial"/>
        </w:rPr>
        <w:t xml:space="preserve"> </w:t>
      </w:r>
      <w:r w:rsidRPr="00F77559">
        <w:t>thereby reflecting government goals.</w:t>
      </w:r>
      <w:r w:rsidRPr="00F77559">
        <w:rPr>
          <w:rFonts w:ascii="Arial" w:hAnsi="Arial"/>
          <w:b/>
          <w:sz w:val="14"/>
          <w:szCs w:val="14"/>
        </w:rPr>
        <w:t xml:space="preserve">  </w:t>
      </w:r>
    </w:p>
    <w:p w:rsidR="001956F7" w:rsidRPr="00572295" w:rsidRDefault="001956F7" w:rsidP="001956F7">
      <w:pPr>
        <w:pStyle w:val="Heading3"/>
        <w:rPr>
          <w:color w:val="808080"/>
        </w:rPr>
      </w:pPr>
      <w:r w:rsidRPr="00572295">
        <w:t>Work</w:t>
      </w:r>
    </w:p>
    <w:p w:rsidR="001956F7" w:rsidRDefault="001956F7" w:rsidP="00810675">
      <w:pPr>
        <w:pStyle w:val="Textlessbefore"/>
      </w:pPr>
      <w:r w:rsidRPr="008C6DED">
        <w:t>As previously described, the mi</w:t>
      </w:r>
      <w:r>
        <w:t xml:space="preserve">grants were a relatively highly </w:t>
      </w:r>
      <w:r w:rsidRPr="008C6DED">
        <w:t>educated cohort. In terms of their pre-immigration professional work experience, most of them</w:t>
      </w:r>
      <w:r w:rsidRPr="008C6DED">
        <w:rPr>
          <w:b/>
        </w:rPr>
        <w:t xml:space="preserve"> </w:t>
      </w:r>
      <w:r w:rsidRPr="008C6DED">
        <w:t>had been employed (</w:t>
      </w:r>
      <w:r>
        <w:t xml:space="preserve">N = </w:t>
      </w:r>
      <w:r w:rsidRPr="008C6DED">
        <w:t xml:space="preserve">49, 80%), </w:t>
      </w:r>
      <w:r>
        <w:t xml:space="preserve">and </w:t>
      </w:r>
      <w:r w:rsidRPr="008C6DED">
        <w:t xml:space="preserve">the majority </w:t>
      </w:r>
      <w:r>
        <w:t>were in middle-to-high-</w:t>
      </w:r>
      <w:r w:rsidRPr="008C6DED">
        <w:t>status professions in their areas of qualification (</w:t>
      </w:r>
      <w:r>
        <w:t xml:space="preserve">N = </w:t>
      </w:r>
      <w:r w:rsidRPr="008C6DED">
        <w:t>42/49, 86%)</w:t>
      </w:r>
      <w:r>
        <w:t>.</w:t>
      </w:r>
      <w:r w:rsidRPr="007E6D95">
        <w:rPr>
          <w:color w:val="800080"/>
        </w:rPr>
        <w:t xml:space="preserve"> </w:t>
      </w:r>
      <w:r w:rsidRPr="008C6DED">
        <w:t>When surveyed,</w:t>
      </w:r>
      <w:r w:rsidRPr="007E6D95">
        <w:rPr>
          <w:color w:val="800080"/>
        </w:rPr>
        <w:t xml:space="preserve"> </w:t>
      </w:r>
      <w:r w:rsidRPr="007E6D95">
        <w:t xml:space="preserve">one-third of the group stated that they had been in paid </w:t>
      </w:r>
      <w:r w:rsidRPr="00876707">
        <w:t xml:space="preserve">employment in </w:t>
      </w:r>
      <w:smartTag w:uri="urn:schemas-microsoft-com:office:smarttags" w:element="country-region">
        <w:smartTag w:uri="urn:schemas-microsoft-com:office:smarttags" w:element="place">
          <w:r w:rsidRPr="00876707">
            <w:t>Australia</w:t>
          </w:r>
        </w:smartTag>
      </w:smartTag>
      <w:r w:rsidRPr="00876707">
        <w:t xml:space="preserve">. Eight types of work were described, </w:t>
      </w:r>
      <w:r>
        <w:t>with</w:t>
      </w:r>
      <w:r w:rsidRPr="00876707">
        <w:t xml:space="preserve"> most migrants </w:t>
      </w:r>
      <w:r w:rsidR="009E437D">
        <w:t xml:space="preserve">having been </w:t>
      </w:r>
      <w:r w:rsidRPr="00876707">
        <w:t>employed in entry-level</w:t>
      </w:r>
      <w:r>
        <w:t xml:space="preserve"> jobs (see t</w:t>
      </w:r>
      <w:r w:rsidRPr="00E145AF">
        <w:t>able 3).</w:t>
      </w:r>
      <w:r w:rsidRPr="007E6D95">
        <w:t xml:space="preserve"> </w:t>
      </w:r>
    </w:p>
    <w:p w:rsidR="001956F7" w:rsidRPr="002334AE" w:rsidRDefault="001956F7" w:rsidP="001956F7">
      <w:pPr>
        <w:pStyle w:val="tabletitle"/>
        <w:rPr>
          <w:szCs w:val="17"/>
        </w:rPr>
      </w:pPr>
      <w:bookmarkStart w:id="68" w:name="_Toc305074183"/>
      <w:bookmarkStart w:id="69" w:name="_Toc309645547"/>
      <w:r>
        <w:rPr>
          <w:szCs w:val="17"/>
        </w:rPr>
        <w:t>Table 3</w:t>
      </w:r>
      <w:r w:rsidRPr="00FA37F0">
        <w:rPr>
          <w:szCs w:val="17"/>
        </w:rPr>
        <w:tab/>
      </w:r>
      <w:r>
        <w:rPr>
          <w:szCs w:val="17"/>
        </w:rPr>
        <w:t>Migrants’</w:t>
      </w:r>
      <w:r w:rsidRPr="00620CE5">
        <w:t xml:space="preserve"> paid emp</w:t>
      </w:r>
      <w:r>
        <w:t>loyment post-immigration, July 2007</w:t>
      </w:r>
      <w:bookmarkEnd w:id="68"/>
      <w:bookmarkEnd w:id="69"/>
    </w:p>
    <w:tbl>
      <w:tblPr>
        <w:tblW w:w="7088" w:type="dxa"/>
        <w:tblInd w:w="108" w:type="dxa"/>
        <w:tblBorders>
          <w:top w:val="single" w:sz="4" w:space="0" w:color="auto"/>
          <w:bottom w:val="single" w:sz="4" w:space="0" w:color="auto"/>
        </w:tblBorders>
        <w:tblLayout w:type="fixed"/>
        <w:tblLook w:val="0000"/>
      </w:tblPr>
      <w:tblGrid>
        <w:gridCol w:w="3008"/>
        <w:gridCol w:w="1360"/>
        <w:gridCol w:w="1360"/>
        <w:gridCol w:w="1360"/>
      </w:tblGrid>
      <w:tr w:rsidR="003A588A" w:rsidRPr="00810675" w:rsidTr="003A588A">
        <w:tc>
          <w:tcPr>
            <w:tcW w:w="3008" w:type="dxa"/>
            <w:tcBorders>
              <w:top w:val="single" w:sz="4" w:space="0" w:color="auto"/>
              <w:bottom w:val="nil"/>
              <w:right w:val="nil"/>
            </w:tcBorders>
          </w:tcPr>
          <w:p w:rsidR="003A588A" w:rsidRPr="00810675" w:rsidRDefault="003A588A" w:rsidP="00810675">
            <w:pPr>
              <w:pStyle w:val="Tablehead1"/>
            </w:pPr>
            <w:r w:rsidRPr="00810675">
              <w:t>Type of paid work</w:t>
            </w:r>
          </w:p>
        </w:tc>
        <w:tc>
          <w:tcPr>
            <w:tcW w:w="2720" w:type="dxa"/>
            <w:gridSpan w:val="2"/>
            <w:tcBorders>
              <w:top w:val="single" w:sz="4" w:space="0" w:color="auto"/>
              <w:left w:val="nil"/>
              <w:bottom w:val="nil"/>
              <w:right w:val="nil"/>
            </w:tcBorders>
          </w:tcPr>
          <w:p w:rsidR="003A588A" w:rsidRPr="00810675" w:rsidRDefault="003A588A" w:rsidP="003A588A">
            <w:pPr>
              <w:pStyle w:val="Tablehead1"/>
              <w:jc w:val="center"/>
            </w:pPr>
            <w:r w:rsidRPr="00810675">
              <w:t>Gender</w:t>
            </w:r>
          </w:p>
        </w:tc>
        <w:tc>
          <w:tcPr>
            <w:tcW w:w="1360" w:type="dxa"/>
            <w:tcBorders>
              <w:top w:val="single" w:sz="4" w:space="0" w:color="auto"/>
              <w:left w:val="nil"/>
              <w:bottom w:val="nil"/>
            </w:tcBorders>
          </w:tcPr>
          <w:p w:rsidR="003A588A" w:rsidRPr="00810675" w:rsidRDefault="003A588A" w:rsidP="003A588A">
            <w:pPr>
              <w:pStyle w:val="Tablehead1"/>
              <w:jc w:val="center"/>
            </w:pPr>
            <w:r w:rsidRPr="00810675">
              <w:t>Total</w:t>
            </w:r>
          </w:p>
        </w:tc>
      </w:tr>
      <w:tr w:rsidR="001956F7" w:rsidTr="003A588A">
        <w:tc>
          <w:tcPr>
            <w:tcW w:w="3008" w:type="dxa"/>
            <w:tcBorders>
              <w:top w:val="nil"/>
              <w:bottom w:val="single" w:sz="4" w:space="0" w:color="auto"/>
              <w:right w:val="nil"/>
            </w:tcBorders>
          </w:tcPr>
          <w:p w:rsidR="001956F7" w:rsidRPr="008016AE" w:rsidRDefault="001956F7" w:rsidP="00810675">
            <w:pPr>
              <w:pStyle w:val="Tablehead2"/>
            </w:pPr>
          </w:p>
        </w:tc>
        <w:tc>
          <w:tcPr>
            <w:tcW w:w="1360" w:type="dxa"/>
            <w:tcBorders>
              <w:top w:val="nil"/>
              <w:left w:val="nil"/>
              <w:bottom w:val="single" w:sz="4" w:space="0" w:color="auto"/>
              <w:right w:val="nil"/>
            </w:tcBorders>
          </w:tcPr>
          <w:p w:rsidR="001956F7" w:rsidRPr="00BA1EE1" w:rsidRDefault="001956F7" w:rsidP="003A588A">
            <w:pPr>
              <w:pStyle w:val="Tablehead2"/>
              <w:jc w:val="center"/>
            </w:pPr>
            <w:r w:rsidRPr="00BA1EE1">
              <w:t>Female</w:t>
            </w:r>
          </w:p>
        </w:tc>
        <w:tc>
          <w:tcPr>
            <w:tcW w:w="1360" w:type="dxa"/>
            <w:tcBorders>
              <w:top w:val="nil"/>
              <w:left w:val="nil"/>
              <w:bottom w:val="single" w:sz="4" w:space="0" w:color="auto"/>
              <w:right w:val="nil"/>
            </w:tcBorders>
          </w:tcPr>
          <w:p w:rsidR="001956F7" w:rsidRPr="00BA1EE1" w:rsidRDefault="001956F7" w:rsidP="003A588A">
            <w:pPr>
              <w:pStyle w:val="Tablehead2"/>
              <w:jc w:val="center"/>
            </w:pPr>
            <w:r w:rsidRPr="00BA1EE1">
              <w:t>Male</w:t>
            </w:r>
          </w:p>
        </w:tc>
        <w:tc>
          <w:tcPr>
            <w:tcW w:w="1360" w:type="dxa"/>
            <w:tcBorders>
              <w:top w:val="nil"/>
              <w:left w:val="nil"/>
              <w:bottom w:val="single" w:sz="4" w:space="0" w:color="auto"/>
            </w:tcBorders>
          </w:tcPr>
          <w:p w:rsidR="001956F7" w:rsidRPr="003A588A" w:rsidRDefault="001956F7" w:rsidP="003A588A">
            <w:pPr>
              <w:pStyle w:val="Tablehead2"/>
              <w:jc w:val="center"/>
              <w:rPr>
                <w:color w:val="000000" w:themeColor="text1"/>
              </w:rPr>
            </w:pPr>
          </w:p>
        </w:tc>
      </w:tr>
      <w:tr w:rsidR="001956F7" w:rsidTr="003A588A">
        <w:tc>
          <w:tcPr>
            <w:tcW w:w="3008" w:type="dxa"/>
            <w:tcBorders>
              <w:top w:val="nil"/>
              <w:bottom w:val="nil"/>
              <w:right w:val="nil"/>
            </w:tcBorders>
          </w:tcPr>
          <w:p w:rsidR="001956F7" w:rsidRPr="00B77D4B" w:rsidRDefault="001956F7" w:rsidP="003A588A">
            <w:pPr>
              <w:pStyle w:val="Tabletext"/>
            </w:pPr>
            <w:r w:rsidRPr="00B77D4B">
              <w:t>Factory/packing work</w:t>
            </w:r>
          </w:p>
        </w:tc>
        <w:tc>
          <w:tcPr>
            <w:tcW w:w="1360" w:type="dxa"/>
            <w:tcBorders>
              <w:top w:val="nil"/>
              <w:left w:val="nil"/>
              <w:bottom w:val="nil"/>
              <w:right w:val="nil"/>
            </w:tcBorders>
          </w:tcPr>
          <w:p w:rsidR="001956F7" w:rsidRPr="00183FCF" w:rsidRDefault="001956F7" w:rsidP="003A588A">
            <w:pPr>
              <w:pStyle w:val="Tabletext"/>
              <w:tabs>
                <w:tab w:val="decimal" w:pos="624"/>
              </w:tabs>
            </w:pPr>
            <w:r w:rsidRPr="00183FCF">
              <w:t>3</w:t>
            </w:r>
          </w:p>
        </w:tc>
        <w:tc>
          <w:tcPr>
            <w:tcW w:w="1360" w:type="dxa"/>
            <w:tcBorders>
              <w:top w:val="nil"/>
              <w:left w:val="nil"/>
              <w:bottom w:val="nil"/>
              <w:right w:val="nil"/>
            </w:tcBorders>
          </w:tcPr>
          <w:p w:rsidR="001956F7" w:rsidRPr="00183FCF" w:rsidRDefault="001956F7" w:rsidP="003A588A">
            <w:pPr>
              <w:pStyle w:val="Tabletext"/>
              <w:tabs>
                <w:tab w:val="decimal" w:pos="624"/>
              </w:tabs>
            </w:pPr>
            <w:r w:rsidRPr="00183FCF">
              <w:t>2</w:t>
            </w:r>
          </w:p>
        </w:tc>
        <w:tc>
          <w:tcPr>
            <w:tcW w:w="1360" w:type="dxa"/>
            <w:tcBorders>
              <w:top w:val="nil"/>
              <w:left w:val="nil"/>
              <w:bottom w:val="nil"/>
            </w:tcBorders>
          </w:tcPr>
          <w:p w:rsidR="001956F7" w:rsidRPr="003A588A" w:rsidRDefault="001956F7" w:rsidP="003A588A">
            <w:pPr>
              <w:pStyle w:val="Tabletext"/>
              <w:tabs>
                <w:tab w:val="decimal" w:pos="624"/>
              </w:tabs>
              <w:rPr>
                <w:b/>
                <w:color w:val="000000" w:themeColor="text1"/>
              </w:rPr>
            </w:pPr>
            <w:r w:rsidRPr="003A588A">
              <w:rPr>
                <w:color w:val="000000" w:themeColor="text1"/>
              </w:rPr>
              <w:t>5</w:t>
            </w:r>
          </w:p>
        </w:tc>
      </w:tr>
      <w:tr w:rsidR="001956F7" w:rsidTr="003A588A">
        <w:tc>
          <w:tcPr>
            <w:tcW w:w="3008" w:type="dxa"/>
            <w:tcBorders>
              <w:top w:val="nil"/>
              <w:bottom w:val="nil"/>
              <w:right w:val="nil"/>
            </w:tcBorders>
          </w:tcPr>
          <w:p w:rsidR="001956F7" w:rsidRPr="00B77D4B" w:rsidRDefault="001956F7" w:rsidP="00810675">
            <w:pPr>
              <w:pStyle w:val="Tabletext"/>
            </w:pPr>
            <w:r w:rsidRPr="00B77D4B">
              <w:t>Hospitality</w:t>
            </w:r>
          </w:p>
        </w:tc>
        <w:tc>
          <w:tcPr>
            <w:tcW w:w="1360" w:type="dxa"/>
            <w:tcBorders>
              <w:top w:val="nil"/>
              <w:left w:val="nil"/>
              <w:bottom w:val="nil"/>
              <w:right w:val="nil"/>
            </w:tcBorders>
          </w:tcPr>
          <w:p w:rsidR="001956F7" w:rsidRPr="00183FCF" w:rsidRDefault="001956F7" w:rsidP="003A588A">
            <w:pPr>
              <w:pStyle w:val="Tabletext"/>
              <w:tabs>
                <w:tab w:val="decimal" w:pos="624"/>
              </w:tabs>
            </w:pPr>
            <w:r w:rsidRPr="00183FCF">
              <w:t>2</w:t>
            </w:r>
          </w:p>
        </w:tc>
        <w:tc>
          <w:tcPr>
            <w:tcW w:w="1360" w:type="dxa"/>
            <w:tcBorders>
              <w:top w:val="nil"/>
              <w:left w:val="nil"/>
              <w:bottom w:val="nil"/>
              <w:right w:val="nil"/>
            </w:tcBorders>
          </w:tcPr>
          <w:p w:rsidR="001956F7" w:rsidRPr="00183FCF" w:rsidRDefault="001956F7" w:rsidP="003A588A">
            <w:pPr>
              <w:pStyle w:val="Tabletext"/>
              <w:tabs>
                <w:tab w:val="decimal" w:pos="624"/>
              </w:tabs>
            </w:pPr>
            <w:r w:rsidRPr="00183FCF">
              <w:t>2</w:t>
            </w:r>
          </w:p>
        </w:tc>
        <w:tc>
          <w:tcPr>
            <w:tcW w:w="1360" w:type="dxa"/>
            <w:tcBorders>
              <w:top w:val="nil"/>
              <w:left w:val="nil"/>
              <w:bottom w:val="nil"/>
            </w:tcBorders>
          </w:tcPr>
          <w:p w:rsidR="001956F7" w:rsidRPr="003A588A" w:rsidRDefault="001956F7" w:rsidP="003A588A">
            <w:pPr>
              <w:pStyle w:val="Tabletext"/>
              <w:tabs>
                <w:tab w:val="decimal" w:pos="624"/>
              </w:tabs>
              <w:rPr>
                <w:color w:val="000000" w:themeColor="text1"/>
              </w:rPr>
            </w:pPr>
            <w:r w:rsidRPr="003A588A">
              <w:rPr>
                <w:color w:val="000000" w:themeColor="text1"/>
              </w:rPr>
              <w:t>4</w:t>
            </w:r>
          </w:p>
        </w:tc>
      </w:tr>
      <w:tr w:rsidR="001956F7" w:rsidTr="003A588A">
        <w:tc>
          <w:tcPr>
            <w:tcW w:w="3008" w:type="dxa"/>
            <w:tcBorders>
              <w:top w:val="nil"/>
              <w:bottom w:val="nil"/>
              <w:right w:val="nil"/>
            </w:tcBorders>
          </w:tcPr>
          <w:p w:rsidR="001956F7" w:rsidRPr="00B77D4B" w:rsidRDefault="001956F7" w:rsidP="00810675">
            <w:pPr>
              <w:pStyle w:val="Tabletext"/>
            </w:pPr>
            <w:r w:rsidRPr="00B77D4B">
              <w:t>Teaching</w:t>
            </w:r>
          </w:p>
        </w:tc>
        <w:tc>
          <w:tcPr>
            <w:tcW w:w="1360" w:type="dxa"/>
            <w:tcBorders>
              <w:top w:val="nil"/>
              <w:left w:val="nil"/>
              <w:bottom w:val="nil"/>
              <w:right w:val="nil"/>
            </w:tcBorders>
          </w:tcPr>
          <w:p w:rsidR="001956F7" w:rsidRPr="00183FCF" w:rsidRDefault="001956F7" w:rsidP="003A588A">
            <w:pPr>
              <w:pStyle w:val="Tabletext"/>
              <w:tabs>
                <w:tab w:val="decimal" w:pos="624"/>
              </w:tabs>
            </w:pPr>
            <w:r w:rsidRPr="00183FCF">
              <w:t>3</w:t>
            </w:r>
          </w:p>
        </w:tc>
        <w:tc>
          <w:tcPr>
            <w:tcW w:w="1360" w:type="dxa"/>
            <w:tcBorders>
              <w:top w:val="nil"/>
              <w:left w:val="nil"/>
              <w:bottom w:val="nil"/>
              <w:right w:val="nil"/>
            </w:tcBorders>
          </w:tcPr>
          <w:p w:rsidR="001956F7" w:rsidRPr="00183FCF" w:rsidRDefault="001956F7" w:rsidP="003A588A">
            <w:pPr>
              <w:pStyle w:val="Tabletext"/>
              <w:tabs>
                <w:tab w:val="decimal" w:pos="624"/>
              </w:tabs>
            </w:pPr>
            <w:r w:rsidRPr="00183FCF">
              <w:t>0</w:t>
            </w:r>
          </w:p>
        </w:tc>
        <w:tc>
          <w:tcPr>
            <w:tcW w:w="1360" w:type="dxa"/>
            <w:tcBorders>
              <w:top w:val="nil"/>
              <w:left w:val="nil"/>
              <w:bottom w:val="nil"/>
            </w:tcBorders>
          </w:tcPr>
          <w:p w:rsidR="001956F7" w:rsidRPr="003A588A" w:rsidRDefault="001956F7" w:rsidP="003A588A">
            <w:pPr>
              <w:pStyle w:val="Tabletext"/>
              <w:tabs>
                <w:tab w:val="decimal" w:pos="624"/>
              </w:tabs>
              <w:rPr>
                <w:color w:val="000000" w:themeColor="text1"/>
              </w:rPr>
            </w:pPr>
            <w:r w:rsidRPr="003A588A">
              <w:rPr>
                <w:color w:val="000000" w:themeColor="text1"/>
              </w:rPr>
              <w:t>3</w:t>
            </w:r>
          </w:p>
        </w:tc>
      </w:tr>
      <w:tr w:rsidR="001956F7" w:rsidTr="003A588A">
        <w:tc>
          <w:tcPr>
            <w:tcW w:w="3008" w:type="dxa"/>
            <w:tcBorders>
              <w:top w:val="nil"/>
              <w:bottom w:val="nil"/>
              <w:right w:val="nil"/>
            </w:tcBorders>
          </w:tcPr>
          <w:p w:rsidR="001956F7" w:rsidRPr="00B77D4B" w:rsidRDefault="001956F7" w:rsidP="00810675">
            <w:pPr>
              <w:pStyle w:val="Tabletext"/>
            </w:pPr>
            <w:r w:rsidRPr="00B77D4B">
              <w:t>Retail</w:t>
            </w:r>
          </w:p>
        </w:tc>
        <w:tc>
          <w:tcPr>
            <w:tcW w:w="1360" w:type="dxa"/>
            <w:tcBorders>
              <w:top w:val="nil"/>
              <w:left w:val="nil"/>
              <w:bottom w:val="nil"/>
              <w:right w:val="nil"/>
            </w:tcBorders>
          </w:tcPr>
          <w:p w:rsidR="001956F7" w:rsidRPr="00183FCF" w:rsidRDefault="001956F7" w:rsidP="003A588A">
            <w:pPr>
              <w:pStyle w:val="Tabletext"/>
              <w:tabs>
                <w:tab w:val="decimal" w:pos="624"/>
              </w:tabs>
            </w:pPr>
            <w:r w:rsidRPr="00183FCF">
              <w:t>2</w:t>
            </w:r>
          </w:p>
        </w:tc>
        <w:tc>
          <w:tcPr>
            <w:tcW w:w="1360" w:type="dxa"/>
            <w:tcBorders>
              <w:top w:val="nil"/>
              <w:left w:val="nil"/>
              <w:bottom w:val="nil"/>
              <w:right w:val="nil"/>
            </w:tcBorders>
          </w:tcPr>
          <w:p w:rsidR="001956F7" w:rsidRPr="00183FCF" w:rsidRDefault="001956F7" w:rsidP="003A588A">
            <w:pPr>
              <w:pStyle w:val="Tabletext"/>
              <w:tabs>
                <w:tab w:val="decimal" w:pos="624"/>
              </w:tabs>
            </w:pPr>
            <w:r w:rsidRPr="00183FCF">
              <w:t>0</w:t>
            </w:r>
          </w:p>
        </w:tc>
        <w:tc>
          <w:tcPr>
            <w:tcW w:w="1360" w:type="dxa"/>
            <w:tcBorders>
              <w:top w:val="nil"/>
              <w:left w:val="nil"/>
              <w:bottom w:val="nil"/>
            </w:tcBorders>
          </w:tcPr>
          <w:p w:rsidR="001956F7" w:rsidRPr="003A588A" w:rsidRDefault="001956F7" w:rsidP="003A588A">
            <w:pPr>
              <w:pStyle w:val="Tabletext"/>
              <w:tabs>
                <w:tab w:val="decimal" w:pos="624"/>
              </w:tabs>
              <w:rPr>
                <w:color w:val="000000" w:themeColor="text1"/>
              </w:rPr>
            </w:pPr>
            <w:r w:rsidRPr="003A588A">
              <w:rPr>
                <w:color w:val="000000" w:themeColor="text1"/>
              </w:rPr>
              <w:t>2</w:t>
            </w:r>
          </w:p>
        </w:tc>
      </w:tr>
      <w:tr w:rsidR="001956F7" w:rsidTr="003A588A">
        <w:tc>
          <w:tcPr>
            <w:tcW w:w="3008" w:type="dxa"/>
            <w:tcBorders>
              <w:top w:val="nil"/>
              <w:bottom w:val="nil"/>
              <w:right w:val="nil"/>
            </w:tcBorders>
          </w:tcPr>
          <w:p w:rsidR="001956F7" w:rsidRPr="00B77D4B" w:rsidRDefault="001956F7" w:rsidP="00810675">
            <w:pPr>
              <w:pStyle w:val="Tabletext"/>
            </w:pPr>
            <w:r w:rsidRPr="00B77D4B">
              <w:t>Cleaning</w:t>
            </w:r>
          </w:p>
        </w:tc>
        <w:tc>
          <w:tcPr>
            <w:tcW w:w="1360" w:type="dxa"/>
            <w:tcBorders>
              <w:top w:val="nil"/>
              <w:left w:val="nil"/>
              <w:bottom w:val="nil"/>
              <w:right w:val="nil"/>
            </w:tcBorders>
          </w:tcPr>
          <w:p w:rsidR="001956F7" w:rsidRPr="00183FCF" w:rsidRDefault="001956F7" w:rsidP="003A588A">
            <w:pPr>
              <w:pStyle w:val="Tabletext"/>
              <w:tabs>
                <w:tab w:val="decimal" w:pos="624"/>
              </w:tabs>
            </w:pPr>
            <w:r w:rsidRPr="00183FCF">
              <w:t>0</w:t>
            </w:r>
          </w:p>
        </w:tc>
        <w:tc>
          <w:tcPr>
            <w:tcW w:w="1360" w:type="dxa"/>
            <w:tcBorders>
              <w:top w:val="nil"/>
              <w:left w:val="nil"/>
              <w:bottom w:val="nil"/>
              <w:right w:val="nil"/>
            </w:tcBorders>
          </w:tcPr>
          <w:p w:rsidR="001956F7" w:rsidRPr="00183FCF" w:rsidRDefault="001956F7" w:rsidP="003A588A">
            <w:pPr>
              <w:pStyle w:val="Tabletext"/>
              <w:tabs>
                <w:tab w:val="decimal" w:pos="624"/>
              </w:tabs>
            </w:pPr>
            <w:r w:rsidRPr="00183FCF">
              <w:t>2</w:t>
            </w:r>
          </w:p>
        </w:tc>
        <w:tc>
          <w:tcPr>
            <w:tcW w:w="1360" w:type="dxa"/>
            <w:tcBorders>
              <w:top w:val="nil"/>
              <w:left w:val="nil"/>
              <w:bottom w:val="nil"/>
            </w:tcBorders>
          </w:tcPr>
          <w:p w:rsidR="001956F7" w:rsidRPr="003A588A" w:rsidRDefault="001956F7" w:rsidP="003A588A">
            <w:pPr>
              <w:pStyle w:val="Tabletext"/>
              <w:tabs>
                <w:tab w:val="decimal" w:pos="624"/>
              </w:tabs>
              <w:rPr>
                <w:color w:val="000000" w:themeColor="text1"/>
              </w:rPr>
            </w:pPr>
            <w:r w:rsidRPr="003A588A">
              <w:rPr>
                <w:color w:val="000000" w:themeColor="text1"/>
              </w:rPr>
              <w:t>2</w:t>
            </w:r>
          </w:p>
        </w:tc>
      </w:tr>
      <w:tr w:rsidR="001956F7" w:rsidTr="003A588A">
        <w:tc>
          <w:tcPr>
            <w:tcW w:w="3008" w:type="dxa"/>
            <w:tcBorders>
              <w:top w:val="nil"/>
              <w:bottom w:val="nil"/>
              <w:right w:val="nil"/>
            </w:tcBorders>
          </w:tcPr>
          <w:p w:rsidR="001956F7" w:rsidRPr="00B77D4B" w:rsidRDefault="001956F7" w:rsidP="00810675">
            <w:pPr>
              <w:pStyle w:val="Tabletext"/>
            </w:pPr>
            <w:r w:rsidRPr="00B77D4B">
              <w:t>Self-employed</w:t>
            </w:r>
          </w:p>
        </w:tc>
        <w:tc>
          <w:tcPr>
            <w:tcW w:w="1360" w:type="dxa"/>
            <w:tcBorders>
              <w:top w:val="nil"/>
              <w:left w:val="nil"/>
              <w:bottom w:val="nil"/>
              <w:right w:val="nil"/>
            </w:tcBorders>
          </w:tcPr>
          <w:p w:rsidR="001956F7" w:rsidRPr="00183FCF" w:rsidRDefault="001956F7" w:rsidP="003A588A">
            <w:pPr>
              <w:pStyle w:val="Tabletext"/>
              <w:tabs>
                <w:tab w:val="decimal" w:pos="624"/>
              </w:tabs>
            </w:pPr>
            <w:r w:rsidRPr="00183FCF">
              <w:t>2</w:t>
            </w:r>
          </w:p>
        </w:tc>
        <w:tc>
          <w:tcPr>
            <w:tcW w:w="1360" w:type="dxa"/>
            <w:tcBorders>
              <w:top w:val="nil"/>
              <w:left w:val="nil"/>
              <w:bottom w:val="nil"/>
              <w:right w:val="nil"/>
            </w:tcBorders>
          </w:tcPr>
          <w:p w:rsidR="001956F7" w:rsidRPr="00183FCF" w:rsidRDefault="001956F7" w:rsidP="003A588A">
            <w:pPr>
              <w:pStyle w:val="Tabletext"/>
              <w:tabs>
                <w:tab w:val="decimal" w:pos="624"/>
              </w:tabs>
            </w:pPr>
            <w:r w:rsidRPr="00183FCF">
              <w:t>0</w:t>
            </w:r>
          </w:p>
        </w:tc>
        <w:tc>
          <w:tcPr>
            <w:tcW w:w="1360" w:type="dxa"/>
            <w:tcBorders>
              <w:top w:val="nil"/>
              <w:left w:val="nil"/>
              <w:bottom w:val="nil"/>
            </w:tcBorders>
          </w:tcPr>
          <w:p w:rsidR="001956F7" w:rsidRPr="003A588A" w:rsidRDefault="001956F7" w:rsidP="003A588A">
            <w:pPr>
              <w:pStyle w:val="Tabletext"/>
              <w:tabs>
                <w:tab w:val="decimal" w:pos="624"/>
              </w:tabs>
              <w:rPr>
                <w:color w:val="000000" w:themeColor="text1"/>
              </w:rPr>
            </w:pPr>
            <w:r w:rsidRPr="003A588A">
              <w:rPr>
                <w:color w:val="000000" w:themeColor="text1"/>
              </w:rPr>
              <w:t>2</w:t>
            </w:r>
          </w:p>
        </w:tc>
      </w:tr>
      <w:tr w:rsidR="001956F7" w:rsidTr="003A588A">
        <w:tc>
          <w:tcPr>
            <w:tcW w:w="3008" w:type="dxa"/>
            <w:tcBorders>
              <w:top w:val="nil"/>
              <w:bottom w:val="nil"/>
              <w:right w:val="nil"/>
            </w:tcBorders>
          </w:tcPr>
          <w:p w:rsidR="001956F7" w:rsidRPr="00B77D4B" w:rsidRDefault="001956F7" w:rsidP="00810675">
            <w:pPr>
              <w:pStyle w:val="Tabletext"/>
            </w:pPr>
            <w:r w:rsidRPr="00B77D4B">
              <w:t>Personal care assistant</w:t>
            </w:r>
          </w:p>
        </w:tc>
        <w:tc>
          <w:tcPr>
            <w:tcW w:w="1360" w:type="dxa"/>
            <w:tcBorders>
              <w:top w:val="nil"/>
              <w:left w:val="nil"/>
              <w:bottom w:val="nil"/>
              <w:right w:val="nil"/>
            </w:tcBorders>
          </w:tcPr>
          <w:p w:rsidR="001956F7" w:rsidRPr="00B72E35" w:rsidRDefault="001956F7" w:rsidP="003A588A">
            <w:pPr>
              <w:pStyle w:val="Tabletext"/>
              <w:tabs>
                <w:tab w:val="decimal" w:pos="624"/>
              </w:tabs>
            </w:pPr>
            <w:r w:rsidRPr="00B72E35">
              <w:t>1</w:t>
            </w:r>
          </w:p>
        </w:tc>
        <w:tc>
          <w:tcPr>
            <w:tcW w:w="1360" w:type="dxa"/>
            <w:tcBorders>
              <w:top w:val="nil"/>
              <w:left w:val="nil"/>
              <w:bottom w:val="nil"/>
              <w:right w:val="nil"/>
            </w:tcBorders>
          </w:tcPr>
          <w:p w:rsidR="001956F7" w:rsidRPr="00B72E35" w:rsidRDefault="001956F7" w:rsidP="003A588A">
            <w:pPr>
              <w:pStyle w:val="Tabletext"/>
              <w:tabs>
                <w:tab w:val="decimal" w:pos="624"/>
              </w:tabs>
            </w:pPr>
            <w:r w:rsidRPr="00B72E35">
              <w:t>0</w:t>
            </w:r>
          </w:p>
        </w:tc>
        <w:tc>
          <w:tcPr>
            <w:tcW w:w="1360" w:type="dxa"/>
            <w:tcBorders>
              <w:top w:val="nil"/>
              <w:left w:val="nil"/>
              <w:bottom w:val="nil"/>
            </w:tcBorders>
          </w:tcPr>
          <w:p w:rsidR="001956F7" w:rsidRPr="003A588A" w:rsidRDefault="001956F7" w:rsidP="003A588A">
            <w:pPr>
              <w:pStyle w:val="Tabletext"/>
              <w:tabs>
                <w:tab w:val="decimal" w:pos="624"/>
              </w:tabs>
              <w:rPr>
                <w:color w:val="000000" w:themeColor="text1"/>
              </w:rPr>
            </w:pPr>
            <w:r w:rsidRPr="003A588A">
              <w:rPr>
                <w:color w:val="000000" w:themeColor="text1"/>
              </w:rPr>
              <w:t>1</w:t>
            </w:r>
          </w:p>
        </w:tc>
      </w:tr>
      <w:tr w:rsidR="001956F7" w:rsidTr="003A588A">
        <w:tc>
          <w:tcPr>
            <w:tcW w:w="3008" w:type="dxa"/>
            <w:tcBorders>
              <w:top w:val="nil"/>
              <w:bottom w:val="nil"/>
              <w:right w:val="nil"/>
            </w:tcBorders>
          </w:tcPr>
          <w:p w:rsidR="001956F7" w:rsidRPr="00B77D4B" w:rsidRDefault="001956F7" w:rsidP="00810675">
            <w:pPr>
              <w:pStyle w:val="Tabletext"/>
            </w:pPr>
            <w:r w:rsidRPr="00B77D4B">
              <w:t>Driver</w:t>
            </w:r>
          </w:p>
        </w:tc>
        <w:tc>
          <w:tcPr>
            <w:tcW w:w="1360" w:type="dxa"/>
            <w:tcBorders>
              <w:top w:val="nil"/>
              <w:left w:val="nil"/>
              <w:bottom w:val="nil"/>
              <w:right w:val="nil"/>
            </w:tcBorders>
          </w:tcPr>
          <w:p w:rsidR="001956F7" w:rsidRPr="00B72E35" w:rsidRDefault="001956F7" w:rsidP="003A588A">
            <w:pPr>
              <w:pStyle w:val="Tabletext"/>
              <w:tabs>
                <w:tab w:val="decimal" w:pos="624"/>
              </w:tabs>
            </w:pPr>
            <w:r w:rsidRPr="00B72E35">
              <w:t>0</w:t>
            </w:r>
          </w:p>
        </w:tc>
        <w:tc>
          <w:tcPr>
            <w:tcW w:w="1360" w:type="dxa"/>
            <w:tcBorders>
              <w:top w:val="nil"/>
              <w:left w:val="nil"/>
              <w:bottom w:val="nil"/>
              <w:right w:val="nil"/>
            </w:tcBorders>
          </w:tcPr>
          <w:p w:rsidR="001956F7" w:rsidRPr="00B72E35" w:rsidRDefault="001956F7" w:rsidP="003A588A">
            <w:pPr>
              <w:pStyle w:val="Tabletext"/>
              <w:tabs>
                <w:tab w:val="decimal" w:pos="624"/>
              </w:tabs>
            </w:pPr>
            <w:r w:rsidRPr="00B72E35">
              <w:t>1</w:t>
            </w:r>
          </w:p>
        </w:tc>
        <w:tc>
          <w:tcPr>
            <w:tcW w:w="1360" w:type="dxa"/>
            <w:tcBorders>
              <w:top w:val="nil"/>
              <w:left w:val="nil"/>
              <w:bottom w:val="nil"/>
            </w:tcBorders>
          </w:tcPr>
          <w:p w:rsidR="001956F7" w:rsidRPr="003A588A" w:rsidRDefault="001956F7" w:rsidP="003A588A">
            <w:pPr>
              <w:pStyle w:val="Tabletext"/>
              <w:tabs>
                <w:tab w:val="decimal" w:pos="624"/>
              </w:tabs>
              <w:rPr>
                <w:color w:val="000000" w:themeColor="text1"/>
              </w:rPr>
            </w:pPr>
            <w:r w:rsidRPr="003A588A">
              <w:rPr>
                <w:color w:val="000000" w:themeColor="text1"/>
              </w:rPr>
              <w:t>1</w:t>
            </w:r>
          </w:p>
        </w:tc>
      </w:tr>
      <w:tr w:rsidR="001956F7" w:rsidRPr="00810675" w:rsidTr="003A588A">
        <w:tc>
          <w:tcPr>
            <w:tcW w:w="3008" w:type="dxa"/>
            <w:tcBorders>
              <w:top w:val="nil"/>
              <w:bottom w:val="single" w:sz="4" w:space="0" w:color="auto"/>
              <w:right w:val="nil"/>
            </w:tcBorders>
          </w:tcPr>
          <w:p w:rsidR="001956F7" w:rsidRPr="00810675" w:rsidRDefault="001956F7" w:rsidP="00810675">
            <w:pPr>
              <w:pStyle w:val="Tabletext"/>
              <w:rPr>
                <w:b/>
              </w:rPr>
            </w:pPr>
            <w:r w:rsidRPr="00810675">
              <w:rPr>
                <w:b/>
              </w:rPr>
              <w:t>Total</w:t>
            </w:r>
          </w:p>
        </w:tc>
        <w:tc>
          <w:tcPr>
            <w:tcW w:w="1360" w:type="dxa"/>
            <w:tcBorders>
              <w:top w:val="nil"/>
              <w:left w:val="nil"/>
              <w:bottom w:val="single" w:sz="4" w:space="0" w:color="auto"/>
              <w:right w:val="nil"/>
            </w:tcBorders>
          </w:tcPr>
          <w:p w:rsidR="001956F7" w:rsidRPr="00810675" w:rsidRDefault="001956F7" w:rsidP="003A588A">
            <w:pPr>
              <w:pStyle w:val="Tabletext"/>
              <w:tabs>
                <w:tab w:val="decimal" w:pos="624"/>
              </w:tabs>
              <w:rPr>
                <w:b/>
              </w:rPr>
            </w:pPr>
            <w:r w:rsidRPr="00810675">
              <w:rPr>
                <w:b/>
              </w:rPr>
              <w:t xml:space="preserve">  13</w:t>
            </w:r>
          </w:p>
        </w:tc>
        <w:tc>
          <w:tcPr>
            <w:tcW w:w="1360" w:type="dxa"/>
            <w:tcBorders>
              <w:top w:val="nil"/>
              <w:left w:val="nil"/>
              <w:bottom w:val="single" w:sz="4" w:space="0" w:color="auto"/>
              <w:right w:val="nil"/>
            </w:tcBorders>
          </w:tcPr>
          <w:p w:rsidR="001956F7" w:rsidRPr="00810675" w:rsidRDefault="001956F7" w:rsidP="003A588A">
            <w:pPr>
              <w:pStyle w:val="Tabletext"/>
              <w:tabs>
                <w:tab w:val="decimal" w:pos="624"/>
              </w:tabs>
              <w:rPr>
                <w:b/>
              </w:rPr>
            </w:pPr>
            <w:r w:rsidRPr="00810675">
              <w:rPr>
                <w:b/>
              </w:rPr>
              <w:t xml:space="preserve">     7</w:t>
            </w:r>
          </w:p>
        </w:tc>
        <w:tc>
          <w:tcPr>
            <w:tcW w:w="1360" w:type="dxa"/>
            <w:tcBorders>
              <w:top w:val="nil"/>
              <w:left w:val="nil"/>
              <w:bottom w:val="single" w:sz="4" w:space="0" w:color="auto"/>
            </w:tcBorders>
          </w:tcPr>
          <w:p w:rsidR="001956F7" w:rsidRPr="003A588A" w:rsidRDefault="001956F7" w:rsidP="003A588A">
            <w:pPr>
              <w:pStyle w:val="Tabletext"/>
              <w:tabs>
                <w:tab w:val="decimal" w:pos="624"/>
              </w:tabs>
              <w:rPr>
                <w:b/>
                <w:color w:val="000000" w:themeColor="text1"/>
              </w:rPr>
            </w:pPr>
            <w:r w:rsidRPr="003A588A">
              <w:rPr>
                <w:b/>
                <w:color w:val="000000" w:themeColor="text1"/>
              </w:rPr>
              <w:t>20</w:t>
            </w:r>
          </w:p>
        </w:tc>
      </w:tr>
    </w:tbl>
    <w:p w:rsidR="00E84787" w:rsidRDefault="00E84787" w:rsidP="00E84787">
      <w:pPr>
        <w:pStyle w:val="Source"/>
      </w:pPr>
      <w:r>
        <w:t>Note:</w:t>
      </w:r>
      <w:r>
        <w:tab/>
        <w:t>N = 20</w:t>
      </w:r>
      <w:r w:rsidRPr="00620CE5">
        <w:t xml:space="preserve"> </w:t>
      </w:r>
      <w:r>
        <w:t>(</w:t>
      </w:r>
      <w:r w:rsidRPr="00620CE5">
        <w:t>33%</w:t>
      </w:r>
      <w:r>
        <w:t>).</w:t>
      </w:r>
    </w:p>
    <w:p w:rsidR="001956F7" w:rsidRPr="003A588A" w:rsidRDefault="001956F7" w:rsidP="003A588A">
      <w:pPr>
        <w:pStyle w:val="Textmorebefore"/>
        <w:rPr>
          <w:color w:val="000000" w:themeColor="text1"/>
        </w:rPr>
      </w:pPr>
      <w:r>
        <w:t xml:space="preserve">Table </w:t>
      </w:r>
      <w:r w:rsidRPr="00E145AF">
        <w:t>4 shows that in July 2007, only one-fifth of the group was in paid employment (</w:t>
      </w:r>
      <w:r>
        <w:t xml:space="preserve">N = </w:t>
      </w:r>
      <w:r w:rsidRPr="00E145AF">
        <w:t>12): eight part-time and four full-time, and in work simi</w:t>
      </w:r>
      <w:r>
        <w:t>lar to that described in t</w:t>
      </w:r>
      <w:r w:rsidRPr="00E145AF">
        <w:t>able 3. Thirty per cent of the group stated that they were looking for work, and proportionally more</w:t>
      </w:r>
      <w:r w:rsidRPr="008C6DED">
        <w:t xml:space="preserve"> males were in or seeking work</w:t>
      </w:r>
      <w:r w:rsidR="00431004">
        <w:t xml:space="preserve"> (N = 9</w:t>
      </w:r>
      <w:r>
        <w:t>, 60%) than females (N = 21, 47%)</w:t>
      </w:r>
      <w:r w:rsidRPr="008C6DED">
        <w:t xml:space="preserve">. Half </w:t>
      </w:r>
      <w:r>
        <w:t xml:space="preserve">of </w:t>
      </w:r>
      <w:r w:rsidRPr="008C6DED">
        <w:t>the group stated that they were not looking f</w:t>
      </w:r>
      <w:r>
        <w:t>or paid employment</w:t>
      </w:r>
      <w:r w:rsidRPr="008C6DED">
        <w:t xml:space="preserve">. It may be that some of these migrants had no need to secure </w:t>
      </w:r>
      <w:r w:rsidRPr="006C376E">
        <w:t>employment and/or had family commitments, including caring for children, which made paid work</w:t>
      </w:r>
      <w:r w:rsidRPr="008C6DED">
        <w:t xml:space="preserve"> too difficult. Likewise, some may have been receiving welfare payments; thus, employment may not have been </w:t>
      </w:r>
      <w:r w:rsidRPr="00A42C7A">
        <w:t>a necessity</w:t>
      </w:r>
      <w:r w:rsidRPr="007E6D95">
        <w:rPr>
          <w:color w:val="FF0000"/>
        </w:rPr>
        <w:t xml:space="preserve"> </w:t>
      </w:r>
      <w:r w:rsidRPr="008C6DED">
        <w:t>for them</w:t>
      </w:r>
      <w:r w:rsidRPr="003A588A">
        <w:rPr>
          <w:color w:val="000000" w:themeColor="text1"/>
        </w:rPr>
        <w:t xml:space="preserve">. </w:t>
      </w:r>
    </w:p>
    <w:p w:rsidR="001956F7" w:rsidRPr="003A588A" w:rsidRDefault="001956F7" w:rsidP="001956F7">
      <w:pPr>
        <w:pStyle w:val="tabletitle"/>
        <w:rPr>
          <w:color w:val="000000" w:themeColor="text1"/>
        </w:rPr>
      </w:pPr>
      <w:bookmarkStart w:id="70" w:name="_Toc305074184"/>
      <w:bookmarkStart w:id="71" w:name="_Toc309645548"/>
      <w:r>
        <w:t>Table 4</w:t>
      </w:r>
      <w:r w:rsidRPr="00505BA1">
        <w:tab/>
      </w:r>
      <w:r w:rsidRPr="00D039BA">
        <w:t>M</w:t>
      </w:r>
      <w:r w:rsidRPr="00FA37F0">
        <w:rPr>
          <w:rFonts w:cs="Arial"/>
          <w:szCs w:val="17"/>
        </w:rPr>
        <w:t xml:space="preserve">igrants’ </w:t>
      </w:r>
      <w:r w:rsidRPr="002334AE">
        <w:rPr>
          <w:rFonts w:cs="Arial"/>
          <w:szCs w:val="17"/>
        </w:rPr>
        <w:t>paid employment</w:t>
      </w:r>
      <w:r>
        <w:rPr>
          <w:rFonts w:cs="Arial"/>
          <w:szCs w:val="17"/>
        </w:rPr>
        <w:t xml:space="preserve"> status by gender, July 2007</w:t>
      </w:r>
      <w:bookmarkEnd w:id="70"/>
      <w:bookmarkEnd w:id="71"/>
    </w:p>
    <w:tbl>
      <w:tblPr>
        <w:tblW w:w="7088" w:type="dxa"/>
        <w:tblInd w:w="108" w:type="dxa"/>
        <w:tblBorders>
          <w:top w:val="single" w:sz="4" w:space="0" w:color="auto"/>
          <w:bottom w:val="single" w:sz="4" w:space="0" w:color="auto"/>
        </w:tblBorders>
        <w:tblLayout w:type="fixed"/>
        <w:tblLook w:val="0000"/>
      </w:tblPr>
      <w:tblGrid>
        <w:gridCol w:w="2694"/>
        <w:gridCol w:w="1098"/>
        <w:gridCol w:w="1099"/>
        <w:gridCol w:w="1098"/>
        <w:gridCol w:w="1099"/>
      </w:tblGrid>
      <w:tr w:rsidR="001956F7" w:rsidRPr="003A588A" w:rsidTr="003A588A">
        <w:tc>
          <w:tcPr>
            <w:tcW w:w="2694" w:type="dxa"/>
            <w:tcBorders>
              <w:top w:val="single" w:sz="4" w:space="0" w:color="auto"/>
              <w:bottom w:val="nil"/>
              <w:right w:val="nil"/>
            </w:tcBorders>
            <w:vAlign w:val="bottom"/>
          </w:tcPr>
          <w:p w:rsidR="001956F7" w:rsidRPr="003A588A" w:rsidRDefault="001956F7" w:rsidP="003A588A">
            <w:pPr>
              <w:pStyle w:val="Tablehead1"/>
            </w:pPr>
            <w:r w:rsidRPr="003A588A">
              <w:t>Employment status</w:t>
            </w:r>
          </w:p>
        </w:tc>
        <w:tc>
          <w:tcPr>
            <w:tcW w:w="2197" w:type="dxa"/>
            <w:gridSpan w:val="2"/>
            <w:tcBorders>
              <w:top w:val="single" w:sz="4" w:space="0" w:color="auto"/>
              <w:left w:val="nil"/>
              <w:bottom w:val="nil"/>
              <w:right w:val="nil"/>
            </w:tcBorders>
          </w:tcPr>
          <w:p w:rsidR="001956F7" w:rsidRPr="003A588A" w:rsidRDefault="001956F7" w:rsidP="003A588A">
            <w:pPr>
              <w:pStyle w:val="Tablehead1"/>
              <w:jc w:val="center"/>
            </w:pPr>
            <w:r w:rsidRPr="003A588A">
              <w:t>Gender</w:t>
            </w:r>
          </w:p>
        </w:tc>
        <w:tc>
          <w:tcPr>
            <w:tcW w:w="2197" w:type="dxa"/>
            <w:gridSpan w:val="2"/>
            <w:tcBorders>
              <w:top w:val="single" w:sz="4" w:space="0" w:color="auto"/>
              <w:left w:val="nil"/>
              <w:bottom w:val="nil"/>
            </w:tcBorders>
          </w:tcPr>
          <w:p w:rsidR="001956F7" w:rsidRPr="003A588A" w:rsidRDefault="001956F7" w:rsidP="003A588A">
            <w:pPr>
              <w:pStyle w:val="Tablehead1"/>
              <w:jc w:val="center"/>
            </w:pPr>
            <w:r w:rsidRPr="003A588A">
              <w:t>Total</w:t>
            </w:r>
          </w:p>
        </w:tc>
      </w:tr>
      <w:tr w:rsidR="001956F7" w:rsidRPr="003A588A" w:rsidTr="003A588A">
        <w:tc>
          <w:tcPr>
            <w:tcW w:w="2694" w:type="dxa"/>
            <w:tcBorders>
              <w:top w:val="nil"/>
              <w:bottom w:val="single" w:sz="4" w:space="0" w:color="auto"/>
              <w:right w:val="nil"/>
            </w:tcBorders>
            <w:vAlign w:val="bottom"/>
          </w:tcPr>
          <w:p w:rsidR="001956F7" w:rsidRPr="003A588A" w:rsidRDefault="001956F7" w:rsidP="003A588A">
            <w:pPr>
              <w:pStyle w:val="Tablehead2"/>
            </w:pPr>
          </w:p>
        </w:tc>
        <w:tc>
          <w:tcPr>
            <w:tcW w:w="1098" w:type="dxa"/>
            <w:tcBorders>
              <w:top w:val="nil"/>
              <w:left w:val="nil"/>
              <w:bottom w:val="single" w:sz="4" w:space="0" w:color="auto"/>
              <w:right w:val="nil"/>
            </w:tcBorders>
          </w:tcPr>
          <w:p w:rsidR="001956F7" w:rsidRPr="003A588A" w:rsidRDefault="001956F7" w:rsidP="003A588A">
            <w:pPr>
              <w:pStyle w:val="Tablehead2"/>
              <w:jc w:val="center"/>
            </w:pPr>
            <w:r w:rsidRPr="003A588A">
              <w:t>Female</w:t>
            </w:r>
          </w:p>
        </w:tc>
        <w:tc>
          <w:tcPr>
            <w:tcW w:w="1099" w:type="dxa"/>
            <w:tcBorders>
              <w:top w:val="nil"/>
              <w:left w:val="nil"/>
              <w:bottom w:val="single" w:sz="4" w:space="0" w:color="auto"/>
              <w:right w:val="nil"/>
            </w:tcBorders>
          </w:tcPr>
          <w:p w:rsidR="001956F7" w:rsidRPr="003A588A" w:rsidRDefault="001956F7" w:rsidP="003A588A">
            <w:pPr>
              <w:pStyle w:val="Tablehead2"/>
              <w:jc w:val="center"/>
            </w:pPr>
            <w:r w:rsidRPr="003A588A">
              <w:t>Male</w:t>
            </w:r>
          </w:p>
        </w:tc>
        <w:tc>
          <w:tcPr>
            <w:tcW w:w="1098" w:type="dxa"/>
            <w:tcBorders>
              <w:top w:val="nil"/>
              <w:left w:val="nil"/>
              <w:bottom w:val="single" w:sz="4" w:space="0" w:color="auto"/>
              <w:right w:val="nil"/>
            </w:tcBorders>
          </w:tcPr>
          <w:p w:rsidR="001956F7" w:rsidRPr="003A588A" w:rsidRDefault="001956F7" w:rsidP="003A588A">
            <w:pPr>
              <w:pStyle w:val="Tablehead2"/>
              <w:jc w:val="center"/>
            </w:pPr>
            <w:r w:rsidRPr="003A588A">
              <w:t>Number</w:t>
            </w:r>
          </w:p>
        </w:tc>
        <w:tc>
          <w:tcPr>
            <w:tcW w:w="1099" w:type="dxa"/>
            <w:tcBorders>
              <w:top w:val="nil"/>
              <w:left w:val="nil"/>
              <w:bottom w:val="single" w:sz="4" w:space="0" w:color="auto"/>
            </w:tcBorders>
          </w:tcPr>
          <w:p w:rsidR="001956F7" w:rsidRPr="003A588A" w:rsidRDefault="001956F7" w:rsidP="003A588A">
            <w:pPr>
              <w:pStyle w:val="Tablehead2"/>
              <w:jc w:val="center"/>
            </w:pPr>
            <w:r w:rsidRPr="003A588A">
              <w:t>%</w:t>
            </w:r>
          </w:p>
        </w:tc>
      </w:tr>
      <w:tr w:rsidR="001956F7" w:rsidRPr="003A588A" w:rsidTr="003A588A">
        <w:tc>
          <w:tcPr>
            <w:tcW w:w="2694" w:type="dxa"/>
            <w:tcBorders>
              <w:top w:val="nil"/>
              <w:bottom w:val="nil"/>
              <w:right w:val="nil"/>
            </w:tcBorders>
            <w:vAlign w:val="bottom"/>
          </w:tcPr>
          <w:p w:rsidR="001956F7" w:rsidRPr="003A588A" w:rsidRDefault="001956F7" w:rsidP="003A588A">
            <w:pPr>
              <w:pStyle w:val="Tabletext"/>
            </w:pPr>
            <w:r w:rsidRPr="003A588A">
              <w:t>Working full-time</w:t>
            </w:r>
          </w:p>
        </w:tc>
        <w:tc>
          <w:tcPr>
            <w:tcW w:w="1098" w:type="dxa"/>
            <w:tcBorders>
              <w:top w:val="nil"/>
              <w:left w:val="nil"/>
              <w:bottom w:val="nil"/>
              <w:right w:val="nil"/>
            </w:tcBorders>
            <w:vAlign w:val="bottom"/>
          </w:tcPr>
          <w:p w:rsidR="001956F7" w:rsidRPr="003A588A" w:rsidRDefault="001956F7" w:rsidP="003A588A">
            <w:pPr>
              <w:pStyle w:val="Tabletext"/>
              <w:tabs>
                <w:tab w:val="decimal" w:pos="510"/>
              </w:tabs>
            </w:pPr>
            <w:r w:rsidRPr="003A588A">
              <w:t>1</w:t>
            </w:r>
          </w:p>
        </w:tc>
        <w:tc>
          <w:tcPr>
            <w:tcW w:w="1099" w:type="dxa"/>
            <w:tcBorders>
              <w:top w:val="nil"/>
              <w:left w:val="nil"/>
              <w:bottom w:val="nil"/>
              <w:right w:val="nil"/>
            </w:tcBorders>
            <w:vAlign w:val="bottom"/>
          </w:tcPr>
          <w:p w:rsidR="001956F7" w:rsidRPr="003A588A" w:rsidRDefault="001956F7" w:rsidP="003A588A">
            <w:pPr>
              <w:pStyle w:val="Tabletext"/>
              <w:tabs>
                <w:tab w:val="decimal" w:pos="510"/>
              </w:tabs>
            </w:pPr>
            <w:r w:rsidRPr="003A588A">
              <w:t>3</w:t>
            </w:r>
          </w:p>
        </w:tc>
        <w:tc>
          <w:tcPr>
            <w:tcW w:w="1098" w:type="dxa"/>
            <w:tcBorders>
              <w:top w:val="nil"/>
              <w:left w:val="nil"/>
              <w:bottom w:val="nil"/>
              <w:right w:val="nil"/>
            </w:tcBorders>
            <w:vAlign w:val="bottom"/>
          </w:tcPr>
          <w:p w:rsidR="001956F7" w:rsidRPr="003A588A" w:rsidRDefault="001956F7" w:rsidP="003A588A">
            <w:pPr>
              <w:pStyle w:val="Tabletext"/>
              <w:tabs>
                <w:tab w:val="decimal" w:pos="510"/>
              </w:tabs>
            </w:pPr>
            <w:r w:rsidRPr="003A588A">
              <w:t>4</w:t>
            </w:r>
          </w:p>
        </w:tc>
        <w:tc>
          <w:tcPr>
            <w:tcW w:w="1099" w:type="dxa"/>
            <w:tcBorders>
              <w:top w:val="nil"/>
              <w:left w:val="nil"/>
              <w:bottom w:val="nil"/>
            </w:tcBorders>
            <w:vAlign w:val="bottom"/>
          </w:tcPr>
          <w:p w:rsidR="001956F7" w:rsidRPr="003A588A" w:rsidRDefault="001956F7" w:rsidP="003A588A">
            <w:pPr>
              <w:pStyle w:val="Tabletext"/>
              <w:tabs>
                <w:tab w:val="decimal" w:pos="397"/>
              </w:tabs>
            </w:pPr>
            <w:r w:rsidRPr="003A588A">
              <w:t>6.6</w:t>
            </w:r>
          </w:p>
        </w:tc>
      </w:tr>
      <w:tr w:rsidR="001956F7" w:rsidRPr="003A588A" w:rsidTr="003A588A">
        <w:tc>
          <w:tcPr>
            <w:tcW w:w="2694" w:type="dxa"/>
            <w:tcBorders>
              <w:top w:val="nil"/>
              <w:bottom w:val="nil"/>
              <w:right w:val="nil"/>
            </w:tcBorders>
            <w:vAlign w:val="bottom"/>
          </w:tcPr>
          <w:p w:rsidR="001956F7" w:rsidRPr="003A588A" w:rsidRDefault="001956F7" w:rsidP="003A588A">
            <w:pPr>
              <w:pStyle w:val="Tabletext"/>
            </w:pPr>
            <w:r w:rsidRPr="003A588A">
              <w:t>Working part-time</w:t>
            </w:r>
          </w:p>
        </w:tc>
        <w:tc>
          <w:tcPr>
            <w:tcW w:w="1098" w:type="dxa"/>
            <w:tcBorders>
              <w:top w:val="nil"/>
              <w:left w:val="nil"/>
              <w:bottom w:val="nil"/>
              <w:right w:val="nil"/>
            </w:tcBorders>
            <w:vAlign w:val="bottom"/>
          </w:tcPr>
          <w:p w:rsidR="001956F7" w:rsidRPr="003A588A" w:rsidRDefault="001956F7" w:rsidP="003A588A">
            <w:pPr>
              <w:pStyle w:val="Tabletext"/>
              <w:tabs>
                <w:tab w:val="decimal" w:pos="510"/>
              </w:tabs>
            </w:pPr>
            <w:r w:rsidRPr="003A588A">
              <w:t>6</w:t>
            </w:r>
          </w:p>
        </w:tc>
        <w:tc>
          <w:tcPr>
            <w:tcW w:w="1099" w:type="dxa"/>
            <w:tcBorders>
              <w:top w:val="nil"/>
              <w:left w:val="nil"/>
              <w:bottom w:val="nil"/>
              <w:right w:val="nil"/>
            </w:tcBorders>
            <w:vAlign w:val="bottom"/>
          </w:tcPr>
          <w:p w:rsidR="001956F7" w:rsidRPr="003A588A" w:rsidRDefault="001956F7" w:rsidP="003A588A">
            <w:pPr>
              <w:pStyle w:val="Tabletext"/>
              <w:tabs>
                <w:tab w:val="decimal" w:pos="510"/>
              </w:tabs>
            </w:pPr>
            <w:r w:rsidRPr="003A588A">
              <w:t>2</w:t>
            </w:r>
          </w:p>
        </w:tc>
        <w:tc>
          <w:tcPr>
            <w:tcW w:w="1098" w:type="dxa"/>
            <w:tcBorders>
              <w:top w:val="nil"/>
              <w:left w:val="nil"/>
              <w:bottom w:val="nil"/>
              <w:right w:val="nil"/>
            </w:tcBorders>
            <w:vAlign w:val="bottom"/>
          </w:tcPr>
          <w:p w:rsidR="001956F7" w:rsidRPr="003A588A" w:rsidRDefault="001956F7" w:rsidP="003A588A">
            <w:pPr>
              <w:pStyle w:val="Tabletext"/>
              <w:tabs>
                <w:tab w:val="decimal" w:pos="510"/>
              </w:tabs>
            </w:pPr>
            <w:r w:rsidRPr="003A588A">
              <w:t>8</w:t>
            </w:r>
          </w:p>
        </w:tc>
        <w:tc>
          <w:tcPr>
            <w:tcW w:w="1099" w:type="dxa"/>
            <w:tcBorders>
              <w:top w:val="nil"/>
              <w:left w:val="nil"/>
              <w:bottom w:val="nil"/>
            </w:tcBorders>
            <w:vAlign w:val="bottom"/>
          </w:tcPr>
          <w:p w:rsidR="001956F7" w:rsidRPr="003A588A" w:rsidRDefault="001956F7" w:rsidP="003A588A">
            <w:pPr>
              <w:pStyle w:val="Tabletext"/>
              <w:tabs>
                <w:tab w:val="decimal" w:pos="397"/>
              </w:tabs>
            </w:pPr>
            <w:r w:rsidRPr="003A588A">
              <w:t>13.3</w:t>
            </w:r>
          </w:p>
        </w:tc>
      </w:tr>
      <w:tr w:rsidR="001956F7" w:rsidRPr="003A588A" w:rsidTr="003A588A">
        <w:tc>
          <w:tcPr>
            <w:tcW w:w="2694" w:type="dxa"/>
            <w:tcBorders>
              <w:top w:val="nil"/>
              <w:bottom w:val="nil"/>
              <w:right w:val="nil"/>
            </w:tcBorders>
            <w:vAlign w:val="bottom"/>
          </w:tcPr>
          <w:p w:rsidR="001956F7" w:rsidRPr="003A588A" w:rsidRDefault="001956F7" w:rsidP="003A588A">
            <w:pPr>
              <w:pStyle w:val="Tabletext"/>
            </w:pPr>
            <w:r w:rsidRPr="003A588A">
              <w:t>Not working, looking for work</w:t>
            </w:r>
          </w:p>
        </w:tc>
        <w:tc>
          <w:tcPr>
            <w:tcW w:w="1098" w:type="dxa"/>
            <w:tcBorders>
              <w:top w:val="nil"/>
              <w:left w:val="nil"/>
              <w:bottom w:val="nil"/>
              <w:right w:val="nil"/>
            </w:tcBorders>
            <w:vAlign w:val="bottom"/>
          </w:tcPr>
          <w:p w:rsidR="001956F7" w:rsidRPr="003A588A" w:rsidRDefault="001956F7" w:rsidP="003A588A">
            <w:pPr>
              <w:pStyle w:val="Tabletext"/>
              <w:tabs>
                <w:tab w:val="decimal" w:pos="510"/>
              </w:tabs>
            </w:pPr>
            <w:r w:rsidRPr="003A588A">
              <w:t>14</w:t>
            </w:r>
          </w:p>
        </w:tc>
        <w:tc>
          <w:tcPr>
            <w:tcW w:w="1099" w:type="dxa"/>
            <w:tcBorders>
              <w:top w:val="nil"/>
              <w:left w:val="nil"/>
              <w:bottom w:val="nil"/>
              <w:right w:val="nil"/>
            </w:tcBorders>
            <w:vAlign w:val="bottom"/>
          </w:tcPr>
          <w:p w:rsidR="001956F7" w:rsidRPr="003A588A" w:rsidRDefault="001956F7" w:rsidP="003A588A">
            <w:pPr>
              <w:pStyle w:val="Tabletext"/>
              <w:tabs>
                <w:tab w:val="decimal" w:pos="510"/>
              </w:tabs>
            </w:pPr>
            <w:r w:rsidRPr="003A588A">
              <w:t>4</w:t>
            </w:r>
          </w:p>
        </w:tc>
        <w:tc>
          <w:tcPr>
            <w:tcW w:w="1098" w:type="dxa"/>
            <w:tcBorders>
              <w:top w:val="nil"/>
              <w:left w:val="nil"/>
              <w:bottom w:val="nil"/>
              <w:right w:val="nil"/>
            </w:tcBorders>
            <w:vAlign w:val="bottom"/>
          </w:tcPr>
          <w:p w:rsidR="001956F7" w:rsidRPr="003A588A" w:rsidRDefault="001956F7" w:rsidP="003A588A">
            <w:pPr>
              <w:pStyle w:val="Tabletext"/>
              <w:tabs>
                <w:tab w:val="decimal" w:pos="510"/>
              </w:tabs>
            </w:pPr>
            <w:r w:rsidRPr="003A588A">
              <w:t>18</w:t>
            </w:r>
          </w:p>
        </w:tc>
        <w:tc>
          <w:tcPr>
            <w:tcW w:w="1099" w:type="dxa"/>
            <w:tcBorders>
              <w:top w:val="nil"/>
              <w:left w:val="nil"/>
              <w:bottom w:val="nil"/>
            </w:tcBorders>
            <w:vAlign w:val="bottom"/>
          </w:tcPr>
          <w:p w:rsidR="001956F7" w:rsidRPr="003A588A" w:rsidRDefault="001956F7" w:rsidP="003A588A">
            <w:pPr>
              <w:pStyle w:val="Tabletext"/>
              <w:tabs>
                <w:tab w:val="decimal" w:pos="397"/>
              </w:tabs>
            </w:pPr>
            <w:r w:rsidRPr="003A588A">
              <w:t>30.0</w:t>
            </w:r>
          </w:p>
        </w:tc>
      </w:tr>
      <w:tr w:rsidR="001956F7" w:rsidRPr="003A588A" w:rsidTr="003A588A">
        <w:tc>
          <w:tcPr>
            <w:tcW w:w="2694" w:type="dxa"/>
            <w:tcBorders>
              <w:top w:val="nil"/>
              <w:bottom w:val="nil"/>
              <w:right w:val="nil"/>
            </w:tcBorders>
            <w:vAlign w:val="bottom"/>
          </w:tcPr>
          <w:p w:rsidR="001956F7" w:rsidRPr="003A588A" w:rsidRDefault="001956F7" w:rsidP="003A588A">
            <w:pPr>
              <w:pStyle w:val="Tabletext"/>
            </w:pPr>
            <w:r w:rsidRPr="003A588A">
              <w:t xml:space="preserve">Not working, </w:t>
            </w:r>
            <w:r w:rsidRPr="003A588A">
              <w:rPr>
                <w:b/>
              </w:rPr>
              <w:t>not</w:t>
            </w:r>
            <w:r w:rsidRPr="003A588A">
              <w:t xml:space="preserve"> looking for work</w:t>
            </w:r>
          </w:p>
        </w:tc>
        <w:tc>
          <w:tcPr>
            <w:tcW w:w="1098" w:type="dxa"/>
            <w:tcBorders>
              <w:top w:val="nil"/>
              <w:left w:val="nil"/>
              <w:bottom w:val="nil"/>
              <w:right w:val="nil"/>
            </w:tcBorders>
            <w:vAlign w:val="bottom"/>
          </w:tcPr>
          <w:p w:rsidR="001956F7" w:rsidRPr="003A588A" w:rsidRDefault="001956F7" w:rsidP="003A588A">
            <w:pPr>
              <w:pStyle w:val="Tabletext"/>
              <w:tabs>
                <w:tab w:val="decimal" w:pos="510"/>
              </w:tabs>
            </w:pPr>
            <w:r w:rsidRPr="003A588A">
              <w:t>24</w:t>
            </w:r>
          </w:p>
        </w:tc>
        <w:tc>
          <w:tcPr>
            <w:tcW w:w="1099" w:type="dxa"/>
            <w:tcBorders>
              <w:top w:val="nil"/>
              <w:left w:val="nil"/>
              <w:bottom w:val="nil"/>
              <w:right w:val="nil"/>
            </w:tcBorders>
            <w:vAlign w:val="bottom"/>
          </w:tcPr>
          <w:p w:rsidR="001956F7" w:rsidRPr="003A588A" w:rsidRDefault="001956F7" w:rsidP="003A588A">
            <w:pPr>
              <w:pStyle w:val="Tabletext"/>
              <w:tabs>
                <w:tab w:val="decimal" w:pos="510"/>
              </w:tabs>
            </w:pPr>
            <w:r w:rsidRPr="003A588A">
              <w:t>6</w:t>
            </w:r>
          </w:p>
        </w:tc>
        <w:tc>
          <w:tcPr>
            <w:tcW w:w="1098" w:type="dxa"/>
            <w:tcBorders>
              <w:top w:val="nil"/>
              <w:left w:val="nil"/>
              <w:bottom w:val="nil"/>
              <w:right w:val="nil"/>
            </w:tcBorders>
            <w:vAlign w:val="bottom"/>
          </w:tcPr>
          <w:p w:rsidR="001956F7" w:rsidRPr="003A588A" w:rsidRDefault="001956F7" w:rsidP="003A588A">
            <w:pPr>
              <w:pStyle w:val="Tabletext"/>
              <w:tabs>
                <w:tab w:val="decimal" w:pos="510"/>
              </w:tabs>
            </w:pPr>
            <w:r w:rsidRPr="003A588A">
              <w:t>30</w:t>
            </w:r>
          </w:p>
        </w:tc>
        <w:tc>
          <w:tcPr>
            <w:tcW w:w="1099" w:type="dxa"/>
            <w:tcBorders>
              <w:top w:val="nil"/>
              <w:left w:val="nil"/>
              <w:bottom w:val="nil"/>
            </w:tcBorders>
            <w:vAlign w:val="bottom"/>
          </w:tcPr>
          <w:p w:rsidR="001956F7" w:rsidRPr="003A588A" w:rsidRDefault="001956F7" w:rsidP="003A588A">
            <w:pPr>
              <w:pStyle w:val="Tabletext"/>
              <w:tabs>
                <w:tab w:val="decimal" w:pos="397"/>
              </w:tabs>
            </w:pPr>
            <w:r w:rsidRPr="003A588A">
              <w:t>50.0</w:t>
            </w:r>
          </w:p>
        </w:tc>
      </w:tr>
      <w:tr w:rsidR="001956F7" w:rsidRPr="003A588A" w:rsidTr="003A588A">
        <w:tc>
          <w:tcPr>
            <w:tcW w:w="2694" w:type="dxa"/>
            <w:tcBorders>
              <w:top w:val="nil"/>
              <w:bottom w:val="single" w:sz="4" w:space="0" w:color="auto"/>
              <w:right w:val="nil"/>
            </w:tcBorders>
            <w:vAlign w:val="bottom"/>
          </w:tcPr>
          <w:p w:rsidR="001956F7" w:rsidRPr="003A588A" w:rsidRDefault="001956F7" w:rsidP="003A588A">
            <w:pPr>
              <w:pStyle w:val="Tabletext"/>
              <w:rPr>
                <w:b/>
              </w:rPr>
            </w:pPr>
            <w:r w:rsidRPr="003A588A">
              <w:rPr>
                <w:b/>
              </w:rPr>
              <w:t>Total</w:t>
            </w:r>
          </w:p>
        </w:tc>
        <w:tc>
          <w:tcPr>
            <w:tcW w:w="1098" w:type="dxa"/>
            <w:tcBorders>
              <w:top w:val="nil"/>
              <w:left w:val="nil"/>
              <w:bottom w:val="single" w:sz="4" w:space="0" w:color="auto"/>
              <w:right w:val="nil"/>
            </w:tcBorders>
            <w:vAlign w:val="bottom"/>
          </w:tcPr>
          <w:p w:rsidR="001956F7" w:rsidRPr="003A588A" w:rsidRDefault="001956F7" w:rsidP="003A588A">
            <w:pPr>
              <w:pStyle w:val="Tabletext"/>
              <w:tabs>
                <w:tab w:val="decimal" w:pos="510"/>
              </w:tabs>
              <w:rPr>
                <w:b/>
              </w:rPr>
            </w:pPr>
            <w:r w:rsidRPr="003A588A">
              <w:rPr>
                <w:b/>
              </w:rPr>
              <w:t>45</w:t>
            </w:r>
          </w:p>
        </w:tc>
        <w:tc>
          <w:tcPr>
            <w:tcW w:w="1099" w:type="dxa"/>
            <w:tcBorders>
              <w:top w:val="nil"/>
              <w:left w:val="nil"/>
              <w:bottom w:val="single" w:sz="4" w:space="0" w:color="auto"/>
              <w:right w:val="nil"/>
            </w:tcBorders>
            <w:vAlign w:val="bottom"/>
          </w:tcPr>
          <w:p w:rsidR="001956F7" w:rsidRPr="003A588A" w:rsidRDefault="001956F7" w:rsidP="003A588A">
            <w:pPr>
              <w:pStyle w:val="Tabletext"/>
              <w:tabs>
                <w:tab w:val="decimal" w:pos="510"/>
              </w:tabs>
              <w:rPr>
                <w:b/>
              </w:rPr>
            </w:pPr>
            <w:r w:rsidRPr="003A588A">
              <w:rPr>
                <w:b/>
              </w:rPr>
              <w:t>15</w:t>
            </w:r>
          </w:p>
        </w:tc>
        <w:tc>
          <w:tcPr>
            <w:tcW w:w="1098" w:type="dxa"/>
            <w:tcBorders>
              <w:top w:val="nil"/>
              <w:left w:val="nil"/>
              <w:bottom w:val="single" w:sz="4" w:space="0" w:color="auto"/>
              <w:right w:val="nil"/>
            </w:tcBorders>
            <w:vAlign w:val="bottom"/>
          </w:tcPr>
          <w:p w:rsidR="001956F7" w:rsidRPr="003A588A" w:rsidRDefault="001956F7" w:rsidP="003A588A">
            <w:pPr>
              <w:pStyle w:val="Tabletext"/>
              <w:tabs>
                <w:tab w:val="decimal" w:pos="510"/>
              </w:tabs>
              <w:rPr>
                <w:b/>
              </w:rPr>
            </w:pPr>
            <w:r w:rsidRPr="003A588A">
              <w:rPr>
                <w:b/>
              </w:rPr>
              <w:t>60</w:t>
            </w:r>
          </w:p>
        </w:tc>
        <w:tc>
          <w:tcPr>
            <w:tcW w:w="1099" w:type="dxa"/>
            <w:tcBorders>
              <w:top w:val="nil"/>
              <w:left w:val="nil"/>
              <w:bottom w:val="single" w:sz="4" w:space="0" w:color="auto"/>
            </w:tcBorders>
            <w:vAlign w:val="bottom"/>
          </w:tcPr>
          <w:p w:rsidR="001956F7" w:rsidRPr="003A588A" w:rsidRDefault="001956F7" w:rsidP="003A588A">
            <w:pPr>
              <w:pStyle w:val="Tabletext"/>
              <w:tabs>
                <w:tab w:val="decimal" w:pos="397"/>
              </w:tabs>
              <w:rPr>
                <w:b/>
              </w:rPr>
            </w:pPr>
            <w:r w:rsidRPr="003A588A">
              <w:rPr>
                <w:b/>
              </w:rPr>
              <w:t>100.0</w:t>
            </w:r>
          </w:p>
        </w:tc>
      </w:tr>
    </w:tbl>
    <w:p w:rsidR="001956F7" w:rsidRPr="00D455C8" w:rsidRDefault="001956F7" w:rsidP="003A588A">
      <w:pPr>
        <w:pStyle w:val="Source"/>
      </w:pPr>
      <w:r>
        <w:t>Note</w:t>
      </w:r>
      <w:r w:rsidR="00E84787">
        <w:t>s</w:t>
      </w:r>
      <w:r>
        <w:t>:</w:t>
      </w:r>
      <w:r w:rsidR="003A588A">
        <w:tab/>
      </w:r>
      <w:r w:rsidR="003A588A" w:rsidRPr="003A588A">
        <w:t>M</w:t>
      </w:r>
      <w:r w:rsidRPr="003A588A">
        <w:t>issing</w:t>
      </w:r>
      <w:r>
        <w:t xml:space="preserve"> data N = 1.</w:t>
      </w:r>
      <w:r w:rsidRPr="00D455C8">
        <w:t xml:space="preserve"> </w:t>
      </w:r>
      <w:r w:rsidR="00E84787">
        <w:rPr>
          <w:rFonts w:cs="Arial"/>
          <w:szCs w:val="17"/>
        </w:rPr>
        <w:t xml:space="preserve">N = </w:t>
      </w:r>
      <w:r w:rsidR="00E84787" w:rsidRPr="002334AE">
        <w:rPr>
          <w:rFonts w:cs="Arial"/>
          <w:szCs w:val="17"/>
        </w:rPr>
        <w:t>60</w:t>
      </w:r>
      <w:r w:rsidR="00E84787">
        <w:rPr>
          <w:rFonts w:cs="Arial"/>
          <w:color w:val="000000" w:themeColor="text1"/>
          <w:szCs w:val="17"/>
        </w:rPr>
        <w:t>.</w:t>
      </w:r>
    </w:p>
    <w:p w:rsidR="001956F7" w:rsidRPr="002A640A" w:rsidRDefault="001956F7" w:rsidP="003A588A">
      <w:pPr>
        <w:pStyle w:val="Textmorebefore"/>
      </w:pPr>
      <w:r w:rsidRPr="002A640A">
        <w:t>In describing their reasons for undertaking their current (July</w:t>
      </w:r>
      <w:r>
        <w:t>—</w:t>
      </w:r>
      <w:r w:rsidRPr="000A6D0D">
        <w:t xml:space="preserve">December 2007) </w:t>
      </w:r>
      <w:r>
        <w:t>English language</w:t>
      </w:r>
      <w:r w:rsidRPr="000A6D0D">
        <w:t xml:space="preserve"> program</w:t>
      </w:r>
      <w:r w:rsidRPr="002A640A">
        <w:t xml:space="preserve">, two out of </w:t>
      </w:r>
      <w:r w:rsidR="009E437D">
        <w:t xml:space="preserve">every </w:t>
      </w:r>
      <w:r w:rsidRPr="002A640A">
        <w:t xml:space="preserve">five migrants stated that they wanted to improve their English to get a </w:t>
      </w:r>
      <w:r w:rsidRPr="006C376E">
        <w:t>job (or a better job:</w:t>
      </w:r>
      <w:r w:rsidRPr="006C376E">
        <w:rPr>
          <w:b/>
        </w:rPr>
        <w:t xml:space="preserve"> </w:t>
      </w:r>
      <w:r>
        <w:t xml:space="preserve">N = </w:t>
      </w:r>
      <w:r w:rsidRPr="006C376E">
        <w:t>27, 44%)</w:t>
      </w:r>
      <w:r>
        <w:t>,</w:t>
      </w:r>
      <w:r w:rsidRPr="002868C7">
        <w:rPr>
          <w:color w:val="FF0000"/>
        </w:rPr>
        <w:t xml:space="preserve"> </w:t>
      </w:r>
      <w:r w:rsidRPr="002A640A">
        <w:t xml:space="preserve">which was the fourth ranked answer (equal with learning about </w:t>
      </w:r>
      <w:r w:rsidRPr="002A640A">
        <w:lastRenderedPageBreak/>
        <w:t>Australia). This was</w:t>
      </w:r>
      <w:r w:rsidRPr="002A640A">
        <w:rPr>
          <w:color w:val="FF0000"/>
        </w:rPr>
        <w:t xml:space="preserve"> </w:t>
      </w:r>
      <w:r w:rsidRPr="002A640A">
        <w:t xml:space="preserve">considerably less than the two-thirds of the group who nominated further study as a reason for </w:t>
      </w:r>
      <w:r w:rsidR="00E84787">
        <w:t>undertaking</w:t>
      </w:r>
      <w:r w:rsidRPr="002A640A">
        <w:t xml:space="preserve"> their current course at </w:t>
      </w:r>
      <w:r>
        <w:t>the language centre</w:t>
      </w:r>
      <w:r w:rsidRPr="002A640A">
        <w:t>.</w:t>
      </w:r>
    </w:p>
    <w:p w:rsidR="001956F7" w:rsidRPr="003A588A" w:rsidRDefault="001956F7" w:rsidP="001956F7">
      <w:pPr>
        <w:pStyle w:val="Text"/>
        <w:rPr>
          <w:color w:val="000000" w:themeColor="text1"/>
        </w:rPr>
      </w:pPr>
      <w:r w:rsidRPr="007E6D95">
        <w:t>The previous section showed that articulating into further stu</w:t>
      </w:r>
      <w:r>
        <w:t>dy immediately after their July—</w:t>
      </w:r>
      <w:r w:rsidRPr="007E6D95">
        <w:t xml:space="preserve">December 2007 </w:t>
      </w:r>
      <w:r>
        <w:t>language</w:t>
      </w:r>
      <w:r w:rsidRPr="007E6D95">
        <w:t xml:space="preserve"> class</w:t>
      </w:r>
      <w:r w:rsidRPr="007E6D95">
        <w:rPr>
          <w:color w:val="FF0000"/>
          <w:sz w:val="16"/>
          <w:szCs w:val="16"/>
        </w:rPr>
        <w:t xml:space="preserve"> </w:t>
      </w:r>
      <w:r w:rsidRPr="007E6D95">
        <w:t>was</w:t>
      </w:r>
      <w:r w:rsidRPr="000A6D0D">
        <w:rPr>
          <w:rStyle w:val="TextChar"/>
        </w:rPr>
        <w:t xml:space="preserve"> </w:t>
      </w:r>
      <w:r w:rsidRPr="007E6D95">
        <w:t>a goal for jus</w:t>
      </w:r>
      <w:r>
        <w:t>t over half these migrants</w:t>
      </w:r>
      <w:r w:rsidRPr="007E6D95">
        <w:t>. Moving into paid work, however, did not seem to be immediately pressing for the majority of mi</w:t>
      </w:r>
      <w:r>
        <w:t xml:space="preserve">grants. Regarding the </w:t>
      </w:r>
      <w:r w:rsidRPr="007E6D95">
        <w:t>post-course goals</w:t>
      </w:r>
      <w:r>
        <w:t xml:space="preserve"> of the July—</w:t>
      </w:r>
      <w:r w:rsidRPr="007E6D95">
        <w:t xml:space="preserve">December 2007 </w:t>
      </w:r>
      <w:r>
        <w:t>group</w:t>
      </w:r>
      <w:r w:rsidRPr="007E6D95">
        <w:t xml:space="preserve">, slightly less than one-third </w:t>
      </w:r>
      <w:r>
        <w:t xml:space="preserve">(N = 18, 30%) </w:t>
      </w:r>
      <w:r w:rsidRPr="00610DE3">
        <w:t>wanted to be in paid employment, and nearly all of them were female (</w:t>
      </w:r>
      <w:r>
        <w:t xml:space="preserve">N = </w:t>
      </w:r>
      <w:r w:rsidRPr="00610DE3">
        <w:t>16/18)</w:t>
      </w:r>
      <w:r>
        <w:t xml:space="preserve"> (see t</w:t>
      </w:r>
      <w:r w:rsidRPr="000A6D0D">
        <w:t>able 1).</w:t>
      </w:r>
      <w:r w:rsidRPr="000A6D0D">
        <w:rPr>
          <w:b/>
        </w:rPr>
        <w:t xml:space="preserve"> </w:t>
      </w:r>
      <w:r w:rsidRPr="000A6D0D">
        <w:t>The</w:t>
      </w:r>
      <w:r w:rsidRPr="00876707">
        <w:t xml:space="preserve"> comments of some of these women suggest that they wanted to secure paid employment </w:t>
      </w:r>
      <w:r>
        <w:t>(including low-</w:t>
      </w:r>
      <w:r w:rsidRPr="00876707">
        <w:t>skill-level work) as a way of facilitating their economic (and social) integration, while practising their English in the real world</w:t>
      </w:r>
      <w:r w:rsidRPr="003A588A">
        <w:rPr>
          <w:color w:val="000000" w:themeColor="text1"/>
        </w:rPr>
        <w:t xml:space="preserve">. </w:t>
      </w:r>
    </w:p>
    <w:p w:rsidR="001956F7" w:rsidRPr="005940BF" w:rsidRDefault="001956F7" w:rsidP="001956F7">
      <w:pPr>
        <w:pStyle w:val="Text"/>
      </w:pPr>
      <w:r w:rsidRPr="002A640A">
        <w:t xml:space="preserve">One aspect of </w:t>
      </w:r>
      <w:r>
        <w:t>the</w:t>
      </w:r>
      <w:r w:rsidRPr="002A640A">
        <w:t xml:space="preserve"> program that I had wanted to investigate was whether migrants were as focused on articulating into work as government policy wanted them to be</w:t>
      </w:r>
      <w:r>
        <w:t>.</w:t>
      </w:r>
      <w:r w:rsidRPr="002A640A">
        <w:rPr>
          <w:rStyle w:val="FootnoteReference"/>
          <w:rFonts w:cs="Arial"/>
          <w:szCs w:val="22"/>
        </w:rPr>
        <w:footnoteReference w:id="13"/>
      </w:r>
      <w:r w:rsidRPr="002A640A">
        <w:t xml:space="preserve"> It appeared that a significant number of migrants in this study did want to secure work in the longer-term, but not as many in the short-term. It seemed that</w:t>
      </w:r>
      <w:r>
        <w:t>,</w:t>
      </w:r>
      <w:r w:rsidRPr="002A640A">
        <w:t xml:space="preserve"> while migrants and some of their teachers saw paid employment as an important aspect of integration, formally learning English </w:t>
      </w:r>
      <w:r>
        <w:t>—</w:t>
      </w:r>
      <w:r w:rsidRPr="002A640A">
        <w:t xml:space="preserve"> and l</w:t>
      </w:r>
      <w:r>
        <w:t>ater undertaking further study —</w:t>
      </w:r>
      <w:r w:rsidRPr="002A640A">
        <w:t xml:space="preserve"> was viewed as one way migrants could pave their way to </w:t>
      </w:r>
      <w:r w:rsidRPr="002A640A">
        <w:rPr>
          <w:i/>
        </w:rPr>
        <w:t>better</w:t>
      </w:r>
      <w:r>
        <w:t xml:space="preserve"> employment. </w:t>
      </w:r>
    </w:p>
    <w:p w:rsidR="001956F7" w:rsidRPr="002A640A" w:rsidRDefault="001956F7" w:rsidP="001956F7">
      <w:pPr>
        <w:pStyle w:val="Text"/>
        <w:rPr>
          <w:rFonts w:cs="Arial"/>
          <w:szCs w:val="22"/>
        </w:rPr>
      </w:pPr>
      <w:r w:rsidRPr="002A640A">
        <w:t xml:space="preserve">In fact, over the last decade, </w:t>
      </w:r>
      <w:r>
        <w:t>the Jarrah Language Centre</w:t>
      </w:r>
      <w:r w:rsidRPr="002A640A">
        <w:t xml:space="preserve"> has significantly increased the number of English for employment courses it delivers at the institute’s second largest campus in response to government labour market policy aims and industry demand for employees in particular fields, such as </w:t>
      </w:r>
      <w:r w:rsidR="00E84787">
        <w:t xml:space="preserve">the </w:t>
      </w:r>
      <w:r w:rsidRPr="002A640A">
        <w:t xml:space="preserve">engineering and health professions. These courses, </w:t>
      </w:r>
      <w:r>
        <w:t xml:space="preserve">most of which required </w:t>
      </w:r>
      <w:r w:rsidR="009E437D">
        <w:t>upper i</w:t>
      </w:r>
      <w:r w:rsidR="00E671C8">
        <w:t>nter</w:t>
      </w:r>
      <w:r w:rsidR="009E437D">
        <w:t>mediate</w:t>
      </w:r>
      <w:r>
        <w:t>-</w:t>
      </w:r>
      <w:r w:rsidRPr="002A640A">
        <w:t xml:space="preserve">level English proficiency on enrolment, </w:t>
      </w:r>
      <w:r w:rsidRPr="001D7296">
        <w:t xml:space="preserve">have been in high demand with migrant (and </w:t>
      </w:r>
      <w:r w:rsidRPr="003866D8">
        <w:t>fee-paying international</w:t>
      </w:r>
      <w:r w:rsidRPr="001D7296">
        <w:t>) learners, popular with employers and government, and have been</w:t>
      </w:r>
      <w:r w:rsidRPr="002A640A">
        <w:t xml:space="preserve"> deemed </w:t>
      </w:r>
      <w:r w:rsidR="00E84787">
        <w:t>as</w:t>
      </w:r>
      <w:r w:rsidRPr="002A640A">
        <w:t xml:space="preserve"> produc</w:t>
      </w:r>
      <w:r w:rsidR="00E84787">
        <w:t>ing</w:t>
      </w:r>
      <w:r w:rsidRPr="002A640A">
        <w:t xml:space="preserve"> favourable work</w:t>
      </w:r>
      <w:r w:rsidR="003A588A">
        <w:t> </w:t>
      </w:r>
      <w:r w:rsidRPr="002A640A">
        <w:t xml:space="preserve">outcomes. </w:t>
      </w:r>
    </w:p>
    <w:p w:rsidR="001956F7" w:rsidRPr="00C735BC" w:rsidRDefault="001956F7" w:rsidP="003A588A">
      <w:pPr>
        <w:pStyle w:val="Heading3"/>
      </w:pPr>
      <w:r>
        <w:t>‘</w:t>
      </w:r>
      <w:r w:rsidRPr="00745C12">
        <w:t>Achievable</w:t>
      </w:r>
      <w:r>
        <w:t>’</w:t>
      </w:r>
      <w:r w:rsidRPr="00745C12">
        <w:t xml:space="preserve"> employment expectations</w:t>
      </w:r>
      <w:r w:rsidRPr="00C735BC">
        <w:t xml:space="preserve"> </w:t>
      </w:r>
    </w:p>
    <w:p w:rsidR="001956F7" w:rsidRPr="000F53C0" w:rsidRDefault="001956F7" w:rsidP="003A588A">
      <w:pPr>
        <w:pStyle w:val="Textlessbefore"/>
      </w:pPr>
      <w:r w:rsidRPr="009F5665">
        <w:t>A</w:t>
      </w:r>
      <w:r>
        <w:t>n occasional concern</w:t>
      </w:r>
      <w:r w:rsidRPr="009F5665">
        <w:t xml:space="preserve"> expressed by </w:t>
      </w:r>
      <w:r>
        <w:t>centre</w:t>
      </w:r>
      <w:r w:rsidRPr="009F5665">
        <w:t xml:space="preserve"> staff is that some of the centre’s migrants appear to hold unrealistic post-</w:t>
      </w:r>
      <w:r>
        <w:t>course</w:t>
      </w:r>
      <w:r w:rsidRPr="009F5665">
        <w:t xml:space="preserve"> employment aspirations; the need for realistic goals is alluded to </w:t>
      </w:r>
      <w:r>
        <w:t>in a</w:t>
      </w:r>
      <w:r w:rsidRPr="009F5665">
        <w:t xml:space="preserve"> government</w:t>
      </w:r>
      <w:r>
        <w:t xml:space="preserve"> report</w:t>
      </w:r>
      <w:r w:rsidRPr="009F5665">
        <w:rPr>
          <w:rStyle w:val="FootnoteReference"/>
          <w:rFonts w:cs="Arial"/>
          <w:szCs w:val="22"/>
        </w:rPr>
        <w:footnoteReference w:id="14"/>
      </w:r>
      <w:r w:rsidRPr="009F5665">
        <w:rPr>
          <w:color w:val="FF0000"/>
          <w:sz w:val="16"/>
          <w:szCs w:val="16"/>
        </w:rPr>
        <w:t xml:space="preserve"> </w:t>
      </w:r>
      <w:r w:rsidRPr="009F5665">
        <w:t>(</w:t>
      </w:r>
      <w:r>
        <w:t>Department of Immigration and Citizenship</w:t>
      </w:r>
      <w:r w:rsidRPr="00CE16D9">
        <w:t xml:space="preserve"> 2008a). </w:t>
      </w:r>
      <w:r>
        <w:t xml:space="preserve">Migrants were asked in </w:t>
      </w:r>
      <w:r w:rsidRPr="007E6D95">
        <w:t xml:space="preserve">July 2007 to describe the paid work they would like to </w:t>
      </w:r>
      <w:r>
        <w:t xml:space="preserve">do </w:t>
      </w:r>
      <w:r w:rsidRPr="007E6D95">
        <w:t>in the future.</w:t>
      </w:r>
      <w:r w:rsidRPr="007E6D95">
        <w:rPr>
          <w:sz w:val="16"/>
          <w:szCs w:val="16"/>
        </w:rPr>
        <w:t xml:space="preserve"> </w:t>
      </w:r>
      <w:r>
        <w:t xml:space="preserve">In </w:t>
      </w:r>
      <w:r w:rsidRPr="007E6D95">
        <w:t xml:space="preserve">general, these migrants </w:t>
      </w:r>
      <w:r>
        <w:t>aspired</w:t>
      </w:r>
      <w:r w:rsidRPr="007E6D95">
        <w:t xml:space="preserve"> to securing work which seemed</w:t>
      </w:r>
      <w:r w:rsidRPr="00CE16D9">
        <w:t xml:space="preserve"> achievable in terms of the level of English required. </w:t>
      </w:r>
      <w:r>
        <w:t>In comparing the 61</w:t>
      </w:r>
      <w:r w:rsidRPr="007E6D95">
        <w:t xml:space="preserve"> migrants’ pre-immigration qualifications and professional experience with their stated preferred</w:t>
      </w:r>
      <w:r>
        <w:t xml:space="preserve"> future paid employment, in some cases</w:t>
      </w:r>
      <w:r w:rsidRPr="007E6D95">
        <w:t xml:space="preserve"> </w:t>
      </w:r>
      <w:r>
        <w:t xml:space="preserve">the </w:t>
      </w:r>
      <w:r w:rsidRPr="007E6D95">
        <w:t>migrants’ nominated future work was quite different from the paid employment they had undertaken in their first countries</w:t>
      </w:r>
      <w:r>
        <w:t xml:space="preserve">, </w:t>
      </w:r>
      <w:r w:rsidRPr="001D7296">
        <w:t>and, most often, at a lower</w:t>
      </w:r>
      <w:r w:rsidR="00E84787">
        <w:t xml:space="preserve"> </w:t>
      </w:r>
      <w:r w:rsidRPr="00876707">
        <w:t>level</w:t>
      </w:r>
      <w:r>
        <w:t>.</w:t>
      </w:r>
      <w:r w:rsidRPr="007E6D95">
        <w:t xml:space="preserve"> </w:t>
      </w:r>
    </w:p>
    <w:p w:rsidR="001956F7" w:rsidRDefault="001956F7" w:rsidP="001956F7">
      <w:pPr>
        <w:pStyle w:val="Text"/>
      </w:pPr>
      <w:r w:rsidRPr="007E6D95">
        <w:t>Students were asked what they believed they needed to do to secure their preferred future job</w:t>
      </w:r>
      <w:r>
        <w:t>.</w:t>
      </w:r>
      <w:r w:rsidRPr="007E6D95">
        <w:rPr>
          <w:rStyle w:val="FootnoteReference"/>
          <w:rFonts w:cs="Arial"/>
          <w:szCs w:val="22"/>
        </w:rPr>
        <w:footnoteReference w:id="15"/>
      </w:r>
      <w:r w:rsidRPr="007E6D95">
        <w:t xml:space="preserve"> Not surprisingly, English proficiency</w:t>
      </w:r>
      <w:r w:rsidRPr="007E6D95">
        <w:rPr>
          <w:b/>
          <w:color w:val="FF00FF"/>
        </w:rPr>
        <w:t xml:space="preserve"> </w:t>
      </w:r>
      <w:r w:rsidRPr="007E6D95">
        <w:t xml:space="preserve">was seen as the biggest </w:t>
      </w:r>
      <w:r w:rsidRPr="00127CA0">
        <w:t>‘problem’</w:t>
      </w:r>
      <w:r w:rsidRPr="007E6D95">
        <w:rPr>
          <w:color w:val="0000FF"/>
        </w:rPr>
        <w:t xml:space="preserve"> </w:t>
      </w:r>
      <w:r w:rsidRPr="007E6D95">
        <w:t>in terms of economic integration.</w:t>
      </w:r>
      <w:r w:rsidRPr="007E6D95">
        <w:rPr>
          <w:sz w:val="16"/>
          <w:szCs w:val="16"/>
        </w:rPr>
        <w:t xml:space="preserve"> </w:t>
      </w:r>
      <w:r w:rsidRPr="007E6D95">
        <w:t>The most frequently nominated response by migrants was improve their English skills (</w:t>
      </w:r>
      <w:r>
        <w:t xml:space="preserve">N = </w:t>
      </w:r>
      <w:r w:rsidR="00431004">
        <w:t>44/54, 81</w:t>
      </w:r>
      <w:r w:rsidRPr="00A87AA1">
        <w:t>%), followed by undertake further study (</w:t>
      </w:r>
      <w:r>
        <w:t xml:space="preserve">N = </w:t>
      </w:r>
      <w:r w:rsidRPr="00A87AA1">
        <w:t>30/54, 56%),</w:t>
      </w:r>
      <w:r>
        <w:t xml:space="preserve"> with 37% of the group</w:t>
      </w:r>
      <w:r w:rsidRPr="007E6D95">
        <w:t xml:space="preserve"> (</w:t>
      </w:r>
      <w:r>
        <w:t xml:space="preserve">N = </w:t>
      </w:r>
      <w:r w:rsidRPr="007E6D95">
        <w:t xml:space="preserve">20/54) describing Australian work experience as an important factor in getting their preferred job. Four surveyed migrants commented on the </w:t>
      </w:r>
      <w:r w:rsidRPr="00A87AA1">
        <w:t xml:space="preserve">lack of attention </w:t>
      </w:r>
      <w:r>
        <w:t xml:space="preserve">paid </w:t>
      </w:r>
      <w:r w:rsidRPr="007E6D95">
        <w:t xml:space="preserve">to their pre-immigration work experience </w:t>
      </w:r>
      <w:r w:rsidRPr="007E6D95">
        <w:lastRenderedPageBreak/>
        <w:t xml:space="preserve">by employers in Australia, and how this </w:t>
      </w:r>
      <w:r>
        <w:t>—</w:t>
      </w:r>
      <w:r w:rsidRPr="007E6D95">
        <w:t xml:space="preserve"> and their lack</w:t>
      </w:r>
      <w:r>
        <w:t xml:space="preserve"> of Australian work experience —</w:t>
      </w:r>
      <w:r w:rsidRPr="007E6D95">
        <w:t xml:space="preserve"> made securing paid em</w:t>
      </w:r>
      <w:r>
        <w:t>ployment difficult, a point raised</w:t>
      </w:r>
      <w:r w:rsidRPr="007E6D95">
        <w:t xml:space="preserve"> in the literature (</w:t>
      </w:r>
      <w:r w:rsidRPr="00F3100B">
        <w:t>Colic-</w:t>
      </w:r>
      <w:proofErr w:type="spellStart"/>
      <w:r w:rsidRPr="00F3100B">
        <w:t>Pseiker</w:t>
      </w:r>
      <w:proofErr w:type="spellEnd"/>
      <w:r w:rsidRPr="00F3100B">
        <w:t xml:space="preserve"> &amp; Tilbury 2007</w:t>
      </w:r>
      <w:r>
        <w:t>;</w:t>
      </w:r>
      <w:r w:rsidRPr="007E6D95">
        <w:t xml:space="preserve"> Liebig 2007)</w:t>
      </w:r>
      <w:r>
        <w:rPr>
          <w:sz w:val="16"/>
          <w:szCs w:val="16"/>
        </w:rPr>
        <w:t>.</w:t>
      </w:r>
      <w:r w:rsidRPr="007E6D95">
        <w:rPr>
          <w:b/>
          <w:color w:val="800080"/>
        </w:rPr>
        <w:t xml:space="preserve"> </w:t>
      </w:r>
      <w:r w:rsidRPr="007E6D95">
        <w:t xml:space="preserve">It seemed that some migrants perceived undertaking </w:t>
      </w:r>
      <w:r>
        <w:t xml:space="preserve">English </w:t>
      </w:r>
      <w:r w:rsidRPr="007E6D95">
        <w:t xml:space="preserve">courses and subsequently moving into mainstream studies (particularly those that included a </w:t>
      </w:r>
      <w:r>
        <w:t xml:space="preserve">practical placement component, </w:t>
      </w:r>
      <w:r w:rsidRPr="007E6D95">
        <w:t xml:space="preserve">such as childcare, IT, and hospitality) </w:t>
      </w:r>
      <w:r>
        <w:t xml:space="preserve">as </w:t>
      </w:r>
      <w:r w:rsidRPr="007E6D95">
        <w:t>an effective way o</w:t>
      </w:r>
      <w:r>
        <w:t>f creating a bridge to paid work</w:t>
      </w:r>
      <w:r w:rsidRPr="007E6D95">
        <w:t>.</w:t>
      </w:r>
    </w:p>
    <w:p w:rsidR="001956F7" w:rsidRPr="00344B0B" w:rsidRDefault="001956F7" w:rsidP="001956F7">
      <w:pPr>
        <w:pStyle w:val="Text"/>
      </w:pPr>
      <w:r w:rsidRPr="00344B0B">
        <w:t>Although voluntary work is recognised as a pathway to paid employment (Volunteering Australia 2010), such work</w:t>
      </w:r>
      <w:r>
        <w:t xml:space="preserve"> </w:t>
      </w:r>
      <w:r w:rsidRPr="00344B0B">
        <w:t>did not rate highly with migrants as a post-course goal (</w:t>
      </w:r>
      <w:r>
        <w:t>N = 3),</w:t>
      </w:r>
      <w:r w:rsidRPr="00344B0B">
        <w:t xml:space="preserve"> with </w:t>
      </w:r>
      <w:r>
        <w:t>centre</w:t>
      </w:r>
      <w:r w:rsidRPr="00344B0B">
        <w:rPr>
          <w:color w:val="FF0000"/>
        </w:rPr>
        <w:t xml:space="preserve"> </w:t>
      </w:r>
      <w:r w:rsidRPr="00344B0B">
        <w:t xml:space="preserve">teachers </w:t>
      </w:r>
      <w:r w:rsidRPr="00A87AA1">
        <w:t>correct in assuming that</w:t>
      </w:r>
      <w:r w:rsidRPr="00344B0B">
        <w:rPr>
          <w:color w:val="FF0000"/>
        </w:rPr>
        <w:t xml:space="preserve"> </w:t>
      </w:r>
      <w:r w:rsidRPr="00344B0B">
        <w:t xml:space="preserve">future voluntary work </w:t>
      </w:r>
      <w:r>
        <w:t>w</w:t>
      </w:r>
      <w:r w:rsidRPr="00344B0B">
        <w:t xml:space="preserve">as a low priority for the centre’s </w:t>
      </w:r>
      <w:r>
        <w:t>English language</w:t>
      </w:r>
      <w:r w:rsidRPr="00344B0B">
        <w:t xml:space="preserve"> learners (</w:t>
      </w:r>
      <w:r>
        <w:t xml:space="preserve">N = </w:t>
      </w:r>
      <w:r w:rsidRPr="00344B0B">
        <w:t>3).</w:t>
      </w:r>
      <w:r w:rsidRPr="00344B0B">
        <w:rPr>
          <w:color w:val="FF0000"/>
        </w:rPr>
        <w:t xml:space="preserve"> </w:t>
      </w:r>
      <w:r w:rsidRPr="00344B0B">
        <w:t xml:space="preserve">Several migrants described volunteering they undertook within their first language community, and the </w:t>
      </w:r>
      <w:r w:rsidRPr="00BF1276">
        <w:t>bonding social capital</w:t>
      </w:r>
      <w:r>
        <w:rPr>
          <w:color w:val="FF0000"/>
        </w:rPr>
        <w:t xml:space="preserve"> </w:t>
      </w:r>
      <w:r w:rsidRPr="00344B0B">
        <w:t>benefits this afforded them</w:t>
      </w:r>
      <w:r w:rsidRPr="000A6D0D">
        <w:t>, reflecting the research findings of</w:t>
      </w:r>
      <w:r>
        <w:rPr>
          <w:color w:val="800080"/>
        </w:rPr>
        <w:t xml:space="preserve"> </w:t>
      </w:r>
      <w:r w:rsidRPr="000F30FA">
        <w:t>Volunteering Australia (2007</w:t>
      </w:r>
      <w:r w:rsidRPr="00BF1276">
        <w:t xml:space="preserve">). </w:t>
      </w:r>
      <w:r w:rsidRPr="00344B0B">
        <w:t>Some of them also commented</w:t>
      </w:r>
      <w:r>
        <w:t xml:space="preserve"> on the potential advantages</w:t>
      </w:r>
      <w:r w:rsidRPr="00344B0B">
        <w:t xml:space="preserve"> of undertaking voluntary work that </w:t>
      </w:r>
      <w:r w:rsidRPr="00127CA0">
        <w:t xml:space="preserve">required them to speak English. One learner commented that </w:t>
      </w:r>
      <w:r>
        <w:t>the language centre</w:t>
      </w:r>
      <w:r w:rsidRPr="00127CA0">
        <w:t>’s programs could be improved if ‘</w:t>
      </w:r>
      <w:r>
        <w:t>[they] g</w:t>
      </w:r>
      <w:r w:rsidRPr="00127CA0">
        <w:t xml:space="preserve">ive </w:t>
      </w:r>
      <w:r w:rsidR="00E66F03">
        <w:t>…</w:t>
      </w:r>
      <w:r w:rsidRPr="00127CA0">
        <w:t xml:space="preserve"> opportunities to do some v</w:t>
      </w:r>
      <w:r>
        <w:t>oluntary works [</w:t>
      </w:r>
      <w:r w:rsidRPr="00127CA0">
        <w:t xml:space="preserve">so </w:t>
      </w:r>
      <w:r>
        <w:t>we can]</w:t>
      </w:r>
      <w:r w:rsidRPr="00127CA0">
        <w:t xml:space="preserve"> use English’,</w:t>
      </w:r>
      <w:r w:rsidRPr="00344B0B">
        <w:rPr>
          <w:color w:val="0000FF"/>
        </w:rPr>
        <w:t xml:space="preserve"> </w:t>
      </w:r>
      <w:r w:rsidRPr="00344B0B">
        <w:rPr>
          <w:color w:val="000000"/>
        </w:rPr>
        <w:t xml:space="preserve">and </w:t>
      </w:r>
      <w:r>
        <w:rPr>
          <w:color w:val="000000"/>
        </w:rPr>
        <w:t>three other</w:t>
      </w:r>
      <w:r w:rsidRPr="00344B0B">
        <w:t xml:space="preserve"> females suggested that a voluntary work</w:t>
      </w:r>
      <w:r w:rsidR="00E84787">
        <w:t>-</w:t>
      </w:r>
      <w:r w:rsidRPr="00344B0B">
        <w:t xml:space="preserve">placement officer at </w:t>
      </w:r>
      <w:r>
        <w:t>Jarrah Institute</w:t>
      </w:r>
      <w:r w:rsidRPr="00344B0B">
        <w:t xml:space="preserve"> would be a valuable way of helping students to engage in such work. </w:t>
      </w:r>
    </w:p>
    <w:p w:rsidR="001956F7" w:rsidRPr="00344B0B" w:rsidRDefault="001956F7" w:rsidP="001956F7">
      <w:pPr>
        <w:pStyle w:val="Text"/>
      </w:pPr>
      <w:r w:rsidRPr="00344B0B">
        <w:t>Jarrah Institute did provide</w:t>
      </w:r>
      <w:r>
        <w:t xml:space="preserve"> some </w:t>
      </w:r>
      <w:r w:rsidRPr="000A6D0D">
        <w:t>information to help all students to</w:t>
      </w:r>
      <w:r>
        <w:rPr>
          <w:color w:val="0000FF"/>
        </w:rPr>
        <w:t xml:space="preserve"> </w:t>
      </w:r>
      <w:r w:rsidRPr="00344B0B">
        <w:t xml:space="preserve">pursue voluntary work themselves. However, it may be that it is difficult for migrants to move into English-speaking voluntary work without </w:t>
      </w:r>
      <w:r>
        <w:t>tangible assistance</w:t>
      </w:r>
      <w:r w:rsidRPr="00344B0B">
        <w:t xml:space="preserve">. In light of </w:t>
      </w:r>
      <w:r>
        <w:t xml:space="preserve">the </w:t>
      </w:r>
      <w:r w:rsidRPr="00344B0B">
        <w:t>government</w:t>
      </w:r>
      <w:r>
        <w:t>’</w:t>
      </w:r>
      <w:r w:rsidRPr="00344B0B">
        <w:t xml:space="preserve">s increased push to get migrants into employment (as evident in the increasing number of </w:t>
      </w:r>
      <w:r>
        <w:t>English language</w:t>
      </w:r>
      <w:r w:rsidRPr="00344B0B">
        <w:t xml:space="preserve"> programs that have an explicit work focus</w:t>
      </w:r>
      <w:r>
        <w:t xml:space="preserve">), it may be that the language centre is well </w:t>
      </w:r>
      <w:r w:rsidRPr="00344B0B">
        <w:t xml:space="preserve">placed </w:t>
      </w:r>
      <w:r w:rsidRPr="006501AB">
        <w:t>to</w:t>
      </w:r>
      <w:r w:rsidRPr="006501AB">
        <w:rPr>
          <w:color w:val="800080"/>
        </w:rPr>
        <w:t xml:space="preserve"> </w:t>
      </w:r>
      <w:r w:rsidRPr="006501AB">
        <w:t>advocate for and provide a bridge to voluntary work for migrants outside their language/cultural groups.</w:t>
      </w:r>
    </w:p>
    <w:p w:rsidR="001956F7" w:rsidRPr="003A588A" w:rsidRDefault="001956F7" w:rsidP="003A588A">
      <w:pPr>
        <w:pStyle w:val="Heading2"/>
      </w:pPr>
      <w:bookmarkStart w:id="72" w:name="_Toc305074173"/>
      <w:bookmarkStart w:id="73" w:name="_Toc309645496"/>
      <w:r w:rsidRPr="003A588A">
        <w:t>Interviewed migrants’ work and further study experiences and outcomes</w:t>
      </w:r>
      <w:bookmarkEnd w:id="72"/>
      <w:bookmarkEnd w:id="73"/>
    </w:p>
    <w:p w:rsidR="001956F7" w:rsidRPr="000A6D0D" w:rsidRDefault="001956F7" w:rsidP="001956F7">
      <w:pPr>
        <w:pStyle w:val="Text"/>
      </w:pPr>
      <w:r w:rsidRPr="007E6D95">
        <w:t xml:space="preserve">The majority of the </w:t>
      </w:r>
      <w:r>
        <w:t>14</w:t>
      </w:r>
      <w:r w:rsidRPr="007E6D95">
        <w:t xml:space="preserve"> migrants who were researched over a two-and-a-half-year period achieved favourable further study and work </w:t>
      </w:r>
      <w:r w:rsidRPr="000A6D0D">
        <w:t xml:space="preserve">outcomes. </w:t>
      </w:r>
      <w:r w:rsidR="00E84787">
        <w:t>By</w:t>
      </w:r>
      <w:r w:rsidRPr="000A6D0D">
        <w:t xml:space="preserve"> mid-2008, six of them (all female) had moved into mainstream st</w:t>
      </w:r>
      <w:r>
        <w:t>udies, five at Jarrah Institute</w:t>
      </w:r>
      <w:r w:rsidR="00172269">
        <w:t>,</w:t>
      </w:r>
      <w:r w:rsidRPr="000A6D0D">
        <w:t xml:space="preserve"> and one had enrolled in another </w:t>
      </w:r>
      <w:r>
        <w:t>English language</w:t>
      </w:r>
      <w:r w:rsidRPr="000A6D0D">
        <w:t xml:space="preserve"> course at </w:t>
      </w:r>
      <w:r>
        <w:t>the language centre</w:t>
      </w:r>
      <w:r w:rsidRPr="000A6D0D">
        <w:t>. Three</w:t>
      </w:r>
      <w:r w:rsidR="00E84787">
        <w:t xml:space="preserve"> other</w:t>
      </w:r>
      <w:r w:rsidRPr="000A6D0D">
        <w:t xml:space="preserve"> females </w:t>
      </w:r>
      <w:r w:rsidR="00E84787">
        <w:t>had taken</w:t>
      </w:r>
      <w:r w:rsidRPr="000A6D0D">
        <w:t xml:space="preserve"> a break from study and </w:t>
      </w:r>
      <w:r w:rsidR="00E84787">
        <w:t>were</w:t>
      </w:r>
      <w:r w:rsidRPr="000A6D0D">
        <w:t xml:space="preserve"> not work</w:t>
      </w:r>
      <w:r w:rsidR="00E84787">
        <w:t>ing</w:t>
      </w:r>
      <w:r w:rsidRPr="000A6D0D">
        <w:t xml:space="preserve">, </w:t>
      </w:r>
      <w:r>
        <w:t>while</w:t>
      </w:r>
      <w:r w:rsidRPr="000A6D0D">
        <w:t xml:space="preserve"> the remaining female had found paid employment (full-time contract). Two of the three males had secured full-time casual employment by mid-2008, and the </w:t>
      </w:r>
      <w:r w:rsidR="009E437D">
        <w:t>other</w:t>
      </w:r>
      <w:r w:rsidRPr="000A6D0D">
        <w:t xml:space="preserve"> male </w:t>
      </w:r>
      <w:r w:rsidR="00E84787">
        <w:t xml:space="preserve">was </w:t>
      </w:r>
      <w:r w:rsidRPr="000A6D0D">
        <w:t>undert</w:t>
      </w:r>
      <w:r w:rsidR="00E84787">
        <w:t>a</w:t>
      </w:r>
      <w:r w:rsidRPr="000A6D0D">
        <w:t>k</w:t>
      </w:r>
      <w:r w:rsidR="00E84787">
        <w:t>ing</w:t>
      </w:r>
      <w:r w:rsidRPr="000A6D0D">
        <w:t xml:space="preserve"> a literacy course. Interestingly, for half of these migrants (</w:t>
      </w:r>
      <w:r>
        <w:t xml:space="preserve">N = </w:t>
      </w:r>
      <w:r w:rsidRPr="000A6D0D">
        <w:t xml:space="preserve">7), these short-term, post-course outcomes were different from those they had </w:t>
      </w:r>
      <w:r>
        <w:t>articulated</w:t>
      </w:r>
      <w:r w:rsidRPr="000A6D0D">
        <w:t xml:space="preserve"> in mid-2007 </w:t>
      </w:r>
      <w:r>
        <w:t>(see a</w:t>
      </w:r>
      <w:r w:rsidRPr="000A6D0D">
        <w:t>ppendix 3).</w:t>
      </w:r>
    </w:p>
    <w:p w:rsidR="001956F7" w:rsidRPr="003A588A" w:rsidRDefault="001956F7" w:rsidP="001956F7">
      <w:pPr>
        <w:pStyle w:val="Text"/>
        <w:rPr>
          <w:b/>
          <w:color w:val="000000" w:themeColor="text1"/>
          <w:sz w:val="16"/>
          <w:szCs w:val="16"/>
        </w:rPr>
      </w:pPr>
      <w:r>
        <w:t>In the l</w:t>
      </w:r>
      <w:r w:rsidRPr="000A6D0D">
        <w:t>onge</w:t>
      </w:r>
      <w:r>
        <w:t>r-</w:t>
      </w:r>
      <w:r w:rsidRPr="000A6D0D">
        <w:t xml:space="preserve">term, by January 2010, </w:t>
      </w:r>
      <w:r>
        <w:t>11</w:t>
      </w:r>
      <w:r w:rsidRPr="000A6D0D">
        <w:t xml:space="preserve"> of the </w:t>
      </w:r>
      <w:r>
        <w:t>14</w:t>
      </w:r>
      <w:r w:rsidRPr="000A6D0D">
        <w:t xml:space="preserve"> migrants were in paid work, and nine of them were satisfied with their current type of work and </w:t>
      </w:r>
      <w:r w:rsidRPr="00100990">
        <w:t>level of employment</w:t>
      </w:r>
      <w:r>
        <w:t xml:space="preserve"> (that is, part-time or full-time)</w:t>
      </w:r>
      <w:r w:rsidRPr="000A6D0D">
        <w:t>. In relation to the nine migrants (all female) who had undertaken further study</w:t>
      </w:r>
      <w:r w:rsidR="00E84787">
        <w:t>,</w:t>
      </w:r>
      <w:r w:rsidRPr="000A6D0D">
        <w:t xml:space="preserve"> by</w:t>
      </w:r>
      <w:r>
        <w:t xml:space="preserve"> January 2010</w:t>
      </w:r>
      <w:r w:rsidRPr="007E6D95">
        <w:t xml:space="preserve"> six of them had completed </w:t>
      </w:r>
      <w:r>
        <w:t>Jarrah Institute</w:t>
      </w:r>
      <w:r w:rsidRPr="007E6D95">
        <w:t xml:space="preserve"> certif</w:t>
      </w:r>
      <w:r>
        <w:t>icate or diploma qualifications</w:t>
      </w:r>
      <w:r w:rsidRPr="007E6D95">
        <w:t xml:space="preserve">; </w:t>
      </w:r>
      <w:r w:rsidRPr="005A4EF3">
        <w:t xml:space="preserve">four </w:t>
      </w:r>
      <w:r w:rsidRPr="007E6D95">
        <w:t xml:space="preserve">of </w:t>
      </w:r>
      <w:r>
        <w:t xml:space="preserve">these </w:t>
      </w:r>
      <w:r w:rsidRPr="007E6D95">
        <w:t>stated that they were satisfied with their employment</w:t>
      </w:r>
      <w:r>
        <w:t xml:space="preserve"> in their chosen field of study</w:t>
      </w:r>
      <w:r w:rsidR="003A588A">
        <w:t>.</w:t>
      </w:r>
    </w:p>
    <w:p w:rsidR="001956F7" w:rsidRPr="007E6D95" w:rsidRDefault="001956F7" w:rsidP="001956F7">
      <w:pPr>
        <w:pStyle w:val="Text"/>
      </w:pPr>
      <w:r>
        <w:t>In terms of the impact of the c</w:t>
      </w:r>
      <w:r w:rsidRPr="007E6D95">
        <w:t xml:space="preserve">entre’s </w:t>
      </w:r>
      <w:r>
        <w:t>English as a second language</w:t>
      </w:r>
      <w:r w:rsidRPr="007E6D95">
        <w:t xml:space="preserve"> courses, all </w:t>
      </w:r>
      <w:r>
        <w:t>14</w:t>
      </w:r>
      <w:r w:rsidRPr="007E6D95">
        <w:t xml:space="preserve"> migrants believed that </w:t>
      </w:r>
      <w:r>
        <w:t>the Jarrah Language Centre</w:t>
      </w:r>
      <w:r w:rsidRPr="007E6D95">
        <w:t xml:space="preserve"> </w:t>
      </w:r>
      <w:r>
        <w:t xml:space="preserve">program </w:t>
      </w:r>
      <w:r w:rsidRPr="007E6D95">
        <w:t xml:space="preserve">had been beneficial in preparing them for moving into further study and/or work. They commented that </w:t>
      </w:r>
      <w:r>
        <w:t>these</w:t>
      </w:r>
      <w:r w:rsidRPr="007E6D95">
        <w:t xml:space="preserve"> courses had equipped them with some of the academic skills necessary to undertake further study, as well as some of the general skills needed to function in the workplace. </w:t>
      </w:r>
      <w:r>
        <w:t>In addition</w:t>
      </w:r>
      <w:r w:rsidRPr="007E6D95">
        <w:t xml:space="preserve">, several of the group who undertook mainstream studies at </w:t>
      </w:r>
      <w:r>
        <w:t>Jarrah Institute</w:t>
      </w:r>
      <w:r w:rsidRPr="007E6D95">
        <w:t xml:space="preserve"> also commented favourably on the academic support they </w:t>
      </w:r>
      <w:r>
        <w:t xml:space="preserve">had </w:t>
      </w:r>
      <w:r w:rsidRPr="007E6D95">
        <w:t xml:space="preserve">received through </w:t>
      </w:r>
      <w:r>
        <w:t>the Jarrah Language Centre</w:t>
      </w:r>
      <w:r w:rsidRPr="007E6D95">
        <w:t xml:space="preserve">’s Learning Skills Unit. These migrants described the ways in which the </w:t>
      </w:r>
      <w:r>
        <w:t xml:space="preserve">English </w:t>
      </w:r>
      <w:proofErr w:type="gramStart"/>
      <w:r>
        <w:lastRenderedPageBreak/>
        <w:t>as a second language</w:t>
      </w:r>
      <w:r w:rsidRPr="007E6D95">
        <w:t>-qualified teachers</w:t>
      </w:r>
      <w:proofErr w:type="gramEnd"/>
      <w:r w:rsidRPr="007E6D95">
        <w:t xml:space="preserve"> i</w:t>
      </w:r>
      <w:r>
        <w:t>n this unit assisted them</w:t>
      </w:r>
      <w:r w:rsidRPr="007E6D95">
        <w:t xml:space="preserve"> to negotiate the academic requireme</w:t>
      </w:r>
      <w:r>
        <w:t>nts of mainstream study at the i</w:t>
      </w:r>
      <w:r w:rsidRPr="007E6D95">
        <w:t xml:space="preserve">nstitute. </w:t>
      </w:r>
    </w:p>
    <w:p w:rsidR="001956F7" w:rsidRPr="00B77D4B" w:rsidRDefault="001956F7" w:rsidP="001956F7">
      <w:pPr>
        <w:pStyle w:val="Text"/>
        <w:rPr>
          <w:rFonts w:ascii="Arial" w:hAnsi="Arial"/>
        </w:rPr>
      </w:pPr>
      <w:r w:rsidRPr="007E6D95">
        <w:t xml:space="preserve">Staying too long in </w:t>
      </w:r>
      <w:proofErr w:type="gramStart"/>
      <w:r w:rsidRPr="007E6D95">
        <w:t xml:space="preserve">an </w:t>
      </w:r>
      <w:r>
        <w:t>English</w:t>
      </w:r>
      <w:proofErr w:type="gramEnd"/>
      <w:r>
        <w:t xml:space="preserve"> as a second language</w:t>
      </w:r>
      <w:r w:rsidRPr="007E6D95">
        <w:t xml:space="preserve"> classroom was seen by some participants as potentially stifling migrants’ integration. Several migrants stated that, at a certain point, they felt they had needed to leave </w:t>
      </w:r>
      <w:r>
        <w:t>this</w:t>
      </w:r>
      <w:r w:rsidRPr="007E6D95">
        <w:t xml:space="preserve"> environment and extend their English in the ‘real </w:t>
      </w:r>
      <w:r>
        <w:t>world’ of work or further study,</w:t>
      </w:r>
      <w:r w:rsidRPr="007E6D95">
        <w:t xml:space="preserve"> a view also expressed by some </w:t>
      </w:r>
      <w:r>
        <w:t>language centre</w:t>
      </w:r>
      <w:r w:rsidRPr="007E6D95">
        <w:t xml:space="preserve"> personnel. For some migrants, this desire to move beyond </w:t>
      </w:r>
      <w:r>
        <w:t>English language</w:t>
      </w:r>
      <w:r w:rsidRPr="007E6D95">
        <w:t xml:space="preserve"> instruction seemed to be primarily driven by a desire to earn money. However, some also viewed it as significant in terms of enabling them to mix with a wider group of people, including </w:t>
      </w:r>
      <w:r w:rsidRPr="00127CA0">
        <w:t>‘Aussies’</w:t>
      </w:r>
      <w:r>
        <w:t>, which they</w:t>
      </w:r>
      <w:r w:rsidRPr="007E6D95">
        <w:t xml:space="preserve"> perceived as valuable in</w:t>
      </w:r>
      <w:r>
        <w:t xml:space="preserve"> facilitating their integration. </w:t>
      </w:r>
      <w:r w:rsidRPr="00D3465B">
        <w:t xml:space="preserve">Several migrants who completed further study suggested that </w:t>
      </w:r>
      <w:r>
        <w:t>their academic achievements —</w:t>
      </w:r>
      <w:r w:rsidRPr="00D3465B">
        <w:t xml:space="preserve"> particularly </w:t>
      </w:r>
      <w:r>
        <w:t>by comparison with local students</w:t>
      </w:r>
      <w:r w:rsidRPr="00D3465B">
        <w:t xml:space="preserve"> </w:t>
      </w:r>
      <w:r>
        <w:t>—</w:t>
      </w:r>
      <w:r w:rsidRPr="00D3465B">
        <w:t xml:space="preserve"> contributed to </w:t>
      </w:r>
      <w:r w:rsidR="00E84787">
        <w:t xml:space="preserve">an </w:t>
      </w:r>
      <w:r w:rsidRPr="00D3465B">
        <w:t>increas</w:t>
      </w:r>
      <w:r w:rsidR="00E84787">
        <w:t>e in</w:t>
      </w:r>
      <w:r w:rsidRPr="00D3465B">
        <w:t xml:space="preserve"> their sense of achievement and self-worth.</w:t>
      </w:r>
      <w:r w:rsidRPr="006D03CE">
        <w:rPr>
          <w:rFonts w:ascii="Arial" w:hAnsi="Arial"/>
          <w:color w:val="FF0000"/>
        </w:rPr>
        <w:t xml:space="preserve"> </w:t>
      </w:r>
    </w:p>
    <w:p w:rsidR="001956F7" w:rsidRPr="006F2F8E" w:rsidRDefault="001956F7" w:rsidP="001956F7">
      <w:pPr>
        <w:pStyle w:val="Text"/>
      </w:pPr>
      <w:r w:rsidRPr="006F2F8E">
        <w:t>In discussions with the interviewed migrants over time, it appeared that most of them were satisfied with the paid employment</w:t>
      </w:r>
      <w:r>
        <w:t xml:space="preserve"> they had secured. Most of those who,</w:t>
      </w:r>
      <w:r w:rsidRPr="006F2F8E">
        <w:t xml:space="preserve"> pre-immigration, had achieved a high level of qualification and/or professional experience did not express concern about </w:t>
      </w:r>
      <w:r w:rsidR="00E84787">
        <w:t xml:space="preserve">their </w:t>
      </w:r>
      <w:r w:rsidRPr="006F2F8E">
        <w:t xml:space="preserve">loss of </w:t>
      </w:r>
      <w:r w:rsidRPr="0074390A">
        <w:t xml:space="preserve">professional </w:t>
      </w:r>
      <w:r w:rsidRPr="00BF1276">
        <w:t>status.</w:t>
      </w:r>
      <w:r w:rsidRPr="00D3465B">
        <w:t xml:space="preserve"> </w:t>
      </w:r>
      <w:r w:rsidR="00E84787">
        <w:t>Their</w:t>
      </w:r>
      <w:r w:rsidRPr="006F2F8E">
        <w:t xml:space="preserve"> comments seemed to suggest that they </w:t>
      </w:r>
      <w:r>
        <w:t>accepted lower-level</w:t>
      </w:r>
      <w:r w:rsidRPr="00E81CBD">
        <w:t xml:space="preserve"> work as a reality of the migration experience, particularly in terms of their language proficiency and, for some, their age</w:t>
      </w:r>
      <w:r w:rsidRPr="000A6D0D">
        <w:t>. Moreover, some migrants stated that they looked forward to trying to secure employment in a different occupation. Some</w:t>
      </w:r>
      <w:r w:rsidRPr="00E81CBD">
        <w:t xml:space="preserve"> of the younger migrants perceived their current entry-level work as a way of achieving their short-term integrative goals, </w:t>
      </w:r>
      <w:r>
        <w:t>which included</w:t>
      </w:r>
      <w:r w:rsidRPr="00E81CBD">
        <w:t xml:space="preserve"> home ownership, with several stating</w:t>
      </w:r>
      <w:r>
        <w:t xml:space="preserve"> they believed</w:t>
      </w:r>
      <w:r w:rsidRPr="006F2F8E">
        <w:t xml:space="preserve"> they would achieve their longer-term career goals. </w:t>
      </w:r>
    </w:p>
    <w:p w:rsidR="001956F7" w:rsidRDefault="001956F7" w:rsidP="001956F7">
      <w:pPr>
        <w:pStyle w:val="Text"/>
      </w:pPr>
      <w:r>
        <w:t xml:space="preserve">However, two highly </w:t>
      </w:r>
      <w:r w:rsidRPr="006F2F8E">
        <w:t xml:space="preserve">qualified female migrants struggled to make the transition into work. One of them, Xi, </w:t>
      </w:r>
      <w:r>
        <w:t xml:space="preserve">did not achieve her goal of securing paid employment after completing her only English as a second language course at Jarrah Language Centre (July—December 2007). Instead, she </w:t>
      </w:r>
      <w:r w:rsidRPr="00EB787B">
        <w:t xml:space="preserve">moved </w:t>
      </w:r>
      <w:r w:rsidRPr="006F2F8E">
        <w:t xml:space="preserve">into mainstream study at </w:t>
      </w:r>
      <w:r>
        <w:t>Jarrah Institute</w:t>
      </w:r>
      <w:r w:rsidRPr="006F2F8E">
        <w:t>, and later articulated into a degree at a neighbouring un</w:t>
      </w:r>
      <w:r>
        <w:t>iversity</w:t>
      </w:r>
      <w:r w:rsidRPr="006F2F8E">
        <w:t xml:space="preserve">. In January </w:t>
      </w:r>
      <w:r w:rsidRPr="000A6D0D">
        <w:t>2011, she contacted me,</w:t>
      </w:r>
      <w:r>
        <w:t xml:space="preserve"> stating she </w:t>
      </w:r>
      <w:r w:rsidRPr="006F2F8E">
        <w:t>was also undertaking vol</w:t>
      </w:r>
      <w:r>
        <w:t>untary work, which, she explain</w:t>
      </w:r>
      <w:r w:rsidRPr="006F2F8E">
        <w:t>ed,</w:t>
      </w:r>
      <w:r w:rsidRPr="007E6D95">
        <w:t xml:space="preserve"> </w:t>
      </w:r>
      <w:r w:rsidRPr="00127CA0">
        <w:t>‘makes me more confident and optimistic to the future’.</w:t>
      </w:r>
      <w:r w:rsidRPr="00E42F10">
        <w:rPr>
          <w:i/>
        </w:rPr>
        <w:t xml:space="preserve"> </w:t>
      </w:r>
      <w:r w:rsidRPr="00472FE2">
        <w:t xml:space="preserve">Even though Xi had not achieved </w:t>
      </w:r>
      <w:r w:rsidRPr="00E81CBD">
        <w:t>the level of economic integration that she rep</w:t>
      </w:r>
      <w:r>
        <w:t>eatedly stated was her main objective</w:t>
      </w:r>
      <w:r w:rsidRPr="00E81CBD">
        <w:t xml:space="preserve"> throughout this </w:t>
      </w:r>
      <w:r w:rsidRPr="00BF1276">
        <w:t>study, she seemed to have maintained the drive and determination to reach her goal.</w:t>
      </w:r>
      <w:r w:rsidRPr="00E42F10">
        <w:t xml:space="preserve"> </w:t>
      </w:r>
    </w:p>
    <w:p w:rsidR="001956F7" w:rsidRPr="007E6D95" w:rsidRDefault="001956F7" w:rsidP="001956F7">
      <w:pPr>
        <w:pStyle w:val="Text"/>
      </w:pPr>
      <w:r w:rsidRPr="00E42F10">
        <w:t xml:space="preserve">In contrast, Sunny </w:t>
      </w:r>
      <w:r>
        <w:t xml:space="preserve">seemed </w:t>
      </w:r>
      <w:r w:rsidRPr="000A6D0D">
        <w:t>frustrated by her employment status in Australia, and her inability to secure paid work associated with her area of expertise (psychology). In her second interview (2008), she stated, ‘I need to little bit adjust my hope</w:t>
      </w:r>
      <w:r w:rsidRPr="00127CA0">
        <w:t xml:space="preserve"> … </w:t>
      </w:r>
      <w:r>
        <w:t>I need to make my [employment]</w:t>
      </w:r>
      <w:r w:rsidRPr="00127CA0">
        <w:t xml:space="preserve"> expectation lower … </w:t>
      </w:r>
      <w:r>
        <w:t>[and find a job]</w:t>
      </w:r>
      <w:r w:rsidRPr="00127CA0">
        <w:t xml:space="preserve"> in a different area’.</w:t>
      </w:r>
      <w:r>
        <w:t xml:space="preserve"> In mid-2009, she commented that she intended to look for retail work, after deciding against her earlier intention of pursuing aged care work; however, by January 2010, she was still undertaking an Australian qualification in counselling.</w:t>
      </w:r>
      <w:r w:rsidRPr="007E6D95">
        <w:rPr>
          <w:color w:val="FF6600"/>
        </w:rPr>
        <w:t xml:space="preserve"> </w:t>
      </w:r>
      <w:r w:rsidRPr="00DB46BB">
        <w:t>Although Sunny stated tha</w:t>
      </w:r>
      <w:r w:rsidRPr="00584C75">
        <w:t xml:space="preserve">t this course had been valuable in increasing her understanding of Australian society, and </w:t>
      </w:r>
      <w:r w:rsidRPr="00DB46BB">
        <w:t xml:space="preserve">she was glad her </w:t>
      </w:r>
      <w:r>
        <w:t>family had migrated</w:t>
      </w:r>
      <w:r w:rsidRPr="00DB46BB">
        <w:t xml:space="preserve">, it was clear that she missed her previous career, and the professional </w:t>
      </w:r>
      <w:r>
        <w:t>— and personal —</w:t>
      </w:r>
      <w:r w:rsidRPr="00DB46BB">
        <w:t xml:space="preserve"> sense of fulfilment it had </w:t>
      </w:r>
      <w:r>
        <w:t>given</w:t>
      </w:r>
      <w:r w:rsidRPr="00DB46BB">
        <w:t xml:space="preserve"> her.</w:t>
      </w:r>
      <w:r>
        <w:rPr>
          <w:color w:val="FF6600"/>
        </w:rPr>
        <w:t xml:space="preserve"> </w:t>
      </w:r>
    </w:p>
    <w:p w:rsidR="001956F7" w:rsidRPr="00506EC7" w:rsidRDefault="001956F7" w:rsidP="001956F7">
      <w:pPr>
        <w:pStyle w:val="Text"/>
        <w:rPr>
          <w:b/>
          <w:color w:val="000000" w:themeColor="text1"/>
        </w:rPr>
      </w:pPr>
      <w:r>
        <w:t>In summary,</w:t>
      </w:r>
      <w:r w:rsidRPr="007E6D95">
        <w:t xml:space="preserve"> most of the migrants </w:t>
      </w:r>
      <w:r w:rsidRPr="000A6D0D">
        <w:t>interviewed achieved</w:t>
      </w:r>
      <w:r w:rsidRPr="007E6D95">
        <w:t xml:space="preserve"> their further study and/or </w:t>
      </w:r>
      <w:r w:rsidRPr="00DB615C">
        <w:t>employment goals in a comparatively</w:t>
      </w:r>
      <w:r>
        <w:t xml:space="preserve"> short period of time, and </w:t>
      </w:r>
      <w:r w:rsidRPr="00DB615C">
        <w:t xml:space="preserve">all </w:t>
      </w:r>
      <w:r>
        <w:t xml:space="preserve">of them </w:t>
      </w:r>
      <w:r w:rsidRPr="00DB615C">
        <w:t xml:space="preserve">perceived these pathways as assisting their integration. </w:t>
      </w:r>
      <w:r w:rsidRPr="00432DDC">
        <w:t xml:space="preserve">For this core group, and </w:t>
      </w:r>
      <w:r>
        <w:t xml:space="preserve">for </w:t>
      </w:r>
      <w:r w:rsidRPr="00432DDC">
        <w:t>some of those surveyed, it seems that the Jarrah Institute VET en</w:t>
      </w:r>
      <w:r>
        <w:t>vironment itself exer</w:t>
      </w:r>
      <w:r w:rsidRPr="00432DDC">
        <w:t>ted some influence on migrants’ work and further study aspirations.</w:t>
      </w:r>
      <w:r w:rsidRPr="007E6D95">
        <w:t xml:space="preserve"> </w:t>
      </w:r>
    </w:p>
    <w:p w:rsidR="001956F7" w:rsidRPr="00BE6AFC" w:rsidRDefault="001956F7" w:rsidP="001956F7">
      <w:pPr>
        <w:pStyle w:val="Heading2"/>
      </w:pPr>
      <w:bookmarkStart w:id="74" w:name="_Toc305074174"/>
      <w:bookmarkStart w:id="75" w:name="_Toc309645497"/>
      <w:r>
        <w:lastRenderedPageBreak/>
        <w:t>P</w:t>
      </w:r>
      <w:r w:rsidRPr="00BE6AFC">
        <w:t xml:space="preserve">erceived benefits of government-funded </w:t>
      </w:r>
      <w:r>
        <w:t>English as a second language</w:t>
      </w:r>
      <w:r w:rsidR="00506EC7">
        <w:t> </w:t>
      </w:r>
      <w:r w:rsidRPr="00BE6AFC">
        <w:t>programs</w:t>
      </w:r>
      <w:bookmarkEnd w:id="74"/>
      <w:bookmarkEnd w:id="75"/>
    </w:p>
    <w:p w:rsidR="001956F7" w:rsidRPr="007E6D95" w:rsidRDefault="001956F7" w:rsidP="001956F7">
      <w:pPr>
        <w:pStyle w:val="Text"/>
      </w:pPr>
      <w:r w:rsidRPr="007E6D95">
        <w:t xml:space="preserve">A number of migrants expressed their gratitude to the government for funding their </w:t>
      </w:r>
      <w:r>
        <w:t>English language</w:t>
      </w:r>
      <w:r w:rsidRPr="007E6D95">
        <w:t xml:space="preserve"> courses. It was clear that some perceived </w:t>
      </w:r>
      <w:r>
        <w:t xml:space="preserve">the </w:t>
      </w:r>
      <w:r w:rsidRPr="007E6D95">
        <w:t xml:space="preserve">provision of </w:t>
      </w:r>
      <w:r>
        <w:t>their language instruction as symbolic of Australian Government</w:t>
      </w:r>
      <w:r w:rsidRPr="007E6D95">
        <w:t xml:space="preserve"> commitment to supporting and valuing migrants. To some migrants, studying with full-fee-paying </w:t>
      </w:r>
      <w:r>
        <w:t>international</w:t>
      </w:r>
      <w:r w:rsidRPr="007E6D95">
        <w:t xml:space="preserve"> students seemed to accentuate the financi</w:t>
      </w:r>
      <w:r>
        <w:t>al ‘good deal’ afforded to the c</w:t>
      </w:r>
      <w:r w:rsidRPr="007E6D95">
        <w:t>entre’s migrant learners. Several als</w:t>
      </w:r>
      <w:r>
        <w:t>o stated that commensurate host-</w:t>
      </w:r>
      <w:r w:rsidRPr="007E6D95">
        <w:t xml:space="preserve">language instruction was not available in their first countries, further highlighting to them the </w:t>
      </w:r>
      <w:r>
        <w:t>financial</w:t>
      </w:r>
      <w:r w:rsidRPr="007E6D95">
        <w:t xml:space="preserve"> commitment </w:t>
      </w:r>
      <w:r>
        <w:t xml:space="preserve">by </w:t>
      </w:r>
      <w:r w:rsidR="00E84787">
        <w:t xml:space="preserve">the </w:t>
      </w:r>
      <w:r>
        <w:t>government</w:t>
      </w:r>
      <w:r w:rsidRPr="007E6D95">
        <w:t xml:space="preserve"> to immigrant integration via the fund</w:t>
      </w:r>
      <w:r>
        <w:t xml:space="preserve">ing of English language programs. </w:t>
      </w:r>
      <w:r w:rsidRPr="000A6D0D">
        <w:t xml:space="preserve">Some </w:t>
      </w:r>
      <w:r>
        <w:t>language centre</w:t>
      </w:r>
      <w:r w:rsidRPr="007E6D95">
        <w:t xml:space="preserve"> staff members also commented positively on </w:t>
      </w:r>
      <w:r>
        <w:t xml:space="preserve">the </w:t>
      </w:r>
      <w:r w:rsidRPr="007E6D95">
        <w:t>government</w:t>
      </w:r>
      <w:r w:rsidR="00E84787">
        <w:t>’s</w:t>
      </w:r>
      <w:r w:rsidRPr="007E6D95">
        <w:t xml:space="preserve"> funding of </w:t>
      </w:r>
      <w:r>
        <w:t>English language</w:t>
      </w:r>
      <w:r w:rsidRPr="007E6D95">
        <w:t xml:space="preserve"> instruction</w:t>
      </w:r>
      <w:r>
        <w:t>,</w:t>
      </w:r>
      <w:r w:rsidRPr="007E6D95">
        <w:t xml:space="preserve"> with one teacher, himself a migrant, stating,</w:t>
      </w:r>
      <w:r w:rsidRPr="007E6D95">
        <w:rPr>
          <w:b/>
          <w:sz w:val="15"/>
          <w:szCs w:val="15"/>
        </w:rPr>
        <w:t xml:space="preserve"> </w:t>
      </w:r>
      <w:r w:rsidRPr="00511437">
        <w:rPr>
          <w:i/>
        </w:rPr>
        <w:t>‘</w:t>
      </w:r>
      <w:r w:rsidRPr="00127CA0">
        <w:t xml:space="preserve">Compared to other countries, I think that our migrants are extremely lucky with the very generous funding that our government provides for their </w:t>
      </w:r>
      <w:r>
        <w:t>English as a second language</w:t>
      </w:r>
      <w:r w:rsidRPr="00127CA0">
        <w:t xml:space="preserve"> classes’.</w:t>
      </w:r>
      <w:r w:rsidRPr="007E6D95">
        <w:t xml:space="preserve"> </w:t>
      </w:r>
    </w:p>
    <w:p w:rsidR="001956F7" w:rsidRDefault="001956F7" w:rsidP="001956F7">
      <w:pPr>
        <w:pStyle w:val="Text"/>
      </w:pPr>
      <w:r w:rsidRPr="007E6D95">
        <w:t xml:space="preserve">When asked why they thought Australian governments funded </w:t>
      </w:r>
      <w:r>
        <w:t>English language</w:t>
      </w:r>
      <w:r w:rsidRPr="007E6D95">
        <w:t xml:space="preserve"> program</w:t>
      </w:r>
      <w:r>
        <w:t>s for adults</w:t>
      </w:r>
      <w:r w:rsidRPr="007E6D95">
        <w:t xml:space="preserve">, a number of migrants highlighted the reciprocal benefits of integration to both migrants and Australia. Some discussed the individual advantages to migrants of </w:t>
      </w:r>
      <w:r>
        <w:t>the</w:t>
      </w:r>
      <w:r w:rsidR="00E84787">
        <w:t>ir</w:t>
      </w:r>
      <w:r>
        <w:t xml:space="preserve"> English language</w:t>
      </w:r>
      <w:r w:rsidRPr="007E6D95">
        <w:t xml:space="preserve"> instruction, and the collective benefits to society as a whole, including in relation to social cohesion. Some spoke of how undertaking </w:t>
      </w:r>
      <w:r>
        <w:t>these language</w:t>
      </w:r>
      <w:r w:rsidRPr="007E6D95">
        <w:t xml:space="preserve"> courses helps Australia to be a</w:t>
      </w:r>
      <w:r w:rsidRPr="00127CA0">
        <w:t xml:space="preserve"> more ‘peaceful’, ‘harmonised’ and ‘</w:t>
      </w:r>
      <w:proofErr w:type="spellStart"/>
      <w:r w:rsidRPr="00127CA0">
        <w:t>tolerised</w:t>
      </w:r>
      <w:proofErr w:type="spellEnd"/>
      <w:r w:rsidR="00172269">
        <w:t>’</w:t>
      </w:r>
      <w:r w:rsidR="00E84787">
        <w:t xml:space="preserve"> [sic]</w:t>
      </w:r>
      <w:r w:rsidRPr="00127CA0">
        <w:t xml:space="preserve"> society. The classroom learning of English was seen by some migrants</w:t>
      </w:r>
      <w:r>
        <w:t xml:space="preserve"> as a unifying force, therefore</w:t>
      </w:r>
      <w:r w:rsidRPr="00127CA0">
        <w:t xml:space="preserve"> contributing to ‘less conflicts, less misunderstandings’. </w:t>
      </w:r>
    </w:p>
    <w:p w:rsidR="001956F7" w:rsidRPr="00506EC7" w:rsidRDefault="001956F7" w:rsidP="001956F7">
      <w:pPr>
        <w:pStyle w:val="Text"/>
        <w:rPr>
          <w:b/>
          <w:color w:val="000000" w:themeColor="text1"/>
        </w:rPr>
      </w:pPr>
      <w:r w:rsidRPr="00127CA0">
        <w:t xml:space="preserve">Some </w:t>
      </w:r>
      <w:r w:rsidRPr="000A6D0D">
        <w:t>migrants also commented on the financial benefits to their own lives in terms of securing work and the associated</w:t>
      </w:r>
      <w:r>
        <w:t xml:space="preserve"> psycho</w:t>
      </w:r>
      <w:r w:rsidRPr="00127CA0">
        <w:t>social benefits this afforded them. Jin, for instance, stated, ‘If I’m working, it make me</w:t>
      </w:r>
      <w:r>
        <w:t xml:space="preserve"> money, it make me feel better [about myself]</w:t>
      </w:r>
      <w:r w:rsidRPr="00127CA0">
        <w:t>’</w:t>
      </w:r>
      <w:r>
        <w:t>. In addition, a number of migrants</w:t>
      </w:r>
      <w:r w:rsidRPr="00127CA0">
        <w:t xml:space="preserve"> made the point that form</w:t>
      </w:r>
      <w:r>
        <w:t>ally learning English helps them</w:t>
      </w:r>
      <w:r w:rsidRPr="00127CA0">
        <w:t xml:space="preserve"> to ‘contribute more to Australia’. It seemed</w:t>
      </w:r>
      <w:r>
        <w:t xml:space="preserve"> that, to some migrants, the</w:t>
      </w:r>
      <w:r w:rsidRPr="00127CA0">
        <w:t xml:space="preserve"> notion of financially contributing</w:t>
      </w:r>
      <w:r w:rsidRPr="00831A99">
        <w:rPr>
          <w:color w:val="0000FF"/>
        </w:rPr>
        <w:t xml:space="preserve"> </w:t>
      </w:r>
      <w:r w:rsidRPr="00527770">
        <w:t>(and, to some,</w:t>
      </w:r>
      <w:r>
        <w:t xml:space="preserve"> not</w:t>
      </w:r>
      <w:r w:rsidRPr="00527770">
        <w:t xml:space="preserve"> claiming welfare payments)</w:t>
      </w:r>
      <w:r w:rsidRPr="00831A99">
        <w:rPr>
          <w:color w:val="0000FF"/>
        </w:rPr>
        <w:t xml:space="preserve"> </w:t>
      </w:r>
      <w:r w:rsidRPr="00127CA0">
        <w:t>was p</w:t>
      </w:r>
      <w:r>
        <w:t>art of their conception of integration</w:t>
      </w:r>
      <w:r w:rsidRPr="00127CA0">
        <w:t>, thereby reflecting one of the implicit</w:t>
      </w:r>
      <w:r w:rsidRPr="00127CA0">
        <w:rPr>
          <w:b/>
        </w:rPr>
        <w:t xml:space="preserve"> </w:t>
      </w:r>
      <w:r w:rsidRPr="00127CA0">
        <w:t xml:space="preserve">government goals </w:t>
      </w:r>
      <w:r>
        <w:t>in relation to</w:t>
      </w:r>
      <w:r w:rsidRPr="00127CA0">
        <w:t xml:space="preserve"> migrant ‘participation’</w:t>
      </w:r>
      <w:r w:rsidRPr="00506EC7">
        <w:rPr>
          <w:color w:val="000000" w:themeColor="text1"/>
          <w:sz w:val="16"/>
          <w:szCs w:val="16"/>
        </w:rPr>
        <w:t>.</w:t>
      </w:r>
    </w:p>
    <w:p w:rsidR="001956F7" w:rsidRPr="007E6D95" w:rsidRDefault="001956F7" w:rsidP="001956F7">
      <w:pPr>
        <w:pStyle w:val="Text"/>
      </w:pPr>
      <w:r w:rsidRPr="007E6D95">
        <w:t xml:space="preserve">Furthermore, some migrants specifically emphasised the economic advantages to Australia in getting migrants into work, paying tax and, thereby, assisting the funding of social programs such as </w:t>
      </w:r>
      <w:r>
        <w:t>English as a second language</w:t>
      </w:r>
      <w:r w:rsidRPr="007E6D95">
        <w:t xml:space="preserve"> provision. Ping</w:t>
      </w:r>
      <w:r>
        <w:t xml:space="preserve"> encapsulated this in her comment</w:t>
      </w:r>
      <w:r w:rsidRPr="007E6D95">
        <w:t xml:space="preserve">: </w:t>
      </w:r>
    </w:p>
    <w:p w:rsidR="001956F7" w:rsidRPr="00127CA0" w:rsidRDefault="001956F7" w:rsidP="001956F7">
      <w:pPr>
        <w:pStyle w:val="Quote"/>
      </w:pPr>
      <w:r>
        <w:t xml:space="preserve">I think government … </w:t>
      </w:r>
      <w:r w:rsidRPr="00127CA0">
        <w:t>help the people to learn English</w:t>
      </w:r>
      <w:r>
        <w:t xml:space="preserve"> </w:t>
      </w:r>
      <w:r w:rsidRPr="00127CA0">
        <w:t>…</w:t>
      </w:r>
      <w:r>
        <w:t xml:space="preserve"> and, after [migrants]</w:t>
      </w:r>
      <w:r w:rsidRPr="00127CA0">
        <w:t xml:space="preserve"> get good language they can do some</w:t>
      </w:r>
      <w:r>
        <w:t xml:space="preserve"> </w:t>
      </w:r>
      <w:r w:rsidRPr="00127CA0">
        <w:t>…</w:t>
      </w:r>
      <w:r>
        <w:t xml:space="preserve"> </w:t>
      </w:r>
      <w:r w:rsidRPr="00127CA0">
        <w:t>job</w:t>
      </w:r>
      <w:r>
        <w:t xml:space="preserve"> </w:t>
      </w:r>
      <w:r w:rsidRPr="00127CA0">
        <w:t>…</w:t>
      </w:r>
      <w:r>
        <w:t xml:space="preserve"> support this country </w:t>
      </w:r>
      <w:r w:rsidRPr="00127CA0">
        <w:t xml:space="preserve">… pay the tax and the government get you money back again! It’s a good circle!  </w:t>
      </w:r>
    </w:p>
    <w:p w:rsidR="001956F7" w:rsidRPr="00432DDC" w:rsidRDefault="001956F7" w:rsidP="001956F7">
      <w:pPr>
        <w:pStyle w:val="Text"/>
        <w:rPr>
          <w:b/>
        </w:rPr>
      </w:pPr>
      <w:r w:rsidRPr="000A6D0D">
        <w:t>Although a number of</w:t>
      </w:r>
      <w:r>
        <w:rPr>
          <w:color w:val="800080"/>
        </w:rPr>
        <w:t xml:space="preserve"> </w:t>
      </w:r>
      <w:r w:rsidRPr="00432DDC">
        <w:t xml:space="preserve">migrants discussed the broader social and economic advantages that </w:t>
      </w:r>
      <w:r>
        <w:t>English as a second language</w:t>
      </w:r>
      <w:r w:rsidRPr="00432DDC">
        <w:t xml:space="preserve"> </w:t>
      </w:r>
      <w:r>
        <w:t xml:space="preserve">programs </w:t>
      </w:r>
      <w:r w:rsidRPr="00432DDC">
        <w:t xml:space="preserve">provided </w:t>
      </w:r>
      <w:r w:rsidRPr="000A6D0D">
        <w:t>Australian</w:t>
      </w:r>
      <w:r w:rsidRPr="00432DDC">
        <w:t xml:space="preserve"> society</w:t>
      </w:r>
      <w:r>
        <w:t>, migrants</w:t>
      </w:r>
      <w:r w:rsidRPr="00432DDC">
        <w:t xml:space="preserve"> more frequently hi</w:t>
      </w:r>
      <w:r>
        <w:t>ghlighted the benefits these classes afforded them</w:t>
      </w:r>
      <w:r w:rsidRPr="00432DDC">
        <w:t>.</w:t>
      </w:r>
    </w:p>
    <w:p w:rsidR="001956F7" w:rsidRPr="00910A9C" w:rsidRDefault="001956F7" w:rsidP="001956F7">
      <w:pPr>
        <w:pStyle w:val="Heading2"/>
        <w:rPr>
          <w:rFonts w:eastAsia="Arial Unicode MS"/>
        </w:rPr>
      </w:pPr>
      <w:bookmarkStart w:id="76" w:name="_Toc305074175"/>
      <w:bookmarkStart w:id="77" w:name="_Toc309645498"/>
      <w:r w:rsidRPr="00F45D16">
        <w:t>Integration</w:t>
      </w:r>
      <w:r w:rsidRPr="00910A9C">
        <w:rPr>
          <w:i/>
        </w:rPr>
        <w:t xml:space="preserve"> </w:t>
      </w:r>
      <w:r w:rsidRPr="00910A9C">
        <w:t>means</w:t>
      </w:r>
      <w:r>
        <w:t xml:space="preserve"> </w:t>
      </w:r>
      <w:r w:rsidR="00E66F03">
        <w:t>…</w:t>
      </w:r>
      <w:r w:rsidRPr="00910A9C">
        <w:t xml:space="preserve">? </w:t>
      </w:r>
      <w:r w:rsidRPr="00910A9C">
        <w:rPr>
          <w:rFonts w:eastAsia="Arial Unicode MS"/>
        </w:rPr>
        <w:t>How migrants define and experience integration</w:t>
      </w:r>
      <w:bookmarkEnd w:id="76"/>
      <w:bookmarkEnd w:id="77"/>
      <w:r w:rsidRPr="00910A9C">
        <w:rPr>
          <w:rFonts w:eastAsia="Arial Unicode MS"/>
        </w:rPr>
        <w:t xml:space="preserve"> </w:t>
      </w:r>
    </w:p>
    <w:p w:rsidR="001956F7" w:rsidRPr="00127CA0" w:rsidRDefault="001956F7" w:rsidP="001956F7">
      <w:pPr>
        <w:pStyle w:val="Quote"/>
        <w:rPr>
          <w:b/>
          <w:iCs/>
          <w:sz w:val="16"/>
          <w:szCs w:val="16"/>
        </w:rPr>
      </w:pPr>
      <w:r w:rsidRPr="00127CA0">
        <w:t>I feel everything is OK here; I feel people talk with me nicely, accept me nicely, but integrate is a</w:t>
      </w:r>
      <w:r w:rsidRPr="00F45D16">
        <w:rPr>
          <w:i/>
        </w:rPr>
        <w:t xml:space="preserve"> big </w:t>
      </w:r>
      <w:r w:rsidRPr="00127CA0">
        <w:t>word</w:t>
      </w:r>
      <w:r w:rsidR="00506EC7">
        <w:t>.</w:t>
      </w:r>
      <w:r w:rsidR="00506EC7">
        <w:tab/>
      </w:r>
      <w:r w:rsidRPr="00127CA0">
        <w:t>(</w:t>
      </w:r>
      <w:proofErr w:type="spellStart"/>
      <w:r w:rsidRPr="00127CA0">
        <w:t>Swarna</w:t>
      </w:r>
      <w:proofErr w:type="spellEnd"/>
      <w:r>
        <w:t>, 2009</w:t>
      </w:r>
      <w:r w:rsidR="00506EC7">
        <w:t>)</w:t>
      </w:r>
    </w:p>
    <w:p w:rsidR="001956F7" w:rsidRPr="007E6D95" w:rsidRDefault="001956F7" w:rsidP="001956F7">
      <w:pPr>
        <w:pStyle w:val="Text"/>
        <w:rPr>
          <w:sz w:val="16"/>
          <w:szCs w:val="16"/>
        </w:rPr>
      </w:pPr>
      <w:r w:rsidRPr="00127CA0">
        <w:rPr>
          <w:lang w:val="en-US"/>
        </w:rPr>
        <w:t>The view that integration can be a nebulous concept (</w:t>
      </w:r>
      <w:proofErr w:type="spellStart"/>
      <w:r w:rsidRPr="00127CA0">
        <w:rPr>
          <w:lang w:val="en-US"/>
        </w:rPr>
        <w:t>Entzinger</w:t>
      </w:r>
      <w:proofErr w:type="spellEnd"/>
      <w:r>
        <w:rPr>
          <w:lang w:val="en-US"/>
        </w:rPr>
        <w:t xml:space="preserve"> &amp; </w:t>
      </w:r>
      <w:proofErr w:type="spellStart"/>
      <w:r>
        <w:rPr>
          <w:lang w:val="en-US"/>
        </w:rPr>
        <w:t>Biezeveld</w:t>
      </w:r>
      <w:proofErr w:type="spellEnd"/>
      <w:r>
        <w:rPr>
          <w:lang w:val="en-US"/>
        </w:rPr>
        <w:t xml:space="preserve"> 2003;</w:t>
      </w:r>
      <w:r w:rsidRPr="007E6D95">
        <w:rPr>
          <w:lang w:val="en-US"/>
        </w:rPr>
        <w:t xml:space="preserve"> </w:t>
      </w:r>
      <w:proofErr w:type="spellStart"/>
      <w:r>
        <w:rPr>
          <w:lang w:val="en-US"/>
        </w:rPr>
        <w:t>Jakubowicz</w:t>
      </w:r>
      <w:proofErr w:type="spellEnd"/>
      <w:r>
        <w:rPr>
          <w:lang w:val="en-US"/>
        </w:rPr>
        <w:t xml:space="preserve"> </w:t>
      </w:r>
      <w:proofErr w:type="spellStart"/>
      <w:r>
        <w:rPr>
          <w:lang w:val="en-US"/>
        </w:rPr>
        <w:t>nd</w:t>
      </w:r>
      <w:proofErr w:type="spellEnd"/>
      <w:r w:rsidRPr="00432DDC">
        <w:rPr>
          <w:lang w:val="en-US"/>
        </w:rPr>
        <w:t>;</w:t>
      </w:r>
      <w:r>
        <w:rPr>
          <w:color w:val="FF0000"/>
          <w:lang w:val="en-US"/>
        </w:rPr>
        <w:t xml:space="preserve"> </w:t>
      </w:r>
      <w:r>
        <w:rPr>
          <w:lang w:val="en-US"/>
        </w:rPr>
        <w:t>UNESCO 2011;</w:t>
      </w:r>
      <w:r w:rsidRPr="007E6D95">
        <w:rPr>
          <w:lang w:val="en-US"/>
        </w:rPr>
        <w:t xml:space="preserve"> </w:t>
      </w:r>
      <w:proofErr w:type="spellStart"/>
      <w:r w:rsidRPr="007E6D95">
        <w:rPr>
          <w:lang w:val="en-US"/>
        </w:rPr>
        <w:t>Vasta</w:t>
      </w:r>
      <w:proofErr w:type="spellEnd"/>
      <w:r w:rsidRPr="007E6D95">
        <w:rPr>
          <w:lang w:val="en-US"/>
        </w:rPr>
        <w:t xml:space="preserve"> 2007) proved to be somewhat true in this study. In their first interviews at the end of 2007, </w:t>
      </w:r>
      <w:r w:rsidRPr="000A6D0D">
        <w:rPr>
          <w:lang w:val="en-US"/>
        </w:rPr>
        <w:t>the interviewed migrants were asked</w:t>
      </w:r>
      <w:r w:rsidRPr="007E6D95">
        <w:rPr>
          <w:lang w:val="en-US"/>
        </w:rPr>
        <w:t xml:space="preserve"> if they knew of the term</w:t>
      </w:r>
      <w:r w:rsidRPr="007E6D95">
        <w:rPr>
          <w:i/>
          <w:lang w:val="en-US"/>
        </w:rPr>
        <w:t xml:space="preserve"> </w:t>
      </w:r>
      <w:r>
        <w:rPr>
          <w:lang w:val="en-US"/>
        </w:rPr>
        <w:t>‘</w:t>
      </w:r>
      <w:r w:rsidRPr="00F45D16">
        <w:rPr>
          <w:lang w:val="en-US"/>
        </w:rPr>
        <w:t>integration</w:t>
      </w:r>
      <w:r>
        <w:rPr>
          <w:lang w:val="en-US"/>
        </w:rPr>
        <w:t>’</w:t>
      </w:r>
      <w:r w:rsidRPr="007E6D95">
        <w:rPr>
          <w:lang w:val="en-US"/>
        </w:rPr>
        <w:t xml:space="preserve"> and, if so, </w:t>
      </w:r>
      <w:r w:rsidRPr="007E6D95">
        <w:rPr>
          <w:lang w:val="en-US"/>
        </w:rPr>
        <w:lastRenderedPageBreak/>
        <w:t>they were a</w:t>
      </w:r>
      <w:r>
        <w:rPr>
          <w:lang w:val="en-US"/>
        </w:rPr>
        <w:t>sked to define it. Some</w:t>
      </w:r>
      <w:r w:rsidRPr="007E6D95">
        <w:rPr>
          <w:lang w:val="en-US"/>
        </w:rPr>
        <w:t xml:space="preserve"> stated that they had he</w:t>
      </w:r>
      <w:r>
        <w:rPr>
          <w:lang w:val="en-US"/>
        </w:rPr>
        <w:t>ard the term and</w:t>
      </w:r>
      <w:r w:rsidRPr="007E6D95">
        <w:rPr>
          <w:lang w:val="en-US"/>
        </w:rPr>
        <w:t xml:space="preserve"> several had an understanding of its meaning. Despite some difficulties with definitions, all </w:t>
      </w:r>
      <w:r>
        <w:rPr>
          <w:lang w:val="en-US"/>
        </w:rPr>
        <w:t>14</w:t>
      </w:r>
      <w:r w:rsidRPr="007E6D95">
        <w:rPr>
          <w:lang w:val="en-US"/>
        </w:rPr>
        <w:t xml:space="preserve"> interviewed migrants stated that they felt integrated, </w:t>
      </w:r>
      <w:r w:rsidRPr="00127CA0">
        <w:rPr>
          <w:lang w:val="en-US"/>
        </w:rPr>
        <w:t>or ‘partly integrated’,</w:t>
      </w:r>
      <w:r w:rsidRPr="007E6D95">
        <w:rPr>
          <w:lang w:val="en-US"/>
        </w:rPr>
        <w:t xml:space="preserve"> into Australian society, </w:t>
      </w:r>
      <w:r w:rsidRPr="00F67F48">
        <w:rPr>
          <w:lang w:val="en-US"/>
        </w:rPr>
        <w:t>and all of them</w:t>
      </w:r>
      <w:r w:rsidRPr="007E6D95">
        <w:rPr>
          <w:color w:val="FF0000"/>
          <w:lang w:val="en-US"/>
        </w:rPr>
        <w:t xml:space="preserve"> </w:t>
      </w:r>
      <w:r w:rsidRPr="007E6D95">
        <w:rPr>
          <w:lang w:val="en-US"/>
        </w:rPr>
        <w:t xml:space="preserve">expressed the view that </w:t>
      </w:r>
      <w:r w:rsidRPr="00432DDC">
        <w:rPr>
          <w:lang w:val="en-US"/>
        </w:rPr>
        <w:t>their connection</w:t>
      </w:r>
      <w:r>
        <w:rPr>
          <w:i/>
          <w:color w:val="0000FF"/>
          <w:lang w:val="en-US"/>
        </w:rPr>
        <w:t xml:space="preserve"> </w:t>
      </w:r>
      <w:r w:rsidRPr="007E6D95">
        <w:rPr>
          <w:lang w:val="en-US"/>
        </w:rPr>
        <w:t xml:space="preserve">to Australia had increased over time </w:t>
      </w:r>
      <w:r w:rsidRPr="00F67F48">
        <w:t>(Jan</w:t>
      </w:r>
      <w:r>
        <w:t>uary</w:t>
      </w:r>
      <w:r w:rsidRPr="00F67F48">
        <w:t xml:space="preserve"> 2010).</w:t>
      </w:r>
      <w:r w:rsidRPr="007E6D95">
        <w:rPr>
          <w:sz w:val="16"/>
          <w:szCs w:val="16"/>
        </w:rPr>
        <w:t xml:space="preserve"> </w:t>
      </w:r>
    </w:p>
    <w:p w:rsidR="001956F7" w:rsidRPr="00F67F48" w:rsidRDefault="001956F7" w:rsidP="001956F7">
      <w:pPr>
        <w:pStyle w:val="Text"/>
      </w:pPr>
      <w:r w:rsidRPr="007E6D95">
        <w:t xml:space="preserve">Migrants described this in relation to how they </w:t>
      </w:r>
      <w:r w:rsidRPr="00127CA0">
        <w:t xml:space="preserve">felt </w:t>
      </w:r>
      <w:r w:rsidRPr="00127CA0">
        <w:rPr>
          <w:lang w:val="en-US"/>
        </w:rPr>
        <w:t xml:space="preserve">‘comfortable’ or ‘more comfortable’ in </w:t>
      </w:r>
      <w:smartTag w:uri="urn:schemas-microsoft-com:office:smarttags" w:element="country-region">
        <w:smartTag w:uri="urn:schemas-microsoft-com:office:smarttags" w:element="place">
          <w:r w:rsidRPr="00127CA0">
            <w:rPr>
              <w:lang w:val="en-US"/>
            </w:rPr>
            <w:t>Australia</w:t>
          </w:r>
        </w:smartTag>
      </w:smartTag>
      <w:r w:rsidRPr="00127CA0">
        <w:rPr>
          <w:lang w:val="en-US"/>
        </w:rPr>
        <w:t>, and how they ‘half belong’ or ‘part belong’. Some migrants described their integration in terms of ‘I feel like I’m Australian’; ‘I always care about Australia</w:t>
      </w:r>
      <w:r w:rsidR="00E84787">
        <w:rPr>
          <w:lang w:val="en-US"/>
        </w:rPr>
        <w:t>[n]</w:t>
      </w:r>
      <w:r w:rsidRPr="00127CA0">
        <w:rPr>
          <w:lang w:val="en-US"/>
        </w:rPr>
        <w:t xml:space="preserve"> things’; and </w:t>
      </w:r>
      <w:r w:rsidRPr="00127CA0">
        <w:t>‘I used to this life’</w:t>
      </w:r>
      <w:r w:rsidRPr="00127CA0">
        <w:rPr>
          <w:lang w:val="en-US"/>
        </w:rPr>
        <w:t>. Some also explained how Australia feels like their ‘home’, ‘house’, or ‘</w:t>
      </w:r>
      <w:r>
        <w:rPr>
          <w:lang w:val="en-US"/>
        </w:rPr>
        <w:t>[It is] g</w:t>
      </w:r>
      <w:r w:rsidRPr="00127CA0">
        <w:rPr>
          <w:lang w:val="en-US"/>
        </w:rPr>
        <w:t>etting … like Australia is my place’,</w:t>
      </w:r>
      <w:r w:rsidRPr="007E6D95">
        <w:rPr>
          <w:lang w:val="en-US"/>
        </w:rPr>
        <w:t xml:space="preserve"> and </w:t>
      </w:r>
      <w:r w:rsidRPr="007E6D95">
        <w:t xml:space="preserve">how they </w:t>
      </w:r>
      <w:r w:rsidRPr="00F67F48">
        <w:t>missed</w:t>
      </w:r>
      <w:r w:rsidRPr="00F67F48">
        <w:rPr>
          <w:b/>
          <w:sz w:val="16"/>
          <w:szCs w:val="16"/>
        </w:rPr>
        <w:t xml:space="preserve"> </w:t>
      </w:r>
      <w:r w:rsidRPr="007E6D95">
        <w:t xml:space="preserve">Australia when visiting their countries of </w:t>
      </w:r>
      <w:r>
        <w:t>birth. Sudanese-born Australian</w:t>
      </w:r>
      <w:r w:rsidRPr="007E6D95">
        <w:t xml:space="preserve"> </w:t>
      </w:r>
      <w:proofErr w:type="spellStart"/>
      <w:r w:rsidRPr="007E6D95">
        <w:t>Manut</w:t>
      </w:r>
      <w:proofErr w:type="spellEnd"/>
      <w:r w:rsidRPr="007E6D95">
        <w:t xml:space="preserve">, when asked if he </w:t>
      </w:r>
      <w:r w:rsidRPr="00F67F48">
        <w:t>felt ‘part of the community’, agreed stating,</w:t>
      </w:r>
      <w:r w:rsidRPr="00127CA0">
        <w:t xml:space="preserve"> ‘Yeah, of course, of course … There is no difference between me and Australian people.’ </w:t>
      </w:r>
      <w:r w:rsidRPr="00F67F48">
        <w:t xml:space="preserve">It was clear that migrants believed participating in </w:t>
      </w:r>
      <w:r>
        <w:t>English as a second language</w:t>
      </w:r>
      <w:r w:rsidRPr="00F67F48">
        <w:t xml:space="preserve"> courses had contributed to their sense of belonging. </w:t>
      </w:r>
      <w:r w:rsidRPr="00F67F48">
        <w:rPr>
          <w:i/>
        </w:rPr>
        <w:t xml:space="preserve"> </w:t>
      </w:r>
    </w:p>
    <w:p w:rsidR="001956F7" w:rsidRPr="007E6D95" w:rsidRDefault="001956F7" w:rsidP="001956F7">
      <w:pPr>
        <w:pStyle w:val="Text"/>
        <w:rPr>
          <w:lang w:val="en-US"/>
        </w:rPr>
      </w:pPr>
      <w:r>
        <w:rPr>
          <w:lang w:val="en-US"/>
        </w:rPr>
        <w:t xml:space="preserve">Although English was </w:t>
      </w:r>
      <w:r w:rsidRPr="000A6D0D">
        <w:rPr>
          <w:lang w:val="en-US"/>
        </w:rPr>
        <w:t xml:space="preserve">perceived to be their biggest barrier to integration, those interviewed also described other ways in which their integration was limited. Reflecting Shakespeare-Finch and Wickham’s </w:t>
      </w:r>
      <w:r>
        <w:rPr>
          <w:lang w:val="en-US"/>
        </w:rPr>
        <w:t xml:space="preserve">2009 </w:t>
      </w:r>
      <w:r w:rsidRPr="000A6D0D">
        <w:rPr>
          <w:lang w:val="en-US"/>
        </w:rPr>
        <w:t xml:space="preserve">research finding, several migrants stated that integration requires </w:t>
      </w:r>
      <w:proofErr w:type="spellStart"/>
      <w:r w:rsidRPr="000A6D0D">
        <w:rPr>
          <w:lang w:val="en-US"/>
        </w:rPr>
        <w:t>socialising</w:t>
      </w:r>
      <w:proofErr w:type="spellEnd"/>
      <w:r w:rsidRPr="000A6D0D">
        <w:rPr>
          <w:lang w:val="en-US"/>
        </w:rPr>
        <w:t xml:space="preserve"> with a broad cross-section of the community beyond the classroom</w:t>
      </w:r>
      <w:r>
        <w:rPr>
          <w:lang w:val="en-US"/>
        </w:rPr>
        <w:t>,</w:t>
      </w:r>
      <w:r w:rsidRPr="000A6D0D">
        <w:rPr>
          <w:lang w:val="en-US"/>
        </w:rPr>
        <w:t xml:space="preserve"> something</w:t>
      </w:r>
      <w:r w:rsidRPr="007E6D95">
        <w:rPr>
          <w:lang w:val="en-US"/>
        </w:rPr>
        <w:t xml:space="preserve"> which some felt they were not readily able to do. </w:t>
      </w:r>
      <w:proofErr w:type="spellStart"/>
      <w:r w:rsidRPr="007E6D95">
        <w:rPr>
          <w:lang w:val="en-US"/>
        </w:rPr>
        <w:t>Swarna</w:t>
      </w:r>
      <w:proofErr w:type="spellEnd"/>
      <w:r w:rsidRPr="007E6D95">
        <w:rPr>
          <w:lang w:val="en-US"/>
        </w:rPr>
        <w:t xml:space="preserve"> explained this when discussing her definition of integration: </w:t>
      </w:r>
    </w:p>
    <w:p w:rsidR="001956F7" w:rsidRPr="00127CA0" w:rsidRDefault="001956F7" w:rsidP="001956F7">
      <w:pPr>
        <w:pStyle w:val="Quote"/>
      </w:pPr>
      <w:r w:rsidRPr="00127CA0">
        <w:t xml:space="preserve">I need to involve in social activity and communicate with other Australians … to become a part of Australian society … </w:t>
      </w:r>
      <w:r>
        <w:t>[and mix with]</w:t>
      </w:r>
      <w:r w:rsidRPr="00127CA0">
        <w:t xml:space="preserve"> </w:t>
      </w:r>
      <w:proofErr w:type="gramStart"/>
      <w:r w:rsidRPr="00127CA0">
        <w:t xml:space="preserve">different nationality people … </w:t>
      </w:r>
      <w:r>
        <w:t>f</w:t>
      </w:r>
      <w:r w:rsidRPr="00127CA0">
        <w:t xml:space="preserve">or me, </w:t>
      </w:r>
      <w:r w:rsidRPr="00127CA0">
        <w:rPr>
          <w:bCs/>
        </w:rPr>
        <w:t>integration means</w:t>
      </w:r>
      <w:proofErr w:type="gramEnd"/>
      <w:r w:rsidRPr="00127CA0">
        <w:rPr>
          <w:bCs/>
        </w:rPr>
        <w:t xml:space="preserve"> other people</w:t>
      </w:r>
      <w:r w:rsidRPr="00127CA0">
        <w:t xml:space="preserve"> </w:t>
      </w:r>
      <w:r w:rsidRPr="00127CA0">
        <w:rPr>
          <w:bCs/>
        </w:rPr>
        <w:t>… different group of peoples</w:t>
      </w:r>
      <w:r w:rsidRPr="00127CA0">
        <w:t xml:space="preserve">. </w:t>
      </w:r>
    </w:p>
    <w:p w:rsidR="001956F7" w:rsidRPr="007E6D95" w:rsidRDefault="001956F7" w:rsidP="001956F7">
      <w:pPr>
        <w:pStyle w:val="Text"/>
        <w:rPr>
          <w:szCs w:val="22"/>
        </w:rPr>
      </w:pPr>
      <w:r>
        <w:t>As a result, formally learn</w:t>
      </w:r>
      <w:r w:rsidRPr="007E6D95">
        <w:t xml:space="preserve">ing </w:t>
      </w:r>
      <w:r>
        <w:t>English as a second language</w:t>
      </w:r>
      <w:r w:rsidRPr="007E6D95">
        <w:t xml:space="preserve">, undertaking mainstream study, and being in the workforce were perceived by both stakeholder groups as beneficial in providing an opportunity for migrants to mix in this wider </w:t>
      </w:r>
      <w:r>
        <w:t xml:space="preserve">social </w:t>
      </w:r>
      <w:r w:rsidRPr="007E6D95">
        <w:t xml:space="preserve">milieu. </w:t>
      </w:r>
      <w:r w:rsidRPr="007E6D95">
        <w:rPr>
          <w:szCs w:val="22"/>
        </w:rPr>
        <w:t xml:space="preserve">Moreover, a small number of interviewed migrants (all but one </w:t>
      </w:r>
      <w:r>
        <w:rPr>
          <w:szCs w:val="22"/>
        </w:rPr>
        <w:t xml:space="preserve">of whom </w:t>
      </w:r>
      <w:proofErr w:type="gramStart"/>
      <w:r>
        <w:rPr>
          <w:szCs w:val="22"/>
        </w:rPr>
        <w:t>w</w:t>
      </w:r>
      <w:r w:rsidR="00E84787">
        <w:rPr>
          <w:szCs w:val="22"/>
        </w:rPr>
        <w:t>ere</w:t>
      </w:r>
      <w:proofErr w:type="gramEnd"/>
      <w:r>
        <w:rPr>
          <w:szCs w:val="22"/>
        </w:rPr>
        <w:t xml:space="preserve"> </w:t>
      </w:r>
      <w:r w:rsidRPr="007E6D95">
        <w:rPr>
          <w:szCs w:val="22"/>
        </w:rPr>
        <w:t>female) stated that they wanted to form</w:t>
      </w:r>
      <w:r w:rsidRPr="007E6D95">
        <w:rPr>
          <w:b/>
          <w:szCs w:val="22"/>
        </w:rPr>
        <w:t xml:space="preserve"> </w:t>
      </w:r>
      <w:r w:rsidRPr="00AB5328">
        <w:rPr>
          <w:szCs w:val="22"/>
        </w:rPr>
        <w:t>friendships with</w:t>
      </w:r>
      <w:r w:rsidRPr="007E6D95">
        <w:rPr>
          <w:szCs w:val="22"/>
        </w:rPr>
        <w:t xml:space="preserve"> people who did n</w:t>
      </w:r>
      <w:r>
        <w:rPr>
          <w:szCs w:val="22"/>
        </w:rPr>
        <w:t>ot speak their language, those whom</w:t>
      </w:r>
      <w:r w:rsidRPr="007E6D95">
        <w:rPr>
          <w:szCs w:val="22"/>
        </w:rPr>
        <w:t xml:space="preserve"> several migrants defined </w:t>
      </w:r>
      <w:r w:rsidRPr="00127CA0">
        <w:rPr>
          <w:szCs w:val="22"/>
        </w:rPr>
        <w:t>as ‘Aussies’.</w:t>
      </w:r>
      <w:r w:rsidRPr="007E6D95">
        <w:rPr>
          <w:szCs w:val="22"/>
        </w:rPr>
        <w:t xml:space="preserve"> This, they suggested, would help them to feel even more integrated, and, also, was a sign of integration.</w:t>
      </w:r>
    </w:p>
    <w:p w:rsidR="001956F7" w:rsidRPr="00AB5328" w:rsidRDefault="001956F7" w:rsidP="001956F7">
      <w:pPr>
        <w:pStyle w:val="Text"/>
      </w:pPr>
      <w:r w:rsidRPr="007E6D95">
        <w:t>Migra</w:t>
      </w:r>
      <w:r>
        <w:t>nts agreed with the government</w:t>
      </w:r>
      <w:r w:rsidRPr="007E6D95">
        <w:t xml:space="preserve"> perspective that </w:t>
      </w:r>
      <w:r w:rsidRPr="00AB5328">
        <w:t xml:space="preserve">securing work is a significant step in integration. However, some migrants (and </w:t>
      </w:r>
      <w:r>
        <w:t>centre</w:t>
      </w:r>
      <w:r w:rsidRPr="00AB5328">
        <w:t xml:space="preserve"> staff) perceived integration as more than just securing work. Although ten of the </w:t>
      </w:r>
      <w:r>
        <w:t>14</w:t>
      </w:r>
      <w:r w:rsidRPr="00AB5328">
        <w:t xml:space="preserve"> interviewed migrants </w:t>
      </w:r>
      <w:r w:rsidRPr="00432DDC">
        <w:t>secured</w:t>
      </w:r>
      <w:r w:rsidRPr="00432DDC">
        <w:rPr>
          <w:b/>
        </w:rPr>
        <w:t xml:space="preserve"> </w:t>
      </w:r>
      <w:r w:rsidRPr="00432DDC">
        <w:t>consistent</w:t>
      </w:r>
      <w:r w:rsidRPr="007E6D95">
        <w:rPr>
          <w:b/>
        </w:rPr>
        <w:t xml:space="preserve"> </w:t>
      </w:r>
      <w:r w:rsidRPr="00AB5328">
        <w:t>paid work</w:t>
      </w:r>
      <w:r w:rsidRPr="007E6D95">
        <w:t xml:space="preserve"> during this study, some of them explained that they still felt other aspects of their lives limited their ability to integrate. In addition, work </w:t>
      </w:r>
      <w:r w:rsidRPr="009647CB">
        <w:t>per se</w:t>
      </w:r>
      <w:r w:rsidRPr="007E6D95">
        <w:t xml:space="preserve"> did not necessarily assist migrants to feel integrated, especially if it did not require them to speak much English </w:t>
      </w:r>
      <w:r>
        <w:t>and/</w:t>
      </w:r>
      <w:r w:rsidRPr="007E6D95">
        <w:t xml:space="preserve">or if it was within </w:t>
      </w:r>
      <w:r>
        <w:t>their first-</w:t>
      </w:r>
      <w:r w:rsidRPr="007E6D95">
        <w:t>language community. One migrant who wor</w:t>
      </w:r>
      <w:r>
        <w:t xml:space="preserve">ked in a voluntary capacity </w:t>
      </w:r>
      <w:r w:rsidRPr="007E6D95">
        <w:t>in her language community expressed a level of frustration with</w:t>
      </w:r>
      <w:r>
        <w:t xml:space="preserve"> this situation. Another female</w:t>
      </w:r>
      <w:r w:rsidRPr="007E6D95">
        <w:t xml:space="preserve"> who was in paid employment was adamant that she did not want to take work that involved caring for those who s</w:t>
      </w:r>
      <w:r>
        <w:t>poke her first language, believing</w:t>
      </w:r>
      <w:r w:rsidRPr="007E6D95">
        <w:t xml:space="preserve"> this would inhibit her integration into Australian society.  </w:t>
      </w:r>
    </w:p>
    <w:p w:rsidR="001956F7" w:rsidRPr="007E6D95" w:rsidRDefault="001956F7" w:rsidP="001956F7">
      <w:pPr>
        <w:pStyle w:val="Text"/>
        <w:rPr>
          <w:lang w:val="en-US"/>
        </w:rPr>
      </w:pPr>
      <w:r w:rsidRPr="007E6D95">
        <w:t>In th</w:t>
      </w:r>
      <w:r>
        <w:t>eir second</w:t>
      </w:r>
      <w:r w:rsidR="00462076">
        <w:t>-</w:t>
      </w:r>
      <w:r>
        <w:t>last interviews (</w:t>
      </w:r>
      <w:r w:rsidRPr="007E6D95">
        <w:t xml:space="preserve">2009), </w:t>
      </w:r>
      <w:r w:rsidRPr="007E6D95">
        <w:rPr>
          <w:lang w:val="en-US"/>
        </w:rPr>
        <w:t xml:space="preserve">several migrants related other people’s perceptions of </w:t>
      </w:r>
      <w:r w:rsidR="009E437D">
        <w:rPr>
          <w:lang w:val="en-US"/>
        </w:rPr>
        <w:t>these migrants’</w:t>
      </w:r>
      <w:r w:rsidRPr="007E6D95">
        <w:rPr>
          <w:lang w:val="en-US"/>
        </w:rPr>
        <w:t xml:space="preserve"> increasing </w:t>
      </w:r>
      <w:r w:rsidRPr="009647CB">
        <w:rPr>
          <w:lang w:val="en-US"/>
        </w:rPr>
        <w:t>‘</w:t>
      </w:r>
      <w:proofErr w:type="spellStart"/>
      <w:r w:rsidRPr="009647CB">
        <w:rPr>
          <w:lang w:val="en-US"/>
        </w:rPr>
        <w:t>Australianness</w:t>
      </w:r>
      <w:proofErr w:type="spellEnd"/>
      <w:r w:rsidRPr="009647CB">
        <w:rPr>
          <w:lang w:val="en-US"/>
        </w:rPr>
        <w:t>’</w:t>
      </w:r>
      <w:r w:rsidRPr="007E6D95">
        <w:rPr>
          <w:lang w:val="en-US"/>
        </w:rPr>
        <w:t>. It seemed tha</w:t>
      </w:r>
      <w:r>
        <w:rPr>
          <w:lang w:val="en-US"/>
        </w:rPr>
        <w:t>t their integration was defined — at least by some others in the community —</w:t>
      </w:r>
      <w:r w:rsidRPr="007E6D95">
        <w:rPr>
          <w:lang w:val="en-US"/>
        </w:rPr>
        <w:t xml:space="preserve"> as </w:t>
      </w:r>
      <w:r w:rsidRPr="0027431E">
        <w:rPr>
          <w:lang w:val="en-US"/>
        </w:rPr>
        <w:t xml:space="preserve">not </w:t>
      </w:r>
      <w:r>
        <w:rPr>
          <w:lang w:val="en-US"/>
        </w:rPr>
        <w:t>entirely</w:t>
      </w:r>
      <w:r w:rsidRPr="0027431E">
        <w:rPr>
          <w:lang w:val="en-US"/>
        </w:rPr>
        <w:t xml:space="preserve"> dependent on </w:t>
      </w:r>
      <w:r>
        <w:rPr>
          <w:lang w:val="en-US"/>
        </w:rPr>
        <w:t>their</w:t>
      </w:r>
      <w:r w:rsidRPr="0027431E">
        <w:rPr>
          <w:lang w:val="en-US"/>
        </w:rPr>
        <w:t xml:space="preserve"> English proficiency</w:t>
      </w:r>
      <w:r w:rsidRPr="0027431E">
        <w:rPr>
          <w:sz w:val="16"/>
          <w:szCs w:val="16"/>
          <w:lang w:val="en-US"/>
        </w:rPr>
        <w:t>.</w:t>
      </w:r>
      <w:r w:rsidRPr="007E6D95">
        <w:rPr>
          <w:lang w:val="en-US"/>
        </w:rPr>
        <w:t xml:space="preserve"> </w:t>
      </w:r>
      <w:proofErr w:type="spellStart"/>
      <w:r w:rsidRPr="007E6D95">
        <w:t>Magda</w:t>
      </w:r>
      <w:proofErr w:type="spellEnd"/>
      <w:r>
        <w:t>,</w:t>
      </w:r>
      <w:r w:rsidRPr="007E6D95">
        <w:t xml:space="preserve"> in explaining that she felt integrated, recounted a recent conversation between her and one of her</w:t>
      </w:r>
      <w:r>
        <w:rPr>
          <w:color w:val="FF0000"/>
        </w:rPr>
        <w:t xml:space="preserve"> </w:t>
      </w:r>
      <w:r w:rsidRPr="00AB5328">
        <w:t>‘Australian’</w:t>
      </w:r>
      <w:r>
        <w:rPr>
          <w:b/>
          <w:color w:val="FF0000"/>
          <w:sz w:val="16"/>
          <w:szCs w:val="16"/>
        </w:rPr>
        <w:t xml:space="preserve"> </w:t>
      </w:r>
      <w:r w:rsidRPr="007E6D95">
        <w:t>clients:</w:t>
      </w:r>
    </w:p>
    <w:p w:rsidR="001956F7" w:rsidRPr="00127CA0" w:rsidRDefault="001956F7" w:rsidP="001956F7">
      <w:pPr>
        <w:pStyle w:val="Quote"/>
      </w:pPr>
      <w:r w:rsidRPr="00127CA0">
        <w:t xml:space="preserve">Yesterday my client said, ‘Oh, you look like Australian!’ </w:t>
      </w:r>
      <w:r>
        <w:rPr>
          <w:sz w:val="16"/>
          <w:szCs w:val="16"/>
        </w:rPr>
        <w:t>[Both laugh]</w:t>
      </w:r>
      <w:r w:rsidRPr="00127CA0">
        <w:rPr>
          <w:sz w:val="16"/>
          <w:szCs w:val="16"/>
        </w:rPr>
        <w:t xml:space="preserve"> </w:t>
      </w:r>
      <w:r w:rsidRPr="00127CA0">
        <w:t xml:space="preserve">… </w:t>
      </w:r>
      <w:r>
        <w:t>and I said, ‘Why?’ [The client said]</w:t>
      </w:r>
      <w:r w:rsidRPr="00127CA0">
        <w:t xml:space="preserve"> ‘Because every Australian </w:t>
      </w:r>
      <w:proofErr w:type="gramStart"/>
      <w:r w:rsidRPr="00127CA0">
        <w:t>look</w:t>
      </w:r>
      <w:proofErr w:type="gramEnd"/>
      <w:r w:rsidRPr="00127CA0">
        <w:t xml:space="preserve"> like you.’ But I said, ‘Oh, but my English is not really Australian</w:t>
      </w:r>
      <w:r>
        <w:t>’.</w:t>
      </w:r>
      <w:r w:rsidRPr="00127CA0">
        <w:t xml:space="preserve"> And she said, ‘Oh, don’t worry, don’t worry!’ </w:t>
      </w:r>
    </w:p>
    <w:p w:rsidR="001956F7" w:rsidRPr="00506EC7" w:rsidRDefault="001956F7" w:rsidP="00462076">
      <w:pPr>
        <w:pStyle w:val="Text"/>
        <w:ind w:right="141"/>
        <w:rPr>
          <w:i/>
          <w:color w:val="000000" w:themeColor="text1"/>
        </w:rPr>
      </w:pPr>
      <w:r w:rsidRPr="007E6D95">
        <w:rPr>
          <w:rFonts w:eastAsia="Arial Unicode MS"/>
        </w:rPr>
        <w:lastRenderedPageBreak/>
        <w:t xml:space="preserve">In relation to the value of undertaking </w:t>
      </w:r>
      <w:r>
        <w:rPr>
          <w:rFonts w:eastAsia="Arial Unicode MS"/>
        </w:rPr>
        <w:t>English as a second language courses</w:t>
      </w:r>
      <w:r w:rsidRPr="007E6D95">
        <w:rPr>
          <w:rFonts w:eastAsia="Arial Unicode MS"/>
        </w:rPr>
        <w:t xml:space="preserve"> </w:t>
      </w:r>
      <w:r w:rsidRPr="007E6D95">
        <w:t xml:space="preserve">and their capacity to help migrants ‘belong’, </w:t>
      </w:r>
      <w:r>
        <w:t>Jarrah Language Centre</w:t>
      </w:r>
      <w:r w:rsidRPr="007E6D95">
        <w:t xml:space="preserve"> stakeholders shared </w:t>
      </w:r>
      <w:r w:rsidR="009E437D">
        <w:t>the Australian g</w:t>
      </w:r>
      <w:r w:rsidRPr="007E6D95">
        <w:t>overnment</w:t>
      </w:r>
      <w:r>
        <w:t>s</w:t>
      </w:r>
      <w:r w:rsidR="009E437D">
        <w:t>’</w:t>
      </w:r>
      <w:r w:rsidRPr="007E6D95">
        <w:t xml:space="preserve"> positive views of </w:t>
      </w:r>
      <w:r w:rsidR="00462076">
        <w:t xml:space="preserve">these </w:t>
      </w:r>
      <w:r>
        <w:t>English language</w:t>
      </w:r>
      <w:r w:rsidRPr="007E6D95">
        <w:t xml:space="preserve"> program</w:t>
      </w:r>
      <w:r>
        <w:t>s</w:t>
      </w:r>
      <w:r w:rsidRPr="007E6D95">
        <w:t xml:space="preserve"> and </w:t>
      </w:r>
      <w:r>
        <w:t>their</w:t>
      </w:r>
      <w:r w:rsidRPr="007E6D95">
        <w:t xml:space="preserve"> capacity to facilitate integrati</w:t>
      </w:r>
      <w:r>
        <w:t xml:space="preserve">on. </w:t>
      </w:r>
      <w:r w:rsidRPr="007E6D95">
        <w:t>As one migrant st</w:t>
      </w:r>
      <w:r w:rsidRPr="00127CA0">
        <w:t>ated, ‘If we study together we not only learn English, but also it make us become the part of Australia.’</w:t>
      </w:r>
    </w:p>
    <w:p w:rsidR="001956F7" w:rsidRDefault="001956F7" w:rsidP="001956F7">
      <w:pPr>
        <w:pStyle w:val="Heading1"/>
        <w:spacing w:before="600"/>
      </w:pPr>
    </w:p>
    <w:p w:rsidR="001956F7" w:rsidRPr="00620746" w:rsidRDefault="001956F7" w:rsidP="001956F7">
      <w:pPr>
        <w:pStyle w:val="Heading1"/>
      </w:pPr>
      <w:r>
        <w:br w:type="page"/>
      </w:r>
      <w:bookmarkStart w:id="78" w:name="_Toc305074176"/>
      <w:bookmarkStart w:id="79" w:name="_Toc309645499"/>
      <w:r>
        <w:lastRenderedPageBreak/>
        <w:t>Conclusions and implications</w:t>
      </w:r>
      <w:bookmarkEnd w:id="78"/>
      <w:bookmarkEnd w:id="79"/>
    </w:p>
    <w:p w:rsidR="001956F7" w:rsidRPr="000A6D0D" w:rsidRDefault="001956F7" w:rsidP="001956F7">
      <w:pPr>
        <w:pStyle w:val="Text"/>
        <w:rPr>
          <w:rFonts w:ascii="Verdana" w:hAnsi="Verdana"/>
          <w:b/>
          <w:szCs w:val="22"/>
        </w:rPr>
      </w:pPr>
      <w:r>
        <w:t xml:space="preserve">Jarrah Language Centre’s migrant students, teachers and managers </w:t>
      </w:r>
      <w:r w:rsidRPr="00F56A6E">
        <w:t xml:space="preserve">viewed </w:t>
      </w:r>
      <w:r>
        <w:t>English as a second language</w:t>
      </w:r>
      <w:r w:rsidRPr="00F56A6E">
        <w:t xml:space="preserve"> programs as valuable i</w:t>
      </w:r>
      <w:r>
        <w:t>n facilitating migrants’ psycho</w:t>
      </w:r>
      <w:r w:rsidRPr="00F56A6E">
        <w:t>social and economic</w:t>
      </w:r>
      <w:r w:rsidRPr="00E4249B">
        <w:t xml:space="preserve"> integration. Migrants </w:t>
      </w:r>
      <w:r>
        <w:t>indicated</w:t>
      </w:r>
      <w:r w:rsidRPr="00E4249B">
        <w:t xml:space="preserve"> </w:t>
      </w:r>
      <w:r>
        <w:t xml:space="preserve">their </w:t>
      </w:r>
      <w:r w:rsidRPr="00E4249B">
        <w:t>high levels of satisfaction</w:t>
      </w:r>
      <w:r>
        <w:t xml:space="preserve"> with their English language course</w:t>
      </w:r>
      <w:r w:rsidRPr="00E4249B">
        <w:t>s, particularly in terms of the psyc</w:t>
      </w:r>
      <w:r>
        <w:t>hosocial benefits the programs</w:t>
      </w:r>
      <w:r w:rsidRPr="00E4249B">
        <w:t xml:space="preserve"> afforded them. Their perceptions accord with the </w:t>
      </w:r>
      <w:r w:rsidRPr="000A6D0D">
        <w:rPr>
          <w:szCs w:val="22"/>
        </w:rPr>
        <w:t>views</w:t>
      </w:r>
      <w:r w:rsidRPr="00E4249B">
        <w:t xml:space="preserve"> of </w:t>
      </w:r>
      <w:r>
        <w:t>language centre</w:t>
      </w:r>
      <w:r w:rsidRPr="00E4249B">
        <w:t xml:space="preserve"> personnel as well as </w:t>
      </w:r>
      <w:r>
        <w:t xml:space="preserve">with </w:t>
      </w:r>
      <w:r w:rsidRPr="00E4249B">
        <w:t xml:space="preserve">government policy rhetoric and evaluations </w:t>
      </w:r>
      <w:r>
        <w:t xml:space="preserve">(Department of Immigration and Citizenship 2008b) </w:t>
      </w:r>
      <w:r w:rsidR="00462076">
        <w:t>in relation to</w:t>
      </w:r>
      <w:r w:rsidRPr="00E4249B">
        <w:t xml:space="preserve"> the </w:t>
      </w:r>
      <w:r w:rsidRPr="00F56A6E">
        <w:t>benefits</w:t>
      </w:r>
      <w:r w:rsidRPr="00E4249B">
        <w:t xml:space="preserve"> of </w:t>
      </w:r>
      <w:r>
        <w:t>English as a second language</w:t>
      </w:r>
      <w:r w:rsidRPr="00E4249B">
        <w:t xml:space="preserve"> provision. The classroom was seen by </w:t>
      </w:r>
      <w:r>
        <w:t xml:space="preserve">the stakeholders (students, teachers and managers) </w:t>
      </w:r>
      <w:r w:rsidRPr="00E4249B">
        <w:t xml:space="preserve">as providing an accessible, English-rich environment that was not available to most migrants in their ‘normal’ lives. </w:t>
      </w:r>
    </w:p>
    <w:p w:rsidR="001956F7" w:rsidRPr="00E4249B" w:rsidRDefault="001956F7" w:rsidP="001956F7">
      <w:pPr>
        <w:pStyle w:val="Text"/>
      </w:pPr>
      <w:r w:rsidRPr="00F56A6E">
        <w:t>Four out of</w:t>
      </w:r>
      <w:r>
        <w:t xml:space="preserve"> every</w:t>
      </w:r>
      <w:r w:rsidRPr="00F56A6E">
        <w:t xml:space="preserve"> five</w:t>
      </w:r>
      <w:r>
        <w:rPr>
          <w:color w:val="FF6600"/>
        </w:rPr>
        <w:t xml:space="preserve"> </w:t>
      </w:r>
      <w:r w:rsidRPr="00E4249B">
        <w:t xml:space="preserve">migrants stated </w:t>
      </w:r>
      <w:r>
        <w:t xml:space="preserve">that </w:t>
      </w:r>
      <w:r w:rsidRPr="00E4249B">
        <w:t>improving their</w:t>
      </w:r>
      <w:r>
        <w:t xml:space="preserve"> spoken English was one of the</w:t>
      </w:r>
      <w:r w:rsidRPr="00E4249B">
        <w:t xml:space="preserve"> reasons for undertaking the</w:t>
      </w:r>
      <w:r w:rsidR="00462076">
        <w:t xml:space="preserve"> 2007</w:t>
      </w:r>
      <w:r w:rsidRPr="00E4249B">
        <w:t xml:space="preserve"> </w:t>
      </w:r>
      <w:r>
        <w:t>course,</w:t>
      </w:r>
      <w:r w:rsidRPr="00E4249B">
        <w:t xml:space="preserve"> with their teachers overwhelmingly expressing their beli</w:t>
      </w:r>
      <w:r>
        <w:t>ef that this was an aim of the c</w:t>
      </w:r>
      <w:r w:rsidRPr="00E4249B">
        <w:t xml:space="preserve">entre’s learners. However, even though migrants valued the speaking opportunities </w:t>
      </w:r>
      <w:r>
        <w:t>the language centre</w:t>
      </w:r>
      <w:r w:rsidRPr="00E4249B">
        <w:t xml:space="preserve"> classes afforded them, a</w:t>
      </w:r>
      <w:r w:rsidRPr="00F56A6E">
        <w:t xml:space="preserve"> notable </w:t>
      </w:r>
      <w:r w:rsidRPr="00E4249B">
        <w:t xml:space="preserve">number of migrants stated that they wanted even more chances to learn about </w:t>
      </w:r>
      <w:r>
        <w:t xml:space="preserve">informal, </w:t>
      </w:r>
      <w:r w:rsidRPr="00E4249B">
        <w:t xml:space="preserve">real-world English and, in particular, to speak </w:t>
      </w:r>
      <w:r>
        <w:t>informal</w:t>
      </w:r>
      <w:r w:rsidRPr="00E4249B">
        <w:t xml:space="preserve"> English. </w:t>
      </w:r>
      <w:r>
        <w:rPr>
          <w:color w:val="000000"/>
        </w:rPr>
        <w:t>It seems that on</w:t>
      </w:r>
      <w:r w:rsidRPr="00E4249B">
        <w:rPr>
          <w:color w:val="000000"/>
        </w:rPr>
        <w:t xml:space="preserve">going </w:t>
      </w:r>
      <w:r w:rsidRPr="00E4249B">
        <w:t xml:space="preserve">discussion is needed between students and teachers throughout their </w:t>
      </w:r>
      <w:r>
        <w:t xml:space="preserve">courses in terms of </w:t>
      </w:r>
      <w:r w:rsidR="00462076">
        <w:t>the</w:t>
      </w:r>
      <w:r>
        <w:t xml:space="preserve"> types</w:t>
      </w:r>
      <w:r w:rsidRPr="00E4249B">
        <w:t xml:space="preserve"> of speaking tasks </w:t>
      </w:r>
      <w:proofErr w:type="gramStart"/>
      <w:r w:rsidRPr="00E4249B">
        <w:t>migrants</w:t>
      </w:r>
      <w:proofErr w:type="gramEnd"/>
      <w:r w:rsidRPr="00E4249B">
        <w:t xml:space="preserve"> value, and how teachers can best meet learners’ desire for more speaking activities in the </w:t>
      </w:r>
      <w:r>
        <w:t>classroom, especially in relation to</w:t>
      </w:r>
      <w:r w:rsidRPr="00E4249B">
        <w:t xml:space="preserve"> assisting migrants’</w:t>
      </w:r>
      <w:r w:rsidRPr="00E4249B">
        <w:rPr>
          <w:b/>
          <w:color w:val="800080"/>
        </w:rPr>
        <w:t xml:space="preserve"> </w:t>
      </w:r>
      <w:r w:rsidRPr="00F56A6E">
        <w:t>integration.</w:t>
      </w:r>
    </w:p>
    <w:p w:rsidR="001956F7" w:rsidRDefault="001956F7" w:rsidP="001956F7">
      <w:pPr>
        <w:pStyle w:val="Text"/>
      </w:pPr>
      <w:r w:rsidRPr="00E4249B">
        <w:t xml:space="preserve">In terms of </w:t>
      </w:r>
      <w:r w:rsidRPr="00F56A6E">
        <w:t>economic integration</w:t>
      </w:r>
      <w:r>
        <w:t>, stakeholders agreed</w:t>
      </w:r>
      <w:r w:rsidRPr="00E4249B">
        <w:t xml:space="preserve"> that </w:t>
      </w:r>
      <w:r>
        <w:t>English as a second language</w:t>
      </w:r>
      <w:r w:rsidRPr="00E4249B">
        <w:t xml:space="preserve"> courses were valuable in helping migrants to move into mainstream study and </w:t>
      </w:r>
      <w:r w:rsidRPr="001668E6">
        <w:t xml:space="preserve">employment. In contrast to </w:t>
      </w:r>
      <w:proofErr w:type="spellStart"/>
      <w:r w:rsidRPr="001668E6">
        <w:t>Miralles’</w:t>
      </w:r>
      <w:r>
        <w:t>s</w:t>
      </w:r>
      <w:proofErr w:type="spellEnd"/>
      <w:r w:rsidRPr="001668E6">
        <w:t xml:space="preserve"> research findings (2004),</w:t>
      </w:r>
      <w:r w:rsidRPr="00657B94">
        <w:t xml:space="preserve"> </w:t>
      </w:r>
      <w:r>
        <w:t>Jarrah Language Centre</w:t>
      </w:r>
      <w:r w:rsidRPr="00657B94">
        <w:t xml:space="preserve"> students appreciated </w:t>
      </w:r>
      <w:r w:rsidRPr="00432DDC">
        <w:t>stand-alone</w:t>
      </w:r>
      <w:r w:rsidRPr="00657B94">
        <w:t xml:space="preserve"> </w:t>
      </w:r>
      <w:r>
        <w:t>English language</w:t>
      </w:r>
      <w:r w:rsidRPr="00657B94">
        <w:t xml:space="preserve"> instruction, and valued the general and specific ways in which it </w:t>
      </w:r>
      <w:r>
        <w:t xml:space="preserve">developed </w:t>
      </w:r>
      <w:r w:rsidRPr="00657B94">
        <w:t>their English skills</w:t>
      </w:r>
      <w:r>
        <w:t xml:space="preserve"> in preparation for </w:t>
      </w:r>
      <w:r w:rsidRPr="000A6D0D">
        <w:t xml:space="preserve">subsequent </w:t>
      </w:r>
      <w:r w:rsidRPr="00657B94">
        <w:t xml:space="preserve">further study and work. </w:t>
      </w:r>
      <w:r w:rsidRPr="00E4249B">
        <w:t xml:space="preserve">The aspirations of other </w:t>
      </w:r>
      <w:r>
        <w:t>English language</w:t>
      </w:r>
      <w:r w:rsidRPr="00E4249B">
        <w:t xml:space="preserve"> learners, including </w:t>
      </w:r>
      <w:r>
        <w:t>full-fee-paying international</w:t>
      </w:r>
      <w:r w:rsidRPr="00E4249B">
        <w:t xml:space="preserve"> students, were perceived to have ex</w:t>
      </w:r>
      <w:r>
        <w:t>erted</w:t>
      </w:r>
      <w:r w:rsidRPr="00E4249B">
        <w:t xml:space="preserve"> a positive influen</w:t>
      </w:r>
      <w:r>
        <w:t>ce on migrants in the classroom</w:t>
      </w:r>
      <w:r w:rsidRPr="00E4249B">
        <w:t xml:space="preserve"> and in relation to some migrants’ post-course further study goals. </w:t>
      </w:r>
    </w:p>
    <w:p w:rsidR="001956F7" w:rsidRPr="00506EC7" w:rsidRDefault="001956F7" w:rsidP="001956F7">
      <w:pPr>
        <w:pStyle w:val="Text"/>
        <w:rPr>
          <w:b/>
          <w:color w:val="000000" w:themeColor="text1"/>
        </w:rPr>
      </w:pPr>
      <w:r w:rsidRPr="00E4249B">
        <w:t xml:space="preserve">The location of </w:t>
      </w:r>
      <w:r>
        <w:t>the language centre</w:t>
      </w:r>
      <w:r w:rsidRPr="00E4249B">
        <w:t xml:space="preserve"> within a large TAFE</w:t>
      </w:r>
      <w:r>
        <w:t xml:space="preserve"> institute</w:t>
      </w:r>
      <w:r w:rsidRPr="00E4249B">
        <w:t xml:space="preserve"> seemed to have had some impact on the uptake of mainstream study by migrants</w:t>
      </w:r>
      <w:r>
        <w:t xml:space="preserve">, and </w:t>
      </w:r>
      <w:r w:rsidRPr="001D4882">
        <w:t xml:space="preserve">undertaking </w:t>
      </w:r>
      <w:r>
        <w:t>English language</w:t>
      </w:r>
      <w:r w:rsidRPr="001D4882">
        <w:t xml:space="preserve"> </w:t>
      </w:r>
      <w:r>
        <w:t xml:space="preserve">studies </w:t>
      </w:r>
      <w:r w:rsidRPr="001D4882">
        <w:t xml:space="preserve">at the centre </w:t>
      </w:r>
      <w:r>
        <w:t>was perceived as helping</w:t>
      </w:r>
      <w:r w:rsidRPr="001D4882">
        <w:t xml:space="preserve"> some migrants to articulate into mainstream</w:t>
      </w:r>
      <w:r>
        <w:t xml:space="preserve"> institute</w:t>
      </w:r>
      <w:r w:rsidRPr="001D4882">
        <w:t xml:space="preserve"> courses. </w:t>
      </w:r>
      <w:r>
        <w:t>Some migrants stated that</w:t>
      </w:r>
      <w:r w:rsidRPr="00E4249B">
        <w:t xml:space="preserve"> studying at </w:t>
      </w:r>
      <w:r>
        <w:t>the Jarrah Language Centre had enabled them to develop</w:t>
      </w:r>
      <w:r w:rsidRPr="00E4249B">
        <w:t xml:space="preserve"> an association with Jarrah Institute</w:t>
      </w:r>
      <w:r>
        <w:t>,</w:t>
      </w:r>
      <w:r w:rsidRPr="00E4249B">
        <w:t xml:space="preserve"> which meant that </w:t>
      </w:r>
      <w:r>
        <w:t xml:space="preserve">they felt </w:t>
      </w:r>
      <w:r w:rsidRPr="00E4249B">
        <w:t xml:space="preserve">comfortable in pursuing mainstream studies at </w:t>
      </w:r>
      <w:r>
        <w:t>the institute</w:t>
      </w:r>
      <w:r w:rsidRPr="00E4249B">
        <w:t xml:space="preserve">. Moreover, </w:t>
      </w:r>
      <w:r>
        <w:t>centre</w:t>
      </w:r>
      <w:r w:rsidRPr="00E4249B">
        <w:t xml:space="preserve"> stakeholders suggested that </w:t>
      </w:r>
      <w:r>
        <w:t>the institute</w:t>
      </w:r>
      <w:r w:rsidRPr="00E4249B">
        <w:t xml:space="preserve"> had clearly articulated pathways</w:t>
      </w:r>
      <w:r w:rsidR="00462076">
        <w:t>,</w:t>
      </w:r>
      <w:r w:rsidRPr="00E4249B">
        <w:t xml:space="preserve"> which it would seem assisted a number of migrants to make </w:t>
      </w:r>
      <w:r w:rsidRPr="00604627">
        <w:t>the seamless</w:t>
      </w:r>
      <w:r w:rsidRPr="00F56A6E">
        <w:t xml:space="preserve"> </w:t>
      </w:r>
      <w:r w:rsidRPr="00E4249B">
        <w:t xml:space="preserve">transition from </w:t>
      </w:r>
      <w:r>
        <w:t>English as a second language</w:t>
      </w:r>
      <w:r w:rsidRPr="00E4249B">
        <w:t xml:space="preserve"> learning to mainstream study. This was not only beneficial to migrants, but also </w:t>
      </w:r>
      <w:r>
        <w:t>to the institute</w:t>
      </w:r>
      <w:r w:rsidRPr="00E4249B">
        <w:t xml:space="preserve"> and, arguably, the government in terms of national and international </w:t>
      </w:r>
      <w:r w:rsidRPr="00F56A6E">
        <w:t>educational participation</w:t>
      </w:r>
      <w:r w:rsidRPr="00E4249B">
        <w:rPr>
          <w:b/>
          <w:color w:val="800080"/>
        </w:rPr>
        <w:t xml:space="preserve"> </w:t>
      </w:r>
      <w:r w:rsidR="009E437D">
        <w:t>targets</w:t>
      </w:r>
      <w:r w:rsidRPr="00506EC7">
        <w:rPr>
          <w:color w:val="000000" w:themeColor="text1"/>
        </w:rPr>
        <w:t>.</w:t>
      </w:r>
      <w:r w:rsidRPr="00506EC7">
        <w:rPr>
          <w:b/>
          <w:color w:val="000000" w:themeColor="text1"/>
        </w:rPr>
        <w:t xml:space="preserve">  </w:t>
      </w:r>
    </w:p>
    <w:p w:rsidR="001956F7" w:rsidRPr="00506EC7" w:rsidRDefault="001956F7" w:rsidP="001956F7">
      <w:pPr>
        <w:pStyle w:val="Text"/>
        <w:rPr>
          <w:b/>
          <w:color w:val="000000" w:themeColor="text1"/>
        </w:rPr>
      </w:pPr>
      <w:r>
        <w:t>M</w:t>
      </w:r>
      <w:r w:rsidRPr="00E4249B">
        <w:t xml:space="preserve">ost </w:t>
      </w:r>
      <w:r>
        <w:t>migrants expressed seemingly</w:t>
      </w:r>
      <w:r w:rsidRPr="00E4249B">
        <w:t xml:space="preserve"> </w:t>
      </w:r>
      <w:r w:rsidRPr="00850022">
        <w:t>achievable</w:t>
      </w:r>
      <w:r w:rsidRPr="00E4249B">
        <w:t xml:space="preserve"> </w:t>
      </w:r>
      <w:r w:rsidRPr="00657B94">
        <w:t xml:space="preserve">expectations </w:t>
      </w:r>
      <w:r>
        <w:t>about the</w:t>
      </w:r>
      <w:r w:rsidRPr="00850022">
        <w:rPr>
          <w:color w:val="FF0000"/>
        </w:rPr>
        <w:t xml:space="preserve"> </w:t>
      </w:r>
      <w:r w:rsidRPr="00E4249B">
        <w:t>future work they wanted to secure in Australia.</w:t>
      </w:r>
      <w:r w:rsidRPr="00E4249B">
        <w:rPr>
          <w:color w:val="FF0000"/>
        </w:rPr>
        <w:t xml:space="preserve"> </w:t>
      </w:r>
      <w:r w:rsidRPr="00E4249B">
        <w:t xml:space="preserve">Some of the core group </w:t>
      </w:r>
      <w:r>
        <w:t>considered that</w:t>
      </w:r>
      <w:r w:rsidRPr="00E4249B">
        <w:t xml:space="preserve"> working in low-skilled areas, such as retail or hospitality, </w:t>
      </w:r>
      <w:r w:rsidR="00462076">
        <w:t>w</w:t>
      </w:r>
      <w:r w:rsidRPr="00E4249B">
        <w:t>as a</w:t>
      </w:r>
      <w:r w:rsidRPr="00837BAE">
        <w:t xml:space="preserve"> </w:t>
      </w:r>
      <w:r>
        <w:t xml:space="preserve">logical </w:t>
      </w:r>
      <w:r w:rsidRPr="00E4249B">
        <w:t>way for them</w:t>
      </w:r>
      <w:r>
        <w:t xml:space="preserve"> to achieve economic and psycho</w:t>
      </w:r>
      <w:r w:rsidRPr="00E4249B">
        <w:t xml:space="preserve">social </w:t>
      </w:r>
      <w:r w:rsidRPr="00850022">
        <w:t>integration.</w:t>
      </w:r>
      <w:r w:rsidRPr="00E4249B">
        <w:t xml:space="preserve"> </w:t>
      </w:r>
      <w:r w:rsidRPr="00850022">
        <w:t xml:space="preserve">For some migrants, securing entry-level jobs was perceived as an interim step. For others, such employment </w:t>
      </w:r>
      <w:r>
        <w:t>—</w:t>
      </w:r>
      <w:r w:rsidRPr="00850022">
        <w:t xml:space="preserve"> although significantly different from the professional work they had done</w:t>
      </w:r>
      <w:r>
        <w:t xml:space="preserve"> in their first countries —</w:t>
      </w:r>
      <w:r w:rsidRPr="00850022">
        <w:t xml:space="preserve"> </w:t>
      </w:r>
      <w:r>
        <w:t>was a longer-term proposition</w:t>
      </w:r>
      <w:r w:rsidRPr="00850022">
        <w:t xml:space="preserve"> and did not seem to be problematic in terms of their identity and self-concept, but, rather, a reality of immigration.</w:t>
      </w:r>
      <w:r w:rsidRPr="00E4249B">
        <w:rPr>
          <w:b/>
          <w:color w:val="800080"/>
        </w:rPr>
        <w:t xml:space="preserve"> </w:t>
      </w:r>
      <w:r w:rsidRPr="00E4249B">
        <w:t xml:space="preserve">It may be that </w:t>
      </w:r>
      <w:r>
        <w:t>centre</w:t>
      </w:r>
      <w:r w:rsidRPr="00E4249B">
        <w:t xml:space="preserve"> teachers played some role in influencing migrants’ </w:t>
      </w:r>
      <w:r w:rsidRPr="00077BD5">
        <w:t>future employment</w:t>
      </w:r>
      <w:r>
        <w:rPr>
          <w:color w:val="FF0000"/>
        </w:rPr>
        <w:t xml:space="preserve"> </w:t>
      </w:r>
      <w:r w:rsidRPr="00077BD5">
        <w:t>goals;</w:t>
      </w:r>
      <w:r w:rsidRPr="00E4249B">
        <w:t xml:space="preserve"> however, this is not c</w:t>
      </w:r>
      <w:r>
        <w:t xml:space="preserve">lear from this study. </w:t>
      </w:r>
      <w:r w:rsidRPr="000A6D0D">
        <w:t xml:space="preserve">Further </w:t>
      </w:r>
      <w:r w:rsidRPr="000A6D0D">
        <w:lastRenderedPageBreak/>
        <w:t xml:space="preserve">research could be undertaken (building on </w:t>
      </w:r>
      <w:proofErr w:type="spellStart"/>
      <w:r w:rsidRPr="000A6D0D">
        <w:t>Hanrahan’s</w:t>
      </w:r>
      <w:proofErr w:type="spellEnd"/>
      <w:r w:rsidRPr="000A6D0D">
        <w:t xml:space="preserve"> </w:t>
      </w:r>
      <w:r>
        <w:t xml:space="preserve">2009 </w:t>
      </w:r>
      <w:r w:rsidRPr="000A6D0D">
        <w:t>work)</w:t>
      </w:r>
      <w:r w:rsidRPr="000A6D0D">
        <w:rPr>
          <w:b/>
          <w:sz w:val="16"/>
          <w:szCs w:val="16"/>
        </w:rPr>
        <w:t xml:space="preserve"> </w:t>
      </w:r>
      <w:r w:rsidRPr="000A6D0D">
        <w:t>to examine whether, and to what e</w:t>
      </w:r>
      <w:r w:rsidR="00462076">
        <w:t>xten</w:t>
      </w:r>
      <w:r w:rsidRPr="000A6D0D">
        <w:t xml:space="preserve">t, </w:t>
      </w:r>
      <w:r>
        <w:t xml:space="preserve">English as a second </w:t>
      </w:r>
      <w:r w:rsidRPr="00506EC7">
        <w:rPr>
          <w:color w:val="000000" w:themeColor="text1"/>
        </w:rPr>
        <w:t>language teachers actively influence migrants’ further study and employment aspirations and pathways.</w:t>
      </w:r>
    </w:p>
    <w:p w:rsidR="001956F7" w:rsidRPr="00506EC7" w:rsidRDefault="001956F7" w:rsidP="001956F7">
      <w:pPr>
        <w:pStyle w:val="Text"/>
        <w:rPr>
          <w:color w:val="000000" w:themeColor="text1"/>
        </w:rPr>
      </w:pPr>
      <w:r w:rsidRPr="00506EC7">
        <w:rPr>
          <w:rFonts w:cs="Arial"/>
          <w:color w:val="000000" w:themeColor="text1"/>
        </w:rPr>
        <w:t xml:space="preserve">Although voluntary work was raised by only a small number of migrants, it may be that the language centre is well positioned to </w:t>
      </w:r>
      <w:r w:rsidRPr="00506EC7">
        <w:rPr>
          <w:color w:val="000000" w:themeColor="text1"/>
        </w:rPr>
        <w:t xml:space="preserve">actively promote migrants’ uptake of voluntary work in English speaking contexts. Perhaps, the centre’s teachers — through classroom activities, excursions, or guest speakers — could do more to </w:t>
      </w:r>
      <w:r w:rsidRPr="00506EC7">
        <w:rPr>
          <w:rFonts w:cs="Arial"/>
          <w:color w:val="000000" w:themeColor="text1"/>
        </w:rPr>
        <w:t xml:space="preserve">contextualise Australia’s reported relatively high level of involvement in voluntary work </w:t>
      </w:r>
      <w:r w:rsidRPr="00506EC7">
        <w:rPr>
          <w:color w:val="000000" w:themeColor="text1"/>
        </w:rPr>
        <w:t>(Volunteering Australia 2010), including by those from non-English speaking backgrounds (Volunteering Australia 2007)</w:t>
      </w:r>
      <w:r w:rsidRPr="00506EC7">
        <w:rPr>
          <w:rFonts w:cs="Arial"/>
          <w:color w:val="000000" w:themeColor="text1"/>
        </w:rPr>
        <w:t xml:space="preserve">, and </w:t>
      </w:r>
      <w:r w:rsidRPr="00506EC7">
        <w:rPr>
          <w:color w:val="000000" w:themeColor="text1"/>
        </w:rPr>
        <w:t>advocate its integrative benefits to students. Likewise, the suggestion by</w:t>
      </w:r>
      <w:r w:rsidR="009E437D">
        <w:rPr>
          <w:color w:val="000000" w:themeColor="text1"/>
        </w:rPr>
        <w:t xml:space="preserve"> several</w:t>
      </w:r>
      <w:r w:rsidRPr="00506EC7">
        <w:rPr>
          <w:color w:val="000000" w:themeColor="text1"/>
        </w:rPr>
        <w:t xml:space="preserve"> migrants </w:t>
      </w:r>
      <w:r w:rsidR="00462076">
        <w:rPr>
          <w:color w:val="000000" w:themeColor="text1"/>
        </w:rPr>
        <w:t>for</w:t>
      </w:r>
      <w:r w:rsidRPr="00506EC7">
        <w:rPr>
          <w:color w:val="000000" w:themeColor="text1"/>
        </w:rPr>
        <w:t xml:space="preserve"> a voluntary work-placement officer at Jarrah Institute could be worthy of investigation. Although migrants need to show initiative, it may be that tangible support and guidance, at the centre level, could assist migrants who want to undertake English speaking voluntary work. Such work could help </w:t>
      </w:r>
      <w:r w:rsidRPr="00506EC7">
        <w:rPr>
          <w:rFonts w:cs="Arial"/>
          <w:color w:val="000000" w:themeColor="text1"/>
        </w:rPr>
        <w:t xml:space="preserve">improve migrants’ real-life English proficiency, </w:t>
      </w:r>
      <w:r w:rsidRPr="00506EC7">
        <w:rPr>
          <w:color w:val="000000" w:themeColor="text1"/>
        </w:rPr>
        <w:t>increase their sense of social connectedness and ‘personal satisfaction’, and address the need for them to have Australian work experience (Volunteering Australia 2007).</w:t>
      </w:r>
    </w:p>
    <w:p w:rsidR="001956F7" w:rsidRPr="00506EC7" w:rsidRDefault="001956F7" w:rsidP="001956F7">
      <w:pPr>
        <w:pStyle w:val="Text"/>
        <w:rPr>
          <w:color w:val="000000" w:themeColor="text1"/>
        </w:rPr>
      </w:pPr>
      <w:r w:rsidRPr="00506EC7">
        <w:rPr>
          <w:color w:val="000000" w:themeColor="text1"/>
        </w:rPr>
        <w:t>A number of migrants expressed their appreciation of the financial investment Australia had made in them through the funding of their English language programs. Some of them commented that such provision was mutually beneficial to governments apropos</w:t>
      </w:r>
      <w:r w:rsidRPr="00506EC7">
        <w:rPr>
          <w:i/>
          <w:color w:val="000000" w:themeColor="text1"/>
        </w:rPr>
        <w:t xml:space="preserve"> </w:t>
      </w:r>
      <w:r w:rsidRPr="00506EC7">
        <w:rPr>
          <w:color w:val="000000" w:themeColor="text1"/>
        </w:rPr>
        <w:t>getting migrants into work (and, in some cases, off welfare), therefore generating tax revenue for the country. Some language centre staff members also mention</w:t>
      </w:r>
      <w:r w:rsidR="00462076">
        <w:rPr>
          <w:color w:val="000000" w:themeColor="text1"/>
        </w:rPr>
        <w:t>ed</w:t>
      </w:r>
      <w:r w:rsidRPr="00506EC7">
        <w:rPr>
          <w:color w:val="000000" w:themeColor="text1"/>
        </w:rPr>
        <w:t xml:space="preserve"> the considerable financial commitment by government</w:t>
      </w:r>
      <w:r w:rsidR="00462076">
        <w:rPr>
          <w:color w:val="000000" w:themeColor="text1"/>
        </w:rPr>
        <w:t>s</w:t>
      </w:r>
      <w:r w:rsidRPr="00506EC7">
        <w:rPr>
          <w:color w:val="000000" w:themeColor="text1"/>
        </w:rPr>
        <w:t xml:space="preserve"> to assisting integration via</w:t>
      </w:r>
      <w:r w:rsidRPr="00506EC7">
        <w:rPr>
          <w:b/>
          <w:color w:val="000000" w:themeColor="text1"/>
        </w:rPr>
        <w:t xml:space="preserve"> </w:t>
      </w:r>
      <w:r w:rsidRPr="00506EC7">
        <w:rPr>
          <w:color w:val="000000" w:themeColor="text1"/>
        </w:rPr>
        <w:t xml:space="preserve">English as a second language programs. </w:t>
      </w:r>
    </w:p>
    <w:p w:rsidR="001956F7" w:rsidRPr="00506EC7" w:rsidRDefault="001956F7" w:rsidP="001956F7">
      <w:pPr>
        <w:pStyle w:val="Text"/>
        <w:rPr>
          <w:color w:val="000000" w:themeColor="text1"/>
        </w:rPr>
      </w:pPr>
      <w:r w:rsidRPr="00506EC7">
        <w:rPr>
          <w:color w:val="000000" w:themeColor="text1"/>
        </w:rPr>
        <w:t>More broadly, although integration proved at times difficult to define and discuss, all 14 interviewed migrants stated that they felt integrated, or partly integrated, and more so with the passing of time. A lack of competence and confidence in using English was seen by all stakeholders as the biggest barrier to integration. However, migrants suggested that other factors —</w:t>
      </w:r>
      <w:r w:rsidR="00462076">
        <w:rPr>
          <w:color w:val="000000" w:themeColor="text1"/>
        </w:rPr>
        <w:t xml:space="preserve"> </w:t>
      </w:r>
      <w:r w:rsidRPr="00506EC7">
        <w:rPr>
          <w:color w:val="000000" w:themeColor="text1"/>
        </w:rPr>
        <w:t xml:space="preserve">securing paid employment as well as their own social networks — also impacted on their sense of their own level of integration, reflecting the views of the centre’s staff and government. English language programs were seen by language centre stakeholders as beneficial in providing this wider social sphere. </w:t>
      </w:r>
    </w:p>
    <w:p w:rsidR="001956F7" w:rsidRPr="00E4249B" w:rsidRDefault="001956F7" w:rsidP="001956F7">
      <w:pPr>
        <w:pStyle w:val="Text"/>
      </w:pPr>
      <w:r w:rsidRPr="00506EC7">
        <w:rPr>
          <w:color w:val="000000" w:themeColor="text1"/>
        </w:rPr>
        <w:t>The findings from this study suggest that the commitment made by federal and state and territory governments to funding English as a second language provision for adult migrants is money well spent. Increasing the English proficiency of</w:t>
      </w:r>
      <w:r w:rsidRPr="00E4249B">
        <w:t xml:space="preserve"> Australian migrants via formal </w:t>
      </w:r>
      <w:r>
        <w:t>English language</w:t>
      </w:r>
      <w:r w:rsidRPr="00E4249B">
        <w:t xml:space="preserve"> instruction was highly valued by </w:t>
      </w:r>
      <w:r w:rsidRPr="00F67F48">
        <w:t xml:space="preserve">stakeholders at all three </w:t>
      </w:r>
      <w:r>
        <w:t xml:space="preserve">of the </w:t>
      </w:r>
      <w:r w:rsidRPr="00F67F48">
        <w:t>policy stage</w:t>
      </w:r>
      <w:r>
        <w:t xml:space="preserve">s </w:t>
      </w:r>
      <w:r w:rsidRPr="00432DDC">
        <w:t xml:space="preserve">suggested by </w:t>
      </w:r>
      <w:proofErr w:type="spellStart"/>
      <w:r w:rsidRPr="00432DDC">
        <w:t>Guba</w:t>
      </w:r>
      <w:proofErr w:type="spellEnd"/>
      <w:r w:rsidRPr="00432DDC">
        <w:t xml:space="preserve"> (1984),</w:t>
      </w:r>
      <w:r w:rsidRPr="00E4249B">
        <w:t xml:space="preserve"> and was perceived as contributing to the process of migra</w:t>
      </w:r>
      <w:r>
        <w:t>nts’ integration: psycho</w:t>
      </w:r>
      <w:r w:rsidRPr="00F67F48">
        <w:t xml:space="preserve">socially and economically. Sunny summed this up in 2010, </w:t>
      </w:r>
      <w:r w:rsidRPr="00832531">
        <w:t>stating:</w:t>
      </w:r>
    </w:p>
    <w:p w:rsidR="001956F7" w:rsidRDefault="001956F7" w:rsidP="001956F7">
      <w:pPr>
        <w:pStyle w:val="Quote"/>
      </w:pPr>
      <w:r w:rsidRPr="00604627">
        <w:t>The government give me the chance and the opportunity to develop myself. Thank you.</w:t>
      </w:r>
    </w:p>
    <w:p w:rsidR="001956F7" w:rsidRPr="003154C2" w:rsidRDefault="001956F7" w:rsidP="001956F7">
      <w:pPr>
        <w:pStyle w:val="Heading1"/>
        <w:ind w:right="1497"/>
        <w:rPr>
          <w:rFonts w:ascii="Arial" w:hAnsi="Arial" w:cs="Arial"/>
          <w:b/>
          <w:i/>
          <w:color w:val="800080"/>
          <w:sz w:val="18"/>
          <w:szCs w:val="18"/>
        </w:rPr>
      </w:pPr>
      <w:r w:rsidRPr="003154C2">
        <w:rPr>
          <w:rFonts w:ascii="Arial" w:hAnsi="Arial" w:cs="Arial"/>
          <w:b/>
          <w:i/>
          <w:color w:val="800080"/>
          <w:sz w:val="18"/>
          <w:szCs w:val="18"/>
        </w:rPr>
        <w:br w:type="page"/>
      </w:r>
    </w:p>
    <w:p w:rsidR="001956F7" w:rsidRPr="005940BF" w:rsidRDefault="001956F7" w:rsidP="001956F7">
      <w:pPr>
        <w:pStyle w:val="Heading1"/>
      </w:pPr>
      <w:bookmarkStart w:id="80" w:name="_Toc305074177"/>
      <w:bookmarkStart w:id="81" w:name="_Toc309645500"/>
      <w:r>
        <w:lastRenderedPageBreak/>
        <w:t>References</w:t>
      </w:r>
      <w:bookmarkEnd w:id="80"/>
      <w:bookmarkEnd w:id="81"/>
    </w:p>
    <w:p w:rsidR="001956F7" w:rsidRPr="00C5547E" w:rsidRDefault="001956F7" w:rsidP="001956F7">
      <w:pPr>
        <w:pStyle w:val="References"/>
        <w:rPr>
          <w:b/>
          <w:szCs w:val="18"/>
          <w:shd w:val="clear" w:color="auto" w:fill="FFFFFF"/>
        </w:rPr>
      </w:pPr>
      <w:proofErr w:type="gramStart"/>
      <w:r w:rsidRPr="00C5547E">
        <w:rPr>
          <w:szCs w:val="18"/>
          <w:shd w:val="clear" w:color="auto" w:fill="FFFFFF"/>
        </w:rPr>
        <w:t xml:space="preserve">Abbott, T 2006, ‘Abbott backs multiculturalism’, </w:t>
      </w:r>
      <w:proofErr w:type="spellStart"/>
      <w:r w:rsidRPr="00C5547E">
        <w:rPr>
          <w:i/>
          <w:szCs w:val="18"/>
          <w:shd w:val="clear" w:color="auto" w:fill="FFFFFF"/>
        </w:rPr>
        <w:t>Lateline</w:t>
      </w:r>
      <w:proofErr w:type="spellEnd"/>
      <w:r w:rsidRPr="00C5547E">
        <w:rPr>
          <w:szCs w:val="18"/>
          <w:shd w:val="clear" w:color="auto" w:fill="FFFFFF"/>
        </w:rPr>
        <w:t>, television program, ABC, aired 28 February 2006, viewed 30 April 2006,</w:t>
      </w:r>
      <w:r w:rsidRPr="00C5547E">
        <w:rPr>
          <w:b/>
          <w:szCs w:val="18"/>
          <w:shd w:val="clear" w:color="auto" w:fill="FFFFFF"/>
        </w:rPr>
        <w:t xml:space="preserve"> </w:t>
      </w:r>
      <w:r w:rsidRPr="00C5547E">
        <w:rPr>
          <w:b/>
          <w:szCs w:val="18"/>
        </w:rPr>
        <w:t>&lt;</w:t>
      </w:r>
      <w:hyperlink r:id="rId12" w:history="1">
        <w:r w:rsidRPr="00C5547E">
          <w:rPr>
            <w:rStyle w:val="Hyperlink"/>
            <w:sz w:val="18"/>
            <w:szCs w:val="18"/>
            <w:shd w:val="clear" w:color="auto" w:fill="FFFFFF"/>
          </w:rPr>
          <w:t>http://www.abc.net.au/lateline/content/2006/s1580681.htm</w:t>
        </w:r>
      </w:hyperlink>
      <w:r w:rsidRPr="00C5547E">
        <w:rPr>
          <w:szCs w:val="18"/>
        </w:rPr>
        <w:t>&gt;.</w:t>
      </w:r>
      <w:proofErr w:type="gramEnd"/>
    </w:p>
    <w:p w:rsidR="001956F7" w:rsidRPr="00C5547E" w:rsidRDefault="001956F7" w:rsidP="001956F7">
      <w:pPr>
        <w:pStyle w:val="References"/>
        <w:rPr>
          <w:rFonts w:cs="Arial"/>
          <w:szCs w:val="18"/>
        </w:rPr>
      </w:pPr>
      <w:r w:rsidRPr="00C5547E">
        <w:rPr>
          <w:rFonts w:cs="Arial"/>
          <w:szCs w:val="18"/>
        </w:rPr>
        <w:t xml:space="preserve">Ager, A &amp; </w:t>
      </w:r>
      <w:proofErr w:type="spellStart"/>
      <w:r w:rsidRPr="00C5547E">
        <w:rPr>
          <w:rFonts w:cs="Arial"/>
          <w:szCs w:val="18"/>
        </w:rPr>
        <w:t>Strang</w:t>
      </w:r>
      <w:proofErr w:type="spellEnd"/>
      <w:r w:rsidRPr="00C5547E">
        <w:rPr>
          <w:rFonts w:cs="Arial"/>
          <w:szCs w:val="18"/>
        </w:rPr>
        <w:t xml:space="preserve">, A 2008, ‘Understanding integration: a conceptual framework’, </w:t>
      </w:r>
      <w:r w:rsidRPr="00C5547E">
        <w:rPr>
          <w:rFonts w:cs="Arial"/>
          <w:i/>
          <w:szCs w:val="18"/>
        </w:rPr>
        <w:t>Journal of Refugee Studies</w:t>
      </w:r>
      <w:r w:rsidRPr="00C5547E">
        <w:rPr>
          <w:rFonts w:cs="Arial"/>
          <w:szCs w:val="18"/>
        </w:rPr>
        <w:t>, vol.21, pp.166—91.</w:t>
      </w:r>
    </w:p>
    <w:p w:rsidR="001956F7" w:rsidRPr="00C5547E" w:rsidRDefault="001956F7" w:rsidP="001956F7">
      <w:pPr>
        <w:pStyle w:val="References"/>
        <w:rPr>
          <w:szCs w:val="18"/>
        </w:rPr>
      </w:pPr>
      <w:proofErr w:type="spellStart"/>
      <w:r w:rsidRPr="00C5547E">
        <w:rPr>
          <w:szCs w:val="18"/>
        </w:rPr>
        <w:t>Balatti</w:t>
      </w:r>
      <w:proofErr w:type="spellEnd"/>
      <w:r w:rsidRPr="00C5547E">
        <w:rPr>
          <w:szCs w:val="18"/>
        </w:rPr>
        <w:t xml:space="preserve">, J, Black, S &amp; Falk, I 2006, </w:t>
      </w:r>
      <w:r w:rsidRPr="00C5547E">
        <w:rPr>
          <w:i/>
          <w:szCs w:val="18"/>
        </w:rPr>
        <w:t>Reframing adult literacy and numeracy course outcomes: a social capital perspective</w:t>
      </w:r>
      <w:r w:rsidRPr="00C5547E">
        <w:rPr>
          <w:szCs w:val="18"/>
        </w:rPr>
        <w:t>, NCVER, Adelaide.</w:t>
      </w:r>
    </w:p>
    <w:p w:rsidR="001956F7" w:rsidRPr="00C5547E" w:rsidRDefault="001956F7" w:rsidP="001956F7">
      <w:pPr>
        <w:pStyle w:val="References"/>
        <w:rPr>
          <w:i/>
          <w:szCs w:val="18"/>
        </w:rPr>
      </w:pPr>
      <w:proofErr w:type="gramStart"/>
      <w:r w:rsidRPr="00C5547E">
        <w:rPr>
          <w:szCs w:val="18"/>
        </w:rPr>
        <w:t>Burgoyne, U &amp; Hull, O 2007</w:t>
      </w:r>
      <w:r w:rsidR="00462076">
        <w:rPr>
          <w:szCs w:val="18"/>
        </w:rPr>
        <w:t>,</w:t>
      </w:r>
      <w:r w:rsidRPr="00C5547E">
        <w:rPr>
          <w:szCs w:val="18"/>
        </w:rPr>
        <w:t xml:space="preserve"> </w:t>
      </w:r>
      <w:r w:rsidRPr="00C5547E">
        <w:rPr>
          <w:i/>
          <w:szCs w:val="18"/>
        </w:rPr>
        <w:t xml:space="preserve">Classroom management strategies to address the needs of Sudanese refugee learners, </w:t>
      </w:r>
      <w:r w:rsidRPr="00C5547E">
        <w:rPr>
          <w:szCs w:val="18"/>
        </w:rPr>
        <w:t>NCVER, Adelaide.</w:t>
      </w:r>
      <w:proofErr w:type="gramEnd"/>
      <w:r w:rsidRPr="00C5547E">
        <w:rPr>
          <w:szCs w:val="18"/>
        </w:rPr>
        <w:t xml:space="preserve"> </w:t>
      </w:r>
    </w:p>
    <w:p w:rsidR="001956F7" w:rsidRPr="00C5547E" w:rsidRDefault="001956F7" w:rsidP="001956F7">
      <w:pPr>
        <w:pStyle w:val="References"/>
        <w:rPr>
          <w:rFonts w:cs="Arial"/>
          <w:szCs w:val="18"/>
          <w:lang w:val="en-US"/>
        </w:rPr>
      </w:pPr>
      <w:proofErr w:type="gramStart"/>
      <w:r w:rsidRPr="00C5547E">
        <w:rPr>
          <w:rFonts w:cs="Arial"/>
          <w:szCs w:val="18"/>
          <w:lang w:val="en-US"/>
        </w:rPr>
        <w:t xml:space="preserve">Burns, A &amp; de Silva Joyce, H 2007, ‘Adult English as a second language in Australia’, </w:t>
      </w:r>
      <w:r w:rsidRPr="00C5547E">
        <w:rPr>
          <w:rFonts w:cs="Arial"/>
          <w:i/>
          <w:szCs w:val="18"/>
          <w:lang w:val="en-US"/>
        </w:rPr>
        <w:t>Prospect</w:t>
      </w:r>
      <w:r w:rsidRPr="00C5547E">
        <w:rPr>
          <w:rFonts w:cs="Arial"/>
          <w:szCs w:val="18"/>
          <w:lang w:val="en-US"/>
        </w:rPr>
        <w:t>, vol.22, no.3, pp.5—17.</w:t>
      </w:r>
      <w:proofErr w:type="gramEnd"/>
    </w:p>
    <w:p w:rsidR="001956F7" w:rsidRPr="00C5547E" w:rsidRDefault="001956F7" w:rsidP="001956F7">
      <w:pPr>
        <w:pStyle w:val="References"/>
        <w:rPr>
          <w:rFonts w:cs="Arial"/>
          <w:szCs w:val="18"/>
          <w:lang w:val="en-US"/>
        </w:rPr>
      </w:pPr>
      <w:r w:rsidRPr="00C5547E">
        <w:rPr>
          <w:rFonts w:cs="Arial"/>
          <w:szCs w:val="18"/>
        </w:rPr>
        <w:t xml:space="preserve">Carrington, K, McIntosh, A &amp; </w:t>
      </w:r>
      <w:proofErr w:type="spellStart"/>
      <w:r w:rsidRPr="00C5547E">
        <w:rPr>
          <w:rFonts w:cs="Arial"/>
          <w:szCs w:val="18"/>
        </w:rPr>
        <w:t>Walmsley</w:t>
      </w:r>
      <w:proofErr w:type="spellEnd"/>
      <w:r w:rsidRPr="00C5547E">
        <w:rPr>
          <w:rFonts w:cs="Arial"/>
          <w:szCs w:val="18"/>
        </w:rPr>
        <w:t>, J (</w:t>
      </w:r>
      <w:proofErr w:type="spellStart"/>
      <w:r w:rsidRPr="00C5547E">
        <w:rPr>
          <w:rFonts w:cs="Arial"/>
          <w:szCs w:val="18"/>
        </w:rPr>
        <w:t>eds</w:t>
      </w:r>
      <w:proofErr w:type="spellEnd"/>
      <w:r w:rsidRPr="00C5547E">
        <w:rPr>
          <w:rFonts w:cs="Arial"/>
          <w:szCs w:val="18"/>
        </w:rPr>
        <w:t xml:space="preserve">) 2007, </w:t>
      </w:r>
      <w:r w:rsidRPr="00C5547E">
        <w:rPr>
          <w:rFonts w:cs="Arial"/>
          <w:i/>
          <w:szCs w:val="18"/>
        </w:rPr>
        <w:t>The social costs and benefits of migration into Australia</w:t>
      </w:r>
      <w:r w:rsidRPr="00C5547E">
        <w:rPr>
          <w:rFonts w:cs="Arial"/>
          <w:szCs w:val="18"/>
        </w:rPr>
        <w:t xml:space="preserve">, Commonwealth of Australia, viewed 29 March 2011, </w:t>
      </w:r>
      <w:r w:rsidRPr="00C5547E">
        <w:rPr>
          <w:szCs w:val="18"/>
        </w:rPr>
        <w:t>&lt;</w:t>
      </w:r>
      <w:hyperlink r:id="rId13" w:history="1">
        <w:r w:rsidR="00C5547E" w:rsidRPr="009430D8">
          <w:rPr>
            <w:rStyle w:val="Hyperlink"/>
            <w:rFonts w:cs="Arial"/>
            <w:sz w:val="18"/>
            <w:szCs w:val="18"/>
          </w:rPr>
          <w:t>http://www.immi.gov.au/media/ publications/research/social-costs-benefits/</w:t>
        </w:r>
      </w:hyperlink>
      <w:r w:rsidRPr="00C5547E">
        <w:rPr>
          <w:szCs w:val="18"/>
        </w:rPr>
        <w:t>&gt;.</w:t>
      </w:r>
      <w:r w:rsidRPr="00C5547E">
        <w:rPr>
          <w:rFonts w:cs="Arial"/>
          <w:szCs w:val="18"/>
        </w:rPr>
        <w:t xml:space="preserve"> </w:t>
      </w:r>
    </w:p>
    <w:p w:rsidR="001956F7" w:rsidRPr="00C5547E" w:rsidRDefault="001956F7" w:rsidP="001956F7">
      <w:pPr>
        <w:pStyle w:val="References"/>
        <w:rPr>
          <w:szCs w:val="18"/>
        </w:rPr>
      </w:pPr>
      <w:r w:rsidRPr="00C5547E">
        <w:rPr>
          <w:szCs w:val="18"/>
        </w:rPr>
        <w:t>Colic-</w:t>
      </w:r>
      <w:proofErr w:type="spellStart"/>
      <w:r w:rsidRPr="00C5547E">
        <w:rPr>
          <w:szCs w:val="18"/>
        </w:rPr>
        <w:t>Pseiker</w:t>
      </w:r>
      <w:proofErr w:type="spellEnd"/>
      <w:r w:rsidRPr="00C5547E">
        <w:rPr>
          <w:szCs w:val="18"/>
        </w:rPr>
        <w:t>, V &amp; Tilbury, F 2007, ‘Integration into the Australian labour market: the experience of three “visibly different” groups of recently arrived refugees’, viewed 27 March 2011, &lt;</w:t>
      </w:r>
      <w:hyperlink r:id="rId14" w:history="1">
        <w:r w:rsidRPr="00C5547E">
          <w:rPr>
            <w:rStyle w:val="Hyperlink"/>
            <w:rFonts w:cs="Arial"/>
            <w:sz w:val="18"/>
            <w:szCs w:val="18"/>
          </w:rPr>
          <w:t>http://mams.rmit.edu.au/mkikaa6uyb421.pdf</w:t>
        </w:r>
      </w:hyperlink>
      <w:r w:rsidRPr="00C5547E">
        <w:rPr>
          <w:szCs w:val="18"/>
        </w:rPr>
        <w:t xml:space="preserve">&gt;. </w:t>
      </w:r>
    </w:p>
    <w:p w:rsidR="001956F7" w:rsidRPr="00C5547E" w:rsidRDefault="001956F7" w:rsidP="001956F7">
      <w:pPr>
        <w:pStyle w:val="References"/>
        <w:rPr>
          <w:szCs w:val="18"/>
        </w:rPr>
      </w:pPr>
      <w:r w:rsidRPr="00C5547E">
        <w:rPr>
          <w:szCs w:val="18"/>
        </w:rPr>
        <w:t xml:space="preserve">Commonwealth of Australia 2008, </w:t>
      </w:r>
      <w:r w:rsidRPr="00C5547E">
        <w:rPr>
          <w:i/>
          <w:szCs w:val="18"/>
        </w:rPr>
        <w:t>Social inclusion overview</w:t>
      </w:r>
      <w:r w:rsidRPr="00C5547E">
        <w:rPr>
          <w:szCs w:val="18"/>
        </w:rPr>
        <w:t>, viewed 21 May 2011, &lt;http://www.socialinclusion.gov.au/pages/overview.aspx&gt;.</w:t>
      </w:r>
    </w:p>
    <w:p w:rsidR="001956F7" w:rsidRPr="00C5547E" w:rsidRDefault="001956F7" w:rsidP="001956F7">
      <w:pPr>
        <w:pStyle w:val="References"/>
        <w:rPr>
          <w:rFonts w:cs="Arial"/>
          <w:szCs w:val="18"/>
        </w:rPr>
      </w:pPr>
      <w:r w:rsidRPr="00C5547E">
        <w:rPr>
          <w:szCs w:val="18"/>
        </w:rPr>
        <w:t xml:space="preserve">Cross, R 2009, ‘A </w:t>
      </w:r>
      <w:proofErr w:type="spellStart"/>
      <w:r w:rsidRPr="00C5547E">
        <w:rPr>
          <w:szCs w:val="18"/>
        </w:rPr>
        <w:t>sociocultural</w:t>
      </w:r>
      <w:proofErr w:type="spellEnd"/>
      <w:r w:rsidRPr="00C5547E">
        <w:rPr>
          <w:szCs w:val="18"/>
        </w:rPr>
        <w:t xml:space="preserve"> framework for language policy and planning’, </w:t>
      </w:r>
      <w:hyperlink r:id="rId15" w:history="1">
        <w:r w:rsidRPr="00C5547E">
          <w:rPr>
            <w:rStyle w:val="Hyperlink"/>
            <w:i/>
            <w:sz w:val="18"/>
            <w:szCs w:val="18"/>
          </w:rPr>
          <w:t>Language Problems and Language Planning</w:t>
        </w:r>
      </w:hyperlink>
      <w:r w:rsidRPr="00C5547E">
        <w:rPr>
          <w:szCs w:val="18"/>
        </w:rPr>
        <w:t>, vol.33, no.1, pp.22</w:t>
      </w:r>
      <w:r w:rsidR="00C5547E">
        <w:rPr>
          <w:szCs w:val="18"/>
        </w:rPr>
        <w:t>—</w:t>
      </w:r>
      <w:r w:rsidRPr="00C5547E">
        <w:rPr>
          <w:szCs w:val="18"/>
        </w:rPr>
        <w:t>42.</w:t>
      </w:r>
    </w:p>
    <w:p w:rsidR="001956F7" w:rsidRPr="00C5547E" w:rsidRDefault="001956F7" w:rsidP="001956F7">
      <w:pPr>
        <w:pStyle w:val="References"/>
        <w:rPr>
          <w:rFonts w:ascii="Arial" w:hAnsi="Arial" w:cs="Arial"/>
          <w:szCs w:val="18"/>
        </w:rPr>
      </w:pPr>
      <w:r w:rsidRPr="00C5547E">
        <w:rPr>
          <w:rFonts w:cs="Arial"/>
          <w:szCs w:val="18"/>
        </w:rPr>
        <w:t xml:space="preserve">Department of Immigration and Citizenship </w:t>
      </w:r>
      <w:proofErr w:type="spellStart"/>
      <w:r w:rsidRPr="00C5547E">
        <w:rPr>
          <w:rFonts w:cs="Arial"/>
          <w:szCs w:val="18"/>
        </w:rPr>
        <w:t>nd</w:t>
      </w:r>
      <w:proofErr w:type="spellEnd"/>
      <w:r w:rsidRPr="00C5547E">
        <w:rPr>
          <w:rFonts w:cs="Arial"/>
          <w:szCs w:val="18"/>
        </w:rPr>
        <w:t xml:space="preserve">, </w:t>
      </w:r>
      <w:r w:rsidRPr="00C5547E">
        <w:rPr>
          <w:rFonts w:cs="Arial"/>
          <w:i/>
          <w:szCs w:val="18"/>
        </w:rPr>
        <w:t>The Longitudinal Survey of Immigrants to Australia</w:t>
      </w:r>
      <w:r w:rsidRPr="00C5547E">
        <w:rPr>
          <w:rFonts w:cs="Arial"/>
          <w:szCs w:val="18"/>
        </w:rPr>
        <w:t xml:space="preserve">, viewed 26 January 2011, </w:t>
      </w:r>
      <w:r w:rsidRPr="00C5547E">
        <w:rPr>
          <w:szCs w:val="18"/>
        </w:rPr>
        <w:t>&lt;</w:t>
      </w:r>
      <w:hyperlink r:id="rId16" w:history="1">
        <w:r w:rsidRPr="00C5547E">
          <w:rPr>
            <w:rStyle w:val="Hyperlink"/>
            <w:rFonts w:cs="Arial"/>
            <w:sz w:val="18"/>
            <w:szCs w:val="18"/>
          </w:rPr>
          <w:t>http://www.immi.gov.au/media/research/lsia/</w:t>
        </w:r>
      </w:hyperlink>
      <w:r w:rsidRPr="00C5547E">
        <w:rPr>
          <w:szCs w:val="18"/>
        </w:rPr>
        <w:t>&gt;.</w:t>
      </w:r>
    </w:p>
    <w:p w:rsidR="001956F7" w:rsidRPr="00C5547E" w:rsidRDefault="001956F7" w:rsidP="001956F7">
      <w:pPr>
        <w:pStyle w:val="References"/>
        <w:rPr>
          <w:rFonts w:ascii="Arial" w:hAnsi="Arial" w:cs="Arial"/>
          <w:bCs/>
          <w:szCs w:val="18"/>
        </w:rPr>
      </w:pPr>
      <w:r w:rsidRPr="00C5547E">
        <w:rPr>
          <w:szCs w:val="18"/>
        </w:rPr>
        <w:t>——</w:t>
      </w:r>
      <w:r w:rsidRPr="00C5547E">
        <w:rPr>
          <w:rFonts w:cs="Arial"/>
          <w:bCs/>
          <w:szCs w:val="18"/>
        </w:rPr>
        <w:t>2008a,</w:t>
      </w:r>
      <w:r w:rsidRPr="00C5547E">
        <w:rPr>
          <w:rFonts w:ascii="Arial" w:hAnsi="Arial" w:cs="Arial"/>
          <w:bCs/>
          <w:szCs w:val="18"/>
        </w:rPr>
        <w:t xml:space="preserve"> </w:t>
      </w:r>
      <w:r w:rsidRPr="00C5547E">
        <w:rPr>
          <w:rFonts w:cs="Arial"/>
          <w:bCs/>
          <w:i/>
          <w:szCs w:val="18"/>
        </w:rPr>
        <w:t>Review of the Adult Migrant English Program: discussion paper</w:t>
      </w:r>
      <w:r w:rsidRPr="00C5547E">
        <w:rPr>
          <w:rFonts w:ascii="Arial" w:hAnsi="Arial" w:cs="Arial"/>
          <w:bCs/>
          <w:i/>
          <w:szCs w:val="18"/>
        </w:rPr>
        <w:t>,</w:t>
      </w:r>
      <w:r w:rsidRPr="00C5547E">
        <w:rPr>
          <w:rFonts w:ascii="Arial" w:hAnsi="Arial" w:cs="Arial"/>
          <w:bCs/>
          <w:szCs w:val="18"/>
        </w:rPr>
        <w:t xml:space="preserve"> </w:t>
      </w:r>
      <w:r w:rsidRPr="00C5547E">
        <w:rPr>
          <w:rFonts w:cs="Arial"/>
          <w:bCs/>
          <w:szCs w:val="18"/>
        </w:rPr>
        <w:t xml:space="preserve">viewed 6 February 2010, </w:t>
      </w:r>
      <w:r w:rsidRPr="00C5547E">
        <w:rPr>
          <w:szCs w:val="18"/>
        </w:rPr>
        <w:t>&lt;</w:t>
      </w:r>
      <w:hyperlink r:id="rId17" w:history="1">
        <w:r w:rsidRPr="00C5547E">
          <w:rPr>
            <w:rStyle w:val="Hyperlink"/>
            <w:rFonts w:cs="Arial"/>
            <w:bCs/>
            <w:sz w:val="18"/>
            <w:szCs w:val="18"/>
          </w:rPr>
          <w:t>http://www.immi.gov.au/living-in-australia/delivering-assistance/amep-review-paper.htm</w:t>
        </w:r>
      </w:hyperlink>
      <w:r w:rsidRPr="00C5547E">
        <w:rPr>
          <w:szCs w:val="18"/>
        </w:rPr>
        <w:t>&gt;.</w:t>
      </w:r>
      <w:r w:rsidRPr="00C5547E">
        <w:rPr>
          <w:rFonts w:ascii="Arial" w:hAnsi="Arial" w:cs="Arial"/>
          <w:bCs/>
          <w:szCs w:val="18"/>
        </w:rPr>
        <w:t xml:space="preserve"> </w:t>
      </w:r>
    </w:p>
    <w:p w:rsidR="001956F7" w:rsidRPr="00C5547E" w:rsidRDefault="001956F7" w:rsidP="001956F7">
      <w:pPr>
        <w:pStyle w:val="References"/>
        <w:rPr>
          <w:i/>
          <w:szCs w:val="18"/>
        </w:rPr>
      </w:pPr>
      <w:r w:rsidRPr="00C5547E">
        <w:rPr>
          <w:i/>
          <w:szCs w:val="18"/>
        </w:rPr>
        <w:t>——2008b,</w:t>
      </w:r>
      <w:r w:rsidRPr="00C5547E">
        <w:rPr>
          <w:szCs w:val="18"/>
        </w:rPr>
        <w:t xml:space="preserve"> National client satisfaction survey: Adult Migrant English Program 2007 report</w:t>
      </w:r>
      <w:r w:rsidRPr="00C5547E">
        <w:rPr>
          <w:i/>
          <w:szCs w:val="18"/>
        </w:rPr>
        <w:t>, viewed 28 March 2008, &lt;</w:t>
      </w:r>
      <w:hyperlink r:id="rId18" w:history="1">
        <w:r w:rsidR="00C5547E" w:rsidRPr="009430D8">
          <w:rPr>
            <w:rStyle w:val="Hyperlink"/>
            <w:sz w:val="18"/>
            <w:szCs w:val="18"/>
          </w:rPr>
          <w:t>http://www.immi.gov.au/living-in-australia/help-with-english/learn-english/client/pubs/AMEP_ client_survey_report_2007.pdf</w:t>
        </w:r>
      </w:hyperlink>
      <w:r w:rsidRPr="00C5547E">
        <w:rPr>
          <w:i/>
          <w:szCs w:val="18"/>
        </w:rPr>
        <w:t xml:space="preserve">&gt;. </w:t>
      </w:r>
    </w:p>
    <w:p w:rsidR="001956F7" w:rsidRPr="00C5547E" w:rsidRDefault="001956F7" w:rsidP="001956F7">
      <w:pPr>
        <w:pStyle w:val="References"/>
        <w:rPr>
          <w:rFonts w:cs="Arial"/>
          <w:szCs w:val="18"/>
        </w:rPr>
      </w:pPr>
      <w:r w:rsidRPr="00C5547E">
        <w:rPr>
          <w:szCs w:val="18"/>
        </w:rPr>
        <w:t xml:space="preserve">——2009, </w:t>
      </w:r>
      <w:r w:rsidRPr="00C5547E">
        <w:rPr>
          <w:i/>
          <w:szCs w:val="18"/>
        </w:rPr>
        <w:t>Fact sheet: the Continuous Survey of Australia’s Migrants</w:t>
      </w:r>
      <w:r w:rsidRPr="00C5547E">
        <w:rPr>
          <w:szCs w:val="18"/>
        </w:rPr>
        <w:t>, viewed 21 November 2010, &lt;</w:t>
      </w:r>
      <w:hyperlink r:id="rId19" w:history="1">
        <w:r w:rsidRPr="00C5547E">
          <w:rPr>
            <w:rStyle w:val="Hyperlink"/>
            <w:rFonts w:cs="Arial"/>
            <w:sz w:val="18"/>
            <w:szCs w:val="18"/>
          </w:rPr>
          <w:t>http://www.immi.gov.au/media/publications/research/_pdf/csam-info.pdf</w:t>
        </w:r>
      </w:hyperlink>
      <w:r w:rsidRPr="00C5547E">
        <w:rPr>
          <w:szCs w:val="18"/>
        </w:rPr>
        <w:t xml:space="preserve">&gt;. </w:t>
      </w:r>
    </w:p>
    <w:p w:rsidR="001956F7" w:rsidRPr="00C5547E" w:rsidRDefault="001956F7" w:rsidP="001956F7">
      <w:pPr>
        <w:pStyle w:val="References"/>
        <w:rPr>
          <w:rFonts w:cs="Arial"/>
          <w:i/>
          <w:szCs w:val="18"/>
        </w:rPr>
      </w:pPr>
      <w:r w:rsidRPr="00C5547E">
        <w:rPr>
          <w:szCs w:val="18"/>
        </w:rPr>
        <w:t>——</w:t>
      </w:r>
      <w:r w:rsidRPr="00C5547E">
        <w:rPr>
          <w:rFonts w:cs="Arial"/>
          <w:szCs w:val="18"/>
        </w:rPr>
        <w:t xml:space="preserve">2010, </w:t>
      </w:r>
      <w:proofErr w:type="gramStart"/>
      <w:r w:rsidRPr="00C5547E">
        <w:rPr>
          <w:rFonts w:cs="Arial"/>
          <w:i/>
          <w:szCs w:val="18"/>
        </w:rPr>
        <w:t>How</w:t>
      </w:r>
      <w:proofErr w:type="gramEnd"/>
      <w:r w:rsidRPr="00C5547E">
        <w:rPr>
          <w:rFonts w:cs="Arial"/>
          <w:i/>
          <w:szCs w:val="18"/>
        </w:rPr>
        <w:t xml:space="preserve"> new migrants fare: analysis of the Continuous Survey of Australia’s Migrants</w:t>
      </w:r>
      <w:r w:rsidRPr="00C5547E">
        <w:rPr>
          <w:rFonts w:cs="Arial"/>
          <w:szCs w:val="18"/>
        </w:rPr>
        <w:t>, viewed</w:t>
      </w:r>
      <w:r w:rsidRPr="00C5547E">
        <w:rPr>
          <w:rFonts w:cs="Arial"/>
          <w:i/>
          <w:szCs w:val="18"/>
        </w:rPr>
        <w:t xml:space="preserve"> </w:t>
      </w:r>
      <w:r w:rsidRPr="00C5547E">
        <w:rPr>
          <w:rFonts w:cs="Arial"/>
          <w:szCs w:val="18"/>
        </w:rPr>
        <w:t>12</w:t>
      </w:r>
      <w:r w:rsidR="00C5547E">
        <w:rPr>
          <w:rFonts w:cs="Arial"/>
          <w:szCs w:val="18"/>
        </w:rPr>
        <w:t> </w:t>
      </w:r>
      <w:r w:rsidRPr="00C5547E">
        <w:rPr>
          <w:rFonts w:cs="Arial"/>
          <w:szCs w:val="18"/>
        </w:rPr>
        <w:t xml:space="preserve">March 2011, </w:t>
      </w:r>
      <w:r w:rsidRPr="00C5547E">
        <w:rPr>
          <w:szCs w:val="18"/>
        </w:rPr>
        <w:t>&lt;</w:t>
      </w:r>
      <w:hyperlink r:id="rId20" w:history="1">
        <w:r w:rsidRPr="00C5547E">
          <w:rPr>
            <w:rStyle w:val="Hyperlink"/>
            <w:rFonts w:cs="Arial"/>
            <w:sz w:val="18"/>
            <w:szCs w:val="18"/>
          </w:rPr>
          <w:t>http://www.immi.gov.au/media/publications/research/_pdf/csam-results-2010.pdf</w:t>
        </w:r>
      </w:hyperlink>
      <w:r w:rsidRPr="00C5547E">
        <w:rPr>
          <w:szCs w:val="18"/>
        </w:rPr>
        <w:t>&gt;.</w:t>
      </w:r>
    </w:p>
    <w:p w:rsidR="001956F7" w:rsidRPr="00C5547E" w:rsidRDefault="001956F7" w:rsidP="001956F7">
      <w:pPr>
        <w:pStyle w:val="References"/>
        <w:rPr>
          <w:szCs w:val="18"/>
        </w:rPr>
      </w:pPr>
      <w:r w:rsidRPr="00C5547E">
        <w:rPr>
          <w:szCs w:val="18"/>
        </w:rPr>
        <w:t>——</w:t>
      </w:r>
      <w:r w:rsidRPr="00C5547E">
        <w:rPr>
          <w:rFonts w:cs="Arial"/>
          <w:szCs w:val="18"/>
        </w:rPr>
        <w:t xml:space="preserve">2011, </w:t>
      </w:r>
      <w:r w:rsidRPr="00C5547E">
        <w:rPr>
          <w:rFonts w:cs="Arial"/>
          <w:i/>
          <w:szCs w:val="18"/>
        </w:rPr>
        <w:t xml:space="preserve">Living in Australia: </w:t>
      </w:r>
      <w:r w:rsidR="00C5547E">
        <w:rPr>
          <w:rFonts w:cs="Arial"/>
          <w:i/>
          <w:szCs w:val="18"/>
        </w:rPr>
        <w:t>s</w:t>
      </w:r>
      <w:r w:rsidRPr="00C5547E">
        <w:rPr>
          <w:rFonts w:cs="Arial"/>
          <w:i/>
          <w:szCs w:val="18"/>
        </w:rPr>
        <w:t xml:space="preserve">ettling in Australia: what is </w:t>
      </w:r>
      <w:proofErr w:type="gramStart"/>
      <w:r w:rsidRPr="00C5547E">
        <w:rPr>
          <w:rFonts w:cs="Arial"/>
          <w:i/>
          <w:szCs w:val="18"/>
        </w:rPr>
        <w:t>‘settlement’?</w:t>
      </w:r>
      <w:r w:rsidRPr="00C5547E">
        <w:rPr>
          <w:rFonts w:cs="Arial"/>
          <w:szCs w:val="18"/>
        </w:rPr>
        <w:t>,</w:t>
      </w:r>
      <w:proofErr w:type="gramEnd"/>
      <w:r w:rsidRPr="00C5547E">
        <w:rPr>
          <w:rFonts w:cs="Arial"/>
          <w:szCs w:val="18"/>
        </w:rPr>
        <w:t xml:space="preserve"> viewed 12 March 2011, </w:t>
      </w:r>
      <w:r w:rsidRPr="00C5547E">
        <w:rPr>
          <w:szCs w:val="18"/>
        </w:rPr>
        <w:t>&lt;</w:t>
      </w:r>
      <w:hyperlink r:id="rId21" w:history="1">
        <w:r w:rsidRPr="00C5547E">
          <w:rPr>
            <w:rStyle w:val="Hyperlink"/>
            <w:rFonts w:cs="Arial"/>
            <w:sz w:val="18"/>
            <w:szCs w:val="18"/>
          </w:rPr>
          <w:t>http://www.immi.gov.au/living-in-australia/settle-in-australia/settling/</w:t>
        </w:r>
      </w:hyperlink>
      <w:r w:rsidRPr="00C5547E">
        <w:rPr>
          <w:szCs w:val="18"/>
        </w:rPr>
        <w:t>&gt;.</w:t>
      </w:r>
      <w:r w:rsidRPr="00C5547E">
        <w:rPr>
          <w:rFonts w:ascii="Arial" w:hAnsi="Arial" w:cs="Arial"/>
          <w:szCs w:val="18"/>
        </w:rPr>
        <w:t xml:space="preserve">  </w:t>
      </w:r>
    </w:p>
    <w:p w:rsidR="001956F7" w:rsidRPr="00C5547E" w:rsidRDefault="001956F7" w:rsidP="001956F7">
      <w:pPr>
        <w:pStyle w:val="References"/>
        <w:rPr>
          <w:rFonts w:cs="Arial"/>
          <w:szCs w:val="18"/>
        </w:rPr>
      </w:pPr>
      <w:proofErr w:type="spellStart"/>
      <w:proofErr w:type="gramStart"/>
      <w:r w:rsidRPr="00C5547E">
        <w:rPr>
          <w:rFonts w:cs="Arial"/>
          <w:szCs w:val="18"/>
        </w:rPr>
        <w:t>Entzinger</w:t>
      </w:r>
      <w:proofErr w:type="spellEnd"/>
      <w:r w:rsidRPr="00C5547E">
        <w:rPr>
          <w:rFonts w:cs="Arial"/>
          <w:szCs w:val="18"/>
        </w:rPr>
        <w:t xml:space="preserve">, H &amp; </w:t>
      </w:r>
      <w:proofErr w:type="spellStart"/>
      <w:r w:rsidRPr="00C5547E">
        <w:rPr>
          <w:rFonts w:cs="Arial"/>
          <w:szCs w:val="18"/>
        </w:rPr>
        <w:t>Biezeveld</w:t>
      </w:r>
      <w:proofErr w:type="spellEnd"/>
      <w:r w:rsidRPr="00C5547E">
        <w:rPr>
          <w:rFonts w:cs="Arial"/>
          <w:szCs w:val="18"/>
        </w:rPr>
        <w:t xml:space="preserve">, R 2003, </w:t>
      </w:r>
      <w:r w:rsidRPr="00C5547E">
        <w:rPr>
          <w:rFonts w:cs="Arial"/>
          <w:i/>
          <w:szCs w:val="18"/>
        </w:rPr>
        <w:t>Benchmarking in immigrant integration</w:t>
      </w:r>
      <w:r w:rsidRPr="00C5547E">
        <w:rPr>
          <w:rFonts w:cs="Arial"/>
          <w:szCs w:val="18"/>
        </w:rPr>
        <w:t xml:space="preserve">, viewed 27 March 2011, </w:t>
      </w:r>
      <w:r w:rsidRPr="00C5547E">
        <w:rPr>
          <w:szCs w:val="18"/>
        </w:rPr>
        <w:t>&lt;</w:t>
      </w:r>
      <w:hyperlink r:id="rId22" w:history="1">
        <w:r w:rsidRPr="00C5547E">
          <w:rPr>
            <w:rStyle w:val="Hyperlink"/>
            <w:sz w:val="18"/>
            <w:szCs w:val="18"/>
          </w:rPr>
          <w:t>http://ec.europa.eu/justice/funding/2004_2007/doc/study_indicators_integration.pdf</w:t>
        </w:r>
      </w:hyperlink>
      <w:r w:rsidRPr="00C5547E">
        <w:rPr>
          <w:szCs w:val="18"/>
        </w:rPr>
        <w:t xml:space="preserve"> &gt;.</w:t>
      </w:r>
      <w:proofErr w:type="gramEnd"/>
      <w:r w:rsidRPr="00C5547E">
        <w:rPr>
          <w:rFonts w:cs="Arial"/>
          <w:szCs w:val="18"/>
        </w:rPr>
        <w:t xml:space="preserve"> </w:t>
      </w:r>
    </w:p>
    <w:p w:rsidR="001956F7" w:rsidRPr="00C5547E" w:rsidRDefault="001956F7" w:rsidP="001956F7">
      <w:pPr>
        <w:pStyle w:val="References"/>
        <w:rPr>
          <w:rFonts w:cs="Arial"/>
          <w:szCs w:val="18"/>
        </w:rPr>
      </w:pPr>
      <w:proofErr w:type="spellStart"/>
      <w:r w:rsidRPr="00C5547E">
        <w:rPr>
          <w:rFonts w:cs="Arial"/>
          <w:szCs w:val="18"/>
        </w:rPr>
        <w:t>Faine</w:t>
      </w:r>
      <w:proofErr w:type="spellEnd"/>
      <w:r w:rsidRPr="00C5547E">
        <w:rPr>
          <w:rFonts w:cs="Arial"/>
          <w:szCs w:val="18"/>
        </w:rPr>
        <w:t>, M 2009, ‘</w:t>
      </w:r>
      <w:proofErr w:type="gramStart"/>
      <w:r w:rsidRPr="00C5547E">
        <w:rPr>
          <w:rFonts w:cs="Arial"/>
          <w:szCs w:val="18"/>
        </w:rPr>
        <w:t>At</w:t>
      </w:r>
      <w:proofErr w:type="gramEnd"/>
      <w:r w:rsidRPr="00C5547E">
        <w:rPr>
          <w:rFonts w:cs="Arial"/>
          <w:szCs w:val="18"/>
        </w:rPr>
        <w:t xml:space="preserve"> home in Australia: identity, nation and the teaching of English as a second language to </w:t>
      </w:r>
      <w:r w:rsidRPr="00C5547E">
        <w:rPr>
          <w:rFonts w:cs="Arial"/>
          <w:szCs w:val="18"/>
          <w:shd w:val="clear" w:color="auto" w:fill="FFFFFF"/>
        </w:rPr>
        <w:t>adult</w:t>
      </w:r>
      <w:r w:rsidRPr="00C5547E">
        <w:rPr>
          <w:rFonts w:cs="Arial"/>
          <w:szCs w:val="18"/>
        </w:rPr>
        <w:t xml:space="preserve"> immigrants in Australia’,</w:t>
      </w:r>
      <w:r w:rsidRPr="00C5547E">
        <w:rPr>
          <w:rFonts w:cs="Arial"/>
          <w:i/>
          <w:szCs w:val="18"/>
        </w:rPr>
        <w:t xml:space="preserve"> </w:t>
      </w:r>
      <w:r w:rsidRPr="00C5547E">
        <w:rPr>
          <w:rFonts w:cs="Arial"/>
          <w:szCs w:val="18"/>
        </w:rPr>
        <w:t xml:space="preserve">unpublished PhD thesis, Monash University, viewed 1 May 2011, </w:t>
      </w:r>
      <w:r w:rsidRPr="00C5547E">
        <w:rPr>
          <w:szCs w:val="18"/>
        </w:rPr>
        <w:t>&lt;</w:t>
      </w:r>
      <w:hyperlink r:id="rId23" w:history="1">
        <w:r w:rsidRPr="00C5547E">
          <w:rPr>
            <w:rStyle w:val="Hyperlink"/>
            <w:rFonts w:cs="Arial"/>
            <w:sz w:val="18"/>
            <w:szCs w:val="18"/>
          </w:rPr>
          <w:t>http://arrow.monash.edu.au/vital/access/manager/Repository/monash:8327</w:t>
        </w:r>
      </w:hyperlink>
      <w:r w:rsidRPr="00C5547E">
        <w:rPr>
          <w:szCs w:val="18"/>
        </w:rPr>
        <w:t>&gt;.</w:t>
      </w:r>
      <w:r w:rsidRPr="00C5547E">
        <w:rPr>
          <w:rFonts w:cs="Arial"/>
          <w:szCs w:val="18"/>
        </w:rPr>
        <w:t xml:space="preserve"> </w:t>
      </w:r>
    </w:p>
    <w:p w:rsidR="001956F7" w:rsidRPr="00C5547E" w:rsidRDefault="001956F7" w:rsidP="001956F7">
      <w:pPr>
        <w:pStyle w:val="References"/>
        <w:rPr>
          <w:rFonts w:cs="Arial"/>
          <w:bCs/>
          <w:i/>
          <w:szCs w:val="18"/>
        </w:rPr>
      </w:pPr>
      <w:proofErr w:type="spellStart"/>
      <w:proofErr w:type="gramStart"/>
      <w:r w:rsidRPr="00C5547E">
        <w:rPr>
          <w:rFonts w:cs="Arial"/>
          <w:bCs/>
          <w:szCs w:val="18"/>
        </w:rPr>
        <w:t>Guba</w:t>
      </w:r>
      <w:proofErr w:type="spellEnd"/>
      <w:r w:rsidRPr="00C5547E">
        <w:rPr>
          <w:rFonts w:cs="Arial"/>
          <w:bCs/>
          <w:szCs w:val="18"/>
        </w:rPr>
        <w:t xml:space="preserve">, E 1984, ‘The effect of definitions of “policy” on the nature and outcomes of policy analysis’, </w:t>
      </w:r>
      <w:r w:rsidRPr="00C5547E">
        <w:rPr>
          <w:i/>
          <w:szCs w:val="18"/>
        </w:rPr>
        <w:t>Educational Leadership</w:t>
      </w:r>
      <w:r w:rsidRPr="00C5547E">
        <w:rPr>
          <w:szCs w:val="18"/>
        </w:rPr>
        <w:t>, vol.42, no.2, pp.63—70.</w:t>
      </w:r>
      <w:proofErr w:type="gramEnd"/>
      <w:r w:rsidRPr="00C5547E">
        <w:rPr>
          <w:szCs w:val="18"/>
        </w:rPr>
        <w:t xml:space="preserve"> </w:t>
      </w:r>
    </w:p>
    <w:p w:rsidR="001956F7" w:rsidRPr="00C5547E" w:rsidRDefault="001956F7" w:rsidP="001956F7">
      <w:pPr>
        <w:pStyle w:val="References"/>
        <w:rPr>
          <w:szCs w:val="18"/>
        </w:rPr>
      </w:pPr>
      <w:proofErr w:type="spellStart"/>
      <w:r w:rsidRPr="00C5547E">
        <w:rPr>
          <w:rFonts w:cs="Arial"/>
          <w:szCs w:val="18"/>
        </w:rPr>
        <w:t>Gurría</w:t>
      </w:r>
      <w:proofErr w:type="spellEnd"/>
      <w:r w:rsidRPr="00C5547E">
        <w:rPr>
          <w:rFonts w:cs="Arial"/>
          <w:szCs w:val="18"/>
        </w:rPr>
        <w:t xml:space="preserve">, A 2008, </w:t>
      </w:r>
      <w:proofErr w:type="gramStart"/>
      <w:r w:rsidRPr="00C5547E">
        <w:rPr>
          <w:rFonts w:cs="Arial"/>
          <w:i/>
          <w:szCs w:val="18"/>
        </w:rPr>
        <w:t>A</w:t>
      </w:r>
      <w:proofErr w:type="gramEnd"/>
      <w:r w:rsidRPr="00C5547E">
        <w:rPr>
          <w:rFonts w:cs="Arial"/>
          <w:i/>
          <w:szCs w:val="18"/>
        </w:rPr>
        <w:t xml:space="preserve"> profile of immigrant populations in the 21st century</w:t>
      </w:r>
      <w:r w:rsidRPr="00C5547E">
        <w:rPr>
          <w:rFonts w:cs="Arial"/>
          <w:szCs w:val="18"/>
        </w:rPr>
        <w:t>, OECD, Paris, viewed 24 February 2009,</w:t>
      </w:r>
      <w:r w:rsidRPr="00C5547E">
        <w:rPr>
          <w:szCs w:val="18"/>
        </w:rPr>
        <w:t xml:space="preserve"> &lt;</w:t>
      </w:r>
      <w:hyperlink r:id="rId24" w:history="1">
        <w:r w:rsidRPr="00C5547E">
          <w:rPr>
            <w:rStyle w:val="Hyperlink"/>
            <w:rFonts w:cs="Arial"/>
            <w:sz w:val="18"/>
            <w:szCs w:val="18"/>
          </w:rPr>
          <w:t>http://www.oecd.org/document/14/0,3746,en_2649_201185_40125838_1_1_1_1,00.html</w:t>
        </w:r>
      </w:hyperlink>
      <w:r w:rsidRPr="00C5547E">
        <w:rPr>
          <w:szCs w:val="18"/>
        </w:rPr>
        <w:t xml:space="preserve">&gt;. </w:t>
      </w:r>
    </w:p>
    <w:p w:rsidR="001956F7" w:rsidRPr="00C5547E" w:rsidRDefault="001956F7" w:rsidP="001956F7">
      <w:pPr>
        <w:pStyle w:val="References"/>
        <w:rPr>
          <w:rFonts w:cs="Arial"/>
          <w:b/>
          <w:szCs w:val="18"/>
        </w:rPr>
      </w:pPr>
      <w:proofErr w:type="spellStart"/>
      <w:r w:rsidRPr="00C5547E">
        <w:rPr>
          <w:rFonts w:cs="Arial"/>
          <w:szCs w:val="18"/>
        </w:rPr>
        <w:t>Hanrahan</w:t>
      </w:r>
      <w:proofErr w:type="spellEnd"/>
      <w:r w:rsidRPr="00C5547E">
        <w:rPr>
          <w:rFonts w:cs="Arial"/>
          <w:szCs w:val="18"/>
        </w:rPr>
        <w:t xml:space="preserve">, M 2009, ‘Never too early: assisting English as a second language students on the pathway to their careers’, </w:t>
      </w:r>
      <w:r w:rsidRPr="00C5547E">
        <w:rPr>
          <w:rFonts w:cs="Arial"/>
          <w:i/>
          <w:szCs w:val="18"/>
        </w:rPr>
        <w:t>Fine Print</w:t>
      </w:r>
      <w:r w:rsidRPr="00C5547E">
        <w:rPr>
          <w:rFonts w:cs="Arial"/>
          <w:szCs w:val="18"/>
        </w:rPr>
        <w:t>, Victorian Adult Literacy and basic Education Council, vol.32, no.3, pp.15—18.</w:t>
      </w:r>
    </w:p>
    <w:p w:rsidR="001956F7" w:rsidRPr="00C5547E" w:rsidRDefault="001956F7" w:rsidP="00C5547E">
      <w:pPr>
        <w:pStyle w:val="References"/>
        <w:ind w:right="-284"/>
        <w:rPr>
          <w:szCs w:val="18"/>
        </w:rPr>
      </w:pPr>
      <w:proofErr w:type="spellStart"/>
      <w:r w:rsidRPr="00C5547E">
        <w:rPr>
          <w:szCs w:val="18"/>
        </w:rPr>
        <w:t>Inglis</w:t>
      </w:r>
      <w:proofErr w:type="spellEnd"/>
      <w:r w:rsidRPr="00C5547E">
        <w:rPr>
          <w:szCs w:val="18"/>
        </w:rPr>
        <w:t xml:space="preserve">, C 2007, </w:t>
      </w:r>
      <w:proofErr w:type="spellStart"/>
      <w:r w:rsidRPr="00C5547E">
        <w:rPr>
          <w:i/>
          <w:szCs w:val="18"/>
        </w:rPr>
        <w:t>Transnationalism</w:t>
      </w:r>
      <w:proofErr w:type="spellEnd"/>
      <w:r w:rsidRPr="00C5547E">
        <w:rPr>
          <w:i/>
          <w:szCs w:val="18"/>
        </w:rPr>
        <w:t xml:space="preserve"> in an uncertain environment: relationship between migration, policy and theory</w:t>
      </w:r>
      <w:r w:rsidRPr="00C5547E">
        <w:rPr>
          <w:szCs w:val="18"/>
        </w:rPr>
        <w:t>, viewed 2 January 2010, &lt;</w:t>
      </w:r>
      <w:hyperlink r:id="rId25" w:anchor="158491" w:history="1">
        <w:r w:rsidR="00C5547E" w:rsidRPr="009430D8">
          <w:rPr>
            <w:rStyle w:val="Hyperlink"/>
            <w:rFonts w:cs="Arial"/>
            <w:bCs/>
            <w:sz w:val="18"/>
            <w:szCs w:val="18"/>
          </w:rPr>
          <w:t>http://unesdoc.unesco.org/images/0015/001584/158473e.pdf#158491</w:t>
        </w:r>
      </w:hyperlink>
      <w:r w:rsidRPr="00C5547E">
        <w:rPr>
          <w:szCs w:val="18"/>
        </w:rPr>
        <w:t>&gt;.</w:t>
      </w:r>
    </w:p>
    <w:p w:rsidR="001956F7" w:rsidRPr="00C5547E" w:rsidRDefault="001956F7" w:rsidP="001956F7">
      <w:pPr>
        <w:pStyle w:val="References"/>
        <w:rPr>
          <w:rFonts w:cs="Arial"/>
          <w:b/>
          <w:szCs w:val="18"/>
        </w:rPr>
      </w:pPr>
      <w:proofErr w:type="spellStart"/>
      <w:r w:rsidRPr="00C5547E">
        <w:rPr>
          <w:rFonts w:cs="Arial"/>
          <w:szCs w:val="18"/>
        </w:rPr>
        <w:t>Jakubowicz</w:t>
      </w:r>
      <w:proofErr w:type="spellEnd"/>
      <w:r w:rsidRPr="00C5547E">
        <w:rPr>
          <w:rFonts w:cs="Arial"/>
          <w:szCs w:val="18"/>
        </w:rPr>
        <w:t>, A 2009,</w:t>
      </w:r>
      <w:r w:rsidRPr="00C5547E">
        <w:rPr>
          <w:szCs w:val="18"/>
        </w:rPr>
        <w:t xml:space="preserve"> ‘New groups and social cohesion in Australia’</w:t>
      </w:r>
      <w:r w:rsidR="00462076">
        <w:rPr>
          <w:szCs w:val="18"/>
        </w:rPr>
        <w:t>,</w:t>
      </w:r>
      <w:r w:rsidRPr="00C5547E">
        <w:rPr>
          <w:szCs w:val="18"/>
        </w:rPr>
        <w:t xml:space="preserve"> in </w:t>
      </w:r>
      <w:r w:rsidRPr="00C5547E">
        <w:rPr>
          <w:i/>
          <w:szCs w:val="18"/>
        </w:rPr>
        <w:t>Nations of immigrants</w:t>
      </w:r>
      <w:r w:rsidRPr="00C5547E">
        <w:rPr>
          <w:szCs w:val="18"/>
        </w:rPr>
        <w:t>, Chapter 8, viewed 27 March 2011, &lt;</w:t>
      </w:r>
      <w:hyperlink r:id="rId26" w:history="1">
        <w:r w:rsidRPr="00C5547E">
          <w:rPr>
            <w:rStyle w:val="Hyperlink"/>
            <w:sz w:val="18"/>
            <w:szCs w:val="18"/>
          </w:rPr>
          <w:t>http://andrewjakubowicz.com/publications/new-groups-and-social-cohesion-in-australia-ch8-nations-of-immigrants-2009/</w:t>
        </w:r>
      </w:hyperlink>
      <w:r w:rsidRPr="00C5547E">
        <w:rPr>
          <w:szCs w:val="18"/>
        </w:rPr>
        <w:t xml:space="preserve">&gt;. </w:t>
      </w:r>
    </w:p>
    <w:p w:rsidR="001956F7" w:rsidRPr="00C5547E" w:rsidRDefault="001956F7" w:rsidP="001956F7">
      <w:pPr>
        <w:pStyle w:val="References"/>
        <w:rPr>
          <w:szCs w:val="18"/>
        </w:rPr>
      </w:pPr>
      <w:r w:rsidRPr="00C5547E">
        <w:rPr>
          <w:rFonts w:cs="Arial"/>
          <w:szCs w:val="18"/>
        </w:rPr>
        <w:t>——</w:t>
      </w:r>
      <w:r w:rsidRPr="00C5547E">
        <w:rPr>
          <w:szCs w:val="18"/>
        </w:rPr>
        <w:t xml:space="preserve"> </w:t>
      </w:r>
      <w:proofErr w:type="spellStart"/>
      <w:r w:rsidRPr="00C5547E">
        <w:rPr>
          <w:szCs w:val="18"/>
        </w:rPr>
        <w:t>nd</w:t>
      </w:r>
      <w:proofErr w:type="spellEnd"/>
      <w:r w:rsidRPr="00C5547E">
        <w:rPr>
          <w:szCs w:val="18"/>
        </w:rPr>
        <w:t>, ‘</w:t>
      </w:r>
      <w:proofErr w:type="gramStart"/>
      <w:r w:rsidRPr="00C5547E">
        <w:rPr>
          <w:szCs w:val="18"/>
        </w:rPr>
        <w:t>The</w:t>
      </w:r>
      <w:proofErr w:type="gramEnd"/>
      <w:r w:rsidRPr="00C5547E">
        <w:rPr>
          <w:szCs w:val="18"/>
        </w:rPr>
        <w:t xml:space="preserve"> risk of diversity: the meanings of integration in Australian political culture’, viewed 27</w:t>
      </w:r>
      <w:r w:rsidR="00C5547E">
        <w:rPr>
          <w:szCs w:val="18"/>
        </w:rPr>
        <w:t> </w:t>
      </w:r>
      <w:r w:rsidRPr="00C5547E">
        <w:rPr>
          <w:szCs w:val="18"/>
        </w:rPr>
        <w:t>November, 2010, &lt;</w:t>
      </w:r>
      <w:hyperlink r:id="rId27" w:history="1">
        <w:r w:rsidRPr="00C5547E">
          <w:rPr>
            <w:szCs w:val="18"/>
          </w:rPr>
          <w:t>http://andrewjakubowicz.com/publications/integrationfutures_risk/</w:t>
        </w:r>
      </w:hyperlink>
      <w:r w:rsidRPr="00C5547E">
        <w:rPr>
          <w:szCs w:val="18"/>
        </w:rPr>
        <w:t xml:space="preserve">&gt;. </w:t>
      </w:r>
    </w:p>
    <w:p w:rsidR="001956F7" w:rsidRPr="00C5547E" w:rsidRDefault="001956F7" w:rsidP="001956F7">
      <w:pPr>
        <w:pStyle w:val="References"/>
        <w:rPr>
          <w:rFonts w:cs="Arial"/>
          <w:szCs w:val="18"/>
        </w:rPr>
      </w:pPr>
      <w:r w:rsidRPr="00C5547E">
        <w:rPr>
          <w:rFonts w:cs="Arial"/>
          <w:bCs/>
          <w:szCs w:val="18"/>
        </w:rPr>
        <w:t xml:space="preserve">Johnson, RB &amp; </w:t>
      </w:r>
      <w:proofErr w:type="spellStart"/>
      <w:r w:rsidRPr="00C5547E">
        <w:rPr>
          <w:rFonts w:cs="Arial"/>
          <w:bCs/>
          <w:szCs w:val="18"/>
        </w:rPr>
        <w:t>Onwuegbuzie</w:t>
      </w:r>
      <w:proofErr w:type="spellEnd"/>
      <w:r w:rsidRPr="00C5547E">
        <w:rPr>
          <w:rFonts w:cs="Arial"/>
          <w:bCs/>
          <w:szCs w:val="18"/>
        </w:rPr>
        <w:t>, AJ 2004</w:t>
      </w:r>
      <w:r w:rsidRPr="00C5547E">
        <w:rPr>
          <w:rFonts w:cs="Arial"/>
          <w:szCs w:val="18"/>
        </w:rPr>
        <w:t xml:space="preserve">, ‘Mixed methods research: a research paradigm whose time has come’, </w:t>
      </w:r>
      <w:r w:rsidRPr="00C5547E">
        <w:rPr>
          <w:rFonts w:cs="Arial"/>
          <w:i/>
          <w:szCs w:val="18"/>
        </w:rPr>
        <w:t>Educational Researcher</w:t>
      </w:r>
      <w:r w:rsidRPr="00C5547E">
        <w:rPr>
          <w:rFonts w:cs="Arial"/>
          <w:szCs w:val="18"/>
        </w:rPr>
        <w:t xml:space="preserve">, vol.33, no.7, pp.14—26. </w:t>
      </w:r>
    </w:p>
    <w:p w:rsidR="001956F7" w:rsidRPr="00C5547E" w:rsidRDefault="001956F7" w:rsidP="00C5547E">
      <w:pPr>
        <w:pStyle w:val="References"/>
        <w:ind w:right="-284"/>
        <w:rPr>
          <w:rFonts w:cs="Arial"/>
          <w:b/>
          <w:bCs/>
          <w:szCs w:val="18"/>
        </w:rPr>
      </w:pPr>
      <w:proofErr w:type="gramStart"/>
      <w:r w:rsidRPr="00C5547E">
        <w:rPr>
          <w:rFonts w:cs="Arial"/>
          <w:szCs w:val="18"/>
          <w:lang w:val="en-US"/>
        </w:rPr>
        <w:lastRenderedPageBreak/>
        <w:t xml:space="preserve">Johnson, RB, </w:t>
      </w:r>
      <w:proofErr w:type="spellStart"/>
      <w:r w:rsidRPr="00C5547E">
        <w:rPr>
          <w:rFonts w:cs="Arial"/>
          <w:szCs w:val="18"/>
          <w:lang w:val="en-US"/>
        </w:rPr>
        <w:t>Onwuegbuzie</w:t>
      </w:r>
      <w:proofErr w:type="spellEnd"/>
      <w:r w:rsidRPr="00C5547E">
        <w:rPr>
          <w:rFonts w:cs="Arial"/>
          <w:szCs w:val="18"/>
          <w:lang w:val="en-US"/>
        </w:rPr>
        <w:t xml:space="preserve">, AJ &amp; Turner, LA 2007, ‘Toward a definition of mixed methods research’, in </w:t>
      </w:r>
      <w:r w:rsidRPr="00C5547E">
        <w:rPr>
          <w:rFonts w:cs="Arial"/>
          <w:i/>
          <w:szCs w:val="18"/>
          <w:lang w:val="en-US"/>
        </w:rPr>
        <w:t>Journal of Mixed Methods Research</w:t>
      </w:r>
      <w:r w:rsidRPr="00C5547E">
        <w:rPr>
          <w:rFonts w:cs="Arial"/>
          <w:szCs w:val="18"/>
          <w:lang w:val="en-US"/>
        </w:rPr>
        <w:t>,</w:t>
      </w:r>
      <w:r w:rsidRPr="00C5547E">
        <w:rPr>
          <w:rFonts w:ascii="Arial" w:hAnsi="Arial" w:cs="Arial"/>
          <w:szCs w:val="18"/>
          <w:lang w:val="en-US"/>
        </w:rPr>
        <w:t xml:space="preserve"> </w:t>
      </w:r>
      <w:r w:rsidRPr="00C5547E">
        <w:rPr>
          <w:rFonts w:cs="Arial"/>
          <w:szCs w:val="18"/>
          <w:lang w:val="en-US"/>
        </w:rPr>
        <w:t>viewed 19 March 2010,</w:t>
      </w:r>
      <w:r w:rsidRPr="00C5547E">
        <w:rPr>
          <w:rFonts w:ascii="Arial" w:hAnsi="Arial" w:cs="Arial"/>
          <w:szCs w:val="18"/>
          <w:lang w:val="en-US"/>
        </w:rPr>
        <w:t xml:space="preserve"> </w:t>
      </w:r>
      <w:r w:rsidRPr="00C5547E">
        <w:rPr>
          <w:szCs w:val="18"/>
        </w:rPr>
        <w:t>&lt;</w:t>
      </w:r>
      <w:hyperlink r:id="rId28" w:history="1">
        <w:r w:rsidRPr="00C5547E">
          <w:rPr>
            <w:rStyle w:val="Hyperlink"/>
            <w:sz w:val="18"/>
            <w:szCs w:val="18"/>
            <w:shd w:val="clear" w:color="auto" w:fill="FFFFFF"/>
          </w:rPr>
          <w:t>http://www.mmr.sagepub.com/cgi/reprint/i/2/112</w:t>
        </w:r>
      </w:hyperlink>
      <w:r w:rsidRPr="00C5547E">
        <w:rPr>
          <w:szCs w:val="18"/>
        </w:rPr>
        <w:t>&gt;.</w:t>
      </w:r>
      <w:proofErr w:type="gramEnd"/>
      <w:r w:rsidRPr="00C5547E">
        <w:rPr>
          <w:szCs w:val="18"/>
        </w:rPr>
        <w:t xml:space="preserve"> </w:t>
      </w:r>
    </w:p>
    <w:p w:rsidR="001956F7" w:rsidRPr="00C5547E" w:rsidRDefault="001956F7" w:rsidP="001956F7">
      <w:pPr>
        <w:pStyle w:val="References"/>
        <w:rPr>
          <w:szCs w:val="18"/>
        </w:rPr>
      </w:pPr>
      <w:proofErr w:type="spellStart"/>
      <w:r w:rsidRPr="00C5547E">
        <w:rPr>
          <w:szCs w:val="18"/>
        </w:rPr>
        <w:t>Leuner</w:t>
      </w:r>
      <w:proofErr w:type="spellEnd"/>
      <w:r w:rsidRPr="00C5547E">
        <w:rPr>
          <w:szCs w:val="18"/>
        </w:rPr>
        <w:t>, B 2007,</w:t>
      </w:r>
      <w:r w:rsidRPr="00C5547E">
        <w:rPr>
          <w:i/>
          <w:szCs w:val="18"/>
        </w:rPr>
        <w:t xml:space="preserve"> Migration, multiculturalism and language maintenance in Australia: Polish migration to Melbourne in the 1980s</w:t>
      </w:r>
      <w:r w:rsidRPr="00C5547E">
        <w:rPr>
          <w:szCs w:val="18"/>
        </w:rPr>
        <w:t>, Peter Lang Publishing, Bern.</w:t>
      </w:r>
    </w:p>
    <w:p w:rsidR="001956F7" w:rsidRPr="00C5547E" w:rsidRDefault="001956F7" w:rsidP="001956F7">
      <w:pPr>
        <w:pStyle w:val="References"/>
        <w:rPr>
          <w:rFonts w:cs="Arial"/>
          <w:szCs w:val="18"/>
        </w:rPr>
      </w:pPr>
      <w:proofErr w:type="spellStart"/>
      <w:r w:rsidRPr="00C5547E">
        <w:rPr>
          <w:rFonts w:cs="Arial"/>
          <w:szCs w:val="18"/>
        </w:rPr>
        <w:t>Lantolf</w:t>
      </w:r>
      <w:proofErr w:type="spellEnd"/>
      <w:r w:rsidRPr="00C5547E">
        <w:rPr>
          <w:rFonts w:cs="Arial"/>
          <w:szCs w:val="18"/>
        </w:rPr>
        <w:t xml:space="preserve">, JP &amp; </w:t>
      </w:r>
      <w:proofErr w:type="spellStart"/>
      <w:r w:rsidRPr="00C5547E">
        <w:rPr>
          <w:rFonts w:cs="Arial"/>
          <w:szCs w:val="18"/>
        </w:rPr>
        <w:t>Poehner</w:t>
      </w:r>
      <w:proofErr w:type="spellEnd"/>
      <w:r w:rsidRPr="00C5547E">
        <w:rPr>
          <w:rFonts w:cs="Arial"/>
          <w:szCs w:val="18"/>
        </w:rPr>
        <w:t xml:space="preserve">, ME 2008, ‘Introduction’, in </w:t>
      </w:r>
      <w:proofErr w:type="spellStart"/>
      <w:r w:rsidRPr="00C5547E">
        <w:rPr>
          <w:rFonts w:cs="Arial"/>
          <w:i/>
          <w:szCs w:val="18"/>
        </w:rPr>
        <w:t>Sociocultural</w:t>
      </w:r>
      <w:proofErr w:type="spellEnd"/>
      <w:r w:rsidRPr="00C5547E">
        <w:rPr>
          <w:rFonts w:cs="Arial"/>
          <w:i/>
          <w:szCs w:val="18"/>
        </w:rPr>
        <w:t xml:space="preserve"> theory and the teaching of second languages</w:t>
      </w:r>
      <w:r w:rsidRPr="00C5547E">
        <w:rPr>
          <w:rFonts w:cs="Arial"/>
          <w:szCs w:val="18"/>
        </w:rPr>
        <w:t xml:space="preserve">, </w:t>
      </w:r>
      <w:proofErr w:type="spellStart"/>
      <w:r w:rsidRPr="00C5547E">
        <w:rPr>
          <w:rFonts w:cs="Arial"/>
          <w:szCs w:val="18"/>
        </w:rPr>
        <w:t>eds</w:t>
      </w:r>
      <w:proofErr w:type="spellEnd"/>
      <w:r w:rsidRPr="00C5547E">
        <w:rPr>
          <w:rFonts w:cs="Arial"/>
          <w:szCs w:val="18"/>
        </w:rPr>
        <w:t xml:space="preserve"> JP </w:t>
      </w:r>
      <w:proofErr w:type="spellStart"/>
      <w:r w:rsidRPr="00C5547E">
        <w:rPr>
          <w:rFonts w:cs="Arial"/>
          <w:szCs w:val="18"/>
        </w:rPr>
        <w:t>Lantolf</w:t>
      </w:r>
      <w:proofErr w:type="spellEnd"/>
      <w:r w:rsidRPr="00C5547E">
        <w:rPr>
          <w:rFonts w:cs="Arial"/>
          <w:szCs w:val="18"/>
        </w:rPr>
        <w:t xml:space="preserve"> &amp; ME </w:t>
      </w:r>
      <w:proofErr w:type="spellStart"/>
      <w:r w:rsidRPr="00C5547E">
        <w:rPr>
          <w:rFonts w:cs="Arial"/>
          <w:szCs w:val="18"/>
        </w:rPr>
        <w:t>Poehner</w:t>
      </w:r>
      <w:proofErr w:type="spellEnd"/>
      <w:r w:rsidRPr="00C5547E">
        <w:rPr>
          <w:rFonts w:cs="Arial"/>
          <w:szCs w:val="18"/>
        </w:rPr>
        <w:t xml:space="preserve">, Equinox Publishing, Oakville, Connecticut. </w:t>
      </w:r>
    </w:p>
    <w:p w:rsidR="001956F7" w:rsidRPr="00C5547E" w:rsidRDefault="001956F7" w:rsidP="001956F7">
      <w:pPr>
        <w:pStyle w:val="References"/>
        <w:rPr>
          <w:rFonts w:cs="Arial"/>
          <w:bCs/>
          <w:szCs w:val="18"/>
          <w:u w:val="single"/>
        </w:rPr>
      </w:pPr>
      <w:r w:rsidRPr="00C5547E">
        <w:rPr>
          <w:rFonts w:cs="Arial"/>
          <w:bCs/>
          <w:szCs w:val="18"/>
        </w:rPr>
        <w:t xml:space="preserve">Liebig, T 2007, ‘The labour market integration of immigrants in Australia’, </w:t>
      </w:r>
      <w:r w:rsidRPr="00C5547E">
        <w:rPr>
          <w:rFonts w:cs="Arial"/>
          <w:bCs/>
          <w:i/>
          <w:szCs w:val="18"/>
        </w:rPr>
        <w:t>OECD Social, Employment and Migration Working Papers</w:t>
      </w:r>
      <w:r w:rsidRPr="00C5547E">
        <w:rPr>
          <w:rFonts w:cs="Arial"/>
          <w:bCs/>
          <w:szCs w:val="18"/>
        </w:rPr>
        <w:t xml:space="preserve">, viewed 24 February 2008, </w:t>
      </w:r>
      <w:r w:rsidRPr="00C5547E">
        <w:rPr>
          <w:szCs w:val="18"/>
        </w:rPr>
        <w:t>&lt;</w:t>
      </w:r>
      <w:hyperlink r:id="rId29" w:history="1">
        <w:r w:rsidRPr="00C5547E">
          <w:rPr>
            <w:rStyle w:val="Hyperlink"/>
            <w:rFonts w:cs="Arial"/>
            <w:sz w:val="18"/>
            <w:szCs w:val="18"/>
          </w:rPr>
          <w:t>www.oecd.org/dataoecd/28/12/38164878.pdf</w:t>
        </w:r>
      </w:hyperlink>
      <w:r w:rsidRPr="00C5547E">
        <w:rPr>
          <w:szCs w:val="18"/>
        </w:rPr>
        <w:t>&gt;.</w:t>
      </w:r>
    </w:p>
    <w:p w:rsidR="001956F7" w:rsidRPr="00C5547E" w:rsidRDefault="001956F7" w:rsidP="001956F7">
      <w:pPr>
        <w:pStyle w:val="References"/>
        <w:rPr>
          <w:rFonts w:cs="Arial"/>
          <w:szCs w:val="18"/>
        </w:rPr>
      </w:pPr>
      <w:r w:rsidRPr="00C5547E">
        <w:rPr>
          <w:rFonts w:cs="Arial"/>
          <w:szCs w:val="18"/>
        </w:rPr>
        <w:t xml:space="preserve">Lo Bianco, J 1987, </w:t>
      </w:r>
      <w:r w:rsidRPr="00C5547E">
        <w:rPr>
          <w:rFonts w:cs="Arial"/>
          <w:i/>
          <w:szCs w:val="18"/>
        </w:rPr>
        <w:t>National policy on languages</w:t>
      </w:r>
      <w:r w:rsidRPr="00C5547E">
        <w:rPr>
          <w:rFonts w:cs="Arial"/>
          <w:szCs w:val="18"/>
        </w:rPr>
        <w:t>, AGPS, Canberra.</w:t>
      </w:r>
    </w:p>
    <w:p w:rsidR="001956F7" w:rsidRPr="00C5547E" w:rsidRDefault="001956F7" w:rsidP="001956F7">
      <w:pPr>
        <w:pStyle w:val="References"/>
        <w:rPr>
          <w:rFonts w:cs="Arial"/>
          <w:szCs w:val="18"/>
        </w:rPr>
      </w:pPr>
      <w:r w:rsidRPr="00C5547E">
        <w:rPr>
          <w:rFonts w:cs="Arial"/>
          <w:szCs w:val="18"/>
        </w:rPr>
        <w:t xml:space="preserve">——2009, ‘Social cohesion and language learning’, keynote address for the European Centre for Modern Languages (ECML) conference: </w:t>
      </w:r>
      <w:r w:rsidRPr="00C5547E">
        <w:rPr>
          <w:rFonts w:cs="Arial"/>
          <w:bCs/>
          <w:i/>
          <w:szCs w:val="18"/>
        </w:rPr>
        <w:t xml:space="preserve">Languages for social cohesion: </w:t>
      </w:r>
      <w:r w:rsidRPr="00C5547E">
        <w:rPr>
          <w:rFonts w:cs="Arial"/>
          <w:i/>
          <w:szCs w:val="18"/>
        </w:rPr>
        <w:t>language education in a multilingual and multicultural Europe</w:t>
      </w:r>
      <w:r w:rsidRPr="00C5547E">
        <w:rPr>
          <w:rFonts w:cs="Arial"/>
          <w:szCs w:val="18"/>
        </w:rPr>
        <w:t>,</w:t>
      </w:r>
      <w:r w:rsidRPr="00C5547E">
        <w:rPr>
          <w:rFonts w:cs="Arial"/>
          <w:i/>
          <w:szCs w:val="18"/>
        </w:rPr>
        <w:t xml:space="preserve"> </w:t>
      </w:r>
      <w:r w:rsidRPr="00C5547E">
        <w:rPr>
          <w:rFonts w:cs="Arial"/>
          <w:szCs w:val="18"/>
        </w:rPr>
        <w:t>Graz, Austria, September 2007, viewed 29 March 2011, &lt;</w:t>
      </w:r>
      <w:hyperlink r:id="rId30" w:history="1">
        <w:r w:rsidR="00C5547E" w:rsidRPr="009430D8">
          <w:rPr>
            <w:rStyle w:val="Hyperlink"/>
            <w:rFonts w:cs="Arial"/>
            <w:sz w:val="18"/>
            <w:szCs w:val="18"/>
          </w:rPr>
          <w:t>http://archive.ecml.at/ documents/Conference%20Publication2007.pdf</w:t>
        </w:r>
      </w:hyperlink>
      <w:r w:rsidRPr="00C5547E">
        <w:rPr>
          <w:rFonts w:cs="Arial"/>
          <w:szCs w:val="18"/>
        </w:rPr>
        <w:t xml:space="preserve">&gt;. </w:t>
      </w:r>
    </w:p>
    <w:p w:rsidR="001956F7" w:rsidRPr="00C5547E" w:rsidRDefault="001956F7" w:rsidP="001956F7">
      <w:pPr>
        <w:pStyle w:val="References"/>
        <w:rPr>
          <w:rFonts w:cs="Arial"/>
          <w:szCs w:val="18"/>
        </w:rPr>
      </w:pPr>
      <w:r w:rsidRPr="00C5547E">
        <w:rPr>
          <w:rFonts w:cs="Arial"/>
          <w:szCs w:val="18"/>
        </w:rPr>
        <w:t xml:space="preserve">Lundy, K 2011, ‘Senator Kate Lundy talks about Harmony Day’, online video, viewed 13 March 2011, </w:t>
      </w:r>
      <w:r w:rsidRPr="00C5547E">
        <w:rPr>
          <w:szCs w:val="18"/>
        </w:rPr>
        <w:t>&lt;</w:t>
      </w:r>
      <w:hyperlink r:id="rId31" w:history="1">
        <w:r w:rsidRPr="00C5547E">
          <w:rPr>
            <w:rStyle w:val="Hyperlink"/>
            <w:rFonts w:cs="Arial"/>
            <w:sz w:val="18"/>
            <w:szCs w:val="18"/>
          </w:rPr>
          <w:t>http://www.harmony.gov.au/harmony-day/about-harmony-day.htm</w:t>
        </w:r>
      </w:hyperlink>
      <w:r w:rsidRPr="00C5547E">
        <w:rPr>
          <w:szCs w:val="18"/>
        </w:rPr>
        <w:t>&gt;.</w:t>
      </w:r>
      <w:r w:rsidRPr="00C5547E">
        <w:rPr>
          <w:rFonts w:cs="Arial"/>
          <w:szCs w:val="18"/>
        </w:rPr>
        <w:t xml:space="preserve">  </w:t>
      </w:r>
    </w:p>
    <w:p w:rsidR="001956F7" w:rsidRPr="00C5547E" w:rsidRDefault="001956F7" w:rsidP="001956F7">
      <w:pPr>
        <w:pStyle w:val="References"/>
        <w:rPr>
          <w:rFonts w:cs="Arial"/>
          <w:szCs w:val="18"/>
          <w:u w:val="single"/>
        </w:rPr>
      </w:pPr>
      <w:r w:rsidRPr="00C5547E">
        <w:rPr>
          <w:rFonts w:cs="Arial"/>
          <w:szCs w:val="18"/>
        </w:rPr>
        <w:t>Lunt, H 2000, ‘</w:t>
      </w:r>
      <w:proofErr w:type="gramStart"/>
      <w:r w:rsidRPr="00C5547E">
        <w:rPr>
          <w:rFonts w:cs="Arial"/>
          <w:szCs w:val="18"/>
        </w:rPr>
        <w:t>The</w:t>
      </w:r>
      <w:proofErr w:type="gramEnd"/>
      <w:r w:rsidRPr="00C5547E">
        <w:rPr>
          <w:rFonts w:cs="Arial"/>
          <w:szCs w:val="18"/>
        </w:rPr>
        <w:t xml:space="preserve"> learning strategies of adult immigrant learners of English: quantitative and qualitative perspectives’, unpublished PhD thesis, the University of Melbourne.</w:t>
      </w:r>
    </w:p>
    <w:p w:rsidR="001956F7" w:rsidRPr="00C5547E" w:rsidRDefault="001956F7" w:rsidP="001956F7">
      <w:pPr>
        <w:pStyle w:val="References"/>
        <w:rPr>
          <w:i/>
          <w:szCs w:val="18"/>
        </w:rPr>
      </w:pPr>
      <w:r w:rsidRPr="00C5547E">
        <w:rPr>
          <w:szCs w:val="18"/>
        </w:rPr>
        <w:t xml:space="preserve">Markus, A 2010, </w:t>
      </w:r>
      <w:r w:rsidRPr="00C5547E">
        <w:rPr>
          <w:i/>
          <w:szCs w:val="18"/>
        </w:rPr>
        <w:t>Mapping social cohesion: the Scanlon foundation surveys summary report</w:t>
      </w:r>
      <w:r w:rsidRPr="00C5547E">
        <w:rPr>
          <w:szCs w:val="18"/>
        </w:rPr>
        <w:t>, viewed 8 March 2011,</w:t>
      </w:r>
      <w:r w:rsidRPr="00C5547E">
        <w:rPr>
          <w:i/>
          <w:szCs w:val="18"/>
        </w:rPr>
        <w:t xml:space="preserve"> </w:t>
      </w:r>
      <w:r w:rsidRPr="00C5547E">
        <w:rPr>
          <w:szCs w:val="18"/>
        </w:rPr>
        <w:t>&lt;</w:t>
      </w:r>
      <w:r w:rsidRPr="00C5547E">
        <w:rPr>
          <w:i/>
          <w:szCs w:val="18"/>
        </w:rPr>
        <w:t>http://www.globalmovements.monash.edu.au/news/documents/Mapping%20Social%20Cohesion</w:t>
      </w:r>
      <w:r w:rsidR="00C5547E">
        <w:rPr>
          <w:i/>
          <w:szCs w:val="18"/>
        </w:rPr>
        <w:t xml:space="preserve"> </w:t>
      </w:r>
      <w:r w:rsidRPr="00C5547E">
        <w:rPr>
          <w:i/>
          <w:szCs w:val="18"/>
        </w:rPr>
        <w:t>%20SummarPy%20Report%202010.pdf</w:t>
      </w:r>
      <w:r w:rsidRPr="00C5547E">
        <w:rPr>
          <w:szCs w:val="18"/>
        </w:rPr>
        <w:t xml:space="preserve">&gt;.  </w:t>
      </w:r>
    </w:p>
    <w:p w:rsidR="001956F7" w:rsidRPr="00C5547E" w:rsidRDefault="001956F7" w:rsidP="001956F7">
      <w:pPr>
        <w:pStyle w:val="References"/>
        <w:rPr>
          <w:rFonts w:cs="Arial"/>
          <w:szCs w:val="18"/>
        </w:rPr>
      </w:pPr>
      <w:r w:rsidRPr="00C5547E">
        <w:rPr>
          <w:rFonts w:cs="Arial"/>
          <w:szCs w:val="18"/>
        </w:rPr>
        <w:t xml:space="preserve">Martin, S 1999, </w:t>
      </w:r>
      <w:proofErr w:type="gramStart"/>
      <w:r w:rsidRPr="00C5547E">
        <w:rPr>
          <w:rFonts w:cs="Arial"/>
          <w:i/>
          <w:szCs w:val="18"/>
        </w:rPr>
        <w:t>New</w:t>
      </w:r>
      <w:proofErr w:type="gramEnd"/>
      <w:r w:rsidRPr="00C5547E">
        <w:rPr>
          <w:rFonts w:cs="Arial"/>
          <w:i/>
          <w:szCs w:val="18"/>
        </w:rPr>
        <w:t xml:space="preserve"> life new language: the history of the Adult Migrant English Program,</w:t>
      </w:r>
      <w:r w:rsidRPr="00C5547E">
        <w:rPr>
          <w:rFonts w:cs="Arial"/>
          <w:szCs w:val="18"/>
        </w:rPr>
        <w:t xml:space="preserve"> National Centre for English Language Teaching and Research, Sydney. </w:t>
      </w:r>
    </w:p>
    <w:p w:rsidR="001956F7" w:rsidRPr="00C5547E" w:rsidRDefault="001956F7" w:rsidP="001956F7">
      <w:pPr>
        <w:pStyle w:val="References"/>
        <w:rPr>
          <w:szCs w:val="18"/>
        </w:rPr>
      </w:pPr>
      <w:r w:rsidRPr="00C5547E">
        <w:rPr>
          <w:rFonts w:cs="Arial"/>
          <w:szCs w:val="18"/>
        </w:rPr>
        <w:t>McPherson, M 2010, ‘</w:t>
      </w:r>
      <w:r w:rsidR="00462076">
        <w:rPr>
          <w:szCs w:val="18"/>
        </w:rPr>
        <w:t>“</w:t>
      </w:r>
      <w:r w:rsidRPr="00C5547E">
        <w:rPr>
          <w:szCs w:val="18"/>
        </w:rPr>
        <w:t>I integrate, therefore I am</w:t>
      </w:r>
      <w:r w:rsidR="00462076">
        <w:rPr>
          <w:szCs w:val="18"/>
        </w:rPr>
        <w:t>”</w:t>
      </w:r>
      <w:r w:rsidRPr="00C5547E">
        <w:rPr>
          <w:szCs w:val="18"/>
        </w:rPr>
        <w:t xml:space="preserve">: Contesting the normalizing discourse of </w:t>
      </w:r>
      <w:proofErr w:type="spellStart"/>
      <w:r w:rsidRPr="00C5547E">
        <w:rPr>
          <w:szCs w:val="18"/>
        </w:rPr>
        <w:t>integrationism</w:t>
      </w:r>
      <w:proofErr w:type="spellEnd"/>
      <w:r w:rsidRPr="00C5547E">
        <w:rPr>
          <w:szCs w:val="18"/>
        </w:rPr>
        <w:t xml:space="preserve"> through conversations with refugee women’, </w:t>
      </w:r>
      <w:hyperlink r:id="rId32" w:history="1">
        <w:r w:rsidRPr="00C5547E">
          <w:rPr>
            <w:rStyle w:val="Hyperlink"/>
            <w:i/>
            <w:sz w:val="18"/>
            <w:szCs w:val="18"/>
          </w:rPr>
          <w:t>Journal of Refugee Studies</w:t>
        </w:r>
      </w:hyperlink>
      <w:r w:rsidRPr="00C5547E">
        <w:rPr>
          <w:szCs w:val="18"/>
        </w:rPr>
        <w:t xml:space="preserve">, </w:t>
      </w:r>
      <w:hyperlink r:id="rId33" w:history="1">
        <w:r w:rsidRPr="00C5547E">
          <w:rPr>
            <w:rStyle w:val="breadcrumb-vol-label"/>
            <w:szCs w:val="18"/>
          </w:rPr>
          <w:t>vol.</w:t>
        </w:r>
        <w:r w:rsidRPr="00C5547E">
          <w:rPr>
            <w:rStyle w:val="Hyperlink"/>
            <w:sz w:val="18"/>
            <w:szCs w:val="18"/>
          </w:rPr>
          <w:t xml:space="preserve">23, </w:t>
        </w:r>
        <w:r w:rsidRPr="00C5547E">
          <w:rPr>
            <w:rStyle w:val="breadcrumb-iss-label"/>
            <w:szCs w:val="18"/>
          </w:rPr>
          <w:t>no.</w:t>
        </w:r>
        <w:r w:rsidRPr="00C5547E">
          <w:rPr>
            <w:rStyle w:val="Hyperlink"/>
            <w:sz w:val="18"/>
            <w:szCs w:val="18"/>
          </w:rPr>
          <w:t>4</w:t>
        </w:r>
      </w:hyperlink>
      <w:r w:rsidRPr="00C5547E">
        <w:rPr>
          <w:szCs w:val="18"/>
        </w:rPr>
        <w:t>, pp.</w:t>
      </w:r>
      <w:r w:rsidRPr="00C5547E">
        <w:rPr>
          <w:rStyle w:val="slug-pages"/>
          <w:szCs w:val="18"/>
        </w:rPr>
        <w:t>546—70.</w:t>
      </w:r>
      <w:r w:rsidRPr="00C5547E">
        <w:rPr>
          <w:rStyle w:val="slug-pages"/>
          <w:b/>
          <w:szCs w:val="18"/>
        </w:rPr>
        <w:t xml:space="preserve"> </w:t>
      </w:r>
    </w:p>
    <w:p w:rsidR="001956F7" w:rsidRPr="00C5547E" w:rsidRDefault="001956F7" w:rsidP="001956F7">
      <w:pPr>
        <w:pStyle w:val="References"/>
        <w:rPr>
          <w:szCs w:val="18"/>
        </w:rPr>
      </w:pPr>
      <w:proofErr w:type="spellStart"/>
      <w:r w:rsidRPr="00C5547E">
        <w:rPr>
          <w:szCs w:val="18"/>
        </w:rPr>
        <w:t>Miralles</w:t>
      </w:r>
      <w:proofErr w:type="spellEnd"/>
      <w:r w:rsidRPr="00C5547E">
        <w:rPr>
          <w:szCs w:val="18"/>
        </w:rPr>
        <w:t xml:space="preserve">, J 2004, </w:t>
      </w:r>
      <w:proofErr w:type="gramStart"/>
      <w:r w:rsidRPr="00C5547E">
        <w:rPr>
          <w:i/>
          <w:szCs w:val="18"/>
        </w:rPr>
        <w:t>A</w:t>
      </w:r>
      <w:proofErr w:type="gramEnd"/>
      <w:r w:rsidRPr="00C5547E">
        <w:rPr>
          <w:i/>
          <w:szCs w:val="18"/>
        </w:rPr>
        <w:t xml:space="preserve"> fair go: factors impacting on vocational education and training participation and completion in selected ethnic communities</w:t>
      </w:r>
      <w:r w:rsidRPr="00C5547E">
        <w:rPr>
          <w:szCs w:val="18"/>
        </w:rPr>
        <w:t>, viewed 19 March 2011, &lt;</w:t>
      </w:r>
      <w:hyperlink r:id="rId34" w:history="1">
        <w:r w:rsidR="00C5547E" w:rsidRPr="009430D8">
          <w:rPr>
            <w:rStyle w:val="Hyperlink"/>
            <w:rFonts w:cs="Arial"/>
            <w:sz w:val="18"/>
            <w:szCs w:val="18"/>
          </w:rPr>
          <w:t>http://www.ncver.edu.au/ publications/1501.html</w:t>
        </w:r>
      </w:hyperlink>
      <w:r w:rsidRPr="00C5547E">
        <w:rPr>
          <w:szCs w:val="18"/>
        </w:rPr>
        <w:t>&gt;.</w:t>
      </w:r>
    </w:p>
    <w:p w:rsidR="001956F7" w:rsidRPr="00C5547E" w:rsidRDefault="001956F7" w:rsidP="001956F7">
      <w:pPr>
        <w:pStyle w:val="References"/>
        <w:rPr>
          <w:rFonts w:ascii="Arial" w:hAnsi="Arial" w:cs="Arial"/>
          <w:b/>
          <w:szCs w:val="18"/>
        </w:rPr>
      </w:pPr>
      <w:r w:rsidRPr="00C5547E">
        <w:rPr>
          <w:szCs w:val="18"/>
        </w:rPr>
        <w:t xml:space="preserve">Murray, KE 2010, ‘Sudanese perspectives on resettlement in Australia’, </w:t>
      </w:r>
      <w:r w:rsidRPr="00C5547E">
        <w:rPr>
          <w:i/>
          <w:szCs w:val="18"/>
        </w:rPr>
        <w:t>Journal of Pacific Rim Psychology</w:t>
      </w:r>
      <w:r w:rsidRPr="00C5547E">
        <w:rPr>
          <w:szCs w:val="18"/>
        </w:rPr>
        <w:t>, vol.4, no.1, pp.30</w:t>
      </w:r>
      <w:r w:rsidR="00462076">
        <w:rPr>
          <w:szCs w:val="18"/>
        </w:rPr>
        <w:t>—</w:t>
      </w:r>
      <w:r w:rsidRPr="00C5547E">
        <w:rPr>
          <w:szCs w:val="18"/>
        </w:rPr>
        <w:t>43, viewed 28 March 2011, &lt;</w:t>
      </w:r>
      <w:hyperlink r:id="rId35" w:history="1">
        <w:r w:rsidR="003F55AB" w:rsidRPr="009430D8">
          <w:rPr>
            <w:rStyle w:val="Hyperlink"/>
            <w:sz w:val="18"/>
            <w:szCs w:val="18"/>
          </w:rPr>
          <w:t xml:space="preserve">http://search.informit.com.au/fullText; </w:t>
        </w:r>
        <w:proofErr w:type="spellStart"/>
        <w:r w:rsidR="003F55AB" w:rsidRPr="009430D8">
          <w:rPr>
            <w:rStyle w:val="Hyperlink"/>
            <w:sz w:val="18"/>
            <w:szCs w:val="18"/>
          </w:rPr>
          <w:t>dn</w:t>
        </w:r>
        <w:proofErr w:type="spellEnd"/>
        <w:r w:rsidR="003F55AB" w:rsidRPr="009430D8">
          <w:rPr>
            <w:rStyle w:val="Hyperlink"/>
            <w:sz w:val="18"/>
            <w:szCs w:val="18"/>
          </w:rPr>
          <w:t>=414006969999966;res=IELHEA</w:t>
        </w:r>
      </w:hyperlink>
      <w:r w:rsidRPr="00C5547E">
        <w:rPr>
          <w:szCs w:val="18"/>
        </w:rPr>
        <w:t>&gt;.</w:t>
      </w:r>
    </w:p>
    <w:p w:rsidR="001956F7" w:rsidRPr="00C5547E" w:rsidRDefault="001956F7" w:rsidP="001956F7">
      <w:pPr>
        <w:pStyle w:val="References"/>
        <w:rPr>
          <w:rFonts w:cs="Arial"/>
          <w:szCs w:val="18"/>
        </w:rPr>
      </w:pPr>
      <w:r w:rsidRPr="00C5547E">
        <w:rPr>
          <w:rFonts w:cs="Arial"/>
          <w:szCs w:val="18"/>
        </w:rPr>
        <w:t xml:space="preserve">Norton, B 2008, ‘Identity, language learning, and critical pedagogies’, in </w:t>
      </w:r>
      <w:proofErr w:type="spellStart"/>
      <w:r w:rsidRPr="00C5547E">
        <w:rPr>
          <w:rFonts w:cs="Arial"/>
          <w:i/>
          <w:szCs w:val="18"/>
        </w:rPr>
        <w:t>Encyclopedia</w:t>
      </w:r>
      <w:proofErr w:type="spellEnd"/>
      <w:r w:rsidRPr="00C5547E">
        <w:rPr>
          <w:rFonts w:cs="Arial"/>
          <w:i/>
          <w:szCs w:val="18"/>
        </w:rPr>
        <w:t xml:space="preserve"> of Languages and Education</w:t>
      </w:r>
      <w:r w:rsidRPr="00C5547E">
        <w:rPr>
          <w:rFonts w:cs="Arial"/>
          <w:szCs w:val="18"/>
        </w:rPr>
        <w:t>,</w:t>
      </w:r>
      <w:r w:rsidRPr="00C5547E">
        <w:rPr>
          <w:rFonts w:cs="Arial"/>
          <w:i/>
          <w:szCs w:val="18"/>
        </w:rPr>
        <w:t xml:space="preserve"> </w:t>
      </w:r>
      <w:r w:rsidRPr="00C5547E">
        <w:rPr>
          <w:rFonts w:cs="Arial"/>
          <w:szCs w:val="18"/>
        </w:rPr>
        <w:t xml:space="preserve">2nd </w:t>
      </w:r>
      <w:proofErr w:type="spellStart"/>
      <w:r w:rsidRPr="00C5547E">
        <w:rPr>
          <w:rFonts w:cs="Arial"/>
          <w:szCs w:val="18"/>
        </w:rPr>
        <w:t>edn</w:t>
      </w:r>
      <w:proofErr w:type="spellEnd"/>
      <w:r w:rsidRPr="00C5547E">
        <w:rPr>
          <w:rFonts w:cs="Arial"/>
          <w:szCs w:val="18"/>
        </w:rPr>
        <w:t xml:space="preserve">, </w:t>
      </w:r>
      <w:proofErr w:type="spellStart"/>
      <w:proofErr w:type="gramStart"/>
      <w:r w:rsidRPr="00C5547E">
        <w:rPr>
          <w:rFonts w:cs="Arial"/>
          <w:szCs w:val="18"/>
        </w:rPr>
        <w:t>eds</w:t>
      </w:r>
      <w:proofErr w:type="spellEnd"/>
      <w:proofErr w:type="gramEnd"/>
      <w:r w:rsidRPr="00C5547E">
        <w:rPr>
          <w:rFonts w:cs="Arial"/>
          <w:szCs w:val="18"/>
        </w:rPr>
        <w:t xml:space="preserve"> J </w:t>
      </w:r>
      <w:proofErr w:type="spellStart"/>
      <w:r w:rsidRPr="00C5547E">
        <w:rPr>
          <w:rFonts w:cs="Arial"/>
          <w:szCs w:val="18"/>
        </w:rPr>
        <w:t>Cenoz</w:t>
      </w:r>
      <w:proofErr w:type="spellEnd"/>
      <w:r w:rsidRPr="00C5547E">
        <w:rPr>
          <w:rFonts w:cs="Arial"/>
          <w:szCs w:val="18"/>
        </w:rPr>
        <w:t xml:space="preserve"> &amp; NH </w:t>
      </w:r>
      <w:proofErr w:type="spellStart"/>
      <w:r w:rsidRPr="00C5547E">
        <w:rPr>
          <w:rFonts w:cs="Arial"/>
          <w:szCs w:val="18"/>
        </w:rPr>
        <w:t>Hornberger</w:t>
      </w:r>
      <w:proofErr w:type="spellEnd"/>
      <w:r w:rsidRPr="00C5547E">
        <w:rPr>
          <w:rFonts w:cs="Arial"/>
          <w:szCs w:val="18"/>
        </w:rPr>
        <w:t xml:space="preserve">, viewed 6 March 2010, </w:t>
      </w:r>
      <w:r w:rsidRPr="00C5547E">
        <w:rPr>
          <w:szCs w:val="18"/>
        </w:rPr>
        <w:t>&lt;</w:t>
      </w:r>
      <w:hyperlink r:id="rId36" w:history="1">
        <w:r w:rsidR="003F55AB" w:rsidRPr="009430D8">
          <w:rPr>
            <w:rStyle w:val="Hyperlink"/>
            <w:rFonts w:cs="Arial"/>
            <w:sz w:val="18"/>
            <w:szCs w:val="18"/>
          </w:rPr>
          <w:t xml:space="preserve">http://lerc.educ.ubc.ca/fac/ </w:t>
        </w:r>
        <w:proofErr w:type="spellStart"/>
        <w:r w:rsidR="003F55AB" w:rsidRPr="009430D8">
          <w:rPr>
            <w:rStyle w:val="Hyperlink"/>
            <w:rFonts w:cs="Arial"/>
            <w:sz w:val="18"/>
            <w:szCs w:val="18"/>
          </w:rPr>
          <w:t>norton</w:t>
        </w:r>
        <w:proofErr w:type="spellEnd"/>
        <w:r w:rsidR="003F55AB" w:rsidRPr="009430D8">
          <w:rPr>
            <w:rStyle w:val="Hyperlink"/>
            <w:rFonts w:cs="Arial"/>
            <w:sz w:val="18"/>
            <w:szCs w:val="18"/>
          </w:rPr>
          <w:t>/Norton%202008%20in%20Cenoz.pdf</w:t>
        </w:r>
      </w:hyperlink>
      <w:r w:rsidRPr="00C5547E">
        <w:rPr>
          <w:szCs w:val="18"/>
        </w:rPr>
        <w:t xml:space="preserve">&gt;. </w:t>
      </w:r>
      <w:r w:rsidRPr="00C5547E">
        <w:rPr>
          <w:rFonts w:cs="Arial"/>
          <w:szCs w:val="18"/>
        </w:rPr>
        <w:t xml:space="preserve"> </w:t>
      </w:r>
    </w:p>
    <w:p w:rsidR="001956F7" w:rsidRPr="00C5547E" w:rsidRDefault="001956F7" w:rsidP="001956F7">
      <w:pPr>
        <w:pStyle w:val="References"/>
        <w:rPr>
          <w:szCs w:val="18"/>
        </w:rPr>
      </w:pPr>
      <w:r w:rsidRPr="00C5547E">
        <w:rPr>
          <w:szCs w:val="18"/>
        </w:rPr>
        <w:t xml:space="preserve">Putnam, RD 2004, ‘Education, diversity, social cohesion and “social capital”’, note for discussion at Meeting of OECD Education Ministers: </w:t>
      </w:r>
      <w:r w:rsidRPr="00C5547E">
        <w:rPr>
          <w:i/>
          <w:szCs w:val="18"/>
        </w:rPr>
        <w:t>Raising the quality of learning for all</w:t>
      </w:r>
      <w:r w:rsidRPr="00C5547E">
        <w:rPr>
          <w:szCs w:val="18"/>
        </w:rPr>
        <w:t>, 18—19 March 2004, Dublin, viewed 3</w:t>
      </w:r>
      <w:r w:rsidR="00462076">
        <w:rPr>
          <w:szCs w:val="18"/>
        </w:rPr>
        <w:t> </w:t>
      </w:r>
      <w:r w:rsidRPr="00C5547E">
        <w:rPr>
          <w:szCs w:val="18"/>
        </w:rPr>
        <w:t>April 2011, &lt;</w:t>
      </w:r>
      <w:hyperlink r:id="rId37" w:history="1">
        <w:r w:rsidRPr="00C5547E">
          <w:rPr>
            <w:rStyle w:val="Hyperlink"/>
            <w:iCs/>
            <w:sz w:val="18"/>
            <w:szCs w:val="18"/>
          </w:rPr>
          <w:t>http://</w:t>
        </w:r>
      </w:hyperlink>
      <w:r w:rsidRPr="00C5547E">
        <w:rPr>
          <w:rStyle w:val="HTMLCite"/>
          <w:i w:val="0"/>
          <w:szCs w:val="18"/>
        </w:rPr>
        <w:t>www.oecd.org/dataoecd/37/55/30671102.doc</w:t>
      </w:r>
      <w:r w:rsidRPr="00C5547E">
        <w:rPr>
          <w:szCs w:val="18"/>
        </w:rPr>
        <w:t>&gt;.</w:t>
      </w:r>
    </w:p>
    <w:p w:rsidR="001956F7" w:rsidRPr="00C5547E" w:rsidRDefault="001956F7" w:rsidP="001956F7">
      <w:pPr>
        <w:pStyle w:val="References"/>
        <w:rPr>
          <w:szCs w:val="18"/>
        </w:rPr>
      </w:pPr>
      <w:r w:rsidRPr="00C5547E">
        <w:rPr>
          <w:szCs w:val="18"/>
        </w:rPr>
        <w:t>Shakespeare-Finch, JE &amp; Wickham, K</w:t>
      </w:r>
      <w:r w:rsidRPr="00C5547E">
        <w:rPr>
          <w:b/>
          <w:szCs w:val="18"/>
        </w:rPr>
        <w:t xml:space="preserve"> </w:t>
      </w:r>
      <w:r w:rsidRPr="00C5547E">
        <w:rPr>
          <w:szCs w:val="18"/>
        </w:rPr>
        <w:t xml:space="preserve">2009, ‘Adaptation of Sudanese refugees in an Australian context: investigating helps and hindrances’, </w:t>
      </w:r>
      <w:r w:rsidRPr="00C5547E">
        <w:rPr>
          <w:i/>
          <w:szCs w:val="18"/>
        </w:rPr>
        <w:t>International Migration</w:t>
      </w:r>
      <w:r w:rsidRPr="00C5547E">
        <w:rPr>
          <w:szCs w:val="18"/>
        </w:rPr>
        <w:t>, February 2010, vol.48, no.1, pp.23—46, viewed 29 March 2011, &lt;</w:t>
      </w:r>
      <w:hyperlink r:id="rId38" w:history="1">
        <w:r w:rsidRPr="00C5547E">
          <w:rPr>
            <w:rStyle w:val="Hyperlink"/>
            <w:sz w:val="18"/>
            <w:szCs w:val="18"/>
          </w:rPr>
          <w:t>http://eprints.qut.edu.au/32029/1/c32029.pdf</w:t>
        </w:r>
      </w:hyperlink>
      <w:r w:rsidRPr="00C5547E">
        <w:rPr>
          <w:szCs w:val="18"/>
        </w:rPr>
        <w:t>&gt;.</w:t>
      </w:r>
    </w:p>
    <w:p w:rsidR="001956F7" w:rsidRPr="00C5547E" w:rsidRDefault="001956F7" w:rsidP="001956F7">
      <w:pPr>
        <w:pStyle w:val="References"/>
        <w:rPr>
          <w:szCs w:val="18"/>
        </w:rPr>
      </w:pPr>
      <w:proofErr w:type="gramStart"/>
      <w:r w:rsidRPr="00C5547E">
        <w:rPr>
          <w:szCs w:val="18"/>
        </w:rPr>
        <w:t xml:space="preserve">UNESCO 2011, </w:t>
      </w:r>
      <w:r w:rsidRPr="00C5547E">
        <w:rPr>
          <w:i/>
          <w:szCs w:val="18"/>
        </w:rPr>
        <w:t>International migration and multicultural policies</w:t>
      </w:r>
      <w:r w:rsidRPr="00C5547E">
        <w:rPr>
          <w:szCs w:val="18"/>
        </w:rPr>
        <w:t>, viewed 8 March 2011, &lt;http://</w:t>
      </w:r>
      <w:hyperlink r:id="rId39" w:history="1">
        <w:r w:rsidRPr="00C5547E">
          <w:rPr>
            <w:rStyle w:val="Hyperlink"/>
            <w:sz w:val="18"/>
            <w:szCs w:val="18"/>
          </w:rPr>
          <w:t>www.unesco.org/most/migration/glossary_integration.htm</w:t>
        </w:r>
      </w:hyperlink>
      <w:r w:rsidRPr="00C5547E">
        <w:rPr>
          <w:szCs w:val="18"/>
        </w:rPr>
        <w:t>&gt;.</w:t>
      </w:r>
      <w:proofErr w:type="gramEnd"/>
      <w:r w:rsidRPr="00C5547E">
        <w:rPr>
          <w:szCs w:val="18"/>
        </w:rPr>
        <w:t xml:space="preserve"> </w:t>
      </w:r>
    </w:p>
    <w:p w:rsidR="001956F7" w:rsidRPr="00C5547E" w:rsidRDefault="001956F7" w:rsidP="001956F7">
      <w:pPr>
        <w:pStyle w:val="References"/>
        <w:rPr>
          <w:rFonts w:cs="Arial"/>
          <w:szCs w:val="18"/>
        </w:rPr>
      </w:pPr>
      <w:proofErr w:type="spellStart"/>
      <w:r w:rsidRPr="00C5547E">
        <w:rPr>
          <w:rFonts w:cs="Arial"/>
          <w:szCs w:val="18"/>
        </w:rPr>
        <w:t>Vasta</w:t>
      </w:r>
      <w:proofErr w:type="spellEnd"/>
      <w:r w:rsidRPr="00C5547E">
        <w:rPr>
          <w:rFonts w:cs="Arial"/>
          <w:szCs w:val="18"/>
        </w:rPr>
        <w:t xml:space="preserve">, E 2007, ‘Accommodating diversity: why current critiques of multiculturalism miss the point’, Working paper no.53, University of Oxford, viewed 10 July 2009, </w:t>
      </w:r>
      <w:r w:rsidRPr="00C5547E">
        <w:rPr>
          <w:szCs w:val="18"/>
        </w:rPr>
        <w:t>&lt;</w:t>
      </w:r>
      <w:hyperlink r:id="rId40" w:history="1">
        <w:r w:rsidR="003F55AB" w:rsidRPr="009430D8">
          <w:rPr>
            <w:rStyle w:val="Hyperlink"/>
            <w:rFonts w:cs="Arial"/>
            <w:sz w:val="18"/>
            <w:szCs w:val="18"/>
          </w:rPr>
          <w:t>http://www.compas.ox.ac.uk/fileadmin/ files/</w:t>
        </w:r>
        <w:proofErr w:type="spellStart"/>
        <w:r w:rsidR="003F55AB" w:rsidRPr="009430D8">
          <w:rPr>
            <w:rStyle w:val="Hyperlink"/>
            <w:rFonts w:cs="Arial"/>
            <w:sz w:val="18"/>
            <w:szCs w:val="18"/>
          </w:rPr>
          <w:t>pdfs</w:t>
        </w:r>
        <w:proofErr w:type="spellEnd"/>
        <w:r w:rsidR="003F55AB" w:rsidRPr="009430D8">
          <w:rPr>
            <w:rStyle w:val="Hyperlink"/>
            <w:rFonts w:cs="Arial"/>
            <w:sz w:val="18"/>
            <w:szCs w:val="18"/>
          </w:rPr>
          <w:t>/WP0753%20Vasta.pdf</w:t>
        </w:r>
      </w:hyperlink>
      <w:r w:rsidRPr="00C5547E">
        <w:rPr>
          <w:szCs w:val="18"/>
        </w:rPr>
        <w:t>&gt;.</w:t>
      </w:r>
      <w:r w:rsidRPr="00C5547E">
        <w:rPr>
          <w:rFonts w:cs="Arial"/>
          <w:szCs w:val="18"/>
        </w:rPr>
        <w:t xml:space="preserve">  </w:t>
      </w:r>
    </w:p>
    <w:p w:rsidR="001956F7" w:rsidRPr="00C5547E" w:rsidRDefault="001956F7" w:rsidP="001956F7">
      <w:pPr>
        <w:pStyle w:val="References"/>
        <w:rPr>
          <w:szCs w:val="18"/>
        </w:rPr>
      </w:pPr>
      <w:r w:rsidRPr="00C5547E">
        <w:rPr>
          <w:bCs/>
          <w:szCs w:val="18"/>
        </w:rPr>
        <w:t xml:space="preserve">Volunteering Australia, 2007, </w:t>
      </w:r>
      <w:r w:rsidRPr="00C5547E">
        <w:rPr>
          <w:bCs/>
          <w:i/>
          <w:szCs w:val="18"/>
        </w:rPr>
        <w:t>National Survey of Australian Volunteers from Diverse Cultural and Linguistic Backgrounds</w:t>
      </w:r>
      <w:r w:rsidRPr="00C5547E">
        <w:rPr>
          <w:szCs w:val="18"/>
        </w:rPr>
        <w:t>, Commonwealth of Australia, viewed 3 April 2011, &lt;</w:t>
      </w:r>
      <w:hyperlink r:id="rId41" w:history="1">
        <w:r w:rsidR="003F55AB" w:rsidRPr="009430D8">
          <w:rPr>
            <w:rStyle w:val="Hyperlink"/>
            <w:sz w:val="18"/>
            <w:szCs w:val="18"/>
          </w:rPr>
          <w:t>http://www.volunteeringaustralia.org/ files/BRTVP4DHB8/CALD%20National%20Survey%20final%20report%20with%20cover.pdf</w:t>
        </w:r>
      </w:hyperlink>
      <w:r w:rsidRPr="00C5547E">
        <w:rPr>
          <w:szCs w:val="18"/>
        </w:rPr>
        <w:t xml:space="preserve">&gt;.  </w:t>
      </w:r>
    </w:p>
    <w:p w:rsidR="001956F7" w:rsidRPr="00C5547E" w:rsidRDefault="001956F7" w:rsidP="001956F7">
      <w:pPr>
        <w:pStyle w:val="References"/>
        <w:rPr>
          <w:szCs w:val="18"/>
        </w:rPr>
      </w:pPr>
      <w:r w:rsidRPr="00C5547E">
        <w:rPr>
          <w:szCs w:val="18"/>
        </w:rPr>
        <w:t xml:space="preserve">——2010, </w:t>
      </w:r>
      <w:r w:rsidRPr="00C5547E">
        <w:rPr>
          <w:i/>
          <w:szCs w:val="18"/>
        </w:rPr>
        <w:t>National Survey of Volunteering Issues</w:t>
      </w:r>
      <w:r w:rsidRPr="00C5547E">
        <w:rPr>
          <w:szCs w:val="18"/>
        </w:rPr>
        <w:t>, viewed 3 April 2011, &lt;</w:t>
      </w:r>
      <w:hyperlink w:history="1">
        <w:r w:rsidR="003F55AB" w:rsidRPr="009430D8">
          <w:rPr>
            <w:rStyle w:val="Hyperlink"/>
            <w:sz w:val="18"/>
            <w:szCs w:val="18"/>
          </w:rPr>
          <w:t xml:space="preserve">http://www.volunteeringaustralia. </w:t>
        </w:r>
        <w:proofErr w:type="gramStart"/>
        <w:r w:rsidR="003F55AB" w:rsidRPr="009430D8">
          <w:rPr>
            <w:rStyle w:val="Hyperlink"/>
            <w:sz w:val="18"/>
            <w:szCs w:val="18"/>
          </w:rPr>
          <w:t>org/files/VXN9WD0EWD/NationalSurvey10_web_final.pdf</w:t>
        </w:r>
      </w:hyperlink>
      <w:r w:rsidRPr="00C5547E">
        <w:rPr>
          <w:szCs w:val="18"/>
        </w:rPr>
        <w:t>&gt;.</w:t>
      </w:r>
      <w:proofErr w:type="gramEnd"/>
      <w:r w:rsidRPr="00C5547E">
        <w:rPr>
          <w:szCs w:val="18"/>
        </w:rPr>
        <w:t xml:space="preserve"> </w:t>
      </w:r>
    </w:p>
    <w:p w:rsidR="001956F7" w:rsidRPr="00C5547E" w:rsidRDefault="001956F7" w:rsidP="001956F7">
      <w:pPr>
        <w:pStyle w:val="References"/>
        <w:rPr>
          <w:i/>
          <w:szCs w:val="18"/>
        </w:rPr>
      </w:pPr>
      <w:r w:rsidRPr="00C5547E">
        <w:rPr>
          <w:szCs w:val="18"/>
        </w:rPr>
        <w:t>Walker, J 2005 ‘Are they as satisfied as we think they are? Comparing staff estimates and client ratings of service quality in New Zealand English language centres’</w:t>
      </w:r>
      <w:r w:rsidRPr="00C5547E">
        <w:rPr>
          <w:i/>
          <w:szCs w:val="18"/>
        </w:rPr>
        <w:t xml:space="preserve">, Prospect, </w:t>
      </w:r>
      <w:r w:rsidRPr="00C5547E">
        <w:rPr>
          <w:szCs w:val="18"/>
        </w:rPr>
        <w:t>vol.20, no.2, pp.3—18.</w:t>
      </w:r>
    </w:p>
    <w:p w:rsidR="001956F7" w:rsidRPr="00C5547E" w:rsidRDefault="00EC7AE7" w:rsidP="001956F7">
      <w:pPr>
        <w:pStyle w:val="References"/>
        <w:rPr>
          <w:szCs w:val="18"/>
        </w:rPr>
      </w:pPr>
      <w:hyperlink r:id="rId42" w:tgtFrame="_top" w:history="1">
        <w:proofErr w:type="gramStart"/>
        <w:r w:rsidR="001956F7" w:rsidRPr="00C5547E">
          <w:rPr>
            <w:i/>
            <w:szCs w:val="18"/>
          </w:rPr>
          <w:t>Webster's New World College Dictionary</w:t>
        </w:r>
      </w:hyperlink>
      <w:r w:rsidR="001956F7" w:rsidRPr="00C5547E">
        <w:rPr>
          <w:szCs w:val="18"/>
        </w:rPr>
        <w:t xml:space="preserve"> 2010, Wiley Publishing, Cleveland, Ohio.</w:t>
      </w:r>
      <w:proofErr w:type="gramEnd"/>
      <w:r w:rsidR="001956F7" w:rsidRPr="00C5547E">
        <w:rPr>
          <w:szCs w:val="18"/>
        </w:rPr>
        <w:t xml:space="preserve"> </w:t>
      </w:r>
    </w:p>
    <w:p w:rsidR="001956F7" w:rsidRPr="00C5547E" w:rsidRDefault="001956F7" w:rsidP="001956F7">
      <w:pPr>
        <w:pStyle w:val="References"/>
        <w:rPr>
          <w:rFonts w:cs="Arial"/>
          <w:szCs w:val="18"/>
        </w:rPr>
      </w:pPr>
      <w:r w:rsidRPr="00C5547E">
        <w:rPr>
          <w:rFonts w:cs="Arial"/>
          <w:szCs w:val="18"/>
        </w:rPr>
        <w:t xml:space="preserve">White, C, Watts, N &amp; </w:t>
      </w:r>
      <w:proofErr w:type="spellStart"/>
      <w:r w:rsidRPr="00C5547E">
        <w:rPr>
          <w:rFonts w:cs="Arial"/>
          <w:szCs w:val="18"/>
        </w:rPr>
        <w:t>Trlin</w:t>
      </w:r>
      <w:proofErr w:type="spellEnd"/>
      <w:r w:rsidRPr="00C5547E">
        <w:rPr>
          <w:rFonts w:cs="Arial"/>
          <w:szCs w:val="18"/>
        </w:rPr>
        <w:t xml:space="preserve">, A 2002, ‘New Zealand as an English-language learning environment: immigrant experiences, provider perspectives and social policy implications’, </w:t>
      </w:r>
      <w:r w:rsidRPr="00C5547E">
        <w:rPr>
          <w:rFonts w:cs="Arial"/>
          <w:i/>
          <w:szCs w:val="18"/>
        </w:rPr>
        <w:t>Social Policy Journal of New Zealand</w:t>
      </w:r>
      <w:r w:rsidRPr="00C5547E">
        <w:rPr>
          <w:rFonts w:cs="Arial"/>
          <w:szCs w:val="18"/>
        </w:rPr>
        <w:t xml:space="preserve">, viewed 3 April 2011, </w:t>
      </w:r>
      <w:r w:rsidRPr="00C5547E">
        <w:rPr>
          <w:szCs w:val="18"/>
        </w:rPr>
        <w:t>&lt;</w:t>
      </w:r>
      <w:hyperlink r:id="rId43" w:history="1">
        <w:r w:rsidRPr="00C5547E">
          <w:rPr>
            <w:rStyle w:val="Hyperlink"/>
            <w:rFonts w:cs="Arial"/>
            <w:sz w:val="18"/>
            <w:szCs w:val="18"/>
          </w:rPr>
          <w:t>http://www.msd.govt.nz/documents/about-msd-and-our-work/publications-resources/journals-and-magazines/social-policy-journal/spj18/18-pages148-162.pdf</w:t>
        </w:r>
      </w:hyperlink>
      <w:r w:rsidRPr="00C5547E">
        <w:rPr>
          <w:szCs w:val="18"/>
        </w:rPr>
        <w:t>&gt;.</w:t>
      </w:r>
      <w:r w:rsidRPr="00C5547E">
        <w:rPr>
          <w:rFonts w:cs="Arial"/>
          <w:szCs w:val="18"/>
        </w:rPr>
        <w:t xml:space="preserve"> </w:t>
      </w:r>
    </w:p>
    <w:p w:rsidR="001956F7" w:rsidRDefault="001956F7" w:rsidP="001956F7">
      <w:pPr>
        <w:pStyle w:val="References"/>
        <w:rPr>
          <w:szCs w:val="18"/>
        </w:rPr>
      </w:pPr>
      <w:r w:rsidRPr="00C5547E">
        <w:rPr>
          <w:szCs w:val="18"/>
        </w:rPr>
        <w:t xml:space="preserve">Wigglesworth, G (ed.) 2003, </w:t>
      </w:r>
      <w:proofErr w:type="gramStart"/>
      <w:r w:rsidRPr="00C5547E">
        <w:rPr>
          <w:i/>
          <w:szCs w:val="18"/>
        </w:rPr>
        <w:t>The</w:t>
      </w:r>
      <w:proofErr w:type="gramEnd"/>
      <w:r w:rsidRPr="00C5547E">
        <w:rPr>
          <w:i/>
          <w:szCs w:val="18"/>
        </w:rPr>
        <w:t xml:space="preserve"> kaleidoscope of adult second language learning: </w:t>
      </w:r>
      <w:r w:rsidR="00462076">
        <w:rPr>
          <w:i/>
          <w:szCs w:val="18"/>
        </w:rPr>
        <w:t>l</w:t>
      </w:r>
      <w:r w:rsidRPr="00C5547E">
        <w:rPr>
          <w:i/>
          <w:szCs w:val="18"/>
        </w:rPr>
        <w:t>earner, teacher and researcher perspectives</w:t>
      </w:r>
      <w:r w:rsidRPr="00C5547E">
        <w:rPr>
          <w:szCs w:val="18"/>
        </w:rPr>
        <w:t>, National Centre for English Language Teaching and Research, Sydney.</w:t>
      </w:r>
    </w:p>
    <w:p w:rsidR="003F55AB" w:rsidRDefault="003F55AB">
      <w:pPr>
        <w:spacing w:before="0" w:line="240" w:lineRule="auto"/>
        <w:rPr>
          <w:sz w:val="18"/>
          <w:szCs w:val="18"/>
        </w:rPr>
      </w:pPr>
      <w:r>
        <w:rPr>
          <w:szCs w:val="18"/>
        </w:rPr>
        <w:br w:type="page"/>
      </w:r>
    </w:p>
    <w:p w:rsidR="001956F7" w:rsidRPr="005940BF" w:rsidRDefault="001956F7" w:rsidP="003F55AB">
      <w:pPr>
        <w:pStyle w:val="Heading1"/>
      </w:pPr>
      <w:bookmarkStart w:id="82" w:name="_Toc305074178"/>
      <w:bookmarkStart w:id="83" w:name="_Toc309645501"/>
      <w:r w:rsidRPr="00E952E1">
        <w:lastRenderedPageBreak/>
        <w:t>Append</w:t>
      </w:r>
      <w:r>
        <w:t>ix</w:t>
      </w:r>
      <w:r w:rsidRPr="00C62EDA">
        <w:t xml:space="preserve"> 1</w:t>
      </w:r>
      <w:bookmarkEnd w:id="82"/>
      <w:bookmarkEnd w:id="83"/>
    </w:p>
    <w:p w:rsidR="001956F7" w:rsidRPr="00AF1F5B" w:rsidRDefault="001956F7" w:rsidP="003F55AB">
      <w:pPr>
        <w:pStyle w:val="tabletitle"/>
        <w:rPr>
          <w:szCs w:val="28"/>
        </w:rPr>
      </w:pPr>
      <w:bookmarkStart w:id="84" w:name="_Toc305074185"/>
      <w:bookmarkStart w:id="85" w:name="_Toc309645549"/>
      <w:r>
        <w:rPr>
          <w:rFonts w:eastAsia="Arial Unicode MS"/>
        </w:rPr>
        <w:t>Table A.1</w:t>
      </w:r>
      <w:r>
        <w:rPr>
          <w:rFonts w:eastAsia="Arial Unicode MS"/>
        </w:rPr>
        <w:tab/>
      </w:r>
      <w:r w:rsidRPr="00AF1F5B">
        <w:rPr>
          <w:rFonts w:eastAsia="Arial Unicode MS"/>
        </w:rPr>
        <w:t xml:space="preserve">Surveyed migrants’ </w:t>
      </w:r>
      <w:r w:rsidRPr="003F55AB">
        <w:rPr>
          <w:rFonts w:eastAsia="Arial Unicode MS"/>
        </w:rPr>
        <w:t>countries</w:t>
      </w:r>
      <w:r w:rsidRPr="00AF1F5B">
        <w:rPr>
          <w:rFonts w:eastAsia="Arial Unicode MS"/>
        </w:rPr>
        <w:t xml:space="preserve"> of birth</w:t>
      </w:r>
      <w:bookmarkEnd w:id="84"/>
      <w:bookmarkEnd w:id="85"/>
    </w:p>
    <w:tbl>
      <w:tblPr>
        <w:tblW w:w="6804" w:type="dxa"/>
        <w:tblInd w:w="108" w:type="dxa"/>
        <w:tblBorders>
          <w:top w:val="single" w:sz="4" w:space="0" w:color="auto"/>
          <w:bottom w:val="single" w:sz="4" w:space="0" w:color="auto"/>
        </w:tblBorders>
        <w:tblLayout w:type="fixed"/>
        <w:tblLook w:val="0000"/>
      </w:tblPr>
      <w:tblGrid>
        <w:gridCol w:w="1985"/>
        <w:gridCol w:w="1204"/>
        <w:gridCol w:w="1205"/>
        <w:gridCol w:w="1205"/>
        <w:gridCol w:w="1205"/>
      </w:tblGrid>
      <w:tr w:rsidR="001956F7" w:rsidRPr="003F55AB" w:rsidTr="003F55AB">
        <w:tc>
          <w:tcPr>
            <w:tcW w:w="1985" w:type="dxa"/>
            <w:tcBorders>
              <w:top w:val="single" w:sz="4" w:space="0" w:color="auto"/>
              <w:bottom w:val="nil"/>
              <w:right w:val="nil"/>
            </w:tcBorders>
          </w:tcPr>
          <w:p w:rsidR="001956F7" w:rsidRPr="003F55AB" w:rsidRDefault="001956F7" w:rsidP="003F55AB">
            <w:pPr>
              <w:pStyle w:val="Tablehead1"/>
            </w:pPr>
            <w:r w:rsidRPr="003F55AB">
              <w:t>Country of Birth</w:t>
            </w:r>
          </w:p>
        </w:tc>
        <w:tc>
          <w:tcPr>
            <w:tcW w:w="2409" w:type="dxa"/>
            <w:gridSpan w:val="2"/>
            <w:tcBorders>
              <w:top w:val="single" w:sz="4" w:space="0" w:color="auto"/>
              <w:left w:val="nil"/>
              <w:bottom w:val="nil"/>
              <w:right w:val="nil"/>
            </w:tcBorders>
          </w:tcPr>
          <w:p w:rsidR="001956F7" w:rsidRPr="003F55AB" w:rsidRDefault="001956F7" w:rsidP="003F55AB">
            <w:pPr>
              <w:pStyle w:val="Tablehead1"/>
              <w:jc w:val="center"/>
            </w:pPr>
            <w:r w:rsidRPr="003F55AB">
              <w:t>Gender</w:t>
            </w:r>
          </w:p>
        </w:tc>
        <w:tc>
          <w:tcPr>
            <w:tcW w:w="2410" w:type="dxa"/>
            <w:gridSpan w:val="2"/>
            <w:tcBorders>
              <w:top w:val="single" w:sz="4" w:space="0" w:color="auto"/>
              <w:left w:val="nil"/>
              <w:bottom w:val="nil"/>
            </w:tcBorders>
          </w:tcPr>
          <w:p w:rsidR="001956F7" w:rsidRPr="003F55AB" w:rsidRDefault="001956F7" w:rsidP="003F55AB">
            <w:pPr>
              <w:pStyle w:val="Tablehead1"/>
              <w:jc w:val="center"/>
            </w:pPr>
            <w:r w:rsidRPr="003F55AB">
              <w:t>Total</w:t>
            </w:r>
          </w:p>
        </w:tc>
      </w:tr>
      <w:tr w:rsidR="001956F7" w:rsidTr="003F55AB">
        <w:tc>
          <w:tcPr>
            <w:tcW w:w="1985" w:type="dxa"/>
            <w:tcBorders>
              <w:top w:val="nil"/>
              <w:bottom w:val="single" w:sz="4" w:space="0" w:color="auto"/>
              <w:right w:val="nil"/>
            </w:tcBorders>
          </w:tcPr>
          <w:p w:rsidR="001956F7" w:rsidRDefault="001956F7" w:rsidP="003F55AB">
            <w:pPr>
              <w:pStyle w:val="Tablehead2"/>
            </w:pPr>
          </w:p>
        </w:tc>
        <w:tc>
          <w:tcPr>
            <w:tcW w:w="1204" w:type="dxa"/>
            <w:tcBorders>
              <w:top w:val="nil"/>
              <w:left w:val="nil"/>
              <w:bottom w:val="single" w:sz="4" w:space="0" w:color="auto"/>
              <w:right w:val="nil"/>
            </w:tcBorders>
          </w:tcPr>
          <w:p w:rsidR="001956F7" w:rsidRPr="009F5115" w:rsidRDefault="001956F7" w:rsidP="003F55AB">
            <w:pPr>
              <w:pStyle w:val="Tablehead2"/>
              <w:jc w:val="center"/>
            </w:pPr>
            <w:r w:rsidRPr="009F5115">
              <w:t>Female</w:t>
            </w:r>
          </w:p>
        </w:tc>
        <w:tc>
          <w:tcPr>
            <w:tcW w:w="1205" w:type="dxa"/>
            <w:tcBorders>
              <w:top w:val="nil"/>
              <w:left w:val="nil"/>
              <w:bottom w:val="single" w:sz="4" w:space="0" w:color="auto"/>
              <w:right w:val="nil"/>
            </w:tcBorders>
          </w:tcPr>
          <w:p w:rsidR="001956F7" w:rsidRPr="009F5115" w:rsidRDefault="001956F7" w:rsidP="003F55AB">
            <w:pPr>
              <w:pStyle w:val="Tablehead2"/>
              <w:jc w:val="center"/>
            </w:pPr>
            <w:r w:rsidRPr="009F5115">
              <w:t>Male</w:t>
            </w:r>
          </w:p>
        </w:tc>
        <w:tc>
          <w:tcPr>
            <w:tcW w:w="1205" w:type="dxa"/>
            <w:tcBorders>
              <w:top w:val="nil"/>
              <w:left w:val="nil"/>
              <w:bottom w:val="single" w:sz="4" w:space="0" w:color="auto"/>
              <w:right w:val="nil"/>
            </w:tcBorders>
          </w:tcPr>
          <w:p w:rsidR="001956F7" w:rsidRPr="009F5115" w:rsidRDefault="001956F7" w:rsidP="003F55AB">
            <w:pPr>
              <w:pStyle w:val="Tablehead2"/>
              <w:jc w:val="center"/>
            </w:pPr>
            <w:r w:rsidRPr="009F5115">
              <w:t>Number</w:t>
            </w:r>
          </w:p>
        </w:tc>
        <w:tc>
          <w:tcPr>
            <w:tcW w:w="1205" w:type="dxa"/>
            <w:tcBorders>
              <w:top w:val="nil"/>
              <w:left w:val="nil"/>
              <w:bottom w:val="single" w:sz="4" w:space="0" w:color="auto"/>
            </w:tcBorders>
          </w:tcPr>
          <w:p w:rsidR="001956F7" w:rsidRPr="009F5115" w:rsidRDefault="001956F7" w:rsidP="003F55AB">
            <w:pPr>
              <w:pStyle w:val="Tablehead2"/>
              <w:jc w:val="center"/>
            </w:pPr>
            <w:r w:rsidRPr="009F5115">
              <w:t>%</w:t>
            </w:r>
          </w:p>
        </w:tc>
      </w:tr>
      <w:tr w:rsidR="001956F7" w:rsidRPr="003F55AB" w:rsidTr="003F55AB">
        <w:tc>
          <w:tcPr>
            <w:tcW w:w="1985" w:type="dxa"/>
            <w:tcBorders>
              <w:top w:val="nil"/>
              <w:bottom w:val="nil"/>
              <w:right w:val="nil"/>
            </w:tcBorders>
          </w:tcPr>
          <w:p w:rsidR="001956F7" w:rsidRPr="003F55AB" w:rsidRDefault="001956F7" w:rsidP="003F55AB">
            <w:pPr>
              <w:pStyle w:val="Tabletext"/>
            </w:pPr>
            <w:r w:rsidRPr="003F55AB">
              <w:t>China</w:t>
            </w:r>
          </w:p>
        </w:tc>
        <w:tc>
          <w:tcPr>
            <w:tcW w:w="1204" w:type="dxa"/>
            <w:tcBorders>
              <w:top w:val="nil"/>
              <w:left w:val="nil"/>
              <w:bottom w:val="nil"/>
              <w:right w:val="nil"/>
            </w:tcBorders>
          </w:tcPr>
          <w:p w:rsidR="001956F7" w:rsidRPr="003F55AB" w:rsidRDefault="001956F7" w:rsidP="003F55AB">
            <w:pPr>
              <w:pStyle w:val="Tabletext"/>
              <w:tabs>
                <w:tab w:val="decimal" w:pos="567"/>
              </w:tabs>
            </w:pPr>
            <w:r w:rsidRPr="003F55AB">
              <w:t>20</w:t>
            </w:r>
          </w:p>
        </w:tc>
        <w:tc>
          <w:tcPr>
            <w:tcW w:w="1205" w:type="dxa"/>
            <w:tcBorders>
              <w:top w:val="nil"/>
              <w:left w:val="nil"/>
              <w:bottom w:val="nil"/>
              <w:right w:val="nil"/>
            </w:tcBorders>
          </w:tcPr>
          <w:p w:rsidR="001956F7" w:rsidRPr="003F55AB" w:rsidRDefault="001956F7" w:rsidP="003F55AB">
            <w:pPr>
              <w:pStyle w:val="Tabletext"/>
              <w:tabs>
                <w:tab w:val="decimal" w:pos="539"/>
              </w:tabs>
            </w:pPr>
            <w:r w:rsidRPr="003F55AB">
              <w:t>7</w:t>
            </w:r>
          </w:p>
        </w:tc>
        <w:tc>
          <w:tcPr>
            <w:tcW w:w="1205" w:type="dxa"/>
            <w:tcBorders>
              <w:top w:val="nil"/>
              <w:left w:val="nil"/>
              <w:bottom w:val="nil"/>
              <w:right w:val="nil"/>
            </w:tcBorders>
          </w:tcPr>
          <w:p w:rsidR="001956F7" w:rsidRPr="003F55AB" w:rsidRDefault="001956F7" w:rsidP="003F55AB">
            <w:pPr>
              <w:pStyle w:val="Tabletext"/>
              <w:tabs>
                <w:tab w:val="decimal" w:pos="567"/>
              </w:tabs>
            </w:pPr>
            <w:r w:rsidRPr="003F55AB">
              <w:t>27</w:t>
            </w:r>
          </w:p>
        </w:tc>
        <w:tc>
          <w:tcPr>
            <w:tcW w:w="1205" w:type="dxa"/>
            <w:tcBorders>
              <w:top w:val="nil"/>
              <w:left w:val="nil"/>
              <w:bottom w:val="nil"/>
            </w:tcBorders>
          </w:tcPr>
          <w:p w:rsidR="001956F7" w:rsidRPr="003F55AB" w:rsidRDefault="001956F7" w:rsidP="003F55AB">
            <w:pPr>
              <w:pStyle w:val="Tabletext"/>
              <w:tabs>
                <w:tab w:val="decimal" w:pos="510"/>
              </w:tabs>
            </w:pPr>
            <w:r w:rsidRPr="003F55AB">
              <w:t>44.2</w:t>
            </w:r>
          </w:p>
        </w:tc>
      </w:tr>
      <w:tr w:rsidR="001956F7" w:rsidRPr="003F55AB" w:rsidTr="003F55AB">
        <w:tc>
          <w:tcPr>
            <w:tcW w:w="1985" w:type="dxa"/>
            <w:tcBorders>
              <w:top w:val="nil"/>
              <w:bottom w:val="nil"/>
              <w:right w:val="nil"/>
            </w:tcBorders>
          </w:tcPr>
          <w:p w:rsidR="001956F7" w:rsidRPr="003F55AB" w:rsidRDefault="001956F7" w:rsidP="003F55AB">
            <w:pPr>
              <w:pStyle w:val="Tabletext"/>
            </w:pPr>
            <w:r w:rsidRPr="003F55AB">
              <w:t>Korea</w:t>
            </w:r>
          </w:p>
        </w:tc>
        <w:tc>
          <w:tcPr>
            <w:tcW w:w="1204" w:type="dxa"/>
            <w:tcBorders>
              <w:top w:val="nil"/>
              <w:left w:val="nil"/>
              <w:bottom w:val="nil"/>
              <w:right w:val="nil"/>
            </w:tcBorders>
          </w:tcPr>
          <w:p w:rsidR="001956F7" w:rsidRPr="003F55AB" w:rsidRDefault="001956F7" w:rsidP="003F55AB">
            <w:pPr>
              <w:pStyle w:val="Tabletext"/>
              <w:tabs>
                <w:tab w:val="decimal" w:pos="567"/>
              </w:tabs>
            </w:pPr>
            <w:r w:rsidRPr="003F55AB">
              <w:t>9</w:t>
            </w:r>
          </w:p>
        </w:tc>
        <w:tc>
          <w:tcPr>
            <w:tcW w:w="1205" w:type="dxa"/>
            <w:tcBorders>
              <w:top w:val="nil"/>
              <w:left w:val="nil"/>
              <w:bottom w:val="nil"/>
              <w:right w:val="nil"/>
            </w:tcBorders>
          </w:tcPr>
          <w:p w:rsidR="001956F7" w:rsidRPr="003F55AB" w:rsidRDefault="001956F7" w:rsidP="003F55AB">
            <w:pPr>
              <w:pStyle w:val="Tabletext"/>
              <w:tabs>
                <w:tab w:val="decimal" w:pos="539"/>
              </w:tabs>
            </w:pPr>
            <w:r w:rsidRPr="003F55AB">
              <w:t>1</w:t>
            </w:r>
          </w:p>
        </w:tc>
        <w:tc>
          <w:tcPr>
            <w:tcW w:w="1205" w:type="dxa"/>
            <w:tcBorders>
              <w:top w:val="nil"/>
              <w:left w:val="nil"/>
              <w:bottom w:val="nil"/>
              <w:right w:val="nil"/>
            </w:tcBorders>
          </w:tcPr>
          <w:p w:rsidR="001956F7" w:rsidRPr="003F55AB" w:rsidRDefault="001956F7" w:rsidP="003F55AB">
            <w:pPr>
              <w:pStyle w:val="Tabletext"/>
              <w:tabs>
                <w:tab w:val="decimal" w:pos="567"/>
              </w:tabs>
            </w:pPr>
            <w:r w:rsidRPr="003F55AB">
              <w:t>10</w:t>
            </w:r>
          </w:p>
        </w:tc>
        <w:tc>
          <w:tcPr>
            <w:tcW w:w="1205" w:type="dxa"/>
            <w:tcBorders>
              <w:top w:val="nil"/>
              <w:left w:val="nil"/>
              <w:bottom w:val="nil"/>
            </w:tcBorders>
          </w:tcPr>
          <w:p w:rsidR="001956F7" w:rsidRPr="003F55AB" w:rsidRDefault="001956F7" w:rsidP="003F55AB">
            <w:pPr>
              <w:pStyle w:val="Tabletext"/>
              <w:tabs>
                <w:tab w:val="decimal" w:pos="510"/>
              </w:tabs>
            </w:pPr>
            <w:r w:rsidRPr="003F55AB">
              <w:t>16.4</w:t>
            </w:r>
          </w:p>
        </w:tc>
      </w:tr>
      <w:tr w:rsidR="001956F7" w:rsidRPr="003F55AB" w:rsidTr="003F55AB">
        <w:tc>
          <w:tcPr>
            <w:tcW w:w="1985" w:type="dxa"/>
            <w:tcBorders>
              <w:top w:val="nil"/>
              <w:bottom w:val="nil"/>
              <w:right w:val="nil"/>
            </w:tcBorders>
          </w:tcPr>
          <w:p w:rsidR="001956F7" w:rsidRPr="003F55AB" w:rsidRDefault="001956F7" w:rsidP="003F55AB">
            <w:pPr>
              <w:pStyle w:val="Tabletext"/>
            </w:pPr>
            <w:r w:rsidRPr="003F55AB">
              <w:t>Vietnam</w:t>
            </w:r>
          </w:p>
        </w:tc>
        <w:tc>
          <w:tcPr>
            <w:tcW w:w="1204" w:type="dxa"/>
            <w:tcBorders>
              <w:top w:val="nil"/>
              <w:left w:val="nil"/>
              <w:bottom w:val="nil"/>
              <w:right w:val="nil"/>
            </w:tcBorders>
          </w:tcPr>
          <w:p w:rsidR="001956F7" w:rsidRPr="003F55AB" w:rsidRDefault="001956F7" w:rsidP="003F55AB">
            <w:pPr>
              <w:pStyle w:val="Tabletext"/>
              <w:tabs>
                <w:tab w:val="decimal" w:pos="567"/>
              </w:tabs>
            </w:pPr>
            <w:r w:rsidRPr="003F55AB">
              <w:t>4</w:t>
            </w:r>
          </w:p>
        </w:tc>
        <w:tc>
          <w:tcPr>
            <w:tcW w:w="1205" w:type="dxa"/>
            <w:tcBorders>
              <w:top w:val="nil"/>
              <w:left w:val="nil"/>
              <w:bottom w:val="nil"/>
              <w:right w:val="nil"/>
            </w:tcBorders>
          </w:tcPr>
          <w:p w:rsidR="001956F7" w:rsidRPr="003F55AB" w:rsidRDefault="001956F7" w:rsidP="003F55AB">
            <w:pPr>
              <w:pStyle w:val="Tabletext"/>
              <w:tabs>
                <w:tab w:val="decimal" w:pos="539"/>
              </w:tabs>
            </w:pPr>
            <w:r w:rsidRPr="003F55AB">
              <w:t>0</w:t>
            </w:r>
          </w:p>
        </w:tc>
        <w:tc>
          <w:tcPr>
            <w:tcW w:w="1205" w:type="dxa"/>
            <w:tcBorders>
              <w:top w:val="nil"/>
              <w:left w:val="nil"/>
              <w:bottom w:val="nil"/>
              <w:right w:val="nil"/>
            </w:tcBorders>
          </w:tcPr>
          <w:p w:rsidR="001956F7" w:rsidRPr="003F55AB" w:rsidRDefault="001956F7" w:rsidP="003F55AB">
            <w:pPr>
              <w:pStyle w:val="Tabletext"/>
              <w:tabs>
                <w:tab w:val="decimal" w:pos="567"/>
              </w:tabs>
            </w:pPr>
            <w:r w:rsidRPr="003F55AB">
              <w:t>4</w:t>
            </w:r>
          </w:p>
        </w:tc>
        <w:tc>
          <w:tcPr>
            <w:tcW w:w="1205" w:type="dxa"/>
            <w:tcBorders>
              <w:top w:val="nil"/>
              <w:left w:val="nil"/>
              <w:bottom w:val="nil"/>
            </w:tcBorders>
          </w:tcPr>
          <w:p w:rsidR="001956F7" w:rsidRPr="003F55AB" w:rsidRDefault="001956F7" w:rsidP="003F55AB">
            <w:pPr>
              <w:pStyle w:val="Tabletext"/>
              <w:tabs>
                <w:tab w:val="decimal" w:pos="510"/>
              </w:tabs>
            </w:pPr>
            <w:r w:rsidRPr="003F55AB">
              <w:t>6.6</w:t>
            </w:r>
          </w:p>
        </w:tc>
      </w:tr>
      <w:tr w:rsidR="001956F7" w:rsidRPr="003F55AB" w:rsidTr="003F55AB">
        <w:tc>
          <w:tcPr>
            <w:tcW w:w="1985" w:type="dxa"/>
            <w:tcBorders>
              <w:top w:val="nil"/>
              <w:bottom w:val="nil"/>
              <w:right w:val="nil"/>
            </w:tcBorders>
          </w:tcPr>
          <w:p w:rsidR="001956F7" w:rsidRPr="003F55AB" w:rsidRDefault="001956F7" w:rsidP="003F55AB">
            <w:pPr>
              <w:pStyle w:val="Tabletext"/>
            </w:pPr>
            <w:r w:rsidRPr="003F55AB">
              <w:t>Cambodia</w:t>
            </w:r>
          </w:p>
        </w:tc>
        <w:tc>
          <w:tcPr>
            <w:tcW w:w="1204" w:type="dxa"/>
            <w:tcBorders>
              <w:top w:val="nil"/>
              <w:left w:val="nil"/>
              <w:bottom w:val="nil"/>
              <w:right w:val="nil"/>
            </w:tcBorders>
          </w:tcPr>
          <w:p w:rsidR="001956F7" w:rsidRPr="003F55AB" w:rsidRDefault="001956F7" w:rsidP="003F55AB">
            <w:pPr>
              <w:pStyle w:val="Tabletext"/>
              <w:tabs>
                <w:tab w:val="decimal" w:pos="567"/>
              </w:tabs>
            </w:pPr>
            <w:r w:rsidRPr="003F55AB">
              <w:t>2</w:t>
            </w:r>
          </w:p>
        </w:tc>
        <w:tc>
          <w:tcPr>
            <w:tcW w:w="1205" w:type="dxa"/>
            <w:tcBorders>
              <w:top w:val="nil"/>
              <w:left w:val="nil"/>
              <w:bottom w:val="nil"/>
              <w:right w:val="nil"/>
            </w:tcBorders>
          </w:tcPr>
          <w:p w:rsidR="001956F7" w:rsidRPr="003F55AB" w:rsidRDefault="001956F7" w:rsidP="003F55AB">
            <w:pPr>
              <w:pStyle w:val="Tabletext"/>
              <w:tabs>
                <w:tab w:val="decimal" w:pos="539"/>
              </w:tabs>
            </w:pPr>
            <w:r w:rsidRPr="003F55AB">
              <w:t>2</w:t>
            </w:r>
          </w:p>
        </w:tc>
        <w:tc>
          <w:tcPr>
            <w:tcW w:w="1205" w:type="dxa"/>
            <w:tcBorders>
              <w:top w:val="nil"/>
              <w:left w:val="nil"/>
              <w:bottom w:val="nil"/>
              <w:right w:val="nil"/>
            </w:tcBorders>
          </w:tcPr>
          <w:p w:rsidR="001956F7" w:rsidRPr="003F55AB" w:rsidRDefault="001956F7" w:rsidP="003F55AB">
            <w:pPr>
              <w:pStyle w:val="Tabletext"/>
              <w:tabs>
                <w:tab w:val="decimal" w:pos="567"/>
              </w:tabs>
            </w:pPr>
            <w:r w:rsidRPr="003F55AB">
              <w:t>4</w:t>
            </w:r>
          </w:p>
        </w:tc>
        <w:tc>
          <w:tcPr>
            <w:tcW w:w="1205" w:type="dxa"/>
            <w:tcBorders>
              <w:top w:val="nil"/>
              <w:left w:val="nil"/>
              <w:bottom w:val="nil"/>
            </w:tcBorders>
          </w:tcPr>
          <w:p w:rsidR="001956F7" w:rsidRPr="003F55AB" w:rsidRDefault="001956F7" w:rsidP="003F55AB">
            <w:pPr>
              <w:pStyle w:val="Tabletext"/>
              <w:tabs>
                <w:tab w:val="decimal" w:pos="510"/>
              </w:tabs>
            </w:pPr>
            <w:r w:rsidRPr="003F55AB">
              <w:t>6.6</w:t>
            </w:r>
          </w:p>
        </w:tc>
      </w:tr>
      <w:tr w:rsidR="001956F7" w:rsidRPr="003F55AB" w:rsidTr="003F55AB">
        <w:tc>
          <w:tcPr>
            <w:tcW w:w="1985" w:type="dxa"/>
            <w:tcBorders>
              <w:top w:val="nil"/>
              <w:bottom w:val="nil"/>
              <w:right w:val="nil"/>
            </w:tcBorders>
          </w:tcPr>
          <w:p w:rsidR="001956F7" w:rsidRPr="003F55AB" w:rsidRDefault="001956F7" w:rsidP="003F55AB">
            <w:pPr>
              <w:pStyle w:val="Tabletext"/>
            </w:pPr>
            <w:r w:rsidRPr="003F55AB">
              <w:t>Russia</w:t>
            </w:r>
          </w:p>
        </w:tc>
        <w:tc>
          <w:tcPr>
            <w:tcW w:w="1204" w:type="dxa"/>
            <w:tcBorders>
              <w:top w:val="nil"/>
              <w:left w:val="nil"/>
              <w:bottom w:val="nil"/>
              <w:right w:val="nil"/>
            </w:tcBorders>
          </w:tcPr>
          <w:p w:rsidR="001956F7" w:rsidRPr="003F55AB" w:rsidRDefault="001956F7" w:rsidP="003F55AB">
            <w:pPr>
              <w:pStyle w:val="Tabletext"/>
              <w:tabs>
                <w:tab w:val="decimal" w:pos="567"/>
              </w:tabs>
            </w:pPr>
            <w:r w:rsidRPr="003F55AB">
              <w:t>2</w:t>
            </w:r>
          </w:p>
        </w:tc>
        <w:tc>
          <w:tcPr>
            <w:tcW w:w="1205" w:type="dxa"/>
            <w:tcBorders>
              <w:top w:val="nil"/>
              <w:left w:val="nil"/>
              <w:bottom w:val="nil"/>
              <w:right w:val="nil"/>
            </w:tcBorders>
          </w:tcPr>
          <w:p w:rsidR="001956F7" w:rsidRPr="003F55AB" w:rsidRDefault="001956F7" w:rsidP="003F55AB">
            <w:pPr>
              <w:pStyle w:val="Tabletext"/>
              <w:tabs>
                <w:tab w:val="decimal" w:pos="539"/>
              </w:tabs>
            </w:pPr>
            <w:r w:rsidRPr="003F55AB">
              <w:t>1</w:t>
            </w:r>
          </w:p>
        </w:tc>
        <w:tc>
          <w:tcPr>
            <w:tcW w:w="1205" w:type="dxa"/>
            <w:tcBorders>
              <w:top w:val="nil"/>
              <w:left w:val="nil"/>
              <w:bottom w:val="nil"/>
              <w:right w:val="nil"/>
            </w:tcBorders>
          </w:tcPr>
          <w:p w:rsidR="001956F7" w:rsidRPr="003F55AB" w:rsidRDefault="001956F7" w:rsidP="003F55AB">
            <w:pPr>
              <w:pStyle w:val="Tabletext"/>
              <w:tabs>
                <w:tab w:val="decimal" w:pos="567"/>
              </w:tabs>
            </w:pPr>
            <w:r w:rsidRPr="003F55AB">
              <w:t>3</w:t>
            </w:r>
          </w:p>
        </w:tc>
        <w:tc>
          <w:tcPr>
            <w:tcW w:w="1205" w:type="dxa"/>
            <w:tcBorders>
              <w:top w:val="nil"/>
              <w:left w:val="nil"/>
              <w:bottom w:val="nil"/>
            </w:tcBorders>
          </w:tcPr>
          <w:p w:rsidR="001956F7" w:rsidRPr="003F55AB" w:rsidRDefault="001956F7" w:rsidP="003F55AB">
            <w:pPr>
              <w:pStyle w:val="Tabletext"/>
              <w:tabs>
                <w:tab w:val="decimal" w:pos="510"/>
              </w:tabs>
            </w:pPr>
            <w:r w:rsidRPr="003F55AB">
              <w:t>4.9</w:t>
            </w:r>
          </w:p>
        </w:tc>
      </w:tr>
      <w:tr w:rsidR="001956F7" w:rsidRPr="003F55AB" w:rsidTr="003F55AB">
        <w:tc>
          <w:tcPr>
            <w:tcW w:w="1985" w:type="dxa"/>
            <w:tcBorders>
              <w:top w:val="nil"/>
              <w:bottom w:val="nil"/>
              <w:right w:val="nil"/>
            </w:tcBorders>
          </w:tcPr>
          <w:p w:rsidR="001956F7" w:rsidRPr="003F55AB" w:rsidRDefault="001956F7" w:rsidP="003F55AB">
            <w:pPr>
              <w:pStyle w:val="Tabletext"/>
            </w:pPr>
            <w:r w:rsidRPr="003F55AB">
              <w:t>Afghanistan</w:t>
            </w:r>
          </w:p>
        </w:tc>
        <w:tc>
          <w:tcPr>
            <w:tcW w:w="1204" w:type="dxa"/>
            <w:tcBorders>
              <w:top w:val="nil"/>
              <w:left w:val="nil"/>
              <w:bottom w:val="nil"/>
              <w:right w:val="nil"/>
            </w:tcBorders>
          </w:tcPr>
          <w:p w:rsidR="001956F7" w:rsidRPr="003F55AB" w:rsidRDefault="001956F7" w:rsidP="003F55AB">
            <w:pPr>
              <w:pStyle w:val="Tabletext"/>
              <w:tabs>
                <w:tab w:val="decimal" w:pos="567"/>
              </w:tabs>
            </w:pPr>
            <w:r w:rsidRPr="003F55AB">
              <w:t>1</w:t>
            </w:r>
          </w:p>
        </w:tc>
        <w:tc>
          <w:tcPr>
            <w:tcW w:w="1205" w:type="dxa"/>
            <w:tcBorders>
              <w:top w:val="nil"/>
              <w:left w:val="nil"/>
              <w:bottom w:val="nil"/>
              <w:right w:val="nil"/>
            </w:tcBorders>
          </w:tcPr>
          <w:p w:rsidR="001956F7" w:rsidRPr="003F55AB" w:rsidRDefault="001956F7" w:rsidP="003F55AB">
            <w:pPr>
              <w:pStyle w:val="Tabletext"/>
              <w:tabs>
                <w:tab w:val="decimal" w:pos="539"/>
              </w:tabs>
            </w:pPr>
            <w:r w:rsidRPr="003F55AB">
              <w:t>1</w:t>
            </w:r>
          </w:p>
        </w:tc>
        <w:tc>
          <w:tcPr>
            <w:tcW w:w="1205" w:type="dxa"/>
            <w:tcBorders>
              <w:top w:val="nil"/>
              <w:left w:val="nil"/>
              <w:bottom w:val="nil"/>
              <w:right w:val="nil"/>
            </w:tcBorders>
          </w:tcPr>
          <w:p w:rsidR="001956F7" w:rsidRPr="003F55AB" w:rsidRDefault="001956F7" w:rsidP="003F55AB">
            <w:pPr>
              <w:pStyle w:val="Tabletext"/>
              <w:tabs>
                <w:tab w:val="decimal" w:pos="567"/>
              </w:tabs>
            </w:pPr>
            <w:r w:rsidRPr="003F55AB">
              <w:t>2</w:t>
            </w:r>
          </w:p>
        </w:tc>
        <w:tc>
          <w:tcPr>
            <w:tcW w:w="1205" w:type="dxa"/>
            <w:tcBorders>
              <w:top w:val="nil"/>
              <w:left w:val="nil"/>
              <w:bottom w:val="nil"/>
            </w:tcBorders>
          </w:tcPr>
          <w:p w:rsidR="001956F7" w:rsidRPr="003F55AB" w:rsidRDefault="001956F7" w:rsidP="003F55AB">
            <w:pPr>
              <w:pStyle w:val="Tabletext"/>
              <w:tabs>
                <w:tab w:val="decimal" w:pos="510"/>
              </w:tabs>
            </w:pPr>
            <w:r w:rsidRPr="003F55AB">
              <w:t>3.3</w:t>
            </w:r>
          </w:p>
        </w:tc>
      </w:tr>
      <w:tr w:rsidR="001956F7" w:rsidRPr="003F55AB" w:rsidTr="003F55AB">
        <w:tc>
          <w:tcPr>
            <w:tcW w:w="1985" w:type="dxa"/>
            <w:tcBorders>
              <w:top w:val="nil"/>
              <w:bottom w:val="nil"/>
              <w:right w:val="nil"/>
            </w:tcBorders>
          </w:tcPr>
          <w:p w:rsidR="001956F7" w:rsidRPr="003F55AB" w:rsidRDefault="001956F7" w:rsidP="003F55AB">
            <w:pPr>
              <w:pStyle w:val="Tabletext"/>
            </w:pPr>
            <w:r w:rsidRPr="003F55AB">
              <w:t>Burma</w:t>
            </w:r>
          </w:p>
        </w:tc>
        <w:tc>
          <w:tcPr>
            <w:tcW w:w="1204" w:type="dxa"/>
            <w:tcBorders>
              <w:top w:val="nil"/>
              <w:left w:val="nil"/>
              <w:bottom w:val="nil"/>
              <w:right w:val="nil"/>
            </w:tcBorders>
          </w:tcPr>
          <w:p w:rsidR="001956F7" w:rsidRPr="003F55AB" w:rsidRDefault="001956F7" w:rsidP="003F55AB">
            <w:pPr>
              <w:pStyle w:val="Tabletext"/>
              <w:tabs>
                <w:tab w:val="decimal" w:pos="567"/>
              </w:tabs>
            </w:pPr>
            <w:r w:rsidRPr="003F55AB">
              <w:t>0</w:t>
            </w:r>
          </w:p>
        </w:tc>
        <w:tc>
          <w:tcPr>
            <w:tcW w:w="1205" w:type="dxa"/>
            <w:tcBorders>
              <w:top w:val="nil"/>
              <w:left w:val="nil"/>
              <w:bottom w:val="nil"/>
              <w:right w:val="nil"/>
            </w:tcBorders>
          </w:tcPr>
          <w:p w:rsidR="001956F7" w:rsidRPr="003F55AB" w:rsidRDefault="001956F7" w:rsidP="003F55AB">
            <w:pPr>
              <w:pStyle w:val="Tabletext"/>
              <w:tabs>
                <w:tab w:val="decimal" w:pos="539"/>
              </w:tabs>
            </w:pPr>
            <w:r w:rsidRPr="003F55AB">
              <w:t>1</w:t>
            </w:r>
          </w:p>
        </w:tc>
        <w:tc>
          <w:tcPr>
            <w:tcW w:w="1205" w:type="dxa"/>
            <w:tcBorders>
              <w:top w:val="nil"/>
              <w:left w:val="nil"/>
              <w:bottom w:val="nil"/>
              <w:right w:val="nil"/>
            </w:tcBorders>
          </w:tcPr>
          <w:p w:rsidR="001956F7" w:rsidRPr="003F55AB" w:rsidRDefault="001956F7" w:rsidP="003F55AB">
            <w:pPr>
              <w:pStyle w:val="Tabletext"/>
              <w:tabs>
                <w:tab w:val="decimal" w:pos="567"/>
              </w:tabs>
            </w:pPr>
            <w:r w:rsidRPr="003F55AB">
              <w:t>1</w:t>
            </w:r>
          </w:p>
        </w:tc>
        <w:tc>
          <w:tcPr>
            <w:tcW w:w="1205" w:type="dxa"/>
            <w:tcBorders>
              <w:top w:val="nil"/>
              <w:left w:val="nil"/>
              <w:bottom w:val="nil"/>
            </w:tcBorders>
          </w:tcPr>
          <w:p w:rsidR="001956F7" w:rsidRPr="003F55AB" w:rsidRDefault="001956F7" w:rsidP="003F55AB">
            <w:pPr>
              <w:pStyle w:val="Tabletext"/>
              <w:tabs>
                <w:tab w:val="decimal" w:pos="510"/>
              </w:tabs>
            </w:pPr>
            <w:r w:rsidRPr="003F55AB">
              <w:t>1.6</w:t>
            </w:r>
          </w:p>
        </w:tc>
      </w:tr>
      <w:tr w:rsidR="001956F7" w:rsidRPr="003F55AB" w:rsidTr="003F55AB">
        <w:tc>
          <w:tcPr>
            <w:tcW w:w="1985" w:type="dxa"/>
            <w:tcBorders>
              <w:top w:val="nil"/>
              <w:bottom w:val="nil"/>
              <w:right w:val="nil"/>
            </w:tcBorders>
          </w:tcPr>
          <w:p w:rsidR="001956F7" w:rsidRPr="003F55AB" w:rsidRDefault="001956F7" w:rsidP="003F55AB">
            <w:pPr>
              <w:pStyle w:val="Tabletext"/>
            </w:pPr>
            <w:r w:rsidRPr="003F55AB">
              <w:t>India</w:t>
            </w:r>
          </w:p>
        </w:tc>
        <w:tc>
          <w:tcPr>
            <w:tcW w:w="1204" w:type="dxa"/>
            <w:tcBorders>
              <w:top w:val="nil"/>
              <w:left w:val="nil"/>
              <w:bottom w:val="nil"/>
              <w:right w:val="nil"/>
            </w:tcBorders>
          </w:tcPr>
          <w:p w:rsidR="001956F7" w:rsidRPr="003F55AB" w:rsidRDefault="001956F7" w:rsidP="003F55AB">
            <w:pPr>
              <w:pStyle w:val="Tabletext"/>
              <w:tabs>
                <w:tab w:val="decimal" w:pos="567"/>
              </w:tabs>
            </w:pPr>
            <w:r w:rsidRPr="003F55AB">
              <w:t>1</w:t>
            </w:r>
          </w:p>
        </w:tc>
        <w:tc>
          <w:tcPr>
            <w:tcW w:w="1205" w:type="dxa"/>
            <w:tcBorders>
              <w:top w:val="nil"/>
              <w:left w:val="nil"/>
              <w:bottom w:val="nil"/>
              <w:right w:val="nil"/>
            </w:tcBorders>
          </w:tcPr>
          <w:p w:rsidR="001956F7" w:rsidRPr="003F55AB" w:rsidRDefault="001956F7" w:rsidP="003F55AB">
            <w:pPr>
              <w:pStyle w:val="Tabletext"/>
              <w:tabs>
                <w:tab w:val="decimal" w:pos="539"/>
              </w:tabs>
            </w:pPr>
            <w:r w:rsidRPr="003F55AB">
              <w:t>0</w:t>
            </w:r>
          </w:p>
        </w:tc>
        <w:tc>
          <w:tcPr>
            <w:tcW w:w="1205" w:type="dxa"/>
            <w:tcBorders>
              <w:top w:val="nil"/>
              <w:left w:val="nil"/>
              <w:bottom w:val="nil"/>
              <w:right w:val="nil"/>
            </w:tcBorders>
          </w:tcPr>
          <w:p w:rsidR="001956F7" w:rsidRPr="003F55AB" w:rsidRDefault="001956F7" w:rsidP="003F55AB">
            <w:pPr>
              <w:pStyle w:val="Tabletext"/>
              <w:tabs>
                <w:tab w:val="decimal" w:pos="567"/>
              </w:tabs>
            </w:pPr>
            <w:r w:rsidRPr="003F55AB">
              <w:t>1</w:t>
            </w:r>
          </w:p>
        </w:tc>
        <w:tc>
          <w:tcPr>
            <w:tcW w:w="1205" w:type="dxa"/>
            <w:tcBorders>
              <w:top w:val="nil"/>
              <w:left w:val="nil"/>
              <w:bottom w:val="nil"/>
            </w:tcBorders>
          </w:tcPr>
          <w:p w:rsidR="001956F7" w:rsidRPr="003F55AB" w:rsidRDefault="001956F7" w:rsidP="003F55AB">
            <w:pPr>
              <w:pStyle w:val="Tabletext"/>
              <w:tabs>
                <w:tab w:val="decimal" w:pos="510"/>
              </w:tabs>
            </w:pPr>
            <w:r w:rsidRPr="003F55AB">
              <w:t>1.6</w:t>
            </w:r>
          </w:p>
        </w:tc>
      </w:tr>
      <w:tr w:rsidR="001956F7" w:rsidRPr="003F55AB" w:rsidTr="003F55AB">
        <w:tc>
          <w:tcPr>
            <w:tcW w:w="1985" w:type="dxa"/>
            <w:tcBorders>
              <w:top w:val="nil"/>
              <w:bottom w:val="nil"/>
              <w:right w:val="nil"/>
            </w:tcBorders>
          </w:tcPr>
          <w:p w:rsidR="001956F7" w:rsidRPr="003F55AB" w:rsidRDefault="001956F7" w:rsidP="003F55AB">
            <w:pPr>
              <w:pStyle w:val="Tabletext"/>
            </w:pPr>
            <w:r w:rsidRPr="003F55AB">
              <w:t>Poland</w:t>
            </w:r>
          </w:p>
        </w:tc>
        <w:tc>
          <w:tcPr>
            <w:tcW w:w="1204" w:type="dxa"/>
            <w:tcBorders>
              <w:top w:val="nil"/>
              <w:left w:val="nil"/>
              <w:bottom w:val="nil"/>
              <w:right w:val="nil"/>
            </w:tcBorders>
          </w:tcPr>
          <w:p w:rsidR="001956F7" w:rsidRPr="003F55AB" w:rsidRDefault="001956F7" w:rsidP="003F55AB">
            <w:pPr>
              <w:pStyle w:val="Tabletext"/>
              <w:tabs>
                <w:tab w:val="decimal" w:pos="567"/>
              </w:tabs>
            </w:pPr>
            <w:r w:rsidRPr="003F55AB">
              <w:t>1</w:t>
            </w:r>
          </w:p>
        </w:tc>
        <w:tc>
          <w:tcPr>
            <w:tcW w:w="1205" w:type="dxa"/>
            <w:tcBorders>
              <w:top w:val="nil"/>
              <w:left w:val="nil"/>
              <w:bottom w:val="nil"/>
              <w:right w:val="nil"/>
            </w:tcBorders>
          </w:tcPr>
          <w:p w:rsidR="001956F7" w:rsidRPr="003F55AB" w:rsidRDefault="001956F7" w:rsidP="003F55AB">
            <w:pPr>
              <w:pStyle w:val="Tabletext"/>
              <w:tabs>
                <w:tab w:val="decimal" w:pos="539"/>
              </w:tabs>
            </w:pPr>
            <w:r w:rsidRPr="003F55AB">
              <w:t>0</w:t>
            </w:r>
          </w:p>
        </w:tc>
        <w:tc>
          <w:tcPr>
            <w:tcW w:w="1205" w:type="dxa"/>
            <w:tcBorders>
              <w:top w:val="nil"/>
              <w:left w:val="nil"/>
              <w:bottom w:val="nil"/>
              <w:right w:val="nil"/>
            </w:tcBorders>
          </w:tcPr>
          <w:p w:rsidR="001956F7" w:rsidRPr="003F55AB" w:rsidRDefault="001956F7" w:rsidP="003F55AB">
            <w:pPr>
              <w:pStyle w:val="Tabletext"/>
              <w:tabs>
                <w:tab w:val="decimal" w:pos="567"/>
              </w:tabs>
            </w:pPr>
            <w:r w:rsidRPr="003F55AB">
              <w:t>1</w:t>
            </w:r>
          </w:p>
        </w:tc>
        <w:tc>
          <w:tcPr>
            <w:tcW w:w="1205" w:type="dxa"/>
            <w:tcBorders>
              <w:top w:val="nil"/>
              <w:left w:val="nil"/>
              <w:bottom w:val="nil"/>
            </w:tcBorders>
          </w:tcPr>
          <w:p w:rsidR="001956F7" w:rsidRPr="003F55AB" w:rsidRDefault="001956F7" w:rsidP="003F55AB">
            <w:pPr>
              <w:pStyle w:val="Tabletext"/>
              <w:tabs>
                <w:tab w:val="decimal" w:pos="510"/>
              </w:tabs>
            </w:pPr>
            <w:r w:rsidRPr="003F55AB">
              <w:t>1.6</w:t>
            </w:r>
          </w:p>
        </w:tc>
      </w:tr>
      <w:tr w:rsidR="001956F7" w:rsidRPr="003F55AB" w:rsidTr="003F55AB">
        <w:tc>
          <w:tcPr>
            <w:tcW w:w="1985" w:type="dxa"/>
            <w:tcBorders>
              <w:top w:val="nil"/>
              <w:bottom w:val="nil"/>
              <w:right w:val="nil"/>
            </w:tcBorders>
          </w:tcPr>
          <w:p w:rsidR="001956F7" w:rsidRPr="003F55AB" w:rsidRDefault="001956F7" w:rsidP="003F55AB">
            <w:pPr>
              <w:pStyle w:val="Tabletext"/>
            </w:pPr>
            <w:r w:rsidRPr="003F55AB">
              <w:t>Japan</w:t>
            </w:r>
          </w:p>
        </w:tc>
        <w:tc>
          <w:tcPr>
            <w:tcW w:w="1204" w:type="dxa"/>
            <w:tcBorders>
              <w:top w:val="nil"/>
              <w:left w:val="nil"/>
              <w:bottom w:val="nil"/>
              <w:right w:val="nil"/>
            </w:tcBorders>
          </w:tcPr>
          <w:p w:rsidR="001956F7" w:rsidRPr="003F55AB" w:rsidRDefault="001956F7" w:rsidP="003F55AB">
            <w:pPr>
              <w:pStyle w:val="Tabletext"/>
              <w:tabs>
                <w:tab w:val="decimal" w:pos="567"/>
              </w:tabs>
            </w:pPr>
            <w:r w:rsidRPr="003F55AB">
              <w:t>1</w:t>
            </w:r>
          </w:p>
        </w:tc>
        <w:tc>
          <w:tcPr>
            <w:tcW w:w="1205" w:type="dxa"/>
            <w:tcBorders>
              <w:top w:val="nil"/>
              <w:left w:val="nil"/>
              <w:bottom w:val="nil"/>
              <w:right w:val="nil"/>
            </w:tcBorders>
          </w:tcPr>
          <w:p w:rsidR="001956F7" w:rsidRPr="003F55AB" w:rsidRDefault="001956F7" w:rsidP="003F55AB">
            <w:pPr>
              <w:pStyle w:val="Tabletext"/>
              <w:tabs>
                <w:tab w:val="decimal" w:pos="539"/>
              </w:tabs>
            </w:pPr>
            <w:r w:rsidRPr="003F55AB">
              <w:t>0</w:t>
            </w:r>
          </w:p>
        </w:tc>
        <w:tc>
          <w:tcPr>
            <w:tcW w:w="1205" w:type="dxa"/>
            <w:tcBorders>
              <w:top w:val="nil"/>
              <w:left w:val="nil"/>
              <w:bottom w:val="nil"/>
              <w:right w:val="nil"/>
            </w:tcBorders>
          </w:tcPr>
          <w:p w:rsidR="001956F7" w:rsidRPr="003F55AB" w:rsidRDefault="001956F7" w:rsidP="003F55AB">
            <w:pPr>
              <w:pStyle w:val="Tabletext"/>
              <w:tabs>
                <w:tab w:val="decimal" w:pos="567"/>
              </w:tabs>
            </w:pPr>
            <w:r w:rsidRPr="003F55AB">
              <w:t>1</w:t>
            </w:r>
          </w:p>
        </w:tc>
        <w:tc>
          <w:tcPr>
            <w:tcW w:w="1205" w:type="dxa"/>
            <w:tcBorders>
              <w:top w:val="nil"/>
              <w:left w:val="nil"/>
              <w:bottom w:val="nil"/>
            </w:tcBorders>
          </w:tcPr>
          <w:p w:rsidR="001956F7" w:rsidRPr="003F55AB" w:rsidRDefault="001956F7" w:rsidP="003F55AB">
            <w:pPr>
              <w:pStyle w:val="Tabletext"/>
              <w:tabs>
                <w:tab w:val="decimal" w:pos="510"/>
              </w:tabs>
            </w:pPr>
            <w:r w:rsidRPr="003F55AB">
              <w:t>1.6</w:t>
            </w:r>
          </w:p>
        </w:tc>
      </w:tr>
      <w:tr w:rsidR="001956F7" w:rsidRPr="003F55AB" w:rsidTr="003F55AB">
        <w:tc>
          <w:tcPr>
            <w:tcW w:w="1985" w:type="dxa"/>
            <w:tcBorders>
              <w:top w:val="nil"/>
              <w:bottom w:val="nil"/>
              <w:right w:val="nil"/>
            </w:tcBorders>
          </w:tcPr>
          <w:p w:rsidR="001956F7" w:rsidRPr="003F55AB" w:rsidRDefault="001956F7" w:rsidP="003F55AB">
            <w:pPr>
              <w:pStyle w:val="Tabletext"/>
            </w:pPr>
            <w:r w:rsidRPr="003F55AB">
              <w:t>Sudan</w:t>
            </w:r>
          </w:p>
        </w:tc>
        <w:tc>
          <w:tcPr>
            <w:tcW w:w="1204" w:type="dxa"/>
            <w:tcBorders>
              <w:top w:val="nil"/>
              <w:left w:val="nil"/>
              <w:bottom w:val="nil"/>
              <w:right w:val="nil"/>
            </w:tcBorders>
          </w:tcPr>
          <w:p w:rsidR="001956F7" w:rsidRPr="003F55AB" w:rsidRDefault="001956F7" w:rsidP="003F55AB">
            <w:pPr>
              <w:pStyle w:val="Tabletext"/>
              <w:tabs>
                <w:tab w:val="decimal" w:pos="567"/>
              </w:tabs>
            </w:pPr>
            <w:r w:rsidRPr="003F55AB">
              <w:t>0</w:t>
            </w:r>
          </w:p>
        </w:tc>
        <w:tc>
          <w:tcPr>
            <w:tcW w:w="1205" w:type="dxa"/>
            <w:tcBorders>
              <w:top w:val="nil"/>
              <w:left w:val="nil"/>
              <w:bottom w:val="nil"/>
              <w:right w:val="nil"/>
            </w:tcBorders>
          </w:tcPr>
          <w:p w:rsidR="001956F7" w:rsidRPr="003F55AB" w:rsidRDefault="001956F7" w:rsidP="003F55AB">
            <w:pPr>
              <w:pStyle w:val="Tabletext"/>
              <w:tabs>
                <w:tab w:val="decimal" w:pos="539"/>
              </w:tabs>
            </w:pPr>
            <w:r w:rsidRPr="003F55AB">
              <w:t>1</w:t>
            </w:r>
          </w:p>
        </w:tc>
        <w:tc>
          <w:tcPr>
            <w:tcW w:w="1205" w:type="dxa"/>
            <w:tcBorders>
              <w:top w:val="nil"/>
              <w:left w:val="nil"/>
              <w:bottom w:val="nil"/>
              <w:right w:val="nil"/>
            </w:tcBorders>
          </w:tcPr>
          <w:p w:rsidR="001956F7" w:rsidRPr="003F55AB" w:rsidRDefault="001956F7" w:rsidP="003F55AB">
            <w:pPr>
              <w:pStyle w:val="Tabletext"/>
              <w:tabs>
                <w:tab w:val="decimal" w:pos="567"/>
              </w:tabs>
            </w:pPr>
            <w:r w:rsidRPr="003F55AB">
              <w:t>1</w:t>
            </w:r>
          </w:p>
        </w:tc>
        <w:tc>
          <w:tcPr>
            <w:tcW w:w="1205" w:type="dxa"/>
            <w:tcBorders>
              <w:top w:val="nil"/>
              <w:left w:val="nil"/>
              <w:bottom w:val="nil"/>
            </w:tcBorders>
          </w:tcPr>
          <w:p w:rsidR="001956F7" w:rsidRPr="003F55AB" w:rsidRDefault="001956F7" w:rsidP="003F55AB">
            <w:pPr>
              <w:pStyle w:val="Tabletext"/>
              <w:tabs>
                <w:tab w:val="decimal" w:pos="510"/>
              </w:tabs>
            </w:pPr>
            <w:r w:rsidRPr="003F55AB">
              <w:t>1.6</w:t>
            </w:r>
          </w:p>
        </w:tc>
      </w:tr>
      <w:tr w:rsidR="001956F7" w:rsidRPr="003F55AB" w:rsidTr="003F55AB">
        <w:tc>
          <w:tcPr>
            <w:tcW w:w="1985" w:type="dxa"/>
            <w:tcBorders>
              <w:top w:val="nil"/>
              <w:bottom w:val="nil"/>
              <w:right w:val="nil"/>
            </w:tcBorders>
          </w:tcPr>
          <w:p w:rsidR="001956F7" w:rsidRPr="003F55AB" w:rsidRDefault="001956F7" w:rsidP="003F55AB">
            <w:pPr>
              <w:pStyle w:val="Tabletext"/>
            </w:pPr>
            <w:r w:rsidRPr="003F55AB">
              <w:t xml:space="preserve">Turkey </w:t>
            </w:r>
          </w:p>
        </w:tc>
        <w:tc>
          <w:tcPr>
            <w:tcW w:w="1204" w:type="dxa"/>
            <w:tcBorders>
              <w:top w:val="nil"/>
              <w:left w:val="nil"/>
              <w:bottom w:val="nil"/>
              <w:right w:val="nil"/>
            </w:tcBorders>
          </w:tcPr>
          <w:p w:rsidR="001956F7" w:rsidRPr="003F55AB" w:rsidRDefault="001956F7" w:rsidP="003F55AB">
            <w:pPr>
              <w:pStyle w:val="Tabletext"/>
              <w:tabs>
                <w:tab w:val="decimal" w:pos="567"/>
              </w:tabs>
            </w:pPr>
            <w:r w:rsidRPr="003F55AB">
              <w:t>1</w:t>
            </w:r>
          </w:p>
        </w:tc>
        <w:tc>
          <w:tcPr>
            <w:tcW w:w="1205" w:type="dxa"/>
            <w:tcBorders>
              <w:top w:val="nil"/>
              <w:left w:val="nil"/>
              <w:bottom w:val="nil"/>
              <w:right w:val="nil"/>
            </w:tcBorders>
          </w:tcPr>
          <w:p w:rsidR="001956F7" w:rsidRPr="003F55AB" w:rsidRDefault="001956F7" w:rsidP="003F55AB">
            <w:pPr>
              <w:pStyle w:val="Tabletext"/>
              <w:tabs>
                <w:tab w:val="decimal" w:pos="539"/>
              </w:tabs>
            </w:pPr>
            <w:r w:rsidRPr="003F55AB">
              <w:t>0</w:t>
            </w:r>
          </w:p>
        </w:tc>
        <w:tc>
          <w:tcPr>
            <w:tcW w:w="1205" w:type="dxa"/>
            <w:tcBorders>
              <w:top w:val="nil"/>
              <w:left w:val="nil"/>
              <w:bottom w:val="nil"/>
              <w:right w:val="nil"/>
            </w:tcBorders>
          </w:tcPr>
          <w:p w:rsidR="001956F7" w:rsidRPr="003F55AB" w:rsidRDefault="001956F7" w:rsidP="003F55AB">
            <w:pPr>
              <w:pStyle w:val="Tabletext"/>
              <w:tabs>
                <w:tab w:val="decimal" w:pos="567"/>
              </w:tabs>
            </w:pPr>
            <w:r w:rsidRPr="003F55AB">
              <w:t>1</w:t>
            </w:r>
          </w:p>
        </w:tc>
        <w:tc>
          <w:tcPr>
            <w:tcW w:w="1205" w:type="dxa"/>
            <w:tcBorders>
              <w:top w:val="nil"/>
              <w:left w:val="nil"/>
              <w:bottom w:val="nil"/>
            </w:tcBorders>
          </w:tcPr>
          <w:p w:rsidR="001956F7" w:rsidRPr="003F55AB" w:rsidRDefault="001956F7" w:rsidP="003F55AB">
            <w:pPr>
              <w:pStyle w:val="Tabletext"/>
              <w:tabs>
                <w:tab w:val="decimal" w:pos="510"/>
              </w:tabs>
            </w:pPr>
            <w:r w:rsidRPr="003F55AB">
              <w:t>1.6</w:t>
            </w:r>
          </w:p>
        </w:tc>
      </w:tr>
      <w:tr w:rsidR="001956F7" w:rsidRPr="003F55AB" w:rsidTr="003F55AB">
        <w:tc>
          <w:tcPr>
            <w:tcW w:w="1985" w:type="dxa"/>
            <w:tcBorders>
              <w:top w:val="nil"/>
              <w:bottom w:val="nil"/>
              <w:right w:val="nil"/>
            </w:tcBorders>
          </w:tcPr>
          <w:p w:rsidR="001956F7" w:rsidRPr="003F55AB" w:rsidRDefault="001956F7" w:rsidP="003F55AB">
            <w:pPr>
              <w:pStyle w:val="Tabletext"/>
            </w:pPr>
            <w:r w:rsidRPr="003F55AB">
              <w:t>Tajikistan</w:t>
            </w:r>
          </w:p>
        </w:tc>
        <w:tc>
          <w:tcPr>
            <w:tcW w:w="1204" w:type="dxa"/>
            <w:tcBorders>
              <w:top w:val="nil"/>
              <w:left w:val="nil"/>
              <w:bottom w:val="nil"/>
              <w:right w:val="nil"/>
            </w:tcBorders>
          </w:tcPr>
          <w:p w:rsidR="001956F7" w:rsidRPr="003F55AB" w:rsidRDefault="001956F7" w:rsidP="003F55AB">
            <w:pPr>
              <w:pStyle w:val="Tabletext"/>
              <w:tabs>
                <w:tab w:val="decimal" w:pos="567"/>
              </w:tabs>
            </w:pPr>
            <w:r w:rsidRPr="003F55AB">
              <w:t>1</w:t>
            </w:r>
          </w:p>
        </w:tc>
        <w:tc>
          <w:tcPr>
            <w:tcW w:w="1205" w:type="dxa"/>
            <w:tcBorders>
              <w:top w:val="nil"/>
              <w:left w:val="nil"/>
              <w:bottom w:val="nil"/>
              <w:right w:val="nil"/>
            </w:tcBorders>
          </w:tcPr>
          <w:p w:rsidR="001956F7" w:rsidRPr="003F55AB" w:rsidRDefault="001956F7" w:rsidP="003F55AB">
            <w:pPr>
              <w:pStyle w:val="Tabletext"/>
              <w:tabs>
                <w:tab w:val="decimal" w:pos="539"/>
              </w:tabs>
            </w:pPr>
            <w:r w:rsidRPr="003F55AB">
              <w:t>0</w:t>
            </w:r>
          </w:p>
        </w:tc>
        <w:tc>
          <w:tcPr>
            <w:tcW w:w="1205" w:type="dxa"/>
            <w:tcBorders>
              <w:top w:val="nil"/>
              <w:left w:val="nil"/>
              <w:bottom w:val="nil"/>
              <w:right w:val="nil"/>
            </w:tcBorders>
          </w:tcPr>
          <w:p w:rsidR="001956F7" w:rsidRPr="003F55AB" w:rsidRDefault="001956F7" w:rsidP="003F55AB">
            <w:pPr>
              <w:pStyle w:val="Tabletext"/>
              <w:tabs>
                <w:tab w:val="decimal" w:pos="567"/>
              </w:tabs>
            </w:pPr>
            <w:r w:rsidRPr="003F55AB">
              <w:t>1</w:t>
            </w:r>
          </w:p>
        </w:tc>
        <w:tc>
          <w:tcPr>
            <w:tcW w:w="1205" w:type="dxa"/>
            <w:tcBorders>
              <w:top w:val="nil"/>
              <w:left w:val="nil"/>
              <w:bottom w:val="nil"/>
            </w:tcBorders>
          </w:tcPr>
          <w:p w:rsidR="001956F7" w:rsidRPr="003F55AB" w:rsidRDefault="001956F7" w:rsidP="003F55AB">
            <w:pPr>
              <w:pStyle w:val="Tabletext"/>
              <w:tabs>
                <w:tab w:val="decimal" w:pos="510"/>
              </w:tabs>
            </w:pPr>
            <w:r w:rsidRPr="003F55AB">
              <w:t>1.6</w:t>
            </w:r>
          </w:p>
        </w:tc>
      </w:tr>
      <w:tr w:rsidR="001956F7" w:rsidRPr="003F55AB" w:rsidTr="003F55AB">
        <w:tc>
          <w:tcPr>
            <w:tcW w:w="1985" w:type="dxa"/>
            <w:tcBorders>
              <w:top w:val="nil"/>
              <w:bottom w:val="nil"/>
              <w:right w:val="nil"/>
            </w:tcBorders>
          </w:tcPr>
          <w:p w:rsidR="001956F7" w:rsidRPr="003F55AB" w:rsidRDefault="001956F7" w:rsidP="003F55AB">
            <w:pPr>
              <w:pStyle w:val="Tabletext"/>
            </w:pPr>
            <w:r w:rsidRPr="003F55AB">
              <w:t>Sri Lanka</w:t>
            </w:r>
          </w:p>
        </w:tc>
        <w:tc>
          <w:tcPr>
            <w:tcW w:w="1204" w:type="dxa"/>
            <w:tcBorders>
              <w:top w:val="nil"/>
              <w:left w:val="nil"/>
              <w:bottom w:val="nil"/>
              <w:right w:val="nil"/>
            </w:tcBorders>
          </w:tcPr>
          <w:p w:rsidR="001956F7" w:rsidRPr="003F55AB" w:rsidRDefault="001956F7" w:rsidP="003F55AB">
            <w:pPr>
              <w:pStyle w:val="Tabletext"/>
              <w:tabs>
                <w:tab w:val="decimal" w:pos="567"/>
              </w:tabs>
            </w:pPr>
            <w:r w:rsidRPr="003F55AB">
              <w:t>1</w:t>
            </w:r>
          </w:p>
        </w:tc>
        <w:tc>
          <w:tcPr>
            <w:tcW w:w="1205" w:type="dxa"/>
            <w:tcBorders>
              <w:top w:val="nil"/>
              <w:left w:val="nil"/>
              <w:bottom w:val="nil"/>
              <w:right w:val="nil"/>
            </w:tcBorders>
          </w:tcPr>
          <w:p w:rsidR="001956F7" w:rsidRPr="003F55AB" w:rsidRDefault="001956F7" w:rsidP="003F55AB">
            <w:pPr>
              <w:pStyle w:val="Tabletext"/>
              <w:tabs>
                <w:tab w:val="decimal" w:pos="539"/>
              </w:tabs>
            </w:pPr>
            <w:r w:rsidRPr="003F55AB">
              <w:t>0</w:t>
            </w:r>
          </w:p>
        </w:tc>
        <w:tc>
          <w:tcPr>
            <w:tcW w:w="1205" w:type="dxa"/>
            <w:tcBorders>
              <w:top w:val="nil"/>
              <w:left w:val="nil"/>
              <w:bottom w:val="nil"/>
              <w:right w:val="nil"/>
            </w:tcBorders>
          </w:tcPr>
          <w:p w:rsidR="001956F7" w:rsidRPr="003F55AB" w:rsidRDefault="001956F7" w:rsidP="003F55AB">
            <w:pPr>
              <w:pStyle w:val="Tabletext"/>
              <w:tabs>
                <w:tab w:val="decimal" w:pos="567"/>
              </w:tabs>
            </w:pPr>
            <w:r w:rsidRPr="003F55AB">
              <w:t>1</w:t>
            </w:r>
          </w:p>
        </w:tc>
        <w:tc>
          <w:tcPr>
            <w:tcW w:w="1205" w:type="dxa"/>
            <w:tcBorders>
              <w:top w:val="nil"/>
              <w:left w:val="nil"/>
              <w:bottom w:val="nil"/>
            </w:tcBorders>
          </w:tcPr>
          <w:p w:rsidR="001956F7" w:rsidRPr="003F55AB" w:rsidRDefault="001956F7" w:rsidP="003F55AB">
            <w:pPr>
              <w:pStyle w:val="Tabletext"/>
              <w:tabs>
                <w:tab w:val="decimal" w:pos="510"/>
              </w:tabs>
            </w:pPr>
            <w:r w:rsidRPr="003F55AB">
              <w:t>1.6</w:t>
            </w:r>
          </w:p>
        </w:tc>
      </w:tr>
      <w:tr w:rsidR="001956F7" w:rsidRPr="003F55AB" w:rsidTr="003F55AB">
        <w:tc>
          <w:tcPr>
            <w:tcW w:w="1985" w:type="dxa"/>
            <w:tcBorders>
              <w:top w:val="nil"/>
              <w:bottom w:val="nil"/>
              <w:right w:val="nil"/>
            </w:tcBorders>
          </w:tcPr>
          <w:p w:rsidR="001956F7" w:rsidRPr="003F55AB" w:rsidRDefault="001956F7" w:rsidP="003F55AB">
            <w:pPr>
              <w:pStyle w:val="Tabletext"/>
            </w:pPr>
            <w:r w:rsidRPr="003F55AB">
              <w:t>Argentina</w:t>
            </w:r>
          </w:p>
        </w:tc>
        <w:tc>
          <w:tcPr>
            <w:tcW w:w="1204" w:type="dxa"/>
            <w:tcBorders>
              <w:top w:val="nil"/>
              <w:left w:val="nil"/>
              <w:bottom w:val="nil"/>
              <w:right w:val="nil"/>
            </w:tcBorders>
          </w:tcPr>
          <w:p w:rsidR="001956F7" w:rsidRPr="003F55AB" w:rsidRDefault="001956F7" w:rsidP="003F55AB">
            <w:pPr>
              <w:pStyle w:val="Tabletext"/>
              <w:tabs>
                <w:tab w:val="decimal" w:pos="567"/>
              </w:tabs>
            </w:pPr>
            <w:r w:rsidRPr="003F55AB">
              <w:t>0</w:t>
            </w:r>
          </w:p>
        </w:tc>
        <w:tc>
          <w:tcPr>
            <w:tcW w:w="1205" w:type="dxa"/>
            <w:tcBorders>
              <w:top w:val="nil"/>
              <w:left w:val="nil"/>
              <w:bottom w:val="nil"/>
              <w:right w:val="nil"/>
            </w:tcBorders>
          </w:tcPr>
          <w:p w:rsidR="001956F7" w:rsidRPr="003F55AB" w:rsidRDefault="001956F7" w:rsidP="003F55AB">
            <w:pPr>
              <w:pStyle w:val="Tabletext"/>
              <w:tabs>
                <w:tab w:val="decimal" w:pos="539"/>
              </w:tabs>
            </w:pPr>
            <w:r w:rsidRPr="003F55AB">
              <w:t>1</w:t>
            </w:r>
          </w:p>
        </w:tc>
        <w:tc>
          <w:tcPr>
            <w:tcW w:w="1205" w:type="dxa"/>
            <w:tcBorders>
              <w:top w:val="nil"/>
              <w:left w:val="nil"/>
              <w:bottom w:val="nil"/>
              <w:right w:val="nil"/>
            </w:tcBorders>
          </w:tcPr>
          <w:p w:rsidR="001956F7" w:rsidRPr="003F55AB" w:rsidRDefault="001956F7" w:rsidP="003F55AB">
            <w:pPr>
              <w:pStyle w:val="Tabletext"/>
              <w:tabs>
                <w:tab w:val="decimal" w:pos="567"/>
              </w:tabs>
            </w:pPr>
            <w:r w:rsidRPr="003F55AB">
              <w:t>1</w:t>
            </w:r>
          </w:p>
        </w:tc>
        <w:tc>
          <w:tcPr>
            <w:tcW w:w="1205" w:type="dxa"/>
            <w:tcBorders>
              <w:top w:val="nil"/>
              <w:left w:val="nil"/>
              <w:bottom w:val="nil"/>
            </w:tcBorders>
          </w:tcPr>
          <w:p w:rsidR="001956F7" w:rsidRPr="003F55AB" w:rsidRDefault="001956F7" w:rsidP="003F55AB">
            <w:pPr>
              <w:pStyle w:val="Tabletext"/>
              <w:tabs>
                <w:tab w:val="decimal" w:pos="510"/>
              </w:tabs>
            </w:pPr>
            <w:r w:rsidRPr="003F55AB">
              <w:t>1.6</w:t>
            </w:r>
          </w:p>
        </w:tc>
      </w:tr>
      <w:tr w:rsidR="001956F7" w:rsidRPr="003F55AB" w:rsidTr="003F55AB">
        <w:tc>
          <w:tcPr>
            <w:tcW w:w="1985" w:type="dxa"/>
            <w:tcBorders>
              <w:top w:val="nil"/>
              <w:bottom w:val="nil"/>
              <w:right w:val="nil"/>
            </w:tcBorders>
          </w:tcPr>
          <w:p w:rsidR="001956F7" w:rsidRPr="003F55AB" w:rsidRDefault="001956F7" w:rsidP="003F55AB">
            <w:pPr>
              <w:pStyle w:val="Tabletext"/>
            </w:pPr>
            <w:r w:rsidRPr="003F55AB">
              <w:t>Indonesia</w:t>
            </w:r>
          </w:p>
        </w:tc>
        <w:tc>
          <w:tcPr>
            <w:tcW w:w="1204" w:type="dxa"/>
            <w:tcBorders>
              <w:top w:val="nil"/>
              <w:left w:val="nil"/>
              <w:bottom w:val="nil"/>
              <w:right w:val="nil"/>
            </w:tcBorders>
          </w:tcPr>
          <w:p w:rsidR="001956F7" w:rsidRPr="003F55AB" w:rsidRDefault="001956F7" w:rsidP="003F55AB">
            <w:pPr>
              <w:pStyle w:val="Tabletext"/>
              <w:tabs>
                <w:tab w:val="decimal" w:pos="567"/>
              </w:tabs>
            </w:pPr>
            <w:r w:rsidRPr="003F55AB">
              <w:t>1</w:t>
            </w:r>
          </w:p>
        </w:tc>
        <w:tc>
          <w:tcPr>
            <w:tcW w:w="1205" w:type="dxa"/>
            <w:tcBorders>
              <w:top w:val="nil"/>
              <w:left w:val="nil"/>
              <w:bottom w:val="nil"/>
              <w:right w:val="nil"/>
            </w:tcBorders>
          </w:tcPr>
          <w:p w:rsidR="001956F7" w:rsidRPr="003F55AB" w:rsidRDefault="001956F7" w:rsidP="003F55AB">
            <w:pPr>
              <w:pStyle w:val="Tabletext"/>
              <w:tabs>
                <w:tab w:val="decimal" w:pos="539"/>
              </w:tabs>
            </w:pPr>
            <w:r w:rsidRPr="003F55AB">
              <w:t>0</w:t>
            </w:r>
          </w:p>
        </w:tc>
        <w:tc>
          <w:tcPr>
            <w:tcW w:w="1205" w:type="dxa"/>
            <w:tcBorders>
              <w:top w:val="nil"/>
              <w:left w:val="nil"/>
              <w:bottom w:val="nil"/>
              <w:right w:val="nil"/>
            </w:tcBorders>
          </w:tcPr>
          <w:p w:rsidR="001956F7" w:rsidRPr="003F55AB" w:rsidRDefault="001956F7" w:rsidP="003F55AB">
            <w:pPr>
              <w:pStyle w:val="Tabletext"/>
              <w:tabs>
                <w:tab w:val="decimal" w:pos="567"/>
              </w:tabs>
            </w:pPr>
            <w:r w:rsidRPr="003F55AB">
              <w:t>1</w:t>
            </w:r>
          </w:p>
        </w:tc>
        <w:tc>
          <w:tcPr>
            <w:tcW w:w="1205" w:type="dxa"/>
            <w:tcBorders>
              <w:top w:val="nil"/>
              <w:left w:val="nil"/>
              <w:bottom w:val="nil"/>
            </w:tcBorders>
          </w:tcPr>
          <w:p w:rsidR="001956F7" w:rsidRPr="003F55AB" w:rsidRDefault="001956F7" w:rsidP="003F55AB">
            <w:pPr>
              <w:pStyle w:val="Tabletext"/>
              <w:tabs>
                <w:tab w:val="decimal" w:pos="510"/>
              </w:tabs>
            </w:pPr>
            <w:r w:rsidRPr="003F55AB">
              <w:t>1.6</w:t>
            </w:r>
          </w:p>
        </w:tc>
      </w:tr>
      <w:tr w:rsidR="001956F7" w:rsidRPr="003F55AB" w:rsidTr="003F55AB">
        <w:tc>
          <w:tcPr>
            <w:tcW w:w="1985" w:type="dxa"/>
            <w:tcBorders>
              <w:top w:val="nil"/>
              <w:bottom w:val="nil"/>
              <w:right w:val="nil"/>
            </w:tcBorders>
          </w:tcPr>
          <w:p w:rsidR="001956F7" w:rsidRPr="003F55AB" w:rsidRDefault="001956F7" w:rsidP="003F55AB">
            <w:pPr>
              <w:pStyle w:val="Tabletext"/>
            </w:pPr>
            <w:r w:rsidRPr="003F55AB">
              <w:t>Venezuela</w:t>
            </w:r>
          </w:p>
        </w:tc>
        <w:tc>
          <w:tcPr>
            <w:tcW w:w="1204" w:type="dxa"/>
            <w:tcBorders>
              <w:top w:val="nil"/>
              <w:left w:val="nil"/>
              <w:bottom w:val="nil"/>
              <w:right w:val="nil"/>
            </w:tcBorders>
          </w:tcPr>
          <w:p w:rsidR="001956F7" w:rsidRPr="003F55AB" w:rsidRDefault="001956F7" w:rsidP="003F55AB">
            <w:pPr>
              <w:pStyle w:val="Tabletext"/>
              <w:tabs>
                <w:tab w:val="decimal" w:pos="567"/>
              </w:tabs>
            </w:pPr>
            <w:r w:rsidRPr="003F55AB">
              <w:t>1</w:t>
            </w:r>
          </w:p>
        </w:tc>
        <w:tc>
          <w:tcPr>
            <w:tcW w:w="1205" w:type="dxa"/>
            <w:tcBorders>
              <w:top w:val="nil"/>
              <w:left w:val="nil"/>
              <w:bottom w:val="nil"/>
              <w:right w:val="nil"/>
            </w:tcBorders>
          </w:tcPr>
          <w:p w:rsidR="001956F7" w:rsidRPr="003F55AB" w:rsidRDefault="001956F7" w:rsidP="003F55AB">
            <w:pPr>
              <w:pStyle w:val="Tabletext"/>
              <w:tabs>
                <w:tab w:val="decimal" w:pos="539"/>
              </w:tabs>
            </w:pPr>
            <w:r w:rsidRPr="003F55AB">
              <w:t>0</w:t>
            </w:r>
          </w:p>
        </w:tc>
        <w:tc>
          <w:tcPr>
            <w:tcW w:w="1205" w:type="dxa"/>
            <w:tcBorders>
              <w:top w:val="nil"/>
              <w:left w:val="nil"/>
              <w:bottom w:val="nil"/>
              <w:right w:val="nil"/>
            </w:tcBorders>
          </w:tcPr>
          <w:p w:rsidR="001956F7" w:rsidRPr="003F55AB" w:rsidRDefault="001956F7" w:rsidP="003F55AB">
            <w:pPr>
              <w:pStyle w:val="Tabletext"/>
              <w:tabs>
                <w:tab w:val="decimal" w:pos="567"/>
              </w:tabs>
            </w:pPr>
            <w:r w:rsidRPr="003F55AB">
              <w:t>1</w:t>
            </w:r>
          </w:p>
        </w:tc>
        <w:tc>
          <w:tcPr>
            <w:tcW w:w="1205" w:type="dxa"/>
            <w:tcBorders>
              <w:top w:val="nil"/>
              <w:left w:val="nil"/>
              <w:bottom w:val="nil"/>
            </w:tcBorders>
          </w:tcPr>
          <w:p w:rsidR="001956F7" w:rsidRPr="003F55AB" w:rsidRDefault="001956F7" w:rsidP="003F55AB">
            <w:pPr>
              <w:pStyle w:val="Tabletext"/>
              <w:tabs>
                <w:tab w:val="decimal" w:pos="510"/>
              </w:tabs>
            </w:pPr>
            <w:r w:rsidRPr="003F55AB">
              <w:t>1.6</w:t>
            </w:r>
          </w:p>
        </w:tc>
      </w:tr>
      <w:tr w:rsidR="001956F7" w:rsidRPr="003F55AB" w:rsidTr="003F55AB">
        <w:tc>
          <w:tcPr>
            <w:tcW w:w="1985" w:type="dxa"/>
            <w:tcBorders>
              <w:top w:val="nil"/>
              <w:bottom w:val="single" w:sz="4" w:space="0" w:color="auto"/>
              <w:right w:val="nil"/>
            </w:tcBorders>
          </w:tcPr>
          <w:p w:rsidR="001956F7" w:rsidRPr="003F55AB" w:rsidRDefault="001956F7" w:rsidP="003F55AB">
            <w:pPr>
              <w:pStyle w:val="Tabletext"/>
              <w:rPr>
                <w:b/>
              </w:rPr>
            </w:pPr>
            <w:r w:rsidRPr="003F55AB">
              <w:rPr>
                <w:b/>
              </w:rPr>
              <w:t>Total</w:t>
            </w:r>
          </w:p>
        </w:tc>
        <w:tc>
          <w:tcPr>
            <w:tcW w:w="1204" w:type="dxa"/>
            <w:tcBorders>
              <w:top w:val="nil"/>
              <w:left w:val="nil"/>
              <w:bottom w:val="single" w:sz="4" w:space="0" w:color="auto"/>
              <w:right w:val="nil"/>
            </w:tcBorders>
          </w:tcPr>
          <w:p w:rsidR="001956F7" w:rsidRPr="003F55AB" w:rsidRDefault="001956F7" w:rsidP="003F55AB">
            <w:pPr>
              <w:pStyle w:val="Tabletext"/>
              <w:tabs>
                <w:tab w:val="decimal" w:pos="567"/>
              </w:tabs>
              <w:rPr>
                <w:b/>
              </w:rPr>
            </w:pPr>
            <w:r w:rsidRPr="003F55AB">
              <w:rPr>
                <w:b/>
              </w:rPr>
              <w:t>46</w:t>
            </w:r>
          </w:p>
        </w:tc>
        <w:tc>
          <w:tcPr>
            <w:tcW w:w="1205" w:type="dxa"/>
            <w:tcBorders>
              <w:top w:val="nil"/>
              <w:left w:val="nil"/>
              <w:bottom w:val="single" w:sz="4" w:space="0" w:color="auto"/>
              <w:right w:val="nil"/>
            </w:tcBorders>
          </w:tcPr>
          <w:p w:rsidR="001956F7" w:rsidRPr="003F55AB" w:rsidRDefault="001956F7" w:rsidP="003F55AB">
            <w:pPr>
              <w:pStyle w:val="Tabletext"/>
              <w:tabs>
                <w:tab w:val="decimal" w:pos="539"/>
              </w:tabs>
              <w:rPr>
                <w:b/>
              </w:rPr>
            </w:pPr>
            <w:r w:rsidRPr="003F55AB">
              <w:rPr>
                <w:b/>
              </w:rPr>
              <w:t>15</w:t>
            </w:r>
          </w:p>
        </w:tc>
        <w:tc>
          <w:tcPr>
            <w:tcW w:w="1205" w:type="dxa"/>
            <w:tcBorders>
              <w:top w:val="nil"/>
              <w:left w:val="nil"/>
              <w:bottom w:val="single" w:sz="4" w:space="0" w:color="auto"/>
              <w:right w:val="nil"/>
            </w:tcBorders>
          </w:tcPr>
          <w:p w:rsidR="001956F7" w:rsidRPr="003F55AB" w:rsidRDefault="001956F7" w:rsidP="003F55AB">
            <w:pPr>
              <w:pStyle w:val="Tabletext"/>
              <w:tabs>
                <w:tab w:val="decimal" w:pos="567"/>
              </w:tabs>
              <w:rPr>
                <w:b/>
              </w:rPr>
            </w:pPr>
            <w:r w:rsidRPr="003F55AB">
              <w:rPr>
                <w:b/>
              </w:rPr>
              <w:t>61</w:t>
            </w:r>
          </w:p>
        </w:tc>
        <w:tc>
          <w:tcPr>
            <w:tcW w:w="1205" w:type="dxa"/>
            <w:tcBorders>
              <w:top w:val="nil"/>
              <w:left w:val="nil"/>
              <w:bottom w:val="single" w:sz="4" w:space="0" w:color="auto"/>
            </w:tcBorders>
          </w:tcPr>
          <w:p w:rsidR="001956F7" w:rsidRPr="003F55AB" w:rsidRDefault="001956F7" w:rsidP="003F55AB">
            <w:pPr>
              <w:pStyle w:val="Tabletext"/>
              <w:tabs>
                <w:tab w:val="decimal" w:pos="510"/>
              </w:tabs>
              <w:rPr>
                <w:b/>
              </w:rPr>
            </w:pPr>
            <w:r w:rsidRPr="003F55AB">
              <w:rPr>
                <w:b/>
              </w:rPr>
              <w:t xml:space="preserve">  100.0</w:t>
            </w:r>
          </w:p>
        </w:tc>
      </w:tr>
    </w:tbl>
    <w:p w:rsidR="00462076" w:rsidRDefault="00462076" w:rsidP="00462076">
      <w:pPr>
        <w:pStyle w:val="Source"/>
      </w:pPr>
      <w:bookmarkStart w:id="86" w:name="_Toc305074186"/>
      <w:bookmarkStart w:id="87" w:name="_Toc309645550"/>
      <w:r>
        <w:t>Note:</w:t>
      </w:r>
      <w:r>
        <w:tab/>
        <w:t xml:space="preserve">N = </w:t>
      </w:r>
      <w:r w:rsidRPr="00AF1F5B">
        <w:t>61</w:t>
      </w:r>
      <w:r>
        <w:rPr>
          <w:szCs w:val="28"/>
        </w:rPr>
        <w:t>.</w:t>
      </w:r>
    </w:p>
    <w:p w:rsidR="001956F7" w:rsidRPr="00AF1F5B" w:rsidRDefault="001956F7" w:rsidP="003F55AB">
      <w:pPr>
        <w:pStyle w:val="tabletitle"/>
        <w:rPr>
          <w:szCs w:val="28"/>
        </w:rPr>
      </w:pPr>
      <w:r>
        <w:t>Table A.2</w:t>
      </w:r>
      <w:r>
        <w:tab/>
      </w:r>
      <w:r w:rsidRPr="00AF1F5B">
        <w:t>Surveyed migrants’ highest completed level of schooling</w:t>
      </w:r>
      <w:bookmarkEnd w:id="86"/>
      <w:bookmarkEnd w:id="87"/>
    </w:p>
    <w:tbl>
      <w:tblPr>
        <w:tblW w:w="6804" w:type="dxa"/>
        <w:tblInd w:w="108" w:type="dxa"/>
        <w:tblBorders>
          <w:top w:val="single" w:sz="4" w:space="0" w:color="auto"/>
          <w:bottom w:val="single" w:sz="4" w:space="0" w:color="auto"/>
        </w:tblBorders>
        <w:tblLayout w:type="fixed"/>
        <w:tblLook w:val="0000"/>
      </w:tblPr>
      <w:tblGrid>
        <w:gridCol w:w="1985"/>
        <w:gridCol w:w="1204"/>
        <w:gridCol w:w="1205"/>
        <w:gridCol w:w="1205"/>
        <w:gridCol w:w="1205"/>
      </w:tblGrid>
      <w:tr w:rsidR="003F55AB" w:rsidRPr="003F55AB" w:rsidTr="003F55AB">
        <w:trPr>
          <w:cantSplit/>
        </w:trPr>
        <w:tc>
          <w:tcPr>
            <w:tcW w:w="1985" w:type="dxa"/>
            <w:tcBorders>
              <w:top w:val="single" w:sz="4" w:space="0" w:color="auto"/>
              <w:right w:val="nil"/>
            </w:tcBorders>
          </w:tcPr>
          <w:p w:rsidR="003F55AB" w:rsidRPr="003F55AB" w:rsidRDefault="003F55AB" w:rsidP="003F55AB">
            <w:pPr>
              <w:pStyle w:val="Tablehead1"/>
            </w:pPr>
            <w:r w:rsidRPr="003F55AB">
              <w:t>Highest level of education</w:t>
            </w:r>
          </w:p>
        </w:tc>
        <w:tc>
          <w:tcPr>
            <w:tcW w:w="2409" w:type="dxa"/>
            <w:gridSpan w:val="2"/>
            <w:tcBorders>
              <w:top w:val="single" w:sz="4" w:space="0" w:color="auto"/>
              <w:left w:val="nil"/>
              <w:bottom w:val="nil"/>
              <w:right w:val="nil"/>
            </w:tcBorders>
          </w:tcPr>
          <w:p w:rsidR="003F55AB" w:rsidRPr="003F55AB" w:rsidRDefault="003F55AB" w:rsidP="003F55AB">
            <w:pPr>
              <w:pStyle w:val="Tablehead1"/>
              <w:jc w:val="center"/>
              <w:rPr>
                <w:szCs w:val="17"/>
              </w:rPr>
            </w:pPr>
            <w:r w:rsidRPr="003F55AB">
              <w:rPr>
                <w:szCs w:val="17"/>
              </w:rPr>
              <w:t>Gender</w:t>
            </w:r>
          </w:p>
        </w:tc>
        <w:tc>
          <w:tcPr>
            <w:tcW w:w="2410" w:type="dxa"/>
            <w:gridSpan w:val="2"/>
            <w:tcBorders>
              <w:top w:val="single" w:sz="4" w:space="0" w:color="auto"/>
              <w:left w:val="nil"/>
              <w:bottom w:val="nil"/>
            </w:tcBorders>
          </w:tcPr>
          <w:p w:rsidR="003F55AB" w:rsidRPr="003F55AB" w:rsidRDefault="003F55AB" w:rsidP="003F55AB">
            <w:pPr>
              <w:pStyle w:val="Tablehead1"/>
              <w:jc w:val="center"/>
              <w:rPr>
                <w:szCs w:val="17"/>
              </w:rPr>
            </w:pPr>
            <w:r w:rsidRPr="003F55AB">
              <w:rPr>
                <w:szCs w:val="17"/>
              </w:rPr>
              <w:t>Total</w:t>
            </w:r>
          </w:p>
        </w:tc>
      </w:tr>
      <w:tr w:rsidR="003F55AB" w:rsidTr="003F55AB">
        <w:trPr>
          <w:cantSplit/>
        </w:trPr>
        <w:tc>
          <w:tcPr>
            <w:tcW w:w="1985" w:type="dxa"/>
            <w:tcBorders>
              <w:bottom w:val="single" w:sz="4" w:space="0" w:color="auto"/>
              <w:right w:val="nil"/>
            </w:tcBorders>
          </w:tcPr>
          <w:p w:rsidR="003F55AB" w:rsidRPr="006E2074" w:rsidRDefault="003F55AB" w:rsidP="003F55AB">
            <w:pPr>
              <w:pStyle w:val="Tablehead2"/>
            </w:pPr>
          </w:p>
        </w:tc>
        <w:tc>
          <w:tcPr>
            <w:tcW w:w="1204" w:type="dxa"/>
            <w:tcBorders>
              <w:top w:val="nil"/>
              <w:left w:val="nil"/>
              <w:bottom w:val="single" w:sz="4" w:space="0" w:color="auto"/>
              <w:right w:val="nil"/>
            </w:tcBorders>
          </w:tcPr>
          <w:p w:rsidR="003F55AB" w:rsidRPr="007D51A9" w:rsidRDefault="003F55AB" w:rsidP="003F55AB">
            <w:pPr>
              <w:pStyle w:val="Tablehead2"/>
              <w:jc w:val="center"/>
            </w:pPr>
            <w:r w:rsidRPr="007D51A9">
              <w:t>Female</w:t>
            </w:r>
          </w:p>
        </w:tc>
        <w:tc>
          <w:tcPr>
            <w:tcW w:w="1205" w:type="dxa"/>
            <w:tcBorders>
              <w:top w:val="nil"/>
              <w:left w:val="nil"/>
              <w:bottom w:val="single" w:sz="4" w:space="0" w:color="auto"/>
              <w:right w:val="nil"/>
            </w:tcBorders>
          </w:tcPr>
          <w:p w:rsidR="003F55AB" w:rsidRPr="007D51A9" w:rsidRDefault="003F55AB" w:rsidP="003F55AB">
            <w:pPr>
              <w:pStyle w:val="Tablehead2"/>
              <w:jc w:val="center"/>
            </w:pPr>
            <w:r w:rsidRPr="007D51A9">
              <w:t>Male</w:t>
            </w:r>
          </w:p>
        </w:tc>
        <w:tc>
          <w:tcPr>
            <w:tcW w:w="1205" w:type="dxa"/>
            <w:tcBorders>
              <w:top w:val="nil"/>
              <w:left w:val="nil"/>
              <w:bottom w:val="single" w:sz="4" w:space="0" w:color="auto"/>
              <w:right w:val="nil"/>
            </w:tcBorders>
          </w:tcPr>
          <w:p w:rsidR="003F55AB" w:rsidRPr="007D51A9" w:rsidRDefault="003F55AB" w:rsidP="003F55AB">
            <w:pPr>
              <w:pStyle w:val="Tablehead2"/>
              <w:jc w:val="center"/>
            </w:pPr>
            <w:r w:rsidRPr="007D51A9">
              <w:t>Number</w:t>
            </w:r>
          </w:p>
        </w:tc>
        <w:tc>
          <w:tcPr>
            <w:tcW w:w="1205" w:type="dxa"/>
            <w:tcBorders>
              <w:top w:val="nil"/>
              <w:left w:val="nil"/>
              <w:bottom w:val="single" w:sz="4" w:space="0" w:color="auto"/>
            </w:tcBorders>
          </w:tcPr>
          <w:p w:rsidR="003F55AB" w:rsidRPr="007D51A9" w:rsidRDefault="003F55AB" w:rsidP="003F55AB">
            <w:pPr>
              <w:pStyle w:val="Tablehead2"/>
              <w:jc w:val="center"/>
            </w:pPr>
            <w:r w:rsidRPr="007D51A9">
              <w:t>%</w:t>
            </w:r>
          </w:p>
        </w:tc>
      </w:tr>
      <w:tr w:rsidR="001956F7" w:rsidRPr="003F55AB" w:rsidTr="003F55AB">
        <w:trPr>
          <w:cantSplit/>
        </w:trPr>
        <w:tc>
          <w:tcPr>
            <w:tcW w:w="1985" w:type="dxa"/>
            <w:tcBorders>
              <w:top w:val="nil"/>
              <w:bottom w:val="nil"/>
              <w:right w:val="nil"/>
            </w:tcBorders>
          </w:tcPr>
          <w:p w:rsidR="001956F7" w:rsidRPr="003F55AB" w:rsidRDefault="001956F7" w:rsidP="003F55AB">
            <w:pPr>
              <w:pStyle w:val="Tabletext"/>
            </w:pPr>
            <w:r w:rsidRPr="003F55AB">
              <w:t xml:space="preserve">University </w:t>
            </w:r>
          </w:p>
        </w:tc>
        <w:tc>
          <w:tcPr>
            <w:tcW w:w="1204" w:type="dxa"/>
            <w:tcBorders>
              <w:top w:val="nil"/>
              <w:left w:val="nil"/>
              <w:bottom w:val="nil"/>
              <w:right w:val="nil"/>
            </w:tcBorders>
          </w:tcPr>
          <w:p w:rsidR="001956F7" w:rsidRPr="003F55AB" w:rsidRDefault="001956F7" w:rsidP="003F55AB">
            <w:pPr>
              <w:pStyle w:val="Tabletext"/>
              <w:tabs>
                <w:tab w:val="decimal" w:pos="567"/>
              </w:tabs>
            </w:pPr>
            <w:r w:rsidRPr="003F55AB">
              <w:t>32</w:t>
            </w:r>
          </w:p>
        </w:tc>
        <w:tc>
          <w:tcPr>
            <w:tcW w:w="1205" w:type="dxa"/>
            <w:tcBorders>
              <w:top w:val="nil"/>
              <w:left w:val="nil"/>
              <w:bottom w:val="nil"/>
              <w:right w:val="nil"/>
            </w:tcBorders>
          </w:tcPr>
          <w:p w:rsidR="001956F7" w:rsidRPr="003F55AB" w:rsidRDefault="001956F7" w:rsidP="003F55AB">
            <w:pPr>
              <w:pStyle w:val="Tabletext"/>
              <w:tabs>
                <w:tab w:val="decimal" w:pos="539"/>
              </w:tabs>
            </w:pPr>
            <w:r w:rsidRPr="003F55AB">
              <w:t>9</w:t>
            </w:r>
          </w:p>
        </w:tc>
        <w:tc>
          <w:tcPr>
            <w:tcW w:w="1205" w:type="dxa"/>
            <w:tcBorders>
              <w:top w:val="nil"/>
              <w:left w:val="nil"/>
              <w:bottom w:val="nil"/>
              <w:right w:val="nil"/>
            </w:tcBorders>
          </w:tcPr>
          <w:p w:rsidR="001956F7" w:rsidRPr="003F55AB" w:rsidRDefault="001956F7" w:rsidP="003F55AB">
            <w:pPr>
              <w:pStyle w:val="Tabletext"/>
              <w:tabs>
                <w:tab w:val="decimal" w:pos="567"/>
              </w:tabs>
            </w:pPr>
            <w:r w:rsidRPr="003F55AB">
              <w:t>41</w:t>
            </w:r>
          </w:p>
        </w:tc>
        <w:tc>
          <w:tcPr>
            <w:tcW w:w="1205" w:type="dxa"/>
            <w:tcBorders>
              <w:top w:val="nil"/>
              <w:left w:val="nil"/>
              <w:bottom w:val="nil"/>
            </w:tcBorders>
          </w:tcPr>
          <w:p w:rsidR="001956F7" w:rsidRPr="003F55AB" w:rsidRDefault="001956F7" w:rsidP="003F55AB">
            <w:pPr>
              <w:pStyle w:val="Tabletext"/>
              <w:tabs>
                <w:tab w:val="decimal" w:pos="510"/>
              </w:tabs>
            </w:pPr>
            <w:r w:rsidRPr="003F55AB">
              <w:t>67.2</w:t>
            </w:r>
          </w:p>
        </w:tc>
      </w:tr>
      <w:tr w:rsidR="001956F7" w:rsidRPr="003F55AB" w:rsidTr="003F55AB">
        <w:trPr>
          <w:cantSplit/>
        </w:trPr>
        <w:tc>
          <w:tcPr>
            <w:tcW w:w="1985" w:type="dxa"/>
            <w:tcBorders>
              <w:top w:val="nil"/>
              <w:bottom w:val="nil"/>
              <w:right w:val="nil"/>
            </w:tcBorders>
          </w:tcPr>
          <w:p w:rsidR="001956F7" w:rsidRPr="003F55AB" w:rsidRDefault="001956F7" w:rsidP="003F55AB">
            <w:pPr>
              <w:pStyle w:val="Tabletext"/>
            </w:pPr>
            <w:r w:rsidRPr="003F55AB">
              <w:t xml:space="preserve">Vocational </w:t>
            </w:r>
          </w:p>
        </w:tc>
        <w:tc>
          <w:tcPr>
            <w:tcW w:w="1204" w:type="dxa"/>
            <w:tcBorders>
              <w:top w:val="nil"/>
              <w:left w:val="nil"/>
              <w:bottom w:val="nil"/>
              <w:right w:val="nil"/>
            </w:tcBorders>
          </w:tcPr>
          <w:p w:rsidR="001956F7" w:rsidRPr="003F55AB" w:rsidRDefault="001956F7" w:rsidP="003F55AB">
            <w:pPr>
              <w:pStyle w:val="Tabletext"/>
              <w:tabs>
                <w:tab w:val="decimal" w:pos="567"/>
              </w:tabs>
            </w:pPr>
            <w:r w:rsidRPr="003F55AB">
              <w:t xml:space="preserve"> 5</w:t>
            </w:r>
          </w:p>
        </w:tc>
        <w:tc>
          <w:tcPr>
            <w:tcW w:w="1205" w:type="dxa"/>
            <w:tcBorders>
              <w:top w:val="nil"/>
              <w:left w:val="nil"/>
              <w:bottom w:val="nil"/>
              <w:right w:val="nil"/>
            </w:tcBorders>
          </w:tcPr>
          <w:p w:rsidR="001956F7" w:rsidRPr="003F55AB" w:rsidRDefault="001956F7" w:rsidP="003F55AB">
            <w:pPr>
              <w:pStyle w:val="Tabletext"/>
              <w:tabs>
                <w:tab w:val="decimal" w:pos="539"/>
              </w:tabs>
            </w:pPr>
            <w:r w:rsidRPr="003F55AB">
              <w:t>3</w:t>
            </w:r>
          </w:p>
        </w:tc>
        <w:tc>
          <w:tcPr>
            <w:tcW w:w="1205" w:type="dxa"/>
            <w:tcBorders>
              <w:top w:val="nil"/>
              <w:left w:val="nil"/>
              <w:bottom w:val="nil"/>
              <w:right w:val="nil"/>
            </w:tcBorders>
          </w:tcPr>
          <w:p w:rsidR="001956F7" w:rsidRPr="003F55AB" w:rsidRDefault="001956F7" w:rsidP="003F55AB">
            <w:pPr>
              <w:pStyle w:val="Tabletext"/>
              <w:tabs>
                <w:tab w:val="decimal" w:pos="567"/>
              </w:tabs>
            </w:pPr>
            <w:r w:rsidRPr="003F55AB">
              <w:t xml:space="preserve">  8</w:t>
            </w:r>
          </w:p>
        </w:tc>
        <w:tc>
          <w:tcPr>
            <w:tcW w:w="1205" w:type="dxa"/>
            <w:tcBorders>
              <w:top w:val="nil"/>
              <w:left w:val="nil"/>
              <w:bottom w:val="nil"/>
            </w:tcBorders>
          </w:tcPr>
          <w:p w:rsidR="001956F7" w:rsidRPr="003F55AB" w:rsidRDefault="001956F7" w:rsidP="003F55AB">
            <w:pPr>
              <w:pStyle w:val="Tabletext"/>
              <w:tabs>
                <w:tab w:val="decimal" w:pos="510"/>
              </w:tabs>
            </w:pPr>
            <w:r w:rsidRPr="003F55AB">
              <w:t>13.1</w:t>
            </w:r>
          </w:p>
        </w:tc>
      </w:tr>
      <w:tr w:rsidR="001956F7" w:rsidRPr="003F55AB" w:rsidTr="003F55AB">
        <w:trPr>
          <w:cantSplit/>
        </w:trPr>
        <w:tc>
          <w:tcPr>
            <w:tcW w:w="1985" w:type="dxa"/>
            <w:tcBorders>
              <w:top w:val="nil"/>
              <w:bottom w:val="nil"/>
              <w:right w:val="nil"/>
            </w:tcBorders>
          </w:tcPr>
          <w:p w:rsidR="001956F7" w:rsidRPr="003F55AB" w:rsidRDefault="001956F7" w:rsidP="003F55AB">
            <w:pPr>
              <w:pStyle w:val="Tabletext"/>
            </w:pPr>
            <w:r w:rsidRPr="003F55AB">
              <w:t>High school</w:t>
            </w:r>
          </w:p>
        </w:tc>
        <w:tc>
          <w:tcPr>
            <w:tcW w:w="1204" w:type="dxa"/>
            <w:tcBorders>
              <w:top w:val="nil"/>
              <w:left w:val="nil"/>
              <w:bottom w:val="nil"/>
              <w:right w:val="nil"/>
            </w:tcBorders>
          </w:tcPr>
          <w:p w:rsidR="001956F7" w:rsidRPr="003F55AB" w:rsidRDefault="001956F7" w:rsidP="003F55AB">
            <w:pPr>
              <w:pStyle w:val="Tabletext"/>
              <w:tabs>
                <w:tab w:val="decimal" w:pos="567"/>
              </w:tabs>
            </w:pPr>
            <w:r w:rsidRPr="003F55AB">
              <w:t xml:space="preserve"> 9</w:t>
            </w:r>
          </w:p>
        </w:tc>
        <w:tc>
          <w:tcPr>
            <w:tcW w:w="1205" w:type="dxa"/>
            <w:tcBorders>
              <w:top w:val="nil"/>
              <w:left w:val="nil"/>
              <w:bottom w:val="nil"/>
              <w:right w:val="nil"/>
            </w:tcBorders>
          </w:tcPr>
          <w:p w:rsidR="001956F7" w:rsidRPr="003F55AB" w:rsidRDefault="001956F7" w:rsidP="003F55AB">
            <w:pPr>
              <w:pStyle w:val="Tabletext"/>
              <w:tabs>
                <w:tab w:val="decimal" w:pos="539"/>
              </w:tabs>
            </w:pPr>
            <w:r w:rsidRPr="003F55AB">
              <w:t>2</w:t>
            </w:r>
          </w:p>
        </w:tc>
        <w:tc>
          <w:tcPr>
            <w:tcW w:w="1205" w:type="dxa"/>
            <w:tcBorders>
              <w:top w:val="nil"/>
              <w:left w:val="nil"/>
              <w:bottom w:val="nil"/>
              <w:right w:val="nil"/>
            </w:tcBorders>
          </w:tcPr>
          <w:p w:rsidR="001956F7" w:rsidRPr="003F55AB" w:rsidRDefault="001956F7" w:rsidP="003F55AB">
            <w:pPr>
              <w:pStyle w:val="Tabletext"/>
              <w:tabs>
                <w:tab w:val="decimal" w:pos="567"/>
              </w:tabs>
            </w:pPr>
            <w:r w:rsidRPr="003F55AB">
              <w:t>11</w:t>
            </w:r>
          </w:p>
        </w:tc>
        <w:tc>
          <w:tcPr>
            <w:tcW w:w="1205" w:type="dxa"/>
            <w:tcBorders>
              <w:top w:val="nil"/>
              <w:left w:val="nil"/>
              <w:bottom w:val="nil"/>
            </w:tcBorders>
          </w:tcPr>
          <w:p w:rsidR="001956F7" w:rsidRPr="003F55AB" w:rsidRDefault="001956F7" w:rsidP="003F55AB">
            <w:pPr>
              <w:pStyle w:val="Tabletext"/>
              <w:tabs>
                <w:tab w:val="decimal" w:pos="510"/>
              </w:tabs>
            </w:pPr>
            <w:r w:rsidRPr="003F55AB">
              <w:t>18.0</w:t>
            </w:r>
          </w:p>
        </w:tc>
      </w:tr>
      <w:tr w:rsidR="001956F7" w:rsidRPr="003F55AB" w:rsidTr="003F55AB">
        <w:trPr>
          <w:cantSplit/>
        </w:trPr>
        <w:tc>
          <w:tcPr>
            <w:tcW w:w="1985" w:type="dxa"/>
            <w:tcBorders>
              <w:top w:val="nil"/>
              <w:bottom w:val="nil"/>
              <w:right w:val="nil"/>
            </w:tcBorders>
          </w:tcPr>
          <w:p w:rsidR="001956F7" w:rsidRPr="003F55AB" w:rsidRDefault="001956F7" w:rsidP="003F55AB">
            <w:pPr>
              <w:pStyle w:val="Tabletext"/>
            </w:pPr>
            <w:r w:rsidRPr="003F55AB">
              <w:t xml:space="preserve">Primary school </w:t>
            </w:r>
          </w:p>
        </w:tc>
        <w:tc>
          <w:tcPr>
            <w:tcW w:w="1204" w:type="dxa"/>
            <w:tcBorders>
              <w:top w:val="nil"/>
              <w:left w:val="nil"/>
              <w:bottom w:val="nil"/>
              <w:right w:val="nil"/>
            </w:tcBorders>
          </w:tcPr>
          <w:p w:rsidR="001956F7" w:rsidRPr="003F55AB" w:rsidRDefault="001956F7" w:rsidP="003F55AB">
            <w:pPr>
              <w:pStyle w:val="Tabletext"/>
              <w:tabs>
                <w:tab w:val="decimal" w:pos="567"/>
              </w:tabs>
            </w:pPr>
            <w:r w:rsidRPr="003F55AB">
              <w:t xml:space="preserve"> 0</w:t>
            </w:r>
          </w:p>
        </w:tc>
        <w:tc>
          <w:tcPr>
            <w:tcW w:w="1205" w:type="dxa"/>
            <w:tcBorders>
              <w:top w:val="nil"/>
              <w:left w:val="nil"/>
              <w:bottom w:val="nil"/>
              <w:right w:val="nil"/>
            </w:tcBorders>
          </w:tcPr>
          <w:p w:rsidR="001956F7" w:rsidRPr="003F55AB" w:rsidRDefault="001956F7" w:rsidP="003F55AB">
            <w:pPr>
              <w:pStyle w:val="Tabletext"/>
              <w:tabs>
                <w:tab w:val="decimal" w:pos="539"/>
              </w:tabs>
            </w:pPr>
            <w:r w:rsidRPr="003F55AB">
              <w:t>1</w:t>
            </w:r>
          </w:p>
        </w:tc>
        <w:tc>
          <w:tcPr>
            <w:tcW w:w="1205" w:type="dxa"/>
            <w:tcBorders>
              <w:top w:val="nil"/>
              <w:left w:val="nil"/>
              <w:bottom w:val="nil"/>
              <w:right w:val="nil"/>
            </w:tcBorders>
          </w:tcPr>
          <w:p w:rsidR="001956F7" w:rsidRPr="003F55AB" w:rsidRDefault="001956F7" w:rsidP="003F55AB">
            <w:pPr>
              <w:pStyle w:val="Tabletext"/>
              <w:tabs>
                <w:tab w:val="decimal" w:pos="567"/>
              </w:tabs>
            </w:pPr>
            <w:r w:rsidRPr="003F55AB">
              <w:t xml:space="preserve">  1</w:t>
            </w:r>
          </w:p>
        </w:tc>
        <w:tc>
          <w:tcPr>
            <w:tcW w:w="1205" w:type="dxa"/>
            <w:tcBorders>
              <w:top w:val="nil"/>
              <w:left w:val="nil"/>
              <w:bottom w:val="nil"/>
            </w:tcBorders>
          </w:tcPr>
          <w:p w:rsidR="001956F7" w:rsidRPr="003F55AB" w:rsidRDefault="001956F7" w:rsidP="003F55AB">
            <w:pPr>
              <w:pStyle w:val="Tabletext"/>
              <w:tabs>
                <w:tab w:val="decimal" w:pos="510"/>
              </w:tabs>
            </w:pPr>
            <w:r w:rsidRPr="003F55AB">
              <w:t xml:space="preserve">  1.6</w:t>
            </w:r>
          </w:p>
        </w:tc>
      </w:tr>
      <w:tr w:rsidR="001956F7" w:rsidRPr="003F55AB" w:rsidTr="003F55AB">
        <w:trPr>
          <w:cantSplit/>
        </w:trPr>
        <w:tc>
          <w:tcPr>
            <w:tcW w:w="1985" w:type="dxa"/>
            <w:tcBorders>
              <w:top w:val="nil"/>
              <w:bottom w:val="single" w:sz="4" w:space="0" w:color="auto"/>
              <w:right w:val="nil"/>
            </w:tcBorders>
          </w:tcPr>
          <w:p w:rsidR="001956F7" w:rsidRPr="003F55AB" w:rsidRDefault="001956F7" w:rsidP="003F55AB">
            <w:pPr>
              <w:pStyle w:val="Tabletext"/>
            </w:pPr>
            <w:r w:rsidRPr="003F55AB">
              <w:t>Total</w:t>
            </w:r>
          </w:p>
        </w:tc>
        <w:tc>
          <w:tcPr>
            <w:tcW w:w="1204" w:type="dxa"/>
            <w:tcBorders>
              <w:top w:val="nil"/>
              <w:left w:val="nil"/>
              <w:bottom w:val="single" w:sz="4" w:space="0" w:color="auto"/>
              <w:right w:val="nil"/>
            </w:tcBorders>
          </w:tcPr>
          <w:p w:rsidR="001956F7" w:rsidRPr="003F55AB" w:rsidRDefault="001956F7" w:rsidP="003F55AB">
            <w:pPr>
              <w:pStyle w:val="Tabletext"/>
              <w:tabs>
                <w:tab w:val="decimal" w:pos="567"/>
              </w:tabs>
            </w:pPr>
            <w:r w:rsidRPr="003F55AB">
              <w:t>46</w:t>
            </w:r>
          </w:p>
        </w:tc>
        <w:tc>
          <w:tcPr>
            <w:tcW w:w="1205" w:type="dxa"/>
            <w:tcBorders>
              <w:top w:val="nil"/>
              <w:left w:val="nil"/>
              <w:bottom w:val="single" w:sz="4" w:space="0" w:color="auto"/>
              <w:right w:val="nil"/>
            </w:tcBorders>
          </w:tcPr>
          <w:p w:rsidR="001956F7" w:rsidRPr="003F55AB" w:rsidRDefault="001956F7" w:rsidP="003F55AB">
            <w:pPr>
              <w:pStyle w:val="Tabletext"/>
              <w:tabs>
                <w:tab w:val="decimal" w:pos="539"/>
              </w:tabs>
            </w:pPr>
            <w:r w:rsidRPr="003F55AB">
              <w:t>15</w:t>
            </w:r>
          </w:p>
        </w:tc>
        <w:tc>
          <w:tcPr>
            <w:tcW w:w="1205" w:type="dxa"/>
            <w:tcBorders>
              <w:top w:val="nil"/>
              <w:left w:val="nil"/>
              <w:bottom w:val="single" w:sz="4" w:space="0" w:color="auto"/>
              <w:right w:val="nil"/>
            </w:tcBorders>
          </w:tcPr>
          <w:p w:rsidR="001956F7" w:rsidRPr="003F55AB" w:rsidRDefault="001956F7" w:rsidP="003F55AB">
            <w:pPr>
              <w:pStyle w:val="Tabletext"/>
              <w:tabs>
                <w:tab w:val="decimal" w:pos="567"/>
              </w:tabs>
            </w:pPr>
            <w:r w:rsidRPr="003F55AB">
              <w:t>61</w:t>
            </w:r>
          </w:p>
        </w:tc>
        <w:tc>
          <w:tcPr>
            <w:tcW w:w="1205" w:type="dxa"/>
            <w:tcBorders>
              <w:top w:val="nil"/>
              <w:left w:val="nil"/>
              <w:bottom w:val="single" w:sz="4" w:space="0" w:color="auto"/>
            </w:tcBorders>
          </w:tcPr>
          <w:p w:rsidR="001956F7" w:rsidRPr="003F55AB" w:rsidRDefault="001956F7" w:rsidP="003F55AB">
            <w:pPr>
              <w:pStyle w:val="Tabletext"/>
              <w:tabs>
                <w:tab w:val="decimal" w:pos="510"/>
              </w:tabs>
            </w:pPr>
            <w:r w:rsidRPr="003F55AB">
              <w:t xml:space="preserve">    100.0*</w:t>
            </w:r>
          </w:p>
        </w:tc>
      </w:tr>
    </w:tbl>
    <w:p w:rsidR="001956F7" w:rsidRPr="0051664A" w:rsidRDefault="001956F7" w:rsidP="003F55AB">
      <w:pPr>
        <w:pStyle w:val="Source"/>
      </w:pPr>
      <w:r>
        <w:t>Note</w:t>
      </w:r>
      <w:r w:rsidR="00462076">
        <w:t>s</w:t>
      </w:r>
      <w:r w:rsidRPr="00167E8A">
        <w:t>:</w:t>
      </w:r>
      <w:r w:rsidR="003F55AB">
        <w:tab/>
      </w:r>
      <w:r w:rsidRPr="00167E8A">
        <w:rPr>
          <w:rFonts w:cs="Arial"/>
          <w:b/>
          <w:sz w:val="16"/>
          <w:szCs w:val="16"/>
        </w:rPr>
        <w:t>*</w:t>
      </w:r>
      <w:r>
        <w:t xml:space="preserve">99.9%; total </w:t>
      </w:r>
      <w:r w:rsidRPr="000A6D0D">
        <w:t>rounded</w:t>
      </w:r>
      <w:r>
        <w:t xml:space="preserve"> to 100%.</w:t>
      </w:r>
      <w:r w:rsidR="00462076">
        <w:t xml:space="preserve"> N = </w:t>
      </w:r>
      <w:r w:rsidR="00462076" w:rsidRPr="00AF1F5B">
        <w:t>61</w:t>
      </w:r>
      <w:r w:rsidR="00462076">
        <w:rPr>
          <w:szCs w:val="28"/>
        </w:rPr>
        <w:t>.</w:t>
      </w:r>
    </w:p>
    <w:p w:rsidR="001956F7" w:rsidRDefault="001956F7" w:rsidP="001956F7">
      <w:pPr>
        <w:pStyle w:val="Text"/>
      </w:pPr>
    </w:p>
    <w:p w:rsidR="001956F7" w:rsidRPr="006906E8" w:rsidRDefault="001956F7" w:rsidP="001956F7">
      <w:pPr>
        <w:pStyle w:val="Text"/>
      </w:pPr>
    </w:p>
    <w:p w:rsidR="003F55AB" w:rsidRDefault="003F55AB">
      <w:pPr>
        <w:spacing w:before="0" w:line="240" w:lineRule="auto"/>
        <w:rPr>
          <w:rFonts w:ascii="Tahoma" w:hAnsi="Tahoma" w:cs="Tahoma"/>
          <w:color w:val="000000"/>
          <w:kern w:val="28"/>
          <w:sz w:val="56"/>
          <w:szCs w:val="56"/>
        </w:rPr>
      </w:pPr>
      <w:bookmarkStart w:id="88" w:name="_Toc305074179"/>
      <w:r>
        <w:br w:type="page"/>
      </w:r>
    </w:p>
    <w:p w:rsidR="001956F7" w:rsidRPr="00E952E1" w:rsidRDefault="001956F7" w:rsidP="003F55AB">
      <w:pPr>
        <w:pStyle w:val="Heading1"/>
      </w:pPr>
      <w:bookmarkStart w:id="89" w:name="_Toc309645502"/>
      <w:r>
        <w:lastRenderedPageBreak/>
        <w:t>Appendix</w:t>
      </w:r>
      <w:r w:rsidRPr="00C62EDA">
        <w:t xml:space="preserve"> 2</w:t>
      </w:r>
      <w:bookmarkEnd w:id="88"/>
      <w:bookmarkEnd w:id="89"/>
    </w:p>
    <w:p w:rsidR="001956F7" w:rsidRPr="00AF1F5B" w:rsidRDefault="001956F7" w:rsidP="006C48E9">
      <w:pPr>
        <w:pStyle w:val="tabletitle"/>
        <w:rPr>
          <w:szCs w:val="28"/>
        </w:rPr>
      </w:pPr>
      <w:bookmarkStart w:id="90" w:name="_Toc305074187"/>
      <w:bookmarkStart w:id="91" w:name="_Toc309645551"/>
      <w:r>
        <w:t>Table A.3</w:t>
      </w:r>
      <w:r>
        <w:tab/>
      </w:r>
      <w:r w:rsidRPr="006C48E9">
        <w:t>Interviewed</w:t>
      </w:r>
      <w:r>
        <w:t xml:space="preserve"> migrant profile, July 2007</w:t>
      </w:r>
      <w:bookmarkEnd w:id="90"/>
      <w:bookmarkEnd w:id="91"/>
    </w:p>
    <w:tbl>
      <w:tblPr>
        <w:tblW w:w="9072" w:type="dxa"/>
        <w:tblBorders>
          <w:top w:val="single" w:sz="4" w:space="0" w:color="auto"/>
          <w:bottom w:val="single" w:sz="4" w:space="0" w:color="auto"/>
        </w:tblBorders>
        <w:tblLayout w:type="fixed"/>
        <w:tblCellMar>
          <w:left w:w="0" w:type="dxa"/>
          <w:right w:w="0" w:type="dxa"/>
        </w:tblCellMar>
        <w:tblLook w:val="01E0"/>
      </w:tblPr>
      <w:tblGrid>
        <w:gridCol w:w="709"/>
        <w:gridCol w:w="709"/>
        <w:gridCol w:w="850"/>
        <w:gridCol w:w="567"/>
        <w:gridCol w:w="993"/>
        <w:gridCol w:w="1134"/>
        <w:gridCol w:w="992"/>
        <w:gridCol w:w="1134"/>
        <w:gridCol w:w="1134"/>
        <w:gridCol w:w="850"/>
      </w:tblGrid>
      <w:tr w:rsidR="006C48E9" w:rsidRPr="006C48E9" w:rsidTr="006C48E9">
        <w:trPr>
          <w:cantSplit/>
        </w:trPr>
        <w:tc>
          <w:tcPr>
            <w:tcW w:w="709" w:type="dxa"/>
            <w:tcBorders>
              <w:top w:val="single" w:sz="4" w:space="0" w:color="auto"/>
              <w:bottom w:val="single" w:sz="4" w:space="0" w:color="auto"/>
            </w:tcBorders>
          </w:tcPr>
          <w:p w:rsidR="001956F7" w:rsidRPr="006C48E9" w:rsidRDefault="001956F7" w:rsidP="006C48E9">
            <w:pPr>
              <w:pStyle w:val="Tablehead1"/>
            </w:pPr>
            <w:r w:rsidRPr="006C48E9">
              <w:t>Name</w:t>
            </w:r>
          </w:p>
        </w:tc>
        <w:tc>
          <w:tcPr>
            <w:tcW w:w="709" w:type="dxa"/>
            <w:tcBorders>
              <w:top w:val="single" w:sz="4" w:space="0" w:color="auto"/>
              <w:bottom w:val="single" w:sz="4" w:space="0" w:color="auto"/>
            </w:tcBorders>
          </w:tcPr>
          <w:p w:rsidR="001956F7" w:rsidRPr="006C48E9" w:rsidRDefault="001956F7" w:rsidP="006C48E9">
            <w:pPr>
              <w:pStyle w:val="Tablehead1"/>
              <w:jc w:val="center"/>
            </w:pPr>
            <w:r w:rsidRPr="006C48E9">
              <w:t>Gender</w:t>
            </w:r>
          </w:p>
        </w:tc>
        <w:tc>
          <w:tcPr>
            <w:tcW w:w="850" w:type="dxa"/>
            <w:tcBorders>
              <w:top w:val="single" w:sz="4" w:space="0" w:color="auto"/>
              <w:bottom w:val="single" w:sz="4" w:space="0" w:color="auto"/>
            </w:tcBorders>
          </w:tcPr>
          <w:p w:rsidR="001956F7" w:rsidRPr="006C48E9" w:rsidRDefault="001956F7" w:rsidP="006C48E9">
            <w:pPr>
              <w:pStyle w:val="Tablehead1"/>
              <w:jc w:val="center"/>
            </w:pPr>
            <w:r w:rsidRPr="006C48E9">
              <w:t>Country of birth</w:t>
            </w:r>
          </w:p>
        </w:tc>
        <w:tc>
          <w:tcPr>
            <w:tcW w:w="567" w:type="dxa"/>
            <w:tcBorders>
              <w:top w:val="single" w:sz="4" w:space="0" w:color="auto"/>
              <w:bottom w:val="single" w:sz="4" w:space="0" w:color="auto"/>
            </w:tcBorders>
          </w:tcPr>
          <w:p w:rsidR="001956F7" w:rsidRPr="006C48E9" w:rsidRDefault="001956F7" w:rsidP="006C48E9">
            <w:pPr>
              <w:pStyle w:val="Tablehead1"/>
              <w:jc w:val="center"/>
            </w:pPr>
            <w:r w:rsidRPr="006C48E9">
              <w:t>Age</w:t>
            </w:r>
          </w:p>
        </w:tc>
        <w:tc>
          <w:tcPr>
            <w:tcW w:w="993" w:type="dxa"/>
            <w:tcBorders>
              <w:top w:val="single" w:sz="4" w:space="0" w:color="auto"/>
              <w:bottom w:val="single" w:sz="4" w:space="0" w:color="auto"/>
            </w:tcBorders>
          </w:tcPr>
          <w:p w:rsidR="001956F7" w:rsidRPr="006C48E9" w:rsidRDefault="001956F7" w:rsidP="006C48E9">
            <w:pPr>
              <w:pStyle w:val="Tablehead1"/>
              <w:jc w:val="center"/>
            </w:pPr>
            <w:r w:rsidRPr="006C48E9">
              <w:t>Highest level of education completed</w:t>
            </w:r>
          </w:p>
        </w:tc>
        <w:tc>
          <w:tcPr>
            <w:tcW w:w="1134" w:type="dxa"/>
            <w:tcBorders>
              <w:top w:val="single" w:sz="4" w:space="0" w:color="auto"/>
              <w:bottom w:val="single" w:sz="4" w:space="0" w:color="auto"/>
            </w:tcBorders>
          </w:tcPr>
          <w:p w:rsidR="001956F7" w:rsidRPr="006C48E9" w:rsidRDefault="001956F7" w:rsidP="006C48E9">
            <w:pPr>
              <w:pStyle w:val="Tablehead1"/>
              <w:jc w:val="center"/>
            </w:pPr>
            <w:r w:rsidRPr="006C48E9">
              <w:t>Pre-immigration paid work</w:t>
            </w:r>
          </w:p>
        </w:tc>
        <w:tc>
          <w:tcPr>
            <w:tcW w:w="992" w:type="dxa"/>
            <w:tcBorders>
              <w:top w:val="single" w:sz="4" w:space="0" w:color="auto"/>
              <w:bottom w:val="single" w:sz="4" w:space="0" w:color="auto"/>
            </w:tcBorders>
          </w:tcPr>
          <w:p w:rsidR="001956F7" w:rsidRPr="006C48E9" w:rsidRDefault="001956F7" w:rsidP="006C48E9">
            <w:pPr>
              <w:pStyle w:val="Tablehead1"/>
              <w:jc w:val="center"/>
            </w:pPr>
            <w:r w:rsidRPr="006C48E9">
              <w:t xml:space="preserve">Date  immigrated to </w:t>
            </w:r>
            <w:r w:rsidR="006C48E9">
              <w:br/>
            </w:r>
            <w:r w:rsidRPr="006C48E9">
              <w:t>Australia</w:t>
            </w:r>
          </w:p>
        </w:tc>
        <w:tc>
          <w:tcPr>
            <w:tcW w:w="1134" w:type="dxa"/>
            <w:tcBorders>
              <w:top w:val="single" w:sz="4" w:space="0" w:color="auto"/>
              <w:bottom w:val="single" w:sz="4" w:space="0" w:color="auto"/>
            </w:tcBorders>
          </w:tcPr>
          <w:p w:rsidR="001956F7" w:rsidRPr="006C48E9" w:rsidRDefault="001956F7" w:rsidP="006C48E9">
            <w:pPr>
              <w:pStyle w:val="Tablehead1"/>
              <w:jc w:val="center"/>
            </w:pPr>
            <w:r w:rsidRPr="006C48E9">
              <w:t xml:space="preserve">Years learnt English before </w:t>
            </w:r>
            <w:r w:rsidR="006C48E9">
              <w:br/>
            </w:r>
            <w:r w:rsidRPr="006C48E9">
              <w:t>arrival in Australia (N)</w:t>
            </w:r>
          </w:p>
        </w:tc>
        <w:tc>
          <w:tcPr>
            <w:tcW w:w="1134" w:type="dxa"/>
            <w:tcBorders>
              <w:top w:val="single" w:sz="4" w:space="0" w:color="auto"/>
              <w:bottom w:val="single" w:sz="4" w:space="0" w:color="auto"/>
            </w:tcBorders>
          </w:tcPr>
          <w:p w:rsidR="001956F7" w:rsidRPr="006C48E9" w:rsidRDefault="001956F7" w:rsidP="006C48E9">
            <w:pPr>
              <w:pStyle w:val="Tablehead1"/>
              <w:jc w:val="center"/>
              <w:rPr>
                <w:szCs w:val="8"/>
              </w:rPr>
            </w:pPr>
            <w:r w:rsidRPr="006C48E9">
              <w:t xml:space="preserve">Previous English as a second language courses undertaken </w:t>
            </w:r>
            <w:r w:rsidR="006C48E9">
              <w:br/>
            </w:r>
            <w:r w:rsidRPr="006C48E9">
              <w:t>at language centre</w:t>
            </w:r>
            <w:r w:rsidRPr="006C48E9">
              <w:br/>
              <w:t>(N)</w:t>
            </w:r>
          </w:p>
        </w:tc>
        <w:tc>
          <w:tcPr>
            <w:tcW w:w="850" w:type="dxa"/>
            <w:tcBorders>
              <w:top w:val="single" w:sz="4" w:space="0" w:color="auto"/>
              <w:bottom w:val="single" w:sz="4" w:space="0" w:color="auto"/>
            </w:tcBorders>
          </w:tcPr>
          <w:p w:rsidR="001956F7" w:rsidRPr="006C48E9" w:rsidRDefault="001956F7" w:rsidP="006C48E9">
            <w:pPr>
              <w:pStyle w:val="Tablehead1"/>
              <w:jc w:val="center"/>
            </w:pPr>
            <w:r w:rsidRPr="006C48E9">
              <w:t>Parent of children in Australia</w:t>
            </w:r>
          </w:p>
        </w:tc>
      </w:tr>
      <w:tr w:rsidR="006C48E9" w:rsidRPr="006C48E9" w:rsidTr="006C48E9">
        <w:trPr>
          <w:cantSplit/>
        </w:trPr>
        <w:tc>
          <w:tcPr>
            <w:tcW w:w="709" w:type="dxa"/>
            <w:tcBorders>
              <w:top w:val="single" w:sz="4" w:space="0" w:color="auto"/>
            </w:tcBorders>
          </w:tcPr>
          <w:p w:rsidR="001956F7" w:rsidRPr="006C48E9" w:rsidRDefault="001956F7" w:rsidP="006C48E9">
            <w:pPr>
              <w:pStyle w:val="Tabletext"/>
            </w:pPr>
            <w:proofErr w:type="spellStart"/>
            <w:r w:rsidRPr="006C48E9">
              <w:t>Rui</w:t>
            </w:r>
            <w:proofErr w:type="spellEnd"/>
          </w:p>
        </w:tc>
        <w:tc>
          <w:tcPr>
            <w:tcW w:w="709" w:type="dxa"/>
            <w:tcBorders>
              <w:top w:val="single" w:sz="4" w:space="0" w:color="auto"/>
            </w:tcBorders>
          </w:tcPr>
          <w:p w:rsidR="001956F7" w:rsidRPr="006C48E9" w:rsidRDefault="001956F7" w:rsidP="006C48E9">
            <w:pPr>
              <w:pStyle w:val="Tabletext"/>
              <w:jc w:val="center"/>
            </w:pPr>
            <w:r w:rsidRPr="006C48E9">
              <w:t>F</w:t>
            </w:r>
          </w:p>
        </w:tc>
        <w:tc>
          <w:tcPr>
            <w:tcW w:w="850" w:type="dxa"/>
            <w:tcBorders>
              <w:top w:val="single" w:sz="4" w:space="0" w:color="auto"/>
            </w:tcBorders>
          </w:tcPr>
          <w:p w:rsidR="001956F7" w:rsidRPr="006C48E9" w:rsidRDefault="001956F7" w:rsidP="006C48E9">
            <w:pPr>
              <w:pStyle w:val="Tabletext"/>
              <w:jc w:val="center"/>
            </w:pPr>
            <w:r w:rsidRPr="006C48E9">
              <w:t>China</w:t>
            </w:r>
          </w:p>
        </w:tc>
        <w:tc>
          <w:tcPr>
            <w:tcW w:w="567" w:type="dxa"/>
            <w:tcBorders>
              <w:top w:val="single" w:sz="4" w:space="0" w:color="auto"/>
            </w:tcBorders>
          </w:tcPr>
          <w:p w:rsidR="001956F7" w:rsidRPr="006C48E9" w:rsidRDefault="001956F7" w:rsidP="006C48E9">
            <w:pPr>
              <w:pStyle w:val="Tabletext"/>
              <w:jc w:val="center"/>
            </w:pPr>
            <w:r w:rsidRPr="006C48E9">
              <w:t>38</w:t>
            </w:r>
          </w:p>
        </w:tc>
        <w:tc>
          <w:tcPr>
            <w:tcW w:w="993" w:type="dxa"/>
            <w:tcBorders>
              <w:top w:val="single" w:sz="4" w:space="0" w:color="auto"/>
            </w:tcBorders>
          </w:tcPr>
          <w:p w:rsidR="001956F7" w:rsidRPr="006C48E9" w:rsidRDefault="001956F7" w:rsidP="006C48E9">
            <w:pPr>
              <w:pStyle w:val="Tabletext"/>
              <w:jc w:val="center"/>
            </w:pPr>
            <w:r w:rsidRPr="006C48E9">
              <w:t>high school</w:t>
            </w:r>
          </w:p>
        </w:tc>
        <w:tc>
          <w:tcPr>
            <w:tcW w:w="1134" w:type="dxa"/>
            <w:tcBorders>
              <w:top w:val="single" w:sz="4" w:space="0" w:color="auto"/>
            </w:tcBorders>
          </w:tcPr>
          <w:p w:rsidR="001956F7" w:rsidRPr="006C48E9" w:rsidRDefault="001956F7" w:rsidP="006C48E9">
            <w:pPr>
              <w:pStyle w:val="Tabletext"/>
              <w:jc w:val="center"/>
            </w:pPr>
            <w:r w:rsidRPr="006C48E9">
              <w:t>manager</w:t>
            </w:r>
          </w:p>
        </w:tc>
        <w:tc>
          <w:tcPr>
            <w:tcW w:w="992" w:type="dxa"/>
            <w:tcBorders>
              <w:top w:val="single" w:sz="4" w:space="0" w:color="auto"/>
            </w:tcBorders>
          </w:tcPr>
          <w:p w:rsidR="001956F7" w:rsidRPr="006C48E9" w:rsidRDefault="001956F7" w:rsidP="00462076">
            <w:pPr>
              <w:pStyle w:val="Tabletext"/>
              <w:ind w:left="113"/>
            </w:pPr>
            <w:r w:rsidRPr="006C48E9">
              <w:t>Dec. 1998</w:t>
            </w:r>
          </w:p>
        </w:tc>
        <w:tc>
          <w:tcPr>
            <w:tcW w:w="1134" w:type="dxa"/>
            <w:tcBorders>
              <w:top w:val="single" w:sz="4" w:space="0" w:color="auto"/>
            </w:tcBorders>
          </w:tcPr>
          <w:p w:rsidR="001956F7" w:rsidRPr="006C48E9" w:rsidRDefault="001956F7" w:rsidP="006C48E9">
            <w:pPr>
              <w:pStyle w:val="Tabletext"/>
              <w:tabs>
                <w:tab w:val="decimal" w:pos="567"/>
              </w:tabs>
            </w:pPr>
            <w:r w:rsidRPr="006C48E9">
              <w:t>1</w:t>
            </w:r>
          </w:p>
        </w:tc>
        <w:tc>
          <w:tcPr>
            <w:tcW w:w="1134" w:type="dxa"/>
            <w:tcBorders>
              <w:top w:val="single" w:sz="4" w:space="0" w:color="auto"/>
            </w:tcBorders>
          </w:tcPr>
          <w:p w:rsidR="001956F7" w:rsidRPr="006C48E9" w:rsidRDefault="001956F7" w:rsidP="006C48E9">
            <w:pPr>
              <w:pStyle w:val="Tabletext"/>
              <w:tabs>
                <w:tab w:val="decimal" w:pos="567"/>
              </w:tabs>
            </w:pPr>
            <w:r w:rsidRPr="006C48E9">
              <w:t>4</w:t>
            </w:r>
          </w:p>
        </w:tc>
        <w:tc>
          <w:tcPr>
            <w:tcW w:w="850" w:type="dxa"/>
            <w:tcBorders>
              <w:top w:val="single" w:sz="4" w:space="0" w:color="auto"/>
            </w:tcBorders>
          </w:tcPr>
          <w:p w:rsidR="001956F7" w:rsidRPr="006C48E9" w:rsidRDefault="001956F7" w:rsidP="006C48E9">
            <w:pPr>
              <w:pStyle w:val="Tabletext"/>
              <w:jc w:val="center"/>
            </w:pPr>
            <w:r w:rsidRPr="006C48E9">
              <w:sym w:font="Wingdings" w:char="F0FC"/>
            </w:r>
          </w:p>
        </w:tc>
      </w:tr>
      <w:tr w:rsidR="006C48E9" w:rsidRPr="006C48E9" w:rsidTr="006C48E9">
        <w:trPr>
          <w:cantSplit/>
        </w:trPr>
        <w:tc>
          <w:tcPr>
            <w:tcW w:w="709" w:type="dxa"/>
          </w:tcPr>
          <w:p w:rsidR="001956F7" w:rsidRPr="006C48E9" w:rsidRDefault="001956F7" w:rsidP="006C48E9">
            <w:pPr>
              <w:pStyle w:val="Tabletext"/>
            </w:pPr>
            <w:r w:rsidRPr="006C48E9">
              <w:t>Ping</w:t>
            </w:r>
          </w:p>
        </w:tc>
        <w:tc>
          <w:tcPr>
            <w:tcW w:w="709" w:type="dxa"/>
          </w:tcPr>
          <w:p w:rsidR="001956F7" w:rsidRPr="006C48E9" w:rsidRDefault="001956F7" w:rsidP="006C48E9">
            <w:pPr>
              <w:pStyle w:val="Tabletext"/>
              <w:jc w:val="center"/>
            </w:pPr>
            <w:r w:rsidRPr="006C48E9">
              <w:t>F</w:t>
            </w:r>
          </w:p>
        </w:tc>
        <w:tc>
          <w:tcPr>
            <w:tcW w:w="850" w:type="dxa"/>
          </w:tcPr>
          <w:p w:rsidR="001956F7" w:rsidRPr="006C48E9" w:rsidRDefault="001956F7" w:rsidP="006C48E9">
            <w:pPr>
              <w:pStyle w:val="Tabletext"/>
              <w:jc w:val="center"/>
            </w:pPr>
            <w:r w:rsidRPr="006C48E9">
              <w:t>China</w:t>
            </w:r>
          </w:p>
        </w:tc>
        <w:tc>
          <w:tcPr>
            <w:tcW w:w="567" w:type="dxa"/>
          </w:tcPr>
          <w:p w:rsidR="001956F7" w:rsidRPr="006C48E9" w:rsidRDefault="001956F7" w:rsidP="006C48E9">
            <w:pPr>
              <w:pStyle w:val="Tabletext"/>
              <w:jc w:val="center"/>
            </w:pPr>
            <w:r w:rsidRPr="006C48E9">
              <w:t>43</w:t>
            </w:r>
          </w:p>
        </w:tc>
        <w:tc>
          <w:tcPr>
            <w:tcW w:w="993" w:type="dxa"/>
          </w:tcPr>
          <w:p w:rsidR="001956F7" w:rsidRPr="006C48E9" w:rsidRDefault="001956F7" w:rsidP="006C48E9">
            <w:pPr>
              <w:pStyle w:val="Tabletext"/>
              <w:jc w:val="center"/>
            </w:pPr>
            <w:r w:rsidRPr="006C48E9">
              <w:t>university</w:t>
            </w:r>
          </w:p>
        </w:tc>
        <w:tc>
          <w:tcPr>
            <w:tcW w:w="1134" w:type="dxa"/>
          </w:tcPr>
          <w:p w:rsidR="001956F7" w:rsidRPr="006C48E9" w:rsidRDefault="001956F7" w:rsidP="006C48E9">
            <w:pPr>
              <w:pStyle w:val="Tabletext"/>
              <w:jc w:val="center"/>
            </w:pPr>
            <w:r w:rsidRPr="006C48E9">
              <w:t>engineer</w:t>
            </w:r>
          </w:p>
        </w:tc>
        <w:tc>
          <w:tcPr>
            <w:tcW w:w="992" w:type="dxa"/>
          </w:tcPr>
          <w:p w:rsidR="001956F7" w:rsidRPr="006C48E9" w:rsidRDefault="001956F7" w:rsidP="00462076">
            <w:pPr>
              <w:pStyle w:val="Tabletext"/>
              <w:ind w:left="113"/>
            </w:pPr>
            <w:r w:rsidRPr="006C48E9">
              <w:t>Apr. 2004</w:t>
            </w:r>
          </w:p>
        </w:tc>
        <w:tc>
          <w:tcPr>
            <w:tcW w:w="1134" w:type="dxa"/>
          </w:tcPr>
          <w:p w:rsidR="001956F7" w:rsidRPr="006C48E9" w:rsidRDefault="001956F7" w:rsidP="006C48E9">
            <w:pPr>
              <w:pStyle w:val="Tabletext"/>
              <w:tabs>
                <w:tab w:val="decimal" w:pos="567"/>
              </w:tabs>
            </w:pPr>
            <w:r w:rsidRPr="006C48E9">
              <w:t>2</w:t>
            </w:r>
          </w:p>
        </w:tc>
        <w:tc>
          <w:tcPr>
            <w:tcW w:w="1134" w:type="dxa"/>
          </w:tcPr>
          <w:p w:rsidR="001956F7" w:rsidRPr="006C48E9" w:rsidRDefault="001956F7" w:rsidP="006C48E9">
            <w:pPr>
              <w:pStyle w:val="Tabletext"/>
              <w:tabs>
                <w:tab w:val="decimal" w:pos="567"/>
              </w:tabs>
            </w:pPr>
            <w:r w:rsidRPr="006C48E9">
              <w:t>4</w:t>
            </w:r>
          </w:p>
        </w:tc>
        <w:tc>
          <w:tcPr>
            <w:tcW w:w="850" w:type="dxa"/>
          </w:tcPr>
          <w:p w:rsidR="001956F7" w:rsidRPr="006C48E9" w:rsidRDefault="001956F7" w:rsidP="006C48E9">
            <w:pPr>
              <w:pStyle w:val="Tabletext"/>
              <w:jc w:val="center"/>
            </w:pPr>
            <w:r w:rsidRPr="006C48E9">
              <w:sym w:font="Wingdings" w:char="F0FC"/>
            </w:r>
          </w:p>
        </w:tc>
      </w:tr>
      <w:tr w:rsidR="006C48E9" w:rsidRPr="006C48E9" w:rsidTr="006C48E9">
        <w:trPr>
          <w:cantSplit/>
        </w:trPr>
        <w:tc>
          <w:tcPr>
            <w:tcW w:w="709" w:type="dxa"/>
          </w:tcPr>
          <w:p w:rsidR="001956F7" w:rsidRPr="006C48E9" w:rsidRDefault="001956F7" w:rsidP="006C48E9">
            <w:pPr>
              <w:pStyle w:val="Tabletext"/>
            </w:pPr>
            <w:r w:rsidRPr="006C48E9">
              <w:t>Xi</w:t>
            </w:r>
          </w:p>
        </w:tc>
        <w:tc>
          <w:tcPr>
            <w:tcW w:w="709" w:type="dxa"/>
          </w:tcPr>
          <w:p w:rsidR="001956F7" w:rsidRPr="006C48E9" w:rsidRDefault="001956F7" w:rsidP="006C48E9">
            <w:pPr>
              <w:pStyle w:val="Tabletext"/>
              <w:jc w:val="center"/>
            </w:pPr>
            <w:r w:rsidRPr="006C48E9">
              <w:t>F</w:t>
            </w:r>
          </w:p>
        </w:tc>
        <w:tc>
          <w:tcPr>
            <w:tcW w:w="850" w:type="dxa"/>
          </w:tcPr>
          <w:p w:rsidR="001956F7" w:rsidRPr="006C48E9" w:rsidRDefault="001956F7" w:rsidP="006C48E9">
            <w:pPr>
              <w:pStyle w:val="Tabletext"/>
              <w:jc w:val="center"/>
            </w:pPr>
            <w:r w:rsidRPr="006C48E9">
              <w:t>China</w:t>
            </w:r>
          </w:p>
        </w:tc>
        <w:tc>
          <w:tcPr>
            <w:tcW w:w="567" w:type="dxa"/>
          </w:tcPr>
          <w:p w:rsidR="001956F7" w:rsidRPr="006C48E9" w:rsidRDefault="001956F7" w:rsidP="006C48E9">
            <w:pPr>
              <w:pStyle w:val="Tabletext"/>
              <w:jc w:val="center"/>
            </w:pPr>
            <w:r w:rsidRPr="006C48E9">
              <w:t>46</w:t>
            </w:r>
          </w:p>
        </w:tc>
        <w:tc>
          <w:tcPr>
            <w:tcW w:w="993" w:type="dxa"/>
          </w:tcPr>
          <w:p w:rsidR="001956F7" w:rsidRPr="006C48E9" w:rsidRDefault="001956F7" w:rsidP="006C48E9">
            <w:pPr>
              <w:pStyle w:val="Tabletext"/>
              <w:jc w:val="center"/>
            </w:pPr>
            <w:r w:rsidRPr="006C48E9">
              <w:t>university</w:t>
            </w:r>
          </w:p>
        </w:tc>
        <w:tc>
          <w:tcPr>
            <w:tcW w:w="1134" w:type="dxa"/>
          </w:tcPr>
          <w:p w:rsidR="001956F7" w:rsidRPr="006C48E9" w:rsidRDefault="001956F7" w:rsidP="006C48E9">
            <w:pPr>
              <w:pStyle w:val="Tabletext"/>
              <w:jc w:val="center"/>
            </w:pPr>
            <w:r w:rsidRPr="006C48E9">
              <w:t>engineer</w:t>
            </w:r>
          </w:p>
        </w:tc>
        <w:tc>
          <w:tcPr>
            <w:tcW w:w="992" w:type="dxa"/>
          </w:tcPr>
          <w:p w:rsidR="001956F7" w:rsidRPr="006C48E9" w:rsidRDefault="001956F7" w:rsidP="00462076">
            <w:pPr>
              <w:pStyle w:val="Tabletext"/>
              <w:ind w:left="113"/>
            </w:pPr>
            <w:r w:rsidRPr="006C48E9">
              <w:t>Mar. 2007</w:t>
            </w:r>
          </w:p>
        </w:tc>
        <w:tc>
          <w:tcPr>
            <w:tcW w:w="1134" w:type="dxa"/>
          </w:tcPr>
          <w:p w:rsidR="001956F7" w:rsidRPr="006C48E9" w:rsidRDefault="001956F7" w:rsidP="006C48E9">
            <w:pPr>
              <w:pStyle w:val="Tabletext"/>
              <w:tabs>
                <w:tab w:val="decimal" w:pos="567"/>
              </w:tabs>
            </w:pPr>
            <w:r w:rsidRPr="006C48E9">
              <w:t>10</w:t>
            </w:r>
          </w:p>
        </w:tc>
        <w:tc>
          <w:tcPr>
            <w:tcW w:w="1134" w:type="dxa"/>
          </w:tcPr>
          <w:p w:rsidR="001956F7" w:rsidRPr="006C48E9" w:rsidRDefault="001956F7" w:rsidP="006C48E9">
            <w:pPr>
              <w:pStyle w:val="Tabletext"/>
              <w:tabs>
                <w:tab w:val="decimal" w:pos="567"/>
              </w:tabs>
            </w:pPr>
            <w:r w:rsidRPr="006C48E9">
              <w:t>0</w:t>
            </w:r>
          </w:p>
        </w:tc>
        <w:tc>
          <w:tcPr>
            <w:tcW w:w="850" w:type="dxa"/>
          </w:tcPr>
          <w:p w:rsidR="001956F7" w:rsidRPr="006C48E9" w:rsidRDefault="001956F7" w:rsidP="006C48E9">
            <w:pPr>
              <w:pStyle w:val="Tabletext"/>
              <w:jc w:val="center"/>
            </w:pPr>
            <w:r w:rsidRPr="006C48E9">
              <w:sym w:font="Wingdings" w:char="F0FC"/>
            </w:r>
          </w:p>
        </w:tc>
      </w:tr>
      <w:tr w:rsidR="006C48E9" w:rsidRPr="006C48E9" w:rsidTr="006C48E9">
        <w:trPr>
          <w:cantSplit/>
        </w:trPr>
        <w:tc>
          <w:tcPr>
            <w:tcW w:w="709" w:type="dxa"/>
          </w:tcPr>
          <w:p w:rsidR="001956F7" w:rsidRPr="006C48E9" w:rsidRDefault="001956F7" w:rsidP="006C48E9">
            <w:pPr>
              <w:pStyle w:val="Tabletext"/>
            </w:pPr>
            <w:proofErr w:type="spellStart"/>
            <w:r w:rsidRPr="006C48E9">
              <w:t>Thuy</w:t>
            </w:r>
            <w:proofErr w:type="spellEnd"/>
          </w:p>
        </w:tc>
        <w:tc>
          <w:tcPr>
            <w:tcW w:w="709" w:type="dxa"/>
          </w:tcPr>
          <w:p w:rsidR="001956F7" w:rsidRPr="006C48E9" w:rsidRDefault="001956F7" w:rsidP="006C48E9">
            <w:pPr>
              <w:pStyle w:val="Tabletext"/>
              <w:jc w:val="center"/>
            </w:pPr>
            <w:r w:rsidRPr="006C48E9">
              <w:t>F</w:t>
            </w:r>
          </w:p>
        </w:tc>
        <w:tc>
          <w:tcPr>
            <w:tcW w:w="850" w:type="dxa"/>
          </w:tcPr>
          <w:p w:rsidR="001956F7" w:rsidRPr="006C48E9" w:rsidRDefault="001956F7" w:rsidP="006C48E9">
            <w:pPr>
              <w:pStyle w:val="Tabletext"/>
              <w:jc w:val="center"/>
            </w:pPr>
            <w:r w:rsidRPr="006C48E9">
              <w:t>Vietnam</w:t>
            </w:r>
          </w:p>
        </w:tc>
        <w:tc>
          <w:tcPr>
            <w:tcW w:w="567" w:type="dxa"/>
          </w:tcPr>
          <w:p w:rsidR="001956F7" w:rsidRPr="006C48E9" w:rsidRDefault="001956F7" w:rsidP="006C48E9">
            <w:pPr>
              <w:pStyle w:val="Tabletext"/>
              <w:jc w:val="center"/>
            </w:pPr>
            <w:r w:rsidRPr="006C48E9">
              <w:t>29</w:t>
            </w:r>
          </w:p>
        </w:tc>
        <w:tc>
          <w:tcPr>
            <w:tcW w:w="993" w:type="dxa"/>
          </w:tcPr>
          <w:p w:rsidR="001956F7" w:rsidRPr="006C48E9" w:rsidRDefault="001956F7" w:rsidP="006C48E9">
            <w:pPr>
              <w:pStyle w:val="Tabletext"/>
              <w:jc w:val="center"/>
            </w:pPr>
            <w:r w:rsidRPr="006C48E9">
              <w:t>university</w:t>
            </w:r>
          </w:p>
        </w:tc>
        <w:tc>
          <w:tcPr>
            <w:tcW w:w="1134" w:type="dxa"/>
          </w:tcPr>
          <w:p w:rsidR="001956F7" w:rsidRPr="006C48E9" w:rsidRDefault="001956F7" w:rsidP="006C48E9">
            <w:pPr>
              <w:pStyle w:val="Tabletext"/>
              <w:jc w:val="center"/>
            </w:pPr>
            <w:proofErr w:type="spellStart"/>
            <w:r w:rsidRPr="006C48E9">
              <w:t>na</w:t>
            </w:r>
            <w:proofErr w:type="spellEnd"/>
          </w:p>
        </w:tc>
        <w:tc>
          <w:tcPr>
            <w:tcW w:w="992" w:type="dxa"/>
          </w:tcPr>
          <w:p w:rsidR="001956F7" w:rsidRPr="006C48E9" w:rsidRDefault="001956F7" w:rsidP="00462076">
            <w:pPr>
              <w:pStyle w:val="Tabletext"/>
              <w:ind w:left="113"/>
            </w:pPr>
            <w:r w:rsidRPr="006C48E9">
              <w:t>Aug. 2003</w:t>
            </w:r>
          </w:p>
        </w:tc>
        <w:tc>
          <w:tcPr>
            <w:tcW w:w="1134" w:type="dxa"/>
          </w:tcPr>
          <w:p w:rsidR="001956F7" w:rsidRPr="006C48E9" w:rsidRDefault="001956F7" w:rsidP="006C48E9">
            <w:pPr>
              <w:pStyle w:val="Tabletext"/>
              <w:tabs>
                <w:tab w:val="decimal" w:pos="567"/>
              </w:tabs>
            </w:pPr>
            <w:r w:rsidRPr="006C48E9">
              <w:t>.25</w:t>
            </w:r>
          </w:p>
        </w:tc>
        <w:tc>
          <w:tcPr>
            <w:tcW w:w="1134" w:type="dxa"/>
          </w:tcPr>
          <w:p w:rsidR="001956F7" w:rsidRPr="006C48E9" w:rsidRDefault="001956F7" w:rsidP="006C48E9">
            <w:pPr>
              <w:pStyle w:val="Tabletext"/>
              <w:tabs>
                <w:tab w:val="decimal" w:pos="567"/>
              </w:tabs>
            </w:pPr>
            <w:r w:rsidRPr="006C48E9">
              <w:t>4</w:t>
            </w:r>
          </w:p>
        </w:tc>
        <w:tc>
          <w:tcPr>
            <w:tcW w:w="850" w:type="dxa"/>
          </w:tcPr>
          <w:p w:rsidR="001956F7" w:rsidRPr="006C48E9" w:rsidRDefault="001956F7" w:rsidP="006C48E9">
            <w:pPr>
              <w:pStyle w:val="Tabletext"/>
              <w:jc w:val="center"/>
            </w:pPr>
            <w:r w:rsidRPr="006C48E9">
              <w:t>x</w:t>
            </w:r>
          </w:p>
        </w:tc>
      </w:tr>
      <w:tr w:rsidR="006C48E9" w:rsidRPr="006C48E9" w:rsidTr="006C48E9">
        <w:trPr>
          <w:cantSplit/>
        </w:trPr>
        <w:tc>
          <w:tcPr>
            <w:tcW w:w="709" w:type="dxa"/>
          </w:tcPr>
          <w:p w:rsidR="001956F7" w:rsidRPr="006C48E9" w:rsidRDefault="001956F7" w:rsidP="006C48E9">
            <w:pPr>
              <w:pStyle w:val="Tabletext"/>
            </w:pPr>
            <w:r w:rsidRPr="006C48E9">
              <w:t>Diane</w:t>
            </w:r>
          </w:p>
        </w:tc>
        <w:tc>
          <w:tcPr>
            <w:tcW w:w="709" w:type="dxa"/>
          </w:tcPr>
          <w:p w:rsidR="001956F7" w:rsidRPr="006C48E9" w:rsidRDefault="001956F7" w:rsidP="006C48E9">
            <w:pPr>
              <w:pStyle w:val="Tabletext"/>
              <w:jc w:val="center"/>
            </w:pPr>
            <w:r w:rsidRPr="006C48E9">
              <w:t>F</w:t>
            </w:r>
          </w:p>
        </w:tc>
        <w:tc>
          <w:tcPr>
            <w:tcW w:w="850" w:type="dxa"/>
          </w:tcPr>
          <w:p w:rsidR="001956F7" w:rsidRPr="006C48E9" w:rsidRDefault="001956F7" w:rsidP="006C48E9">
            <w:pPr>
              <w:pStyle w:val="Tabletext"/>
              <w:jc w:val="center"/>
            </w:pPr>
            <w:r w:rsidRPr="006C48E9">
              <w:t>Vietnam</w:t>
            </w:r>
          </w:p>
        </w:tc>
        <w:tc>
          <w:tcPr>
            <w:tcW w:w="567" w:type="dxa"/>
          </w:tcPr>
          <w:p w:rsidR="001956F7" w:rsidRPr="006C48E9" w:rsidRDefault="001956F7" w:rsidP="006C48E9">
            <w:pPr>
              <w:pStyle w:val="Tabletext"/>
              <w:jc w:val="center"/>
            </w:pPr>
            <w:r w:rsidRPr="006C48E9">
              <w:t>31</w:t>
            </w:r>
          </w:p>
        </w:tc>
        <w:tc>
          <w:tcPr>
            <w:tcW w:w="993" w:type="dxa"/>
          </w:tcPr>
          <w:p w:rsidR="001956F7" w:rsidRPr="006C48E9" w:rsidRDefault="001956F7" w:rsidP="006C48E9">
            <w:pPr>
              <w:pStyle w:val="Tabletext"/>
              <w:jc w:val="center"/>
            </w:pPr>
            <w:r w:rsidRPr="006C48E9">
              <w:t>university</w:t>
            </w:r>
          </w:p>
        </w:tc>
        <w:tc>
          <w:tcPr>
            <w:tcW w:w="1134" w:type="dxa"/>
          </w:tcPr>
          <w:p w:rsidR="001956F7" w:rsidRPr="006C48E9" w:rsidRDefault="001956F7" w:rsidP="006C48E9">
            <w:pPr>
              <w:pStyle w:val="Tabletext"/>
              <w:jc w:val="center"/>
            </w:pPr>
            <w:r w:rsidRPr="006C48E9">
              <w:t>teacher</w:t>
            </w:r>
          </w:p>
        </w:tc>
        <w:tc>
          <w:tcPr>
            <w:tcW w:w="992" w:type="dxa"/>
          </w:tcPr>
          <w:p w:rsidR="001956F7" w:rsidRPr="006C48E9" w:rsidRDefault="001956F7" w:rsidP="00462076">
            <w:pPr>
              <w:pStyle w:val="Tabletext"/>
              <w:ind w:left="113"/>
            </w:pPr>
            <w:r w:rsidRPr="006C48E9">
              <w:t>July 2006</w:t>
            </w:r>
          </w:p>
        </w:tc>
        <w:tc>
          <w:tcPr>
            <w:tcW w:w="1134" w:type="dxa"/>
          </w:tcPr>
          <w:p w:rsidR="001956F7" w:rsidRPr="006C48E9" w:rsidRDefault="001956F7" w:rsidP="006C48E9">
            <w:pPr>
              <w:pStyle w:val="Tabletext"/>
              <w:tabs>
                <w:tab w:val="decimal" w:pos="567"/>
              </w:tabs>
            </w:pPr>
            <w:r w:rsidRPr="006C48E9">
              <w:t>4.5</w:t>
            </w:r>
          </w:p>
        </w:tc>
        <w:tc>
          <w:tcPr>
            <w:tcW w:w="1134" w:type="dxa"/>
          </w:tcPr>
          <w:p w:rsidR="001956F7" w:rsidRPr="006C48E9" w:rsidRDefault="001956F7" w:rsidP="006C48E9">
            <w:pPr>
              <w:pStyle w:val="Tabletext"/>
              <w:tabs>
                <w:tab w:val="decimal" w:pos="567"/>
              </w:tabs>
            </w:pPr>
            <w:r w:rsidRPr="006C48E9">
              <w:t>1</w:t>
            </w:r>
          </w:p>
        </w:tc>
        <w:tc>
          <w:tcPr>
            <w:tcW w:w="850" w:type="dxa"/>
          </w:tcPr>
          <w:p w:rsidR="001956F7" w:rsidRPr="006C48E9" w:rsidRDefault="001956F7" w:rsidP="006C48E9">
            <w:pPr>
              <w:pStyle w:val="Tabletext"/>
              <w:jc w:val="center"/>
            </w:pPr>
            <w:r w:rsidRPr="006C48E9">
              <w:t>x</w:t>
            </w:r>
          </w:p>
        </w:tc>
      </w:tr>
      <w:tr w:rsidR="006C48E9" w:rsidRPr="006C48E9" w:rsidTr="006C48E9">
        <w:trPr>
          <w:cantSplit/>
        </w:trPr>
        <w:tc>
          <w:tcPr>
            <w:tcW w:w="709" w:type="dxa"/>
          </w:tcPr>
          <w:p w:rsidR="001956F7" w:rsidRPr="006C48E9" w:rsidRDefault="001956F7" w:rsidP="006C48E9">
            <w:pPr>
              <w:pStyle w:val="Tabletext"/>
            </w:pPr>
            <w:proofErr w:type="spellStart"/>
            <w:r w:rsidRPr="006C48E9">
              <w:t>Gizem</w:t>
            </w:r>
            <w:proofErr w:type="spellEnd"/>
          </w:p>
        </w:tc>
        <w:tc>
          <w:tcPr>
            <w:tcW w:w="709" w:type="dxa"/>
          </w:tcPr>
          <w:p w:rsidR="001956F7" w:rsidRPr="006C48E9" w:rsidRDefault="001956F7" w:rsidP="006C48E9">
            <w:pPr>
              <w:pStyle w:val="Tabletext"/>
              <w:jc w:val="center"/>
            </w:pPr>
            <w:r w:rsidRPr="006C48E9">
              <w:t>F</w:t>
            </w:r>
          </w:p>
        </w:tc>
        <w:tc>
          <w:tcPr>
            <w:tcW w:w="850" w:type="dxa"/>
          </w:tcPr>
          <w:p w:rsidR="001956F7" w:rsidRPr="006C48E9" w:rsidRDefault="001956F7" w:rsidP="006C48E9">
            <w:pPr>
              <w:pStyle w:val="Tabletext"/>
              <w:jc w:val="center"/>
            </w:pPr>
            <w:r w:rsidRPr="006C48E9">
              <w:t>Turkey</w:t>
            </w:r>
          </w:p>
        </w:tc>
        <w:tc>
          <w:tcPr>
            <w:tcW w:w="567" w:type="dxa"/>
          </w:tcPr>
          <w:p w:rsidR="001956F7" w:rsidRPr="006C48E9" w:rsidRDefault="001956F7" w:rsidP="006C48E9">
            <w:pPr>
              <w:pStyle w:val="Tabletext"/>
              <w:jc w:val="center"/>
            </w:pPr>
            <w:r w:rsidRPr="006C48E9">
              <w:t>28</w:t>
            </w:r>
          </w:p>
        </w:tc>
        <w:tc>
          <w:tcPr>
            <w:tcW w:w="993" w:type="dxa"/>
          </w:tcPr>
          <w:p w:rsidR="001956F7" w:rsidRPr="006C48E9" w:rsidRDefault="001956F7" w:rsidP="006C48E9">
            <w:pPr>
              <w:pStyle w:val="Tabletext"/>
              <w:jc w:val="center"/>
            </w:pPr>
            <w:r w:rsidRPr="006C48E9">
              <w:t>high school</w:t>
            </w:r>
          </w:p>
        </w:tc>
        <w:tc>
          <w:tcPr>
            <w:tcW w:w="1134" w:type="dxa"/>
          </w:tcPr>
          <w:p w:rsidR="001956F7" w:rsidRPr="006C48E9" w:rsidRDefault="001956F7" w:rsidP="006C48E9">
            <w:pPr>
              <w:pStyle w:val="Tabletext"/>
              <w:jc w:val="center"/>
            </w:pPr>
            <w:r w:rsidRPr="006C48E9">
              <w:t xml:space="preserve">factory </w:t>
            </w:r>
            <w:r w:rsidR="006C48E9">
              <w:br/>
            </w:r>
            <w:r w:rsidRPr="006C48E9">
              <w:t>worker</w:t>
            </w:r>
          </w:p>
        </w:tc>
        <w:tc>
          <w:tcPr>
            <w:tcW w:w="992" w:type="dxa"/>
          </w:tcPr>
          <w:p w:rsidR="001956F7" w:rsidRPr="006C48E9" w:rsidRDefault="001956F7" w:rsidP="00462076">
            <w:pPr>
              <w:pStyle w:val="Tabletext"/>
              <w:ind w:left="113"/>
            </w:pPr>
            <w:r w:rsidRPr="006C48E9">
              <w:t>1999</w:t>
            </w:r>
          </w:p>
        </w:tc>
        <w:tc>
          <w:tcPr>
            <w:tcW w:w="1134" w:type="dxa"/>
          </w:tcPr>
          <w:p w:rsidR="001956F7" w:rsidRPr="006C48E9" w:rsidRDefault="001956F7" w:rsidP="006C48E9">
            <w:pPr>
              <w:pStyle w:val="Tabletext"/>
              <w:tabs>
                <w:tab w:val="decimal" w:pos="567"/>
              </w:tabs>
            </w:pPr>
            <w:r w:rsidRPr="006C48E9">
              <w:t>0</w:t>
            </w:r>
          </w:p>
        </w:tc>
        <w:tc>
          <w:tcPr>
            <w:tcW w:w="1134" w:type="dxa"/>
          </w:tcPr>
          <w:p w:rsidR="001956F7" w:rsidRPr="006C48E9" w:rsidRDefault="001956F7" w:rsidP="006C48E9">
            <w:pPr>
              <w:pStyle w:val="Tabletext"/>
              <w:tabs>
                <w:tab w:val="decimal" w:pos="567"/>
              </w:tabs>
            </w:pPr>
            <w:r w:rsidRPr="006C48E9">
              <w:t>4</w:t>
            </w:r>
          </w:p>
        </w:tc>
        <w:tc>
          <w:tcPr>
            <w:tcW w:w="850" w:type="dxa"/>
          </w:tcPr>
          <w:p w:rsidR="001956F7" w:rsidRPr="006C48E9" w:rsidRDefault="001956F7" w:rsidP="006C48E9">
            <w:pPr>
              <w:pStyle w:val="Tabletext"/>
              <w:jc w:val="center"/>
            </w:pPr>
            <w:r w:rsidRPr="006C48E9">
              <w:sym w:font="Wingdings" w:char="F0FC"/>
            </w:r>
          </w:p>
        </w:tc>
      </w:tr>
      <w:tr w:rsidR="006C48E9" w:rsidRPr="006C48E9" w:rsidTr="006C48E9">
        <w:trPr>
          <w:cantSplit/>
        </w:trPr>
        <w:tc>
          <w:tcPr>
            <w:tcW w:w="709" w:type="dxa"/>
          </w:tcPr>
          <w:p w:rsidR="001956F7" w:rsidRPr="006C48E9" w:rsidRDefault="001956F7" w:rsidP="006C48E9">
            <w:pPr>
              <w:pStyle w:val="Tabletext"/>
            </w:pPr>
            <w:r w:rsidRPr="006C48E9">
              <w:t>Sunny</w:t>
            </w:r>
          </w:p>
        </w:tc>
        <w:tc>
          <w:tcPr>
            <w:tcW w:w="709" w:type="dxa"/>
          </w:tcPr>
          <w:p w:rsidR="001956F7" w:rsidRPr="006C48E9" w:rsidRDefault="001956F7" w:rsidP="006C48E9">
            <w:pPr>
              <w:pStyle w:val="Tabletext"/>
              <w:jc w:val="center"/>
            </w:pPr>
            <w:r w:rsidRPr="006C48E9">
              <w:t>F</w:t>
            </w:r>
          </w:p>
        </w:tc>
        <w:tc>
          <w:tcPr>
            <w:tcW w:w="850" w:type="dxa"/>
          </w:tcPr>
          <w:p w:rsidR="001956F7" w:rsidRPr="006C48E9" w:rsidRDefault="001956F7" w:rsidP="006C48E9">
            <w:pPr>
              <w:pStyle w:val="Tabletext"/>
              <w:jc w:val="center"/>
            </w:pPr>
            <w:r w:rsidRPr="006C48E9">
              <w:t>Korea</w:t>
            </w:r>
          </w:p>
        </w:tc>
        <w:tc>
          <w:tcPr>
            <w:tcW w:w="567" w:type="dxa"/>
          </w:tcPr>
          <w:p w:rsidR="001956F7" w:rsidRPr="006C48E9" w:rsidRDefault="001956F7" w:rsidP="006C48E9">
            <w:pPr>
              <w:pStyle w:val="Tabletext"/>
              <w:jc w:val="center"/>
            </w:pPr>
            <w:r w:rsidRPr="006C48E9">
              <w:t>42</w:t>
            </w:r>
          </w:p>
        </w:tc>
        <w:tc>
          <w:tcPr>
            <w:tcW w:w="993" w:type="dxa"/>
          </w:tcPr>
          <w:p w:rsidR="001956F7" w:rsidRPr="006C48E9" w:rsidRDefault="001956F7" w:rsidP="006C48E9">
            <w:pPr>
              <w:pStyle w:val="Tabletext"/>
              <w:jc w:val="center"/>
            </w:pPr>
            <w:r w:rsidRPr="006C48E9">
              <w:t>university</w:t>
            </w:r>
          </w:p>
        </w:tc>
        <w:tc>
          <w:tcPr>
            <w:tcW w:w="1134" w:type="dxa"/>
          </w:tcPr>
          <w:p w:rsidR="001956F7" w:rsidRPr="006C48E9" w:rsidRDefault="001956F7" w:rsidP="006C48E9">
            <w:pPr>
              <w:pStyle w:val="Tabletext"/>
              <w:jc w:val="center"/>
            </w:pPr>
            <w:r w:rsidRPr="006C48E9">
              <w:t>psychologist</w:t>
            </w:r>
          </w:p>
        </w:tc>
        <w:tc>
          <w:tcPr>
            <w:tcW w:w="992" w:type="dxa"/>
          </w:tcPr>
          <w:p w:rsidR="001956F7" w:rsidRPr="006C48E9" w:rsidRDefault="001956F7" w:rsidP="00462076">
            <w:pPr>
              <w:pStyle w:val="Tabletext"/>
              <w:ind w:left="113"/>
            </w:pPr>
            <w:r w:rsidRPr="006C48E9">
              <w:t>Nov. 2000</w:t>
            </w:r>
          </w:p>
        </w:tc>
        <w:tc>
          <w:tcPr>
            <w:tcW w:w="1134" w:type="dxa"/>
          </w:tcPr>
          <w:p w:rsidR="001956F7" w:rsidRPr="006C48E9" w:rsidRDefault="001956F7" w:rsidP="006C48E9">
            <w:pPr>
              <w:pStyle w:val="Tabletext"/>
              <w:tabs>
                <w:tab w:val="decimal" w:pos="567"/>
              </w:tabs>
            </w:pPr>
            <w:r w:rsidRPr="006C48E9">
              <w:t>10</w:t>
            </w:r>
          </w:p>
        </w:tc>
        <w:tc>
          <w:tcPr>
            <w:tcW w:w="1134" w:type="dxa"/>
          </w:tcPr>
          <w:p w:rsidR="001956F7" w:rsidRPr="006C48E9" w:rsidRDefault="001956F7" w:rsidP="006C48E9">
            <w:pPr>
              <w:pStyle w:val="Tabletext"/>
              <w:tabs>
                <w:tab w:val="decimal" w:pos="567"/>
              </w:tabs>
            </w:pPr>
            <w:r w:rsidRPr="006C48E9">
              <w:t>1</w:t>
            </w:r>
          </w:p>
        </w:tc>
        <w:tc>
          <w:tcPr>
            <w:tcW w:w="850" w:type="dxa"/>
          </w:tcPr>
          <w:p w:rsidR="001956F7" w:rsidRPr="006C48E9" w:rsidRDefault="001956F7" w:rsidP="006C48E9">
            <w:pPr>
              <w:pStyle w:val="Tabletext"/>
              <w:jc w:val="center"/>
            </w:pPr>
            <w:r w:rsidRPr="006C48E9">
              <w:sym w:font="Wingdings" w:char="F0FC"/>
            </w:r>
          </w:p>
        </w:tc>
      </w:tr>
      <w:tr w:rsidR="006C48E9" w:rsidRPr="006C48E9" w:rsidTr="006C48E9">
        <w:trPr>
          <w:cantSplit/>
        </w:trPr>
        <w:tc>
          <w:tcPr>
            <w:tcW w:w="709" w:type="dxa"/>
          </w:tcPr>
          <w:p w:rsidR="001956F7" w:rsidRPr="006C48E9" w:rsidRDefault="001956F7" w:rsidP="006C48E9">
            <w:pPr>
              <w:pStyle w:val="Tabletext"/>
            </w:pPr>
            <w:proofErr w:type="spellStart"/>
            <w:r w:rsidRPr="006C48E9">
              <w:t>Swarna</w:t>
            </w:r>
            <w:proofErr w:type="spellEnd"/>
          </w:p>
        </w:tc>
        <w:tc>
          <w:tcPr>
            <w:tcW w:w="709" w:type="dxa"/>
          </w:tcPr>
          <w:p w:rsidR="001956F7" w:rsidRPr="006C48E9" w:rsidRDefault="001956F7" w:rsidP="006C48E9">
            <w:pPr>
              <w:pStyle w:val="Tabletext"/>
              <w:jc w:val="center"/>
            </w:pPr>
            <w:r w:rsidRPr="006C48E9">
              <w:t>F</w:t>
            </w:r>
          </w:p>
        </w:tc>
        <w:tc>
          <w:tcPr>
            <w:tcW w:w="850" w:type="dxa"/>
          </w:tcPr>
          <w:p w:rsidR="001956F7" w:rsidRPr="006C48E9" w:rsidRDefault="001956F7" w:rsidP="006C48E9">
            <w:pPr>
              <w:pStyle w:val="Tabletext"/>
              <w:jc w:val="center"/>
            </w:pPr>
            <w:r w:rsidRPr="006C48E9">
              <w:t>India</w:t>
            </w:r>
          </w:p>
        </w:tc>
        <w:tc>
          <w:tcPr>
            <w:tcW w:w="567" w:type="dxa"/>
          </w:tcPr>
          <w:p w:rsidR="001956F7" w:rsidRPr="006C48E9" w:rsidRDefault="001956F7" w:rsidP="006C48E9">
            <w:pPr>
              <w:pStyle w:val="Tabletext"/>
              <w:jc w:val="center"/>
            </w:pPr>
            <w:r w:rsidRPr="006C48E9">
              <w:t>28</w:t>
            </w:r>
          </w:p>
        </w:tc>
        <w:tc>
          <w:tcPr>
            <w:tcW w:w="993" w:type="dxa"/>
          </w:tcPr>
          <w:p w:rsidR="001956F7" w:rsidRPr="006C48E9" w:rsidRDefault="001956F7" w:rsidP="006C48E9">
            <w:pPr>
              <w:pStyle w:val="Tabletext"/>
              <w:jc w:val="center"/>
            </w:pPr>
            <w:r w:rsidRPr="006C48E9">
              <w:t>university</w:t>
            </w:r>
          </w:p>
        </w:tc>
        <w:tc>
          <w:tcPr>
            <w:tcW w:w="1134" w:type="dxa"/>
          </w:tcPr>
          <w:p w:rsidR="001956F7" w:rsidRPr="006C48E9" w:rsidRDefault="001956F7" w:rsidP="006C48E9">
            <w:pPr>
              <w:pStyle w:val="Tabletext"/>
              <w:jc w:val="center"/>
            </w:pPr>
            <w:proofErr w:type="spellStart"/>
            <w:r w:rsidRPr="006C48E9">
              <w:t>na</w:t>
            </w:r>
            <w:proofErr w:type="spellEnd"/>
          </w:p>
        </w:tc>
        <w:tc>
          <w:tcPr>
            <w:tcW w:w="992" w:type="dxa"/>
          </w:tcPr>
          <w:p w:rsidR="001956F7" w:rsidRPr="006C48E9" w:rsidRDefault="001956F7" w:rsidP="00462076">
            <w:pPr>
              <w:pStyle w:val="Tabletext"/>
              <w:ind w:left="113"/>
            </w:pPr>
            <w:r w:rsidRPr="006C48E9">
              <w:t>2006</w:t>
            </w:r>
          </w:p>
        </w:tc>
        <w:tc>
          <w:tcPr>
            <w:tcW w:w="1134" w:type="dxa"/>
          </w:tcPr>
          <w:p w:rsidR="001956F7" w:rsidRPr="006C48E9" w:rsidRDefault="001956F7" w:rsidP="006C48E9">
            <w:pPr>
              <w:pStyle w:val="Tabletext"/>
              <w:tabs>
                <w:tab w:val="decimal" w:pos="567"/>
              </w:tabs>
            </w:pPr>
            <w:r w:rsidRPr="006C48E9">
              <w:t>14</w:t>
            </w:r>
          </w:p>
        </w:tc>
        <w:tc>
          <w:tcPr>
            <w:tcW w:w="1134" w:type="dxa"/>
          </w:tcPr>
          <w:p w:rsidR="001956F7" w:rsidRPr="006C48E9" w:rsidRDefault="001956F7" w:rsidP="006C48E9">
            <w:pPr>
              <w:pStyle w:val="Tabletext"/>
              <w:tabs>
                <w:tab w:val="decimal" w:pos="567"/>
              </w:tabs>
            </w:pPr>
            <w:r w:rsidRPr="006C48E9">
              <w:t>1</w:t>
            </w:r>
          </w:p>
        </w:tc>
        <w:tc>
          <w:tcPr>
            <w:tcW w:w="850" w:type="dxa"/>
          </w:tcPr>
          <w:p w:rsidR="001956F7" w:rsidRPr="006C48E9" w:rsidRDefault="001956F7" w:rsidP="006C48E9">
            <w:pPr>
              <w:pStyle w:val="Tabletext"/>
              <w:jc w:val="center"/>
            </w:pPr>
            <w:r w:rsidRPr="006C48E9">
              <w:t>x</w:t>
            </w:r>
          </w:p>
        </w:tc>
      </w:tr>
      <w:tr w:rsidR="006C48E9" w:rsidRPr="006C48E9" w:rsidTr="006C48E9">
        <w:trPr>
          <w:cantSplit/>
        </w:trPr>
        <w:tc>
          <w:tcPr>
            <w:tcW w:w="709" w:type="dxa"/>
          </w:tcPr>
          <w:p w:rsidR="001956F7" w:rsidRPr="006C48E9" w:rsidRDefault="001956F7" w:rsidP="006C48E9">
            <w:pPr>
              <w:pStyle w:val="Tabletext"/>
            </w:pPr>
            <w:r w:rsidRPr="006C48E9">
              <w:t>Yoko</w:t>
            </w:r>
          </w:p>
        </w:tc>
        <w:tc>
          <w:tcPr>
            <w:tcW w:w="709" w:type="dxa"/>
          </w:tcPr>
          <w:p w:rsidR="001956F7" w:rsidRPr="006C48E9" w:rsidRDefault="001956F7" w:rsidP="006C48E9">
            <w:pPr>
              <w:pStyle w:val="Tabletext"/>
              <w:jc w:val="center"/>
            </w:pPr>
            <w:r w:rsidRPr="006C48E9">
              <w:t>F</w:t>
            </w:r>
          </w:p>
        </w:tc>
        <w:tc>
          <w:tcPr>
            <w:tcW w:w="850" w:type="dxa"/>
          </w:tcPr>
          <w:p w:rsidR="001956F7" w:rsidRPr="006C48E9" w:rsidRDefault="001956F7" w:rsidP="006C48E9">
            <w:pPr>
              <w:pStyle w:val="Tabletext"/>
              <w:jc w:val="center"/>
            </w:pPr>
            <w:r w:rsidRPr="006C48E9">
              <w:t>Japan</w:t>
            </w:r>
          </w:p>
        </w:tc>
        <w:tc>
          <w:tcPr>
            <w:tcW w:w="567" w:type="dxa"/>
          </w:tcPr>
          <w:p w:rsidR="001956F7" w:rsidRPr="006C48E9" w:rsidRDefault="001956F7" w:rsidP="006C48E9">
            <w:pPr>
              <w:pStyle w:val="Tabletext"/>
              <w:jc w:val="center"/>
            </w:pPr>
            <w:r w:rsidRPr="006C48E9">
              <w:t>36</w:t>
            </w:r>
          </w:p>
        </w:tc>
        <w:tc>
          <w:tcPr>
            <w:tcW w:w="993" w:type="dxa"/>
          </w:tcPr>
          <w:p w:rsidR="001956F7" w:rsidRPr="006C48E9" w:rsidRDefault="001956F7" w:rsidP="006C48E9">
            <w:pPr>
              <w:pStyle w:val="Tabletext"/>
              <w:jc w:val="center"/>
            </w:pPr>
            <w:r w:rsidRPr="006C48E9">
              <w:t>university</w:t>
            </w:r>
          </w:p>
        </w:tc>
        <w:tc>
          <w:tcPr>
            <w:tcW w:w="1134" w:type="dxa"/>
          </w:tcPr>
          <w:p w:rsidR="001956F7" w:rsidRPr="006C48E9" w:rsidRDefault="001956F7" w:rsidP="006C48E9">
            <w:pPr>
              <w:pStyle w:val="Tabletext"/>
              <w:jc w:val="center"/>
            </w:pPr>
            <w:r w:rsidRPr="006C48E9">
              <w:t xml:space="preserve">admin. </w:t>
            </w:r>
            <w:r w:rsidR="006C48E9">
              <w:br/>
            </w:r>
            <w:r w:rsidRPr="006C48E9">
              <w:t>worker</w:t>
            </w:r>
          </w:p>
        </w:tc>
        <w:tc>
          <w:tcPr>
            <w:tcW w:w="992" w:type="dxa"/>
          </w:tcPr>
          <w:p w:rsidR="001956F7" w:rsidRPr="006C48E9" w:rsidRDefault="001956F7" w:rsidP="00462076">
            <w:pPr>
              <w:pStyle w:val="Tabletext"/>
              <w:ind w:left="113"/>
            </w:pPr>
            <w:r w:rsidRPr="006C48E9">
              <w:t>Dec. 2004</w:t>
            </w:r>
          </w:p>
        </w:tc>
        <w:tc>
          <w:tcPr>
            <w:tcW w:w="1134" w:type="dxa"/>
          </w:tcPr>
          <w:p w:rsidR="001956F7" w:rsidRPr="006C48E9" w:rsidRDefault="001956F7" w:rsidP="006C48E9">
            <w:pPr>
              <w:pStyle w:val="Tabletext"/>
              <w:tabs>
                <w:tab w:val="decimal" w:pos="567"/>
              </w:tabs>
            </w:pPr>
            <w:r w:rsidRPr="006C48E9">
              <w:t>2</w:t>
            </w:r>
          </w:p>
        </w:tc>
        <w:tc>
          <w:tcPr>
            <w:tcW w:w="1134" w:type="dxa"/>
          </w:tcPr>
          <w:p w:rsidR="001956F7" w:rsidRPr="006C48E9" w:rsidRDefault="001956F7" w:rsidP="006C48E9">
            <w:pPr>
              <w:pStyle w:val="Tabletext"/>
              <w:tabs>
                <w:tab w:val="decimal" w:pos="567"/>
              </w:tabs>
            </w:pPr>
            <w:r w:rsidRPr="006C48E9">
              <w:t>3</w:t>
            </w:r>
          </w:p>
        </w:tc>
        <w:tc>
          <w:tcPr>
            <w:tcW w:w="850" w:type="dxa"/>
          </w:tcPr>
          <w:p w:rsidR="001956F7" w:rsidRPr="006C48E9" w:rsidRDefault="001956F7" w:rsidP="006C48E9">
            <w:pPr>
              <w:pStyle w:val="Tabletext"/>
              <w:jc w:val="center"/>
            </w:pPr>
            <w:r w:rsidRPr="006C48E9">
              <w:t>x</w:t>
            </w:r>
          </w:p>
        </w:tc>
      </w:tr>
      <w:tr w:rsidR="006C48E9" w:rsidRPr="006C48E9" w:rsidTr="006C48E9">
        <w:trPr>
          <w:cantSplit/>
        </w:trPr>
        <w:tc>
          <w:tcPr>
            <w:tcW w:w="709" w:type="dxa"/>
          </w:tcPr>
          <w:p w:rsidR="001956F7" w:rsidRPr="006C48E9" w:rsidRDefault="001956F7" w:rsidP="006C48E9">
            <w:pPr>
              <w:pStyle w:val="Tabletext"/>
            </w:pPr>
            <w:proofErr w:type="spellStart"/>
            <w:r w:rsidRPr="006C48E9">
              <w:t>Magda</w:t>
            </w:r>
            <w:proofErr w:type="spellEnd"/>
          </w:p>
        </w:tc>
        <w:tc>
          <w:tcPr>
            <w:tcW w:w="709" w:type="dxa"/>
          </w:tcPr>
          <w:p w:rsidR="001956F7" w:rsidRPr="006C48E9" w:rsidRDefault="001956F7" w:rsidP="006C48E9">
            <w:pPr>
              <w:pStyle w:val="Tabletext"/>
              <w:jc w:val="center"/>
            </w:pPr>
            <w:r w:rsidRPr="006C48E9">
              <w:t>F</w:t>
            </w:r>
          </w:p>
        </w:tc>
        <w:tc>
          <w:tcPr>
            <w:tcW w:w="850" w:type="dxa"/>
          </w:tcPr>
          <w:p w:rsidR="001956F7" w:rsidRPr="006C48E9" w:rsidRDefault="001956F7" w:rsidP="006C48E9">
            <w:pPr>
              <w:pStyle w:val="Tabletext"/>
              <w:jc w:val="center"/>
            </w:pPr>
            <w:r w:rsidRPr="006C48E9">
              <w:t>Poland</w:t>
            </w:r>
          </w:p>
        </w:tc>
        <w:tc>
          <w:tcPr>
            <w:tcW w:w="567" w:type="dxa"/>
          </w:tcPr>
          <w:p w:rsidR="001956F7" w:rsidRPr="006C48E9" w:rsidRDefault="001956F7" w:rsidP="006C48E9">
            <w:pPr>
              <w:pStyle w:val="Tabletext"/>
              <w:jc w:val="center"/>
            </w:pPr>
            <w:r w:rsidRPr="006C48E9">
              <w:t>48</w:t>
            </w:r>
          </w:p>
        </w:tc>
        <w:tc>
          <w:tcPr>
            <w:tcW w:w="993" w:type="dxa"/>
          </w:tcPr>
          <w:p w:rsidR="001956F7" w:rsidRPr="006C48E9" w:rsidRDefault="001956F7" w:rsidP="006C48E9">
            <w:pPr>
              <w:pStyle w:val="Tabletext"/>
              <w:jc w:val="center"/>
            </w:pPr>
            <w:r w:rsidRPr="006C48E9">
              <w:t>vocational</w:t>
            </w:r>
          </w:p>
        </w:tc>
        <w:tc>
          <w:tcPr>
            <w:tcW w:w="1134" w:type="dxa"/>
          </w:tcPr>
          <w:p w:rsidR="001956F7" w:rsidRPr="006C48E9" w:rsidRDefault="001956F7" w:rsidP="006C48E9">
            <w:pPr>
              <w:pStyle w:val="Tabletext"/>
              <w:jc w:val="center"/>
            </w:pPr>
            <w:r w:rsidRPr="006C48E9">
              <w:t>disability worker</w:t>
            </w:r>
          </w:p>
        </w:tc>
        <w:tc>
          <w:tcPr>
            <w:tcW w:w="992" w:type="dxa"/>
          </w:tcPr>
          <w:p w:rsidR="001956F7" w:rsidRPr="006C48E9" w:rsidRDefault="001956F7" w:rsidP="00462076">
            <w:pPr>
              <w:pStyle w:val="Tabletext"/>
              <w:ind w:left="113"/>
            </w:pPr>
            <w:r w:rsidRPr="006C48E9">
              <w:t>Sept. 2004</w:t>
            </w:r>
          </w:p>
        </w:tc>
        <w:tc>
          <w:tcPr>
            <w:tcW w:w="1134" w:type="dxa"/>
          </w:tcPr>
          <w:p w:rsidR="001956F7" w:rsidRPr="006C48E9" w:rsidRDefault="001956F7" w:rsidP="006C48E9">
            <w:pPr>
              <w:pStyle w:val="Tabletext"/>
              <w:tabs>
                <w:tab w:val="decimal" w:pos="567"/>
              </w:tabs>
            </w:pPr>
            <w:r w:rsidRPr="006C48E9">
              <w:t>0</w:t>
            </w:r>
          </w:p>
        </w:tc>
        <w:tc>
          <w:tcPr>
            <w:tcW w:w="1134" w:type="dxa"/>
          </w:tcPr>
          <w:p w:rsidR="001956F7" w:rsidRPr="006C48E9" w:rsidRDefault="001956F7" w:rsidP="006C48E9">
            <w:pPr>
              <w:pStyle w:val="Tabletext"/>
              <w:tabs>
                <w:tab w:val="decimal" w:pos="567"/>
              </w:tabs>
            </w:pPr>
            <w:r w:rsidRPr="006C48E9">
              <w:t>4</w:t>
            </w:r>
          </w:p>
        </w:tc>
        <w:tc>
          <w:tcPr>
            <w:tcW w:w="850" w:type="dxa"/>
          </w:tcPr>
          <w:p w:rsidR="001956F7" w:rsidRPr="006C48E9" w:rsidRDefault="001956F7" w:rsidP="006C48E9">
            <w:pPr>
              <w:pStyle w:val="Tabletext"/>
              <w:jc w:val="center"/>
            </w:pPr>
            <w:r w:rsidRPr="006C48E9">
              <w:t>x</w:t>
            </w:r>
          </w:p>
        </w:tc>
      </w:tr>
      <w:tr w:rsidR="006C48E9" w:rsidRPr="006C48E9" w:rsidTr="006C48E9">
        <w:trPr>
          <w:cantSplit/>
        </w:trPr>
        <w:tc>
          <w:tcPr>
            <w:tcW w:w="709" w:type="dxa"/>
          </w:tcPr>
          <w:p w:rsidR="001956F7" w:rsidRPr="006C48E9" w:rsidRDefault="001956F7" w:rsidP="006C48E9">
            <w:pPr>
              <w:pStyle w:val="Tabletext"/>
            </w:pPr>
            <w:r w:rsidRPr="006C48E9">
              <w:t>Yana</w:t>
            </w:r>
          </w:p>
        </w:tc>
        <w:tc>
          <w:tcPr>
            <w:tcW w:w="709" w:type="dxa"/>
          </w:tcPr>
          <w:p w:rsidR="001956F7" w:rsidRPr="006C48E9" w:rsidRDefault="001956F7" w:rsidP="006C48E9">
            <w:pPr>
              <w:pStyle w:val="Tabletext"/>
              <w:jc w:val="center"/>
            </w:pPr>
            <w:r w:rsidRPr="006C48E9">
              <w:t>F</w:t>
            </w:r>
          </w:p>
        </w:tc>
        <w:tc>
          <w:tcPr>
            <w:tcW w:w="850" w:type="dxa"/>
          </w:tcPr>
          <w:p w:rsidR="001956F7" w:rsidRPr="006C48E9" w:rsidRDefault="001956F7" w:rsidP="006C48E9">
            <w:pPr>
              <w:pStyle w:val="Tabletext"/>
              <w:jc w:val="center"/>
            </w:pPr>
            <w:r w:rsidRPr="006C48E9">
              <w:t>Russia</w:t>
            </w:r>
          </w:p>
        </w:tc>
        <w:tc>
          <w:tcPr>
            <w:tcW w:w="567" w:type="dxa"/>
          </w:tcPr>
          <w:p w:rsidR="001956F7" w:rsidRPr="006C48E9" w:rsidRDefault="001956F7" w:rsidP="006C48E9">
            <w:pPr>
              <w:pStyle w:val="Tabletext"/>
              <w:jc w:val="center"/>
            </w:pPr>
            <w:r w:rsidRPr="006C48E9">
              <w:t>43</w:t>
            </w:r>
          </w:p>
        </w:tc>
        <w:tc>
          <w:tcPr>
            <w:tcW w:w="993" w:type="dxa"/>
          </w:tcPr>
          <w:p w:rsidR="001956F7" w:rsidRPr="006C48E9" w:rsidRDefault="001956F7" w:rsidP="006C48E9">
            <w:pPr>
              <w:pStyle w:val="Tabletext"/>
              <w:jc w:val="center"/>
            </w:pPr>
            <w:r w:rsidRPr="006C48E9">
              <w:t>university</w:t>
            </w:r>
          </w:p>
        </w:tc>
        <w:tc>
          <w:tcPr>
            <w:tcW w:w="1134" w:type="dxa"/>
          </w:tcPr>
          <w:p w:rsidR="001956F7" w:rsidRPr="006C48E9" w:rsidRDefault="001956F7" w:rsidP="006C48E9">
            <w:pPr>
              <w:pStyle w:val="Tabletext"/>
              <w:jc w:val="center"/>
            </w:pPr>
            <w:r w:rsidRPr="006C48E9">
              <w:t>speech therapist</w:t>
            </w:r>
          </w:p>
        </w:tc>
        <w:tc>
          <w:tcPr>
            <w:tcW w:w="992" w:type="dxa"/>
          </w:tcPr>
          <w:p w:rsidR="001956F7" w:rsidRPr="006C48E9" w:rsidRDefault="001956F7" w:rsidP="00462076">
            <w:pPr>
              <w:pStyle w:val="Tabletext"/>
              <w:ind w:left="113"/>
            </w:pPr>
            <w:r w:rsidRPr="006C48E9">
              <w:t>July 2006</w:t>
            </w:r>
          </w:p>
        </w:tc>
        <w:tc>
          <w:tcPr>
            <w:tcW w:w="1134" w:type="dxa"/>
          </w:tcPr>
          <w:p w:rsidR="001956F7" w:rsidRPr="006C48E9" w:rsidRDefault="001956F7" w:rsidP="006C48E9">
            <w:pPr>
              <w:pStyle w:val="Tabletext"/>
              <w:tabs>
                <w:tab w:val="decimal" w:pos="567"/>
              </w:tabs>
            </w:pPr>
            <w:r w:rsidRPr="006C48E9">
              <w:t>0</w:t>
            </w:r>
          </w:p>
        </w:tc>
        <w:tc>
          <w:tcPr>
            <w:tcW w:w="1134" w:type="dxa"/>
          </w:tcPr>
          <w:p w:rsidR="001956F7" w:rsidRPr="006C48E9" w:rsidRDefault="001956F7" w:rsidP="006C48E9">
            <w:pPr>
              <w:pStyle w:val="Tabletext"/>
              <w:tabs>
                <w:tab w:val="decimal" w:pos="567"/>
              </w:tabs>
            </w:pPr>
            <w:r w:rsidRPr="006C48E9">
              <w:t>2</w:t>
            </w:r>
          </w:p>
        </w:tc>
        <w:tc>
          <w:tcPr>
            <w:tcW w:w="850" w:type="dxa"/>
          </w:tcPr>
          <w:p w:rsidR="001956F7" w:rsidRPr="006C48E9" w:rsidRDefault="001956F7" w:rsidP="006C48E9">
            <w:pPr>
              <w:pStyle w:val="Tabletext"/>
              <w:jc w:val="center"/>
            </w:pPr>
            <w:r w:rsidRPr="006C48E9">
              <w:sym w:font="Wingdings" w:char="F0FC"/>
            </w:r>
          </w:p>
        </w:tc>
      </w:tr>
      <w:tr w:rsidR="006C48E9" w:rsidRPr="006C48E9" w:rsidTr="006C48E9">
        <w:trPr>
          <w:cantSplit/>
        </w:trPr>
        <w:tc>
          <w:tcPr>
            <w:tcW w:w="709" w:type="dxa"/>
          </w:tcPr>
          <w:p w:rsidR="001956F7" w:rsidRPr="006C48E9" w:rsidRDefault="001956F7" w:rsidP="006C48E9">
            <w:pPr>
              <w:pStyle w:val="Tabletext"/>
            </w:pPr>
            <w:proofErr w:type="spellStart"/>
            <w:r w:rsidRPr="006C48E9">
              <w:t>Manut</w:t>
            </w:r>
            <w:proofErr w:type="spellEnd"/>
          </w:p>
        </w:tc>
        <w:tc>
          <w:tcPr>
            <w:tcW w:w="709" w:type="dxa"/>
          </w:tcPr>
          <w:p w:rsidR="001956F7" w:rsidRPr="006C48E9" w:rsidRDefault="001956F7" w:rsidP="006C48E9">
            <w:pPr>
              <w:pStyle w:val="Tabletext"/>
              <w:jc w:val="center"/>
            </w:pPr>
            <w:r w:rsidRPr="006C48E9">
              <w:t>M</w:t>
            </w:r>
          </w:p>
        </w:tc>
        <w:tc>
          <w:tcPr>
            <w:tcW w:w="850" w:type="dxa"/>
          </w:tcPr>
          <w:p w:rsidR="001956F7" w:rsidRPr="006C48E9" w:rsidRDefault="001956F7" w:rsidP="006C48E9">
            <w:pPr>
              <w:pStyle w:val="Tabletext"/>
              <w:jc w:val="center"/>
            </w:pPr>
            <w:r w:rsidRPr="006C48E9">
              <w:t>Sudan</w:t>
            </w:r>
          </w:p>
        </w:tc>
        <w:tc>
          <w:tcPr>
            <w:tcW w:w="567" w:type="dxa"/>
          </w:tcPr>
          <w:p w:rsidR="001956F7" w:rsidRPr="006C48E9" w:rsidRDefault="001956F7" w:rsidP="006C48E9">
            <w:pPr>
              <w:pStyle w:val="Tabletext"/>
              <w:jc w:val="center"/>
            </w:pPr>
            <w:r w:rsidRPr="006C48E9">
              <w:t>31</w:t>
            </w:r>
          </w:p>
        </w:tc>
        <w:tc>
          <w:tcPr>
            <w:tcW w:w="993" w:type="dxa"/>
          </w:tcPr>
          <w:p w:rsidR="001956F7" w:rsidRPr="006C48E9" w:rsidRDefault="001956F7" w:rsidP="006C48E9">
            <w:pPr>
              <w:pStyle w:val="Tabletext"/>
              <w:jc w:val="center"/>
            </w:pPr>
            <w:r w:rsidRPr="006C48E9">
              <w:t>high school</w:t>
            </w:r>
          </w:p>
        </w:tc>
        <w:tc>
          <w:tcPr>
            <w:tcW w:w="1134" w:type="dxa"/>
          </w:tcPr>
          <w:p w:rsidR="001956F7" w:rsidRPr="006C48E9" w:rsidRDefault="001956F7" w:rsidP="006C48E9">
            <w:pPr>
              <w:pStyle w:val="Tabletext"/>
              <w:jc w:val="center"/>
            </w:pPr>
            <w:proofErr w:type="spellStart"/>
            <w:r w:rsidRPr="006C48E9">
              <w:t>na</w:t>
            </w:r>
            <w:proofErr w:type="spellEnd"/>
          </w:p>
        </w:tc>
        <w:tc>
          <w:tcPr>
            <w:tcW w:w="992" w:type="dxa"/>
          </w:tcPr>
          <w:p w:rsidR="001956F7" w:rsidRPr="006C48E9" w:rsidRDefault="001956F7" w:rsidP="00462076">
            <w:pPr>
              <w:pStyle w:val="Tabletext"/>
              <w:ind w:left="113"/>
            </w:pPr>
            <w:r w:rsidRPr="006C48E9">
              <w:t>Aug. 2004</w:t>
            </w:r>
          </w:p>
        </w:tc>
        <w:tc>
          <w:tcPr>
            <w:tcW w:w="1134" w:type="dxa"/>
          </w:tcPr>
          <w:p w:rsidR="001956F7" w:rsidRPr="006C48E9" w:rsidRDefault="001956F7" w:rsidP="006C48E9">
            <w:pPr>
              <w:pStyle w:val="Tabletext"/>
              <w:tabs>
                <w:tab w:val="decimal" w:pos="567"/>
              </w:tabs>
            </w:pPr>
            <w:r w:rsidRPr="006C48E9">
              <w:t>0</w:t>
            </w:r>
          </w:p>
        </w:tc>
        <w:tc>
          <w:tcPr>
            <w:tcW w:w="1134" w:type="dxa"/>
          </w:tcPr>
          <w:p w:rsidR="001956F7" w:rsidRPr="006C48E9" w:rsidRDefault="001956F7" w:rsidP="006C48E9">
            <w:pPr>
              <w:pStyle w:val="Tabletext"/>
              <w:tabs>
                <w:tab w:val="decimal" w:pos="567"/>
              </w:tabs>
            </w:pPr>
            <w:r w:rsidRPr="006C48E9">
              <w:t>4</w:t>
            </w:r>
          </w:p>
        </w:tc>
        <w:tc>
          <w:tcPr>
            <w:tcW w:w="850" w:type="dxa"/>
          </w:tcPr>
          <w:p w:rsidR="001956F7" w:rsidRPr="006C48E9" w:rsidRDefault="001956F7" w:rsidP="006C48E9">
            <w:pPr>
              <w:pStyle w:val="Tabletext"/>
              <w:jc w:val="center"/>
            </w:pPr>
            <w:r w:rsidRPr="006C48E9">
              <w:sym w:font="Wingdings" w:char="F0FC"/>
            </w:r>
          </w:p>
        </w:tc>
      </w:tr>
      <w:tr w:rsidR="006C48E9" w:rsidRPr="006C48E9" w:rsidTr="006C48E9">
        <w:trPr>
          <w:cantSplit/>
        </w:trPr>
        <w:tc>
          <w:tcPr>
            <w:tcW w:w="709" w:type="dxa"/>
          </w:tcPr>
          <w:p w:rsidR="001956F7" w:rsidRPr="006C48E9" w:rsidRDefault="001956F7" w:rsidP="006C48E9">
            <w:pPr>
              <w:pStyle w:val="Tabletext"/>
            </w:pPr>
            <w:r w:rsidRPr="006C48E9">
              <w:t>Bo</w:t>
            </w:r>
          </w:p>
        </w:tc>
        <w:tc>
          <w:tcPr>
            <w:tcW w:w="709" w:type="dxa"/>
          </w:tcPr>
          <w:p w:rsidR="001956F7" w:rsidRPr="006C48E9" w:rsidRDefault="001956F7" w:rsidP="006C48E9">
            <w:pPr>
              <w:pStyle w:val="Tabletext"/>
              <w:jc w:val="center"/>
            </w:pPr>
            <w:r w:rsidRPr="006C48E9">
              <w:t>M</w:t>
            </w:r>
          </w:p>
        </w:tc>
        <w:tc>
          <w:tcPr>
            <w:tcW w:w="850" w:type="dxa"/>
          </w:tcPr>
          <w:p w:rsidR="001956F7" w:rsidRPr="006C48E9" w:rsidRDefault="001956F7" w:rsidP="006C48E9">
            <w:pPr>
              <w:pStyle w:val="Tabletext"/>
              <w:jc w:val="center"/>
            </w:pPr>
            <w:r w:rsidRPr="006C48E9">
              <w:t>Burma</w:t>
            </w:r>
          </w:p>
        </w:tc>
        <w:tc>
          <w:tcPr>
            <w:tcW w:w="567" w:type="dxa"/>
          </w:tcPr>
          <w:p w:rsidR="001956F7" w:rsidRPr="006C48E9" w:rsidRDefault="001956F7" w:rsidP="006C48E9">
            <w:pPr>
              <w:pStyle w:val="Tabletext"/>
              <w:jc w:val="center"/>
            </w:pPr>
            <w:r w:rsidRPr="006C48E9">
              <w:t>24</w:t>
            </w:r>
          </w:p>
        </w:tc>
        <w:tc>
          <w:tcPr>
            <w:tcW w:w="993" w:type="dxa"/>
          </w:tcPr>
          <w:p w:rsidR="001956F7" w:rsidRPr="006C48E9" w:rsidRDefault="001956F7" w:rsidP="006C48E9">
            <w:pPr>
              <w:pStyle w:val="Tabletext"/>
              <w:jc w:val="center"/>
            </w:pPr>
            <w:r w:rsidRPr="006C48E9">
              <w:t>high school</w:t>
            </w:r>
          </w:p>
        </w:tc>
        <w:tc>
          <w:tcPr>
            <w:tcW w:w="1134" w:type="dxa"/>
          </w:tcPr>
          <w:p w:rsidR="001956F7" w:rsidRPr="006C48E9" w:rsidRDefault="001956F7" w:rsidP="006C48E9">
            <w:pPr>
              <w:pStyle w:val="Tabletext"/>
              <w:jc w:val="center"/>
            </w:pPr>
            <w:proofErr w:type="spellStart"/>
            <w:r w:rsidRPr="006C48E9">
              <w:t>na</w:t>
            </w:r>
            <w:proofErr w:type="spellEnd"/>
          </w:p>
        </w:tc>
        <w:tc>
          <w:tcPr>
            <w:tcW w:w="992" w:type="dxa"/>
          </w:tcPr>
          <w:p w:rsidR="001956F7" w:rsidRPr="006C48E9" w:rsidRDefault="001956F7" w:rsidP="00462076">
            <w:pPr>
              <w:pStyle w:val="Tabletext"/>
              <w:ind w:left="113"/>
            </w:pPr>
            <w:r w:rsidRPr="006C48E9">
              <w:t>Feb. 2007</w:t>
            </w:r>
          </w:p>
        </w:tc>
        <w:tc>
          <w:tcPr>
            <w:tcW w:w="1134" w:type="dxa"/>
          </w:tcPr>
          <w:p w:rsidR="001956F7" w:rsidRPr="006C48E9" w:rsidRDefault="001956F7" w:rsidP="006C48E9">
            <w:pPr>
              <w:pStyle w:val="Tabletext"/>
              <w:tabs>
                <w:tab w:val="decimal" w:pos="567"/>
              </w:tabs>
            </w:pPr>
            <w:r w:rsidRPr="006C48E9">
              <w:t>4</w:t>
            </w:r>
          </w:p>
        </w:tc>
        <w:tc>
          <w:tcPr>
            <w:tcW w:w="1134" w:type="dxa"/>
          </w:tcPr>
          <w:p w:rsidR="001956F7" w:rsidRPr="006C48E9" w:rsidRDefault="001956F7" w:rsidP="006C48E9">
            <w:pPr>
              <w:pStyle w:val="Tabletext"/>
              <w:tabs>
                <w:tab w:val="decimal" w:pos="567"/>
              </w:tabs>
            </w:pPr>
            <w:r w:rsidRPr="006C48E9">
              <w:t>2</w:t>
            </w:r>
          </w:p>
        </w:tc>
        <w:tc>
          <w:tcPr>
            <w:tcW w:w="850" w:type="dxa"/>
          </w:tcPr>
          <w:p w:rsidR="001956F7" w:rsidRPr="006C48E9" w:rsidRDefault="001956F7" w:rsidP="006C48E9">
            <w:pPr>
              <w:pStyle w:val="Tabletext"/>
              <w:jc w:val="center"/>
            </w:pPr>
            <w:r w:rsidRPr="006C48E9">
              <w:t>x</w:t>
            </w:r>
          </w:p>
        </w:tc>
      </w:tr>
      <w:tr w:rsidR="006C48E9" w:rsidRPr="006C48E9" w:rsidTr="006C48E9">
        <w:trPr>
          <w:cantSplit/>
        </w:trPr>
        <w:tc>
          <w:tcPr>
            <w:tcW w:w="709" w:type="dxa"/>
          </w:tcPr>
          <w:p w:rsidR="001956F7" w:rsidRPr="006C48E9" w:rsidRDefault="001956F7" w:rsidP="006C48E9">
            <w:pPr>
              <w:pStyle w:val="Tabletext"/>
            </w:pPr>
            <w:r w:rsidRPr="006C48E9">
              <w:t>Jin</w:t>
            </w:r>
          </w:p>
        </w:tc>
        <w:tc>
          <w:tcPr>
            <w:tcW w:w="709" w:type="dxa"/>
          </w:tcPr>
          <w:p w:rsidR="001956F7" w:rsidRPr="006C48E9" w:rsidRDefault="001956F7" w:rsidP="006C48E9">
            <w:pPr>
              <w:pStyle w:val="Tabletext"/>
              <w:jc w:val="center"/>
            </w:pPr>
            <w:r w:rsidRPr="006C48E9">
              <w:t>M</w:t>
            </w:r>
          </w:p>
        </w:tc>
        <w:tc>
          <w:tcPr>
            <w:tcW w:w="850" w:type="dxa"/>
          </w:tcPr>
          <w:p w:rsidR="001956F7" w:rsidRPr="006C48E9" w:rsidRDefault="001956F7" w:rsidP="006C48E9">
            <w:pPr>
              <w:pStyle w:val="Tabletext"/>
              <w:jc w:val="center"/>
            </w:pPr>
            <w:r w:rsidRPr="006C48E9">
              <w:t>China</w:t>
            </w:r>
          </w:p>
        </w:tc>
        <w:tc>
          <w:tcPr>
            <w:tcW w:w="567" w:type="dxa"/>
          </w:tcPr>
          <w:p w:rsidR="001956F7" w:rsidRPr="006C48E9" w:rsidRDefault="001956F7" w:rsidP="006C48E9">
            <w:pPr>
              <w:pStyle w:val="Tabletext"/>
              <w:jc w:val="center"/>
            </w:pPr>
            <w:r w:rsidRPr="006C48E9">
              <w:t>35</w:t>
            </w:r>
          </w:p>
        </w:tc>
        <w:tc>
          <w:tcPr>
            <w:tcW w:w="993" w:type="dxa"/>
          </w:tcPr>
          <w:p w:rsidR="001956F7" w:rsidRPr="006C48E9" w:rsidRDefault="001956F7" w:rsidP="006C48E9">
            <w:pPr>
              <w:pStyle w:val="Tabletext"/>
              <w:jc w:val="center"/>
            </w:pPr>
            <w:r w:rsidRPr="006C48E9">
              <w:t>university</w:t>
            </w:r>
          </w:p>
        </w:tc>
        <w:tc>
          <w:tcPr>
            <w:tcW w:w="1134" w:type="dxa"/>
          </w:tcPr>
          <w:p w:rsidR="001956F7" w:rsidRPr="006C48E9" w:rsidRDefault="001956F7" w:rsidP="006C48E9">
            <w:pPr>
              <w:pStyle w:val="Tabletext"/>
              <w:jc w:val="center"/>
            </w:pPr>
            <w:r w:rsidRPr="006C48E9">
              <w:t>lecturer</w:t>
            </w:r>
          </w:p>
        </w:tc>
        <w:tc>
          <w:tcPr>
            <w:tcW w:w="992" w:type="dxa"/>
          </w:tcPr>
          <w:p w:rsidR="001956F7" w:rsidRPr="006C48E9" w:rsidRDefault="001956F7" w:rsidP="00462076">
            <w:pPr>
              <w:pStyle w:val="Tabletext"/>
              <w:ind w:left="113"/>
            </w:pPr>
            <w:r w:rsidRPr="006C48E9">
              <w:t>July 2004</w:t>
            </w:r>
          </w:p>
        </w:tc>
        <w:tc>
          <w:tcPr>
            <w:tcW w:w="1134" w:type="dxa"/>
          </w:tcPr>
          <w:p w:rsidR="001956F7" w:rsidRPr="006C48E9" w:rsidRDefault="001956F7" w:rsidP="006C48E9">
            <w:pPr>
              <w:pStyle w:val="Tabletext"/>
              <w:tabs>
                <w:tab w:val="decimal" w:pos="567"/>
              </w:tabs>
            </w:pPr>
            <w:r w:rsidRPr="006C48E9">
              <w:t>7</w:t>
            </w:r>
          </w:p>
        </w:tc>
        <w:tc>
          <w:tcPr>
            <w:tcW w:w="1134" w:type="dxa"/>
          </w:tcPr>
          <w:p w:rsidR="001956F7" w:rsidRPr="006C48E9" w:rsidRDefault="001956F7" w:rsidP="006C48E9">
            <w:pPr>
              <w:pStyle w:val="Tabletext"/>
              <w:tabs>
                <w:tab w:val="decimal" w:pos="567"/>
              </w:tabs>
            </w:pPr>
            <w:r w:rsidRPr="006C48E9">
              <w:t>0</w:t>
            </w:r>
          </w:p>
        </w:tc>
        <w:tc>
          <w:tcPr>
            <w:tcW w:w="850" w:type="dxa"/>
          </w:tcPr>
          <w:p w:rsidR="001956F7" w:rsidRPr="006C48E9" w:rsidRDefault="001956F7" w:rsidP="006C48E9">
            <w:pPr>
              <w:pStyle w:val="Tabletext"/>
              <w:jc w:val="center"/>
            </w:pPr>
            <w:r w:rsidRPr="006C48E9">
              <w:sym w:font="Wingdings" w:char="F0FC"/>
            </w:r>
          </w:p>
        </w:tc>
      </w:tr>
    </w:tbl>
    <w:p w:rsidR="001956F7" w:rsidRDefault="00462076" w:rsidP="00462076">
      <w:pPr>
        <w:pStyle w:val="Source"/>
      </w:pPr>
      <w:r>
        <w:t>Note</w:t>
      </w:r>
      <w:r>
        <w:tab/>
        <w:t xml:space="preserve">N = </w:t>
      </w:r>
      <w:r w:rsidRPr="00AF1F5B">
        <w:t>14</w:t>
      </w:r>
      <w:r>
        <w:t>.</w:t>
      </w:r>
    </w:p>
    <w:p w:rsidR="001956F7" w:rsidRDefault="001956F7" w:rsidP="001956F7">
      <w:pPr>
        <w:pStyle w:val="Heading1"/>
        <w:ind w:right="-204"/>
      </w:pPr>
      <w:r>
        <w:br w:type="page"/>
      </w:r>
    </w:p>
    <w:p w:rsidR="001956F7" w:rsidRDefault="001956F7" w:rsidP="001956F7">
      <w:pPr>
        <w:pStyle w:val="Heading1"/>
        <w:ind w:right="-206"/>
      </w:pPr>
      <w:bookmarkStart w:id="92" w:name="_Toc305074180"/>
      <w:bookmarkStart w:id="93" w:name="_Toc309645503"/>
      <w:r w:rsidRPr="00C62EDA">
        <w:lastRenderedPageBreak/>
        <w:t>Appendix 3</w:t>
      </w:r>
      <w:bookmarkEnd w:id="92"/>
      <w:bookmarkEnd w:id="93"/>
    </w:p>
    <w:p w:rsidR="001956F7" w:rsidRPr="000D323C" w:rsidRDefault="001956F7" w:rsidP="000D323C">
      <w:pPr>
        <w:pStyle w:val="tabletitle"/>
        <w:rPr>
          <w:szCs w:val="17"/>
        </w:rPr>
      </w:pPr>
      <w:bookmarkStart w:id="94" w:name="_Toc305074188"/>
      <w:bookmarkStart w:id="95" w:name="_Toc309645552"/>
      <w:r>
        <w:t>Table A.4</w:t>
      </w:r>
      <w:r w:rsidR="000D323C">
        <w:tab/>
      </w:r>
      <w:r>
        <w:t>Interviewed migrants’ post-</w:t>
      </w:r>
      <w:r w:rsidRPr="00C62EDA">
        <w:t xml:space="preserve">2007 </w:t>
      </w:r>
      <w:r>
        <w:t xml:space="preserve">English as a second language course goals and outcomes, </w:t>
      </w:r>
      <w:r w:rsidRPr="00C62EDA">
        <w:t>mid-2008 and January 2010</w:t>
      </w:r>
      <w:bookmarkEnd w:id="94"/>
      <w:bookmarkEnd w:id="95"/>
    </w:p>
    <w:p w:rsidR="001956F7" w:rsidRPr="00F338D5" w:rsidRDefault="001956F7" w:rsidP="001956F7">
      <w:pPr>
        <w:pStyle w:val="l1text"/>
        <w:spacing w:before="0"/>
        <w:ind w:right="251"/>
        <w:jc w:val="both"/>
        <w:rPr>
          <w:rFonts w:ascii="Arial" w:hAnsi="Arial" w:cs="Arial"/>
          <w:b/>
          <w:sz w:val="8"/>
          <w:szCs w:val="8"/>
        </w:rPr>
      </w:pPr>
    </w:p>
    <w:tbl>
      <w:tblPr>
        <w:tblW w:w="9072" w:type="dxa"/>
        <w:tblBorders>
          <w:top w:val="single" w:sz="4" w:space="0" w:color="auto"/>
          <w:left w:val="single" w:sz="4" w:space="0" w:color="auto"/>
          <w:bottom w:val="single" w:sz="4" w:space="0" w:color="auto"/>
          <w:insideH w:val="single" w:sz="4" w:space="0" w:color="auto"/>
          <w:insideV w:val="single" w:sz="4" w:space="0" w:color="auto"/>
        </w:tblBorders>
        <w:tblLayout w:type="fixed"/>
        <w:tblCellMar>
          <w:left w:w="0" w:type="dxa"/>
          <w:right w:w="0" w:type="dxa"/>
        </w:tblCellMar>
        <w:tblLook w:val="01E0"/>
      </w:tblPr>
      <w:tblGrid>
        <w:gridCol w:w="892"/>
        <w:gridCol w:w="743"/>
        <w:gridCol w:w="952"/>
        <w:gridCol w:w="952"/>
        <w:gridCol w:w="952"/>
        <w:gridCol w:w="952"/>
        <w:gridCol w:w="952"/>
        <w:gridCol w:w="1338"/>
        <w:gridCol w:w="1339"/>
      </w:tblGrid>
      <w:tr w:rsidR="001956F7" w:rsidRPr="000D323C" w:rsidTr="00575E35">
        <w:trPr>
          <w:cantSplit/>
        </w:trPr>
        <w:tc>
          <w:tcPr>
            <w:tcW w:w="892" w:type="dxa"/>
            <w:tcBorders>
              <w:top w:val="single" w:sz="4" w:space="0" w:color="auto"/>
              <w:left w:val="nil"/>
              <w:bottom w:val="nil"/>
              <w:right w:val="nil"/>
            </w:tcBorders>
          </w:tcPr>
          <w:p w:rsidR="001956F7" w:rsidRPr="000D323C" w:rsidRDefault="001956F7" w:rsidP="000D323C">
            <w:pPr>
              <w:pStyle w:val="Tablehead1"/>
            </w:pPr>
            <w:r w:rsidRPr="000D323C">
              <w:t xml:space="preserve">Name </w:t>
            </w:r>
          </w:p>
        </w:tc>
        <w:tc>
          <w:tcPr>
            <w:tcW w:w="743" w:type="dxa"/>
            <w:tcBorders>
              <w:top w:val="single" w:sz="4" w:space="0" w:color="auto"/>
              <w:left w:val="nil"/>
              <w:bottom w:val="nil"/>
              <w:right w:val="nil"/>
            </w:tcBorders>
          </w:tcPr>
          <w:p w:rsidR="001956F7" w:rsidRPr="000D323C" w:rsidRDefault="001956F7" w:rsidP="00575E35">
            <w:pPr>
              <w:pStyle w:val="Tablehead1"/>
              <w:jc w:val="center"/>
            </w:pPr>
            <w:r w:rsidRPr="000D323C">
              <w:t>Gender</w:t>
            </w:r>
          </w:p>
        </w:tc>
        <w:tc>
          <w:tcPr>
            <w:tcW w:w="4760" w:type="dxa"/>
            <w:gridSpan w:val="5"/>
            <w:tcBorders>
              <w:top w:val="single" w:sz="4" w:space="0" w:color="auto"/>
              <w:left w:val="nil"/>
              <w:bottom w:val="nil"/>
              <w:right w:val="nil"/>
            </w:tcBorders>
          </w:tcPr>
          <w:p w:rsidR="001956F7" w:rsidRPr="000D323C" w:rsidRDefault="001956F7" w:rsidP="00575E35">
            <w:pPr>
              <w:pStyle w:val="Tablehead1"/>
              <w:jc w:val="center"/>
            </w:pPr>
            <w:r w:rsidRPr="000D323C">
              <w:t>Post-English as a second language 2007 goals</w:t>
            </w:r>
          </w:p>
        </w:tc>
        <w:tc>
          <w:tcPr>
            <w:tcW w:w="1338" w:type="dxa"/>
            <w:tcBorders>
              <w:top w:val="single" w:sz="4" w:space="0" w:color="auto"/>
              <w:left w:val="nil"/>
              <w:bottom w:val="nil"/>
              <w:right w:val="nil"/>
            </w:tcBorders>
          </w:tcPr>
          <w:p w:rsidR="001956F7" w:rsidRPr="000D323C" w:rsidRDefault="001956F7" w:rsidP="00575E35">
            <w:pPr>
              <w:pStyle w:val="Tablehead1"/>
              <w:jc w:val="center"/>
            </w:pPr>
            <w:r w:rsidRPr="000D323C">
              <w:t xml:space="preserve">Outcomes </w:t>
            </w:r>
            <w:r w:rsidR="00575E35">
              <w:br/>
            </w:r>
            <w:r w:rsidRPr="000D323C">
              <w:t>(mid-2008)</w:t>
            </w:r>
          </w:p>
        </w:tc>
        <w:tc>
          <w:tcPr>
            <w:tcW w:w="1339" w:type="dxa"/>
            <w:tcBorders>
              <w:top w:val="single" w:sz="4" w:space="0" w:color="auto"/>
              <w:left w:val="nil"/>
              <w:bottom w:val="nil"/>
              <w:right w:val="nil"/>
            </w:tcBorders>
          </w:tcPr>
          <w:p w:rsidR="001956F7" w:rsidRPr="000D323C" w:rsidRDefault="001956F7" w:rsidP="00575E35">
            <w:pPr>
              <w:pStyle w:val="Tablehead1"/>
              <w:jc w:val="center"/>
            </w:pPr>
            <w:r w:rsidRPr="000D323C">
              <w:t xml:space="preserve">Outcomes </w:t>
            </w:r>
            <w:r w:rsidR="00575E35">
              <w:br/>
            </w:r>
            <w:r w:rsidRPr="000D323C">
              <w:t>(Jan. 2010)</w:t>
            </w:r>
          </w:p>
        </w:tc>
      </w:tr>
      <w:tr w:rsidR="001956F7" w:rsidRPr="007F176C" w:rsidTr="00575E35">
        <w:trPr>
          <w:cantSplit/>
        </w:trPr>
        <w:tc>
          <w:tcPr>
            <w:tcW w:w="892" w:type="dxa"/>
            <w:tcBorders>
              <w:top w:val="nil"/>
              <w:left w:val="nil"/>
              <w:bottom w:val="single" w:sz="4" w:space="0" w:color="auto"/>
              <w:right w:val="nil"/>
            </w:tcBorders>
          </w:tcPr>
          <w:p w:rsidR="001956F7" w:rsidRPr="007F176C" w:rsidRDefault="001956F7" w:rsidP="000D323C">
            <w:pPr>
              <w:pStyle w:val="Tablehead2"/>
            </w:pPr>
          </w:p>
        </w:tc>
        <w:tc>
          <w:tcPr>
            <w:tcW w:w="743" w:type="dxa"/>
            <w:tcBorders>
              <w:top w:val="nil"/>
              <w:left w:val="nil"/>
              <w:bottom w:val="single" w:sz="4" w:space="0" w:color="auto"/>
              <w:right w:val="nil"/>
            </w:tcBorders>
          </w:tcPr>
          <w:p w:rsidR="001956F7" w:rsidRPr="007F176C" w:rsidRDefault="001956F7" w:rsidP="00575E35">
            <w:pPr>
              <w:pStyle w:val="Tablehead2"/>
              <w:jc w:val="center"/>
            </w:pPr>
          </w:p>
        </w:tc>
        <w:tc>
          <w:tcPr>
            <w:tcW w:w="952" w:type="dxa"/>
            <w:tcBorders>
              <w:top w:val="nil"/>
              <w:left w:val="nil"/>
              <w:bottom w:val="single" w:sz="4" w:space="0" w:color="auto"/>
              <w:right w:val="nil"/>
            </w:tcBorders>
          </w:tcPr>
          <w:p w:rsidR="001956F7" w:rsidRPr="007F176C" w:rsidRDefault="001956F7" w:rsidP="00575E35">
            <w:pPr>
              <w:pStyle w:val="Tablehead2"/>
              <w:jc w:val="center"/>
            </w:pPr>
            <w:r w:rsidRPr="007F176C">
              <w:t xml:space="preserve">Do another </w:t>
            </w:r>
            <w:r>
              <w:t xml:space="preserve">English as </w:t>
            </w:r>
            <w:r w:rsidR="00575E35">
              <w:br/>
            </w:r>
            <w:r>
              <w:t>a second language</w:t>
            </w:r>
            <w:r w:rsidRPr="007F176C">
              <w:t xml:space="preserve"> course</w:t>
            </w:r>
          </w:p>
        </w:tc>
        <w:tc>
          <w:tcPr>
            <w:tcW w:w="952" w:type="dxa"/>
            <w:tcBorders>
              <w:top w:val="nil"/>
              <w:left w:val="nil"/>
              <w:bottom w:val="single" w:sz="4" w:space="0" w:color="auto"/>
              <w:right w:val="nil"/>
            </w:tcBorders>
          </w:tcPr>
          <w:p w:rsidR="001956F7" w:rsidRPr="007F176C" w:rsidRDefault="001956F7" w:rsidP="00575E35">
            <w:pPr>
              <w:pStyle w:val="Tablehead2"/>
              <w:jc w:val="center"/>
            </w:pPr>
            <w:r w:rsidRPr="007F176C">
              <w:t>Do a mainstream  course</w:t>
            </w:r>
          </w:p>
        </w:tc>
        <w:tc>
          <w:tcPr>
            <w:tcW w:w="952" w:type="dxa"/>
            <w:tcBorders>
              <w:top w:val="nil"/>
              <w:left w:val="nil"/>
              <w:bottom w:val="single" w:sz="4" w:space="0" w:color="auto"/>
              <w:right w:val="nil"/>
            </w:tcBorders>
          </w:tcPr>
          <w:p w:rsidR="001956F7" w:rsidRPr="007F176C" w:rsidRDefault="001956F7" w:rsidP="00575E35">
            <w:pPr>
              <w:pStyle w:val="Tablehead2"/>
              <w:jc w:val="center"/>
            </w:pPr>
            <w:r w:rsidRPr="007F176C">
              <w:t>Get a paid job</w:t>
            </w:r>
          </w:p>
        </w:tc>
        <w:tc>
          <w:tcPr>
            <w:tcW w:w="952" w:type="dxa"/>
            <w:tcBorders>
              <w:top w:val="nil"/>
              <w:left w:val="nil"/>
              <w:bottom w:val="single" w:sz="4" w:space="0" w:color="auto"/>
              <w:right w:val="nil"/>
            </w:tcBorders>
          </w:tcPr>
          <w:p w:rsidR="001956F7" w:rsidRPr="007F176C" w:rsidRDefault="001956F7" w:rsidP="00575E35">
            <w:pPr>
              <w:pStyle w:val="Tablehead2"/>
              <w:jc w:val="center"/>
            </w:pPr>
            <w:r w:rsidRPr="007F176C">
              <w:t>Do voluntary work</w:t>
            </w:r>
          </w:p>
        </w:tc>
        <w:tc>
          <w:tcPr>
            <w:tcW w:w="952" w:type="dxa"/>
            <w:tcBorders>
              <w:top w:val="nil"/>
              <w:left w:val="nil"/>
              <w:bottom w:val="single" w:sz="4" w:space="0" w:color="auto"/>
              <w:right w:val="nil"/>
            </w:tcBorders>
          </w:tcPr>
          <w:p w:rsidR="001956F7" w:rsidRPr="007F176C" w:rsidRDefault="001956F7" w:rsidP="00575E35">
            <w:pPr>
              <w:pStyle w:val="Tablehead2"/>
              <w:jc w:val="center"/>
            </w:pPr>
            <w:r w:rsidRPr="007F176C">
              <w:t xml:space="preserve">Take a break </w:t>
            </w:r>
            <w:r w:rsidR="00575E35">
              <w:br/>
            </w:r>
            <w:r w:rsidRPr="007F176C">
              <w:t>from studying</w:t>
            </w:r>
          </w:p>
        </w:tc>
        <w:tc>
          <w:tcPr>
            <w:tcW w:w="1338" w:type="dxa"/>
            <w:tcBorders>
              <w:top w:val="nil"/>
              <w:left w:val="nil"/>
              <w:bottom w:val="single" w:sz="4" w:space="0" w:color="auto"/>
              <w:right w:val="nil"/>
            </w:tcBorders>
          </w:tcPr>
          <w:p w:rsidR="001956F7" w:rsidRPr="007F176C" w:rsidRDefault="001956F7" w:rsidP="00575E35">
            <w:pPr>
              <w:pStyle w:val="Tablehead2"/>
              <w:jc w:val="center"/>
            </w:pPr>
          </w:p>
        </w:tc>
        <w:tc>
          <w:tcPr>
            <w:tcW w:w="1339" w:type="dxa"/>
            <w:tcBorders>
              <w:top w:val="nil"/>
              <w:left w:val="nil"/>
              <w:bottom w:val="single" w:sz="4" w:space="0" w:color="auto"/>
              <w:right w:val="nil"/>
            </w:tcBorders>
          </w:tcPr>
          <w:p w:rsidR="001956F7" w:rsidRPr="007F176C" w:rsidRDefault="001956F7" w:rsidP="00575E35">
            <w:pPr>
              <w:pStyle w:val="Tablehead2"/>
              <w:jc w:val="center"/>
            </w:pPr>
          </w:p>
        </w:tc>
      </w:tr>
      <w:tr w:rsidR="001956F7" w:rsidRPr="000D323C" w:rsidTr="00575E35">
        <w:trPr>
          <w:cantSplit/>
        </w:trPr>
        <w:tc>
          <w:tcPr>
            <w:tcW w:w="892" w:type="dxa"/>
            <w:tcBorders>
              <w:top w:val="single" w:sz="4" w:space="0" w:color="auto"/>
              <w:left w:val="nil"/>
              <w:bottom w:val="nil"/>
              <w:right w:val="nil"/>
            </w:tcBorders>
          </w:tcPr>
          <w:p w:rsidR="001956F7" w:rsidRPr="000D323C" w:rsidRDefault="001956F7" w:rsidP="000D323C">
            <w:pPr>
              <w:pStyle w:val="Tabletext"/>
              <w:rPr>
                <w:color w:val="000000" w:themeColor="text1"/>
              </w:rPr>
            </w:pPr>
            <w:r w:rsidRPr="000D323C">
              <w:rPr>
                <w:color w:val="000000" w:themeColor="text1"/>
                <w:szCs w:val="22"/>
              </w:rPr>
              <w:t>*</w:t>
            </w:r>
            <w:proofErr w:type="spellStart"/>
            <w:r w:rsidRPr="000D323C">
              <w:rPr>
                <w:color w:val="000000" w:themeColor="text1"/>
              </w:rPr>
              <w:t>Rui</w:t>
            </w:r>
            <w:proofErr w:type="spellEnd"/>
          </w:p>
        </w:tc>
        <w:tc>
          <w:tcPr>
            <w:tcW w:w="743" w:type="dxa"/>
            <w:tcBorders>
              <w:top w:val="single" w:sz="4" w:space="0" w:color="auto"/>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t>F</w:t>
            </w:r>
          </w:p>
        </w:tc>
        <w:tc>
          <w:tcPr>
            <w:tcW w:w="952" w:type="dxa"/>
            <w:tcBorders>
              <w:top w:val="single" w:sz="4" w:space="0" w:color="auto"/>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single" w:sz="4" w:space="0" w:color="auto"/>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sym w:font="Wingdings" w:char="F0FC"/>
            </w:r>
          </w:p>
        </w:tc>
        <w:tc>
          <w:tcPr>
            <w:tcW w:w="952" w:type="dxa"/>
            <w:tcBorders>
              <w:top w:val="single" w:sz="4" w:space="0" w:color="auto"/>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single" w:sz="4" w:space="0" w:color="auto"/>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single" w:sz="4" w:space="0" w:color="auto"/>
              <w:left w:val="nil"/>
              <w:bottom w:val="nil"/>
              <w:right w:val="nil"/>
            </w:tcBorders>
          </w:tcPr>
          <w:p w:rsidR="001956F7" w:rsidRPr="000D323C" w:rsidRDefault="001956F7" w:rsidP="00575E35">
            <w:pPr>
              <w:pStyle w:val="Tabletext"/>
              <w:jc w:val="center"/>
              <w:rPr>
                <w:color w:val="000000" w:themeColor="text1"/>
              </w:rPr>
            </w:pPr>
          </w:p>
        </w:tc>
        <w:tc>
          <w:tcPr>
            <w:tcW w:w="1338" w:type="dxa"/>
            <w:tcBorders>
              <w:top w:val="single" w:sz="4" w:space="0" w:color="auto"/>
              <w:left w:val="nil"/>
              <w:bottom w:val="nil"/>
              <w:right w:val="nil"/>
            </w:tcBorders>
          </w:tcPr>
          <w:p w:rsidR="001956F7" w:rsidRPr="000D323C" w:rsidRDefault="001956F7" w:rsidP="00575E35">
            <w:pPr>
              <w:pStyle w:val="Tabletext"/>
              <w:ind w:left="113"/>
              <w:rPr>
                <w:color w:val="000000" w:themeColor="text1"/>
              </w:rPr>
            </w:pPr>
            <w:r w:rsidRPr="000D323C">
              <w:rPr>
                <w:color w:val="000000" w:themeColor="text1"/>
              </w:rPr>
              <w:t>Break</w:t>
            </w:r>
          </w:p>
        </w:tc>
        <w:tc>
          <w:tcPr>
            <w:tcW w:w="1339" w:type="dxa"/>
            <w:tcBorders>
              <w:top w:val="single" w:sz="4" w:space="0" w:color="auto"/>
              <w:left w:val="nil"/>
              <w:bottom w:val="nil"/>
              <w:right w:val="nil"/>
            </w:tcBorders>
          </w:tcPr>
          <w:p w:rsidR="001956F7" w:rsidRPr="000D323C" w:rsidRDefault="001956F7" w:rsidP="00575E35">
            <w:pPr>
              <w:pStyle w:val="Tabletext"/>
              <w:ind w:left="170"/>
              <w:rPr>
                <w:color w:val="000000" w:themeColor="text1"/>
              </w:rPr>
            </w:pPr>
            <w:r w:rsidRPr="000D323C">
              <w:rPr>
                <w:color w:val="000000" w:themeColor="text1"/>
              </w:rPr>
              <w:t>P/T work</w:t>
            </w:r>
          </w:p>
        </w:tc>
      </w:tr>
      <w:tr w:rsidR="001956F7" w:rsidRPr="000D323C" w:rsidTr="00575E35">
        <w:trPr>
          <w:cantSplit/>
        </w:trPr>
        <w:tc>
          <w:tcPr>
            <w:tcW w:w="892" w:type="dxa"/>
            <w:tcBorders>
              <w:top w:val="nil"/>
              <w:left w:val="nil"/>
              <w:bottom w:val="nil"/>
              <w:right w:val="nil"/>
            </w:tcBorders>
          </w:tcPr>
          <w:p w:rsidR="001956F7" w:rsidRPr="000D323C" w:rsidRDefault="001956F7" w:rsidP="000D323C">
            <w:pPr>
              <w:pStyle w:val="Tabletext"/>
              <w:rPr>
                <w:color w:val="000000" w:themeColor="text1"/>
              </w:rPr>
            </w:pPr>
            <w:r w:rsidRPr="000D323C">
              <w:rPr>
                <w:color w:val="000000" w:themeColor="text1"/>
              </w:rPr>
              <w:t>Ping</w:t>
            </w:r>
          </w:p>
        </w:tc>
        <w:tc>
          <w:tcPr>
            <w:tcW w:w="743"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t>F</w:t>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sym w:font="Wingdings" w:char="F0FC"/>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szCs w:val="22"/>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1338" w:type="dxa"/>
            <w:tcBorders>
              <w:top w:val="nil"/>
              <w:left w:val="nil"/>
              <w:bottom w:val="nil"/>
              <w:right w:val="nil"/>
            </w:tcBorders>
          </w:tcPr>
          <w:p w:rsidR="001956F7" w:rsidRPr="000D323C" w:rsidRDefault="001956F7" w:rsidP="00575E35">
            <w:pPr>
              <w:pStyle w:val="Tabletext"/>
              <w:ind w:left="113"/>
              <w:rPr>
                <w:color w:val="000000" w:themeColor="text1"/>
              </w:rPr>
            </w:pPr>
            <w:r w:rsidRPr="000D323C">
              <w:rPr>
                <w:color w:val="000000" w:themeColor="text1"/>
              </w:rPr>
              <w:t xml:space="preserve">Mainstream </w:t>
            </w:r>
            <w:r w:rsidR="00575E35">
              <w:rPr>
                <w:color w:val="000000" w:themeColor="text1"/>
              </w:rPr>
              <w:br/>
            </w:r>
            <w:r w:rsidRPr="000D323C">
              <w:rPr>
                <w:color w:val="000000" w:themeColor="text1"/>
              </w:rPr>
              <w:t>study</w:t>
            </w:r>
          </w:p>
        </w:tc>
        <w:tc>
          <w:tcPr>
            <w:tcW w:w="1339" w:type="dxa"/>
            <w:tcBorders>
              <w:top w:val="nil"/>
              <w:left w:val="nil"/>
              <w:bottom w:val="nil"/>
              <w:right w:val="nil"/>
            </w:tcBorders>
          </w:tcPr>
          <w:p w:rsidR="001956F7" w:rsidRPr="000D323C" w:rsidRDefault="001956F7" w:rsidP="00575E35">
            <w:pPr>
              <w:pStyle w:val="Tabletext"/>
              <w:ind w:left="170"/>
              <w:rPr>
                <w:color w:val="000000" w:themeColor="text1"/>
              </w:rPr>
            </w:pPr>
            <w:r w:rsidRPr="000D323C">
              <w:rPr>
                <w:color w:val="000000" w:themeColor="text1"/>
              </w:rPr>
              <w:t>P/T work</w:t>
            </w:r>
          </w:p>
        </w:tc>
      </w:tr>
      <w:tr w:rsidR="001956F7" w:rsidRPr="000D323C" w:rsidTr="00575E35">
        <w:trPr>
          <w:cantSplit/>
        </w:trPr>
        <w:tc>
          <w:tcPr>
            <w:tcW w:w="892" w:type="dxa"/>
            <w:tcBorders>
              <w:top w:val="nil"/>
              <w:left w:val="nil"/>
              <w:bottom w:val="nil"/>
              <w:right w:val="nil"/>
            </w:tcBorders>
          </w:tcPr>
          <w:p w:rsidR="001956F7" w:rsidRPr="000D323C" w:rsidRDefault="001956F7" w:rsidP="000D323C">
            <w:pPr>
              <w:pStyle w:val="Tabletext"/>
              <w:rPr>
                <w:color w:val="000000" w:themeColor="text1"/>
              </w:rPr>
            </w:pPr>
            <w:r w:rsidRPr="000D323C">
              <w:rPr>
                <w:color w:val="000000" w:themeColor="text1"/>
                <w:szCs w:val="22"/>
              </w:rPr>
              <w:t>*</w:t>
            </w:r>
            <w:r w:rsidRPr="000D323C">
              <w:rPr>
                <w:color w:val="000000" w:themeColor="text1"/>
              </w:rPr>
              <w:t>Xi</w:t>
            </w:r>
          </w:p>
        </w:tc>
        <w:tc>
          <w:tcPr>
            <w:tcW w:w="743"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t>F</w:t>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sym w:font="Wingdings" w:char="F0FC"/>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sym w:font="Wingdings" w:char="F0FC"/>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1338" w:type="dxa"/>
            <w:tcBorders>
              <w:top w:val="nil"/>
              <w:left w:val="nil"/>
              <w:bottom w:val="nil"/>
              <w:right w:val="nil"/>
            </w:tcBorders>
          </w:tcPr>
          <w:p w:rsidR="001956F7" w:rsidRPr="000D323C" w:rsidRDefault="001956F7" w:rsidP="00575E35">
            <w:pPr>
              <w:pStyle w:val="Tabletext"/>
              <w:ind w:left="113"/>
              <w:rPr>
                <w:color w:val="000000" w:themeColor="text1"/>
              </w:rPr>
            </w:pPr>
            <w:r w:rsidRPr="000D323C">
              <w:rPr>
                <w:color w:val="000000" w:themeColor="text1"/>
              </w:rPr>
              <w:t xml:space="preserve">Mainstream </w:t>
            </w:r>
            <w:r w:rsidR="00575E35">
              <w:rPr>
                <w:color w:val="000000" w:themeColor="text1"/>
              </w:rPr>
              <w:br/>
            </w:r>
            <w:r w:rsidRPr="000D323C">
              <w:rPr>
                <w:color w:val="000000" w:themeColor="text1"/>
              </w:rPr>
              <w:t>study</w:t>
            </w:r>
          </w:p>
        </w:tc>
        <w:tc>
          <w:tcPr>
            <w:tcW w:w="1339" w:type="dxa"/>
            <w:tcBorders>
              <w:top w:val="nil"/>
              <w:left w:val="nil"/>
              <w:bottom w:val="nil"/>
              <w:right w:val="nil"/>
            </w:tcBorders>
          </w:tcPr>
          <w:p w:rsidR="001956F7" w:rsidRPr="000D323C" w:rsidRDefault="001956F7" w:rsidP="00575E35">
            <w:pPr>
              <w:pStyle w:val="Tabletext"/>
              <w:ind w:left="170"/>
              <w:rPr>
                <w:color w:val="000000" w:themeColor="text1"/>
              </w:rPr>
            </w:pPr>
            <w:r w:rsidRPr="000D323C">
              <w:rPr>
                <w:color w:val="000000" w:themeColor="text1"/>
              </w:rPr>
              <w:t xml:space="preserve">Continuing mainstream </w:t>
            </w:r>
            <w:r w:rsidR="00575E35">
              <w:rPr>
                <w:color w:val="000000" w:themeColor="text1"/>
              </w:rPr>
              <w:br/>
            </w:r>
            <w:r w:rsidRPr="000D323C">
              <w:rPr>
                <w:color w:val="000000" w:themeColor="text1"/>
              </w:rPr>
              <w:t>study</w:t>
            </w:r>
          </w:p>
        </w:tc>
      </w:tr>
      <w:tr w:rsidR="001956F7" w:rsidRPr="000D323C" w:rsidTr="00575E35">
        <w:trPr>
          <w:cantSplit/>
        </w:trPr>
        <w:tc>
          <w:tcPr>
            <w:tcW w:w="892" w:type="dxa"/>
            <w:tcBorders>
              <w:top w:val="nil"/>
              <w:left w:val="nil"/>
              <w:bottom w:val="nil"/>
              <w:right w:val="nil"/>
            </w:tcBorders>
          </w:tcPr>
          <w:p w:rsidR="001956F7" w:rsidRPr="000D323C" w:rsidRDefault="001956F7" w:rsidP="000D323C">
            <w:pPr>
              <w:pStyle w:val="Tabletext"/>
              <w:rPr>
                <w:color w:val="000000" w:themeColor="text1"/>
              </w:rPr>
            </w:pPr>
            <w:proofErr w:type="spellStart"/>
            <w:r w:rsidRPr="000D323C">
              <w:rPr>
                <w:color w:val="000000" w:themeColor="text1"/>
              </w:rPr>
              <w:t>Thuy</w:t>
            </w:r>
            <w:proofErr w:type="spellEnd"/>
          </w:p>
        </w:tc>
        <w:tc>
          <w:tcPr>
            <w:tcW w:w="743"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t>F</w:t>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sym w:font="Wingdings" w:char="F0FC"/>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sym w:font="Wingdings" w:char="F0FC"/>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1338" w:type="dxa"/>
            <w:tcBorders>
              <w:top w:val="nil"/>
              <w:left w:val="nil"/>
              <w:bottom w:val="nil"/>
              <w:right w:val="nil"/>
            </w:tcBorders>
          </w:tcPr>
          <w:p w:rsidR="001956F7" w:rsidRPr="000D323C" w:rsidRDefault="001956F7" w:rsidP="00575E35">
            <w:pPr>
              <w:pStyle w:val="Tabletext"/>
              <w:ind w:left="113"/>
              <w:rPr>
                <w:color w:val="000000" w:themeColor="text1"/>
              </w:rPr>
            </w:pPr>
            <w:r w:rsidRPr="000D323C">
              <w:rPr>
                <w:color w:val="000000" w:themeColor="text1"/>
              </w:rPr>
              <w:t xml:space="preserve">English as a second </w:t>
            </w:r>
            <w:r w:rsidR="00575E35">
              <w:rPr>
                <w:color w:val="000000" w:themeColor="text1"/>
              </w:rPr>
              <w:br/>
            </w:r>
            <w:r w:rsidRPr="000D323C">
              <w:rPr>
                <w:color w:val="000000" w:themeColor="text1"/>
              </w:rPr>
              <w:t>language study</w:t>
            </w:r>
          </w:p>
        </w:tc>
        <w:tc>
          <w:tcPr>
            <w:tcW w:w="1339" w:type="dxa"/>
            <w:tcBorders>
              <w:top w:val="nil"/>
              <w:left w:val="nil"/>
              <w:bottom w:val="nil"/>
              <w:right w:val="nil"/>
            </w:tcBorders>
          </w:tcPr>
          <w:p w:rsidR="001956F7" w:rsidRPr="000D323C" w:rsidRDefault="001956F7" w:rsidP="00575E35">
            <w:pPr>
              <w:pStyle w:val="Tabletext"/>
              <w:ind w:left="170"/>
              <w:rPr>
                <w:color w:val="000000" w:themeColor="text1"/>
              </w:rPr>
            </w:pPr>
            <w:r w:rsidRPr="000D323C">
              <w:rPr>
                <w:color w:val="000000" w:themeColor="text1"/>
              </w:rPr>
              <w:t>F/T work</w:t>
            </w:r>
          </w:p>
        </w:tc>
      </w:tr>
      <w:tr w:rsidR="001956F7" w:rsidRPr="000D323C" w:rsidTr="00575E35">
        <w:trPr>
          <w:cantSplit/>
        </w:trPr>
        <w:tc>
          <w:tcPr>
            <w:tcW w:w="892" w:type="dxa"/>
            <w:tcBorders>
              <w:top w:val="nil"/>
              <w:left w:val="nil"/>
              <w:bottom w:val="nil"/>
              <w:right w:val="nil"/>
            </w:tcBorders>
          </w:tcPr>
          <w:p w:rsidR="001956F7" w:rsidRPr="000D323C" w:rsidRDefault="001956F7" w:rsidP="000D323C">
            <w:pPr>
              <w:pStyle w:val="Tabletext"/>
              <w:rPr>
                <w:color w:val="000000" w:themeColor="text1"/>
              </w:rPr>
            </w:pPr>
            <w:r w:rsidRPr="000D323C">
              <w:rPr>
                <w:color w:val="000000" w:themeColor="text1"/>
              </w:rPr>
              <w:t>Diane</w:t>
            </w:r>
          </w:p>
        </w:tc>
        <w:tc>
          <w:tcPr>
            <w:tcW w:w="743"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t>F</w:t>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sym w:font="Wingdings" w:char="F0FC"/>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1338" w:type="dxa"/>
            <w:tcBorders>
              <w:top w:val="nil"/>
              <w:left w:val="nil"/>
              <w:bottom w:val="nil"/>
              <w:right w:val="nil"/>
            </w:tcBorders>
          </w:tcPr>
          <w:p w:rsidR="001956F7" w:rsidRPr="000D323C" w:rsidRDefault="001956F7" w:rsidP="00575E35">
            <w:pPr>
              <w:pStyle w:val="Tabletext"/>
              <w:ind w:left="113"/>
              <w:rPr>
                <w:color w:val="000000" w:themeColor="text1"/>
              </w:rPr>
            </w:pPr>
            <w:r w:rsidRPr="000D323C">
              <w:rPr>
                <w:color w:val="000000" w:themeColor="text1"/>
              </w:rPr>
              <w:t xml:space="preserve">Mainstream </w:t>
            </w:r>
            <w:r w:rsidR="00575E35">
              <w:rPr>
                <w:color w:val="000000" w:themeColor="text1"/>
              </w:rPr>
              <w:br/>
            </w:r>
            <w:r w:rsidRPr="000D323C">
              <w:rPr>
                <w:color w:val="000000" w:themeColor="text1"/>
              </w:rPr>
              <w:t>study</w:t>
            </w:r>
          </w:p>
        </w:tc>
        <w:tc>
          <w:tcPr>
            <w:tcW w:w="1339" w:type="dxa"/>
            <w:tcBorders>
              <w:top w:val="nil"/>
              <w:left w:val="nil"/>
              <w:bottom w:val="nil"/>
              <w:right w:val="nil"/>
            </w:tcBorders>
          </w:tcPr>
          <w:p w:rsidR="001956F7" w:rsidRPr="000D323C" w:rsidRDefault="001956F7" w:rsidP="00575E35">
            <w:pPr>
              <w:pStyle w:val="Tabletext"/>
              <w:ind w:left="170"/>
              <w:rPr>
                <w:color w:val="000000" w:themeColor="text1"/>
              </w:rPr>
            </w:pPr>
            <w:r w:rsidRPr="000D323C">
              <w:rPr>
                <w:color w:val="000000" w:themeColor="text1"/>
              </w:rPr>
              <w:t>F/T work</w:t>
            </w:r>
          </w:p>
        </w:tc>
      </w:tr>
      <w:tr w:rsidR="001956F7" w:rsidRPr="000D323C" w:rsidTr="00575E35">
        <w:trPr>
          <w:cantSplit/>
        </w:trPr>
        <w:tc>
          <w:tcPr>
            <w:tcW w:w="892" w:type="dxa"/>
            <w:tcBorders>
              <w:top w:val="nil"/>
              <w:left w:val="nil"/>
              <w:bottom w:val="nil"/>
              <w:right w:val="nil"/>
            </w:tcBorders>
          </w:tcPr>
          <w:p w:rsidR="001956F7" w:rsidRPr="000D323C" w:rsidRDefault="001956F7" w:rsidP="000D323C">
            <w:pPr>
              <w:pStyle w:val="Tabletext"/>
              <w:rPr>
                <w:color w:val="000000" w:themeColor="text1"/>
              </w:rPr>
            </w:pPr>
            <w:proofErr w:type="spellStart"/>
            <w:r w:rsidRPr="000D323C">
              <w:rPr>
                <w:color w:val="000000" w:themeColor="text1"/>
              </w:rPr>
              <w:t>Gizem</w:t>
            </w:r>
            <w:proofErr w:type="spellEnd"/>
          </w:p>
        </w:tc>
        <w:tc>
          <w:tcPr>
            <w:tcW w:w="743"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t>F</w:t>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sym w:font="Wingdings" w:char="F0FC"/>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sym w:font="Wingdings" w:char="F0FC"/>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1338" w:type="dxa"/>
            <w:tcBorders>
              <w:top w:val="nil"/>
              <w:left w:val="nil"/>
              <w:bottom w:val="nil"/>
              <w:right w:val="nil"/>
            </w:tcBorders>
          </w:tcPr>
          <w:p w:rsidR="001956F7" w:rsidRPr="000D323C" w:rsidRDefault="001956F7" w:rsidP="00575E35">
            <w:pPr>
              <w:pStyle w:val="Tabletext"/>
              <w:ind w:left="113"/>
              <w:rPr>
                <w:color w:val="000000" w:themeColor="text1"/>
              </w:rPr>
            </w:pPr>
            <w:r w:rsidRPr="000D323C">
              <w:rPr>
                <w:color w:val="000000" w:themeColor="text1"/>
              </w:rPr>
              <w:t xml:space="preserve">Mainstream </w:t>
            </w:r>
            <w:r w:rsidR="00575E35">
              <w:rPr>
                <w:color w:val="000000" w:themeColor="text1"/>
              </w:rPr>
              <w:br/>
            </w:r>
            <w:r w:rsidRPr="000D323C">
              <w:rPr>
                <w:color w:val="000000" w:themeColor="text1"/>
              </w:rPr>
              <w:t>study</w:t>
            </w:r>
          </w:p>
        </w:tc>
        <w:tc>
          <w:tcPr>
            <w:tcW w:w="1339" w:type="dxa"/>
            <w:tcBorders>
              <w:top w:val="nil"/>
              <w:left w:val="nil"/>
              <w:bottom w:val="nil"/>
              <w:right w:val="nil"/>
            </w:tcBorders>
          </w:tcPr>
          <w:p w:rsidR="001956F7" w:rsidRPr="000D323C" w:rsidRDefault="001956F7" w:rsidP="00575E35">
            <w:pPr>
              <w:pStyle w:val="Tabletext"/>
              <w:ind w:left="170"/>
              <w:rPr>
                <w:color w:val="000000" w:themeColor="text1"/>
              </w:rPr>
            </w:pPr>
            <w:r w:rsidRPr="000D323C">
              <w:rPr>
                <w:color w:val="000000" w:themeColor="text1"/>
              </w:rPr>
              <w:t>P/T work</w:t>
            </w:r>
          </w:p>
        </w:tc>
      </w:tr>
      <w:tr w:rsidR="001956F7" w:rsidRPr="000D323C" w:rsidTr="00575E35">
        <w:trPr>
          <w:cantSplit/>
        </w:trPr>
        <w:tc>
          <w:tcPr>
            <w:tcW w:w="892" w:type="dxa"/>
            <w:tcBorders>
              <w:top w:val="nil"/>
              <w:left w:val="nil"/>
              <w:bottom w:val="nil"/>
              <w:right w:val="nil"/>
            </w:tcBorders>
          </w:tcPr>
          <w:p w:rsidR="001956F7" w:rsidRPr="000D323C" w:rsidRDefault="001956F7" w:rsidP="000D323C">
            <w:pPr>
              <w:pStyle w:val="Tabletext"/>
              <w:rPr>
                <w:color w:val="000000" w:themeColor="text1"/>
              </w:rPr>
            </w:pPr>
            <w:r w:rsidRPr="000D323C">
              <w:rPr>
                <w:color w:val="000000" w:themeColor="text1"/>
              </w:rPr>
              <w:t>Sunny</w:t>
            </w:r>
          </w:p>
        </w:tc>
        <w:tc>
          <w:tcPr>
            <w:tcW w:w="743"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t>F</w:t>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sym w:font="Wingdings" w:char="F0FC"/>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1338" w:type="dxa"/>
            <w:tcBorders>
              <w:top w:val="nil"/>
              <w:left w:val="nil"/>
              <w:bottom w:val="nil"/>
              <w:right w:val="nil"/>
            </w:tcBorders>
          </w:tcPr>
          <w:p w:rsidR="001956F7" w:rsidRPr="000D323C" w:rsidRDefault="001956F7" w:rsidP="00575E35">
            <w:pPr>
              <w:pStyle w:val="Tabletext"/>
              <w:ind w:left="113"/>
              <w:rPr>
                <w:color w:val="000000" w:themeColor="text1"/>
              </w:rPr>
            </w:pPr>
            <w:r w:rsidRPr="000D323C">
              <w:rPr>
                <w:color w:val="000000" w:themeColor="text1"/>
              </w:rPr>
              <w:t xml:space="preserve">Mainstream </w:t>
            </w:r>
            <w:r w:rsidR="00575E35">
              <w:rPr>
                <w:color w:val="000000" w:themeColor="text1"/>
              </w:rPr>
              <w:br/>
            </w:r>
            <w:r w:rsidRPr="000D323C">
              <w:rPr>
                <w:color w:val="000000" w:themeColor="text1"/>
              </w:rPr>
              <w:t>study</w:t>
            </w:r>
          </w:p>
          <w:p w:rsidR="001956F7" w:rsidRPr="000D323C" w:rsidRDefault="001956F7" w:rsidP="00575E35">
            <w:pPr>
              <w:pStyle w:val="Tabletext"/>
              <w:ind w:left="113"/>
              <w:rPr>
                <w:color w:val="000000" w:themeColor="text1"/>
              </w:rPr>
            </w:pPr>
          </w:p>
        </w:tc>
        <w:tc>
          <w:tcPr>
            <w:tcW w:w="1339" w:type="dxa"/>
            <w:tcBorders>
              <w:top w:val="nil"/>
              <w:left w:val="nil"/>
              <w:bottom w:val="nil"/>
              <w:right w:val="nil"/>
            </w:tcBorders>
          </w:tcPr>
          <w:p w:rsidR="001956F7" w:rsidRPr="000D323C" w:rsidRDefault="001956F7" w:rsidP="00575E35">
            <w:pPr>
              <w:pStyle w:val="Tabletext"/>
              <w:ind w:left="170"/>
              <w:rPr>
                <w:color w:val="000000" w:themeColor="text1"/>
              </w:rPr>
            </w:pPr>
            <w:r w:rsidRPr="000D323C">
              <w:rPr>
                <w:color w:val="000000" w:themeColor="text1"/>
              </w:rPr>
              <w:t xml:space="preserve">Continuing mainstream </w:t>
            </w:r>
            <w:r w:rsidR="00575E35">
              <w:rPr>
                <w:color w:val="000000" w:themeColor="text1"/>
              </w:rPr>
              <w:br/>
            </w:r>
            <w:r w:rsidRPr="000D323C">
              <w:rPr>
                <w:color w:val="000000" w:themeColor="text1"/>
              </w:rPr>
              <w:t>study</w:t>
            </w:r>
          </w:p>
        </w:tc>
      </w:tr>
      <w:tr w:rsidR="001956F7" w:rsidRPr="000D323C" w:rsidTr="00575E35">
        <w:trPr>
          <w:cantSplit/>
        </w:trPr>
        <w:tc>
          <w:tcPr>
            <w:tcW w:w="892" w:type="dxa"/>
            <w:tcBorders>
              <w:top w:val="nil"/>
              <w:left w:val="nil"/>
              <w:bottom w:val="nil"/>
              <w:right w:val="nil"/>
            </w:tcBorders>
          </w:tcPr>
          <w:p w:rsidR="001956F7" w:rsidRPr="000D323C" w:rsidRDefault="001956F7" w:rsidP="000D323C">
            <w:pPr>
              <w:pStyle w:val="Tabletext"/>
              <w:rPr>
                <w:color w:val="000000" w:themeColor="text1"/>
              </w:rPr>
            </w:pPr>
            <w:proofErr w:type="spellStart"/>
            <w:r w:rsidRPr="000D323C">
              <w:rPr>
                <w:color w:val="000000" w:themeColor="text1"/>
              </w:rPr>
              <w:t>Swarna</w:t>
            </w:r>
            <w:proofErr w:type="spellEnd"/>
          </w:p>
        </w:tc>
        <w:tc>
          <w:tcPr>
            <w:tcW w:w="743"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t>F</w:t>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sym w:font="Wingdings" w:char="F0FC"/>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1338" w:type="dxa"/>
            <w:tcBorders>
              <w:top w:val="nil"/>
              <w:left w:val="nil"/>
              <w:bottom w:val="nil"/>
              <w:right w:val="nil"/>
            </w:tcBorders>
          </w:tcPr>
          <w:p w:rsidR="001956F7" w:rsidRPr="000D323C" w:rsidRDefault="001956F7" w:rsidP="00575E35">
            <w:pPr>
              <w:pStyle w:val="Tabletext"/>
              <w:ind w:left="113"/>
              <w:rPr>
                <w:color w:val="000000" w:themeColor="text1"/>
              </w:rPr>
            </w:pPr>
            <w:r w:rsidRPr="000D323C">
              <w:rPr>
                <w:color w:val="000000" w:themeColor="text1"/>
              </w:rPr>
              <w:t>F/T work</w:t>
            </w:r>
          </w:p>
        </w:tc>
        <w:tc>
          <w:tcPr>
            <w:tcW w:w="1339" w:type="dxa"/>
            <w:tcBorders>
              <w:top w:val="nil"/>
              <w:left w:val="nil"/>
              <w:bottom w:val="nil"/>
              <w:right w:val="nil"/>
            </w:tcBorders>
          </w:tcPr>
          <w:p w:rsidR="001956F7" w:rsidRPr="000D323C" w:rsidRDefault="001956F7" w:rsidP="00575E35">
            <w:pPr>
              <w:pStyle w:val="Tabletext"/>
              <w:ind w:left="170"/>
              <w:rPr>
                <w:color w:val="000000" w:themeColor="text1"/>
              </w:rPr>
            </w:pPr>
            <w:r w:rsidRPr="000D323C">
              <w:rPr>
                <w:color w:val="000000" w:themeColor="text1"/>
              </w:rPr>
              <w:t>F/T work</w:t>
            </w:r>
          </w:p>
        </w:tc>
      </w:tr>
      <w:tr w:rsidR="001956F7" w:rsidRPr="000D323C" w:rsidTr="00575E35">
        <w:trPr>
          <w:cantSplit/>
        </w:trPr>
        <w:tc>
          <w:tcPr>
            <w:tcW w:w="892" w:type="dxa"/>
            <w:tcBorders>
              <w:top w:val="nil"/>
              <w:left w:val="nil"/>
              <w:bottom w:val="nil"/>
              <w:right w:val="nil"/>
            </w:tcBorders>
          </w:tcPr>
          <w:p w:rsidR="001956F7" w:rsidRPr="000D323C" w:rsidRDefault="001956F7" w:rsidP="000D323C">
            <w:pPr>
              <w:pStyle w:val="Tabletext"/>
              <w:rPr>
                <w:color w:val="000000" w:themeColor="text1"/>
              </w:rPr>
            </w:pPr>
            <w:r w:rsidRPr="000D323C">
              <w:rPr>
                <w:color w:val="000000" w:themeColor="text1"/>
                <w:szCs w:val="22"/>
              </w:rPr>
              <w:t>*</w:t>
            </w:r>
            <w:r w:rsidRPr="000D323C">
              <w:rPr>
                <w:color w:val="000000" w:themeColor="text1"/>
              </w:rPr>
              <w:t>Yoko</w:t>
            </w:r>
          </w:p>
        </w:tc>
        <w:tc>
          <w:tcPr>
            <w:tcW w:w="743"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t>F</w:t>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sym w:font="Wingdings" w:char="F0FC"/>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sym w:font="Wingdings" w:char="F0FC"/>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1338" w:type="dxa"/>
            <w:tcBorders>
              <w:top w:val="nil"/>
              <w:left w:val="nil"/>
              <w:bottom w:val="nil"/>
              <w:right w:val="nil"/>
            </w:tcBorders>
          </w:tcPr>
          <w:p w:rsidR="001956F7" w:rsidRPr="000D323C" w:rsidRDefault="001956F7" w:rsidP="00575E35">
            <w:pPr>
              <w:pStyle w:val="Tabletext"/>
              <w:ind w:left="113"/>
              <w:rPr>
                <w:color w:val="000000" w:themeColor="text1"/>
              </w:rPr>
            </w:pPr>
            <w:r w:rsidRPr="000D323C">
              <w:rPr>
                <w:color w:val="000000" w:themeColor="text1"/>
              </w:rPr>
              <w:t>Break</w:t>
            </w:r>
          </w:p>
        </w:tc>
        <w:tc>
          <w:tcPr>
            <w:tcW w:w="1339" w:type="dxa"/>
            <w:tcBorders>
              <w:top w:val="nil"/>
              <w:left w:val="nil"/>
              <w:bottom w:val="nil"/>
              <w:right w:val="nil"/>
            </w:tcBorders>
          </w:tcPr>
          <w:p w:rsidR="001956F7" w:rsidRPr="000D323C" w:rsidRDefault="001956F7" w:rsidP="00575E35">
            <w:pPr>
              <w:pStyle w:val="Tabletext"/>
              <w:ind w:left="170"/>
              <w:rPr>
                <w:color w:val="000000" w:themeColor="text1"/>
              </w:rPr>
            </w:pPr>
            <w:r w:rsidRPr="000D323C">
              <w:rPr>
                <w:color w:val="000000" w:themeColor="text1"/>
              </w:rPr>
              <w:t>P/T work</w:t>
            </w:r>
          </w:p>
        </w:tc>
      </w:tr>
      <w:tr w:rsidR="001956F7" w:rsidRPr="000D323C" w:rsidTr="00575E35">
        <w:trPr>
          <w:cantSplit/>
        </w:trPr>
        <w:tc>
          <w:tcPr>
            <w:tcW w:w="892" w:type="dxa"/>
            <w:tcBorders>
              <w:top w:val="nil"/>
              <w:left w:val="nil"/>
              <w:bottom w:val="nil"/>
              <w:right w:val="nil"/>
            </w:tcBorders>
          </w:tcPr>
          <w:p w:rsidR="001956F7" w:rsidRPr="000D323C" w:rsidRDefault="001956F7" w:rsidP="000D323C">
            <w:pPr>
              <w:pStyle w:val="Tabletext"/>
              <w:rPr>
                <w:color w:val="000000" w:themeColor="text1"/>
              </w:rPr>
            </w:pPr>
            <w:r w:rsidRPr="000D323C">
              <w:rPr>
                <w:color w:val="000000" w:themeColor="text1"/>
                <w:szCs w:val="22"/>
              </w:rPr>
              <w:t>*</w:t>
            </w:r>
            <w:proofErr w:type="spellStart"/>
            <w:r w:rsidRPr="000D323C">
              <w:rPr>
                <w:color w:val="000000" w:themeColor="text1"/>
              </w:rPr>
              <w:t>Magda</w:t>
            </w:r>
            <w:proofErr w:type="spellEnd"/>
          </w:p>
        </w:tc>
        <w:tc>
          <w:tcPr>
            <w:tcW w:w="743"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t>F</w:t>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sym w:font="Wingdings" w:char="F0FC"/>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1338" w:type="dxa"/>
            <w:tcBorders>
              <w:top w:val="nil"/>
              <w:left w:val="nil"/>
              <w:bottom w:val="nil"/>
              <w:right w:val="nil"/>
            </w:tcBorders>
          </w:tcPr>
          <w:p w:rsidR="001956F7" w:rsidRPr="000D323C" w:rsidRDefault="001956F7" w:rsidP="00575E35">
            <w:pPr>
              <w:pStyle w:val="Tabletext"/>
              <w:ind w:left="113"/>
              <w:rPr>
                <w:color w:val="000000" w:themeColor="text1"/>
              </w:rPr>
            </w:pPr>
            <w:r w:rsidRPr="000D323C">
              <w:rPr>
                <w:color w:val="000000" w:themeColor="text1"/>
              </w:rPr>
              <w:t xml:space="preserve">Mainstream </w:t>
            </w:r>
            <w:r w:rsidR="00575E35">
              <w:rPr>
                <w:color w:val="000000" w:themeColor="text1"/>
              </w:rPr>
              <w:br/>
            </w:r>
            <w:r w:rsidRPr="000D323C">
              <w:rPr>
                <w:color w:val="000000" w:themeColor="text1"/>
              </w:rPr>
              <w:t>study</w:t>
            </w:r>
          </w:p>
        </w:tc>
        <w:tc>
          <w:tcPr>
            <w:tcW w:w="1339" w:type="dxa"/>
            <w:tcBorders>
              <w:top w:val="nil"/>
              <w:left w:val="nil"/>
              <w:bottom w:val="nil"/>
              <w:right w:val="nil"/>
            </w:tcBorders>
          </w:tcPr>
          <w:p w:rsidR="001956F7" w:rsidRPr="000D323C" w:rsidRDefault="001956F7" w:rsidP="00575E35">
            <w:pPr>
              <w:pStyle w:val="Tabletext"/>
              <w:ind w:left="170"/>
              <w:rPr>
                <w:color w:val="000000" w:themeColor="text1"/>
              </w:rPr>
            </w:pPr>
            <w:r w:rsidRPr="000D323C">
              <w:rPr>
                <w:color w:val="000000" w:themeColor="text1"/>
              </w:rPr>
              <w:t>P/T work</w:t>
            </w:r>
          </w:p>
        </w:tc>
      </w:tr>
      <w:tr w:rsidR="001956F7" w:rsidRPr="000D323C" w:rsidTr="00575E35">
        <w:trPr>
          <w:cantSplit/>
        </w:trPr>
        <w:tc>
          <w:tcPr>
            <w:tcW w:w="892" w:type="dxa"/>
            <w:tcBorders>
              <w:top w:val="nil"/>
              <w:left w:val="nil"/>
              <w:bottom w:val="nil"/>
              <w:right w:val="nil"/>
            </w:tcBorders>
          </w:tcPr>
          <w:p w:rsidR="001956F7" w:rsidRPr="000D323C" w:rsidRDefault="001956F7" w:rsidP="000D323C">
            <w:pPr>
              <w:pStyle w:val="Tabletext"/>
              <w:rPr>
                <w:color w:val="000000" w:themeColor="text1"/>
              </w:rPr>
            </w:pPr>
            <w:r w:rsidRPr="000D323C">
              <w:rPr>
                <w:color w:val="000000" w:themeColor="text1"/>
                <w:szCs w:val="22"/>
              </w:rPr>
              <w:t>*</w:t>
            </w:r>
            <w:r w:rsidRPr="000D323C">
              <w:rPr>
                <w:color w:val="000000" w:themeColor="text1"/>
              </w:rPr>
              <w:t>Yana</w:t>
            </w:r>
          </w:p>
        </w:tc>
        <w:tc>
          <w:tcPr>
            <w:tcW w:w="743"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t>F</w:t>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sym w:font="Wingdings" w:char="F0FC"/>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sym w:font="Wingdings" w:char="F0FC"/>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sym w:font="Wingdings" w:char="F0FC"/>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1338" w:type="dxa"/>
            <w:tcBorders>
              <w:top w:val="nil"/>
              <w:left w:val="nil"/>
              <w:bottom w:val="nil"/>
              <w:right w:val="nil"/>
            </w:tcBorders>
          </w:tcPr>
          <w:p w:rsidR="001956F7" w:rsidRPr="000D323C" w:rsidRDefault="001956F7" w:rsidP="00575E35">
            <w:pPr>
              <w:pStyle w:val="Tabletext"/>
              <w:ind w:left="113"/>
              <w:rPr>
                <w:color w:val="000000" w:themeColor="text1"/>
              </w:rPr>
            </w:pPr>
            <w:r w:rsidRPr="000D323C">
              <w:rPr>
                <w:color w:val="000000" w:themeColor="text1"/>
              </w:rPr>
              <w:t>Break</w:t>
            </w:r>
          </w:p>
        </w:tc>
        <w:tc>
          <w:tcPr>
            <w:tcW w:w="1339" w:type="dxa"/>
            <w:tcBorders>
              <w:top w:val="nil"/>
              <w:left w:val="nil"/>
              <w:bottom w:val="nil"/>
              <w:right w:val="nil"/>
            </w:tcBorders>
          </w:tcPr>
          <w:p w:rsidR="001956F7" w:rsidRPr="000D323C" w:rsidRDefault="001956F7" w:rsidP="00575E35">
            <w:pPr>
              <w:pStyle w:val="Tabletext"/>
              <w:ind w:left="170"/>
              <w:rPr>
                <w:color w:val="000000" w:themeColor="text1"/>
              </w:rPr>
            </w:pPr>
            <w:r w:rsidRPr="000D323C">
              <w:rPr>
                <w:color w:val="000000" w:themeColor="text1"/>
              </w:rPr>
              <w:t xml:space="preserve">Commencing mainstream </w:t>
            </w:r>
            <w:r w:rsidR="00575E35">
              <w:rPr>
                <w:color w:val="000000" w:themeColor="text1"/>
              </w:rPr>
              <w:br/>
            </w:r>
            <w:r w:rsidRPr="000D323C">
              <w:rPr>
                <w:color w:val="000000" w:themeColor="text1"/>
              </w:rPr>
              <w:t>study</w:t>
            </w:r>
          </w:p>
        </w:tc>
      </w:tr>
      <w:tr w:rsidR="001956F7" w:rsidRPr="000D323C" w:rsidTr="00575E35">
        <w:trPr>
          <w:cantSplit/>
        </w:trPr>
        <w:tc>
          <w:tcPr>
            <w:tcW w:w="892" w:type="dxa"/>
            <w:tcBorders>
              <w:top w:val="nil"/>
              <w:left w:val="nil"/>
              <w:bottom w:val="nil"/>
              <w:right w:val="nil"/>
            </w:tcBorders>
          </w:tcPr>
          <w:p w:rsidR="001956F7" w:rsidRPr="000D323C" w:rsidRDefault="001956F7" w:rsidP="000D323C">
            <w:pPr>
              <w:pStyle w:val="Tabletext"/>
              <w:rPr>
                <w:color w:val="000000" w:themeColor="text1"/>
              </w:rPr>
            </w:pPr>
            <w:proofErr w:type="spellStart"/>
            <w:r w:rsidRPr="000D323C">
              <w:rPr>
                <w:color w:val="000000" w:themeColor="text1"/>
              </w:rPr>
              <w:t>Manut</w:t>
            </w:r>
            <w:proofErr w:type="spellEnd"/>
          </w:p>
        </w:tc>
        <w:tc>
          <w:tcPr>
            <w:tcW w:w="743"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t>M</w:t>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sym w:font="Wingdings" w:char="F0FC"/>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1338" w:type="dxa"/>
            <w:tcBorders>
              <w:top w:val="nil"/>
              <w:left w:val="nil"/>
              <w:bottom w:val="nil"/>
              <w:right w:val="nil"/>
            </w:tcBorders>
          </w:tcPr>
          <w:p w:rsidR="001956F7" w:rsidRPr="000D323C" w:rsidRDefault="001956F7" w:rsidP="00575E35">
            <w:pPr>
              <w:pStyle w:val="Tabletext"/>
              <w:ind w:left="113"/>
              <w:rPr>
                <w:color w:val="000000" w:themeColor="text1"/>
              </w:rPr>
            </w:pPr>
            <w:r w:rsidRPr="000D323C">
              <w:rPr>
                <w:color w:val="000000" w:themeColor="text1"/>
              </w:rPr>
              <w:t>Literacy course</w:t>
            </w:r>
          </w:p>
        </w:tc>
        <w:tc>
          <w:tcPr>
            <w:tcW w:w="1339" w:type="dxa"/>
            <w:tcBorders>
              <w:top w:val="nil"/>
              <w:left w:val="nil"/>
              <w:bottom w:val="nil"/>
              <w:right w:val="nil"/>
            </w:tcBorders>
          </w:tcPr>
          <w:p w:rsidR="001956F7" w:rsidRPr="000D323C" w:rsidRDefault="001956F7" w:rsidP="00575E35">
            <w:pPr>
              <w:pStyle w:val="Tabletext"/>
              <w:ind w:left="170"/>
              <w:rPr>
                <w:color w:val="000000" w:themeColor="text1"/>
              </w:rPr>
            </w:pPr>
            <w:r w:rsidRPr="000D323C">
              <w:rPr>
                <w:color w:val="000000" w:themeColor="text1"/>
              </w:rPr>
              <w:t>F/T work</w:t>
            </w:r>
          </w:p>
        </w:tc>
      </w:tr>
      <w:tr w:rsidR="001956F7" w:rsidRPr="000D323C" w:rsidTr="00575E35">
        <w:trPr>
          <w:cantSplit/>
        </w:trPr>
        <w:tc>
          <w:tcPr>
            <w:tcW w:w="892" w:type="dxa"/>
            <w:tcBorders>
              <w:top w:val="nil"/>
              <w:left w:val="nil"/>
              <w:bottom w:val="nil"/>
              <w:right w:val="nil"/>
            </w:tcBorders>
          </w:tcPr>
          <w:p w:rsidR="001956F7" w:rsidRPr="000D323C" w:rsidRDefault="001956F7" w:rsidP="000D323C">
            <w:pPr>
              <w:pStyle w:val="Tabletext"/>
              <w:rPr>
                <w:color w:val="000000" w:themeColor="text1"/>
              </w:rPr>
            </w:pPr>
            <w:r w:rsidRPr="000D323C">
              <w:rPr>
                <w:color w:val="000000" w:themeColor="text1"/>
                <w:szCs w:val="22"/>
              </w:rPr>
              <w:t>*</w:t>
            </w:r>
            <w:r w:rsidRPr="000D323C">
              <w:rPr>
                <w:color w:val="000000" w:themeColor="text1"/>
              </w:rPr>
              <w:t>Bo</w:t>
            </w:r>
          </w:p>
        </w:tc>
        <w:tc>
          <w:tcPr>
            <w:tcW w:w="743"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t>M</w:t>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r w:rsidRPr="000D323C">
              <w:rPr>
                <w:color w:val="000000" w:themeColor="text1"/>
              </w:rPr>
              <w:sym w:font="Wingdings" w:char="F0FC"/>
            </w: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nil"/>
              <w:right w:val="nil"/>
            </w:tcBorders>
          </w:tcPr>
          <w:p w:rsidR="001956F7" w:rsidRPr="000D323C" w:rsidRDefault="001956F7" w:rsidP="00575E35">
            <w:pPr>
              <w:pStyle w:val="Tabletext"/>
              <w:jc w:val="center"/>
              <w:rPr>
                <w:color w:val="000000" w:themeColor="text1"/>
              </w:rPr>
            </w:pPr>
          </w:p>
        </w:tc>
        <w:tc>
          <w:tcPr>
            <w:tcW w:w="1338" w:type="dxa"/>
            <w:tcBorders>
              <w:top w:val="nil"/>
              <w:left w:val="nil"/>
              <w:bottom w:val="nil"/>
              <w:right w:val="nil"/>
            </w:tcBorders>
          </w:tcPr>
          <w:p w:rsidR="001956F7" w:rsidRPr="000D323C" w:rsidRDefault="001956F7" w:rsidP="00575E35">
            <w:pPr>
              <w:pStyle w:val="Tabletext"/>
              <w:ind w:left="113"/>
              <w:rPr>
                <w:color w:val="000000" w:themeColor="text1"/>
              </w:rPr>
            </w:pPr>
            <w:r w:rsidRPr="000D323C">
              <w:rPr>
                <w:color w:val="000000" w:themeColor="text1"/>
              </w:rPr>
              <w:t>F/T work</w:t>
            </w:r>
          </w:p>
        </w:tc>
        <w:tc>
          <w:tcPr>
            <w:tcW w:w="1339" w:type="dxa"/>
            <w:tcBorders>
              <w:top w:val="nil"/>
              <w:left w:val="nil"/>
              <w:bottom w:val="nil"/>
              <w:right w:val="nil"/>
            </w:tcBorders>
          </w:tcPr>
          <w:p w:rsidR="001956F7" w:rsidRPr="000D323C" w:rsidRDefault="001956F7" w:rsidP="00575E35">
            <w:pPr>
              <w:pStyle w:val="Tabletext"/>
              <w:ind w:left="170"/>
              <w:rPr>
                <w:color w:val="000000" w:themeColor="text1"/>
              </w:rPr>
            </w:pPr>
            <w:r w:rsidRPr="000D323C">
              <w:rPr>
                <w:color w:val="000000" w:themeColor="text1"/>
              </w:rPr>
              <w:t>F/T work</w:t>
            </w:r>
          </w:p>
        </w:tc>
      </w:tr>
      <w:tr w:rsidR="001956F7" w:rsidRPr="000D323C" w:rsidTr="00575E35">
        <w:trPr>
          <w:cantSplit/>
        </w:trPr>
        <w:tc>
          <w:tcPr>
            <w:tcW w:w="892" w:type="dxa"/>
            <w:tcBorders>
              <w:top w:val="nil"/>
              <w:left w:val="nil"/>
              <w:bottom w:val="single" w:sz="4" w:space="0" w:color="auto"/>
              <w:right w:val="nil"/>
            </w:tcBorders>
          </w:tcPr>
          <w:p w:rsidR="001956F7" w:rsidRPr="000D323C" w:rsidRDefault="001956F7" w:rsidP="000D323C">
            <w:pPr>
              <w:pStyle w:val="Tabletext"/>
              <w:rPr>
                <w:color w:val="000000" w:themeColor="text1"/>
              </w:rPr>
            </w:pPr>
            <w:r w:rsidRPr="000D323C">
              <w:rPr>
                <w:color w:val="000000" w:themeColor="text1"/>
                <w:szCs w:val="22"/>
              </w:rPr>
              <w:t>*</w:t>
            </w:r>
            <w:r w:rsidRPr="000D323C">
              <w:rPr>
                <w:color w:val="000000" w:themeColor="text1"/>
              </w:rPr>
              <w:t>Jin</w:t>
            </w:r>
          </w:p>
        </w:tc>
        <w:tc>
          <w:tcPr>
            <w:tcW w:w="743" w:type="dxa"/>
            <w:tcBorders>
              <w:top w:val="nil"/>
              <w:left w:val="nil"/>
              <w:bottom w:val="single" w:sz="4" w:space="0" w:color="auto"/>
              <w:right w:val="nil"/>
            </w:tcBorders>
          </w:tcPr>
          <w:p w:rsidR="001956F7" w:rsidRPr="000D323C" w:rsidRDefault="001956F7" w:rsidP="00575E35">
            <w:pPr>
              <w:pStyle w:val="Tabletext"/>
              <w:jc w:val="center"/>
              <w:rPr>
                <w:color w:val="000000" w:themeColor="text1"/>
              </w:rPr>
            </w:pPr>
            <w:r w:rsidRPr="000D323C">
              <w:rPr>
                <w:color w:val="000000" w:themeColor="text1"/>
              </w:rPr>
              <w:t>M</w:t>
            </w:r>
          </w:p>
        </w:tc>
        <w:tc>
          <w:tcPr>
            <w:tcW w:w="952" w:type="dxa"/>
            <w:tcBorders>
              <w:top w:val="nil"/>
              <w:left w:val="nil"/>
              <w:bottom w:val="single" w:sz="4" w:space="0" w:color="auto"/>
              <w:right w:val="nil"/>
            </w:tcBorders>
          </w:tcPr>
          <w:p w:rsidR="001956F7" w:rsidRPr="000D323C" w:rsidRDefault="001956F7" w:rsidP="00575E35">
            <w:pPr>
              <w:pStyle w:val="Tabletext"/>
              <w:jc w:val="center"/>
              <w:rPr>
                <w:color w:val="000000" w:themeColor="text1"/>
              </w:rPr>
            </w:pPr>
            <w:r w:rsidRPr="000D323C">
              <w:rPr>
                <w:color w:val="000000" w:themeColor="text1"/>
              </w:rPr>
              <w:sym w:font="Wingdings" w:char="F0FC"/>
            </w:r>
          </w:p>
        </w:tc>
        <w:tc>
          <w:tcPr>
            <w:tcW w:w="952" w:type="dxa"/>
            <w:tcBorders>
              <w:top w:val="nil"/>
              <w:left w:val="nil"/>
              <w:bottom w:val="single" w:sz="4" w:space="0" w:color="auto"/>
              <w:right w:val="nil"/>
            </w:tcBorders>
          </w:tcPr>
          <w:p w:rsidR="001956F7" w:rsidRPr="000D323C" w:rsidRDefault="001956F7" w:rsidP="00575E35">
            <w:pPr>
              <w:pStyle w:val="Tabletext"/>
              <w:jc w:val="center"/>
              <w:rPr>
                <w:color w:val="000000" w:themeColor="text1"/>
              </w:rPr>
            </w:pPr>
            <w:r w:rsidRPr="000D323C">
              <w:rPr>
                <w:color w:val="000000" w:themeColor="text1"/>
              </w:rPr>
              <w:sym w:font="Wingdings" w:char="F0FC"/>
            </w:r>
          </w:p>
        </w:tc>
        <w:tc>
          <w:tcPr>
            <w:tcW w:w="952" w:type="dxa"/>
            <w:tcBorders>
              <w:top w:val="nil"/>
              <w:left w:val="nil"/>
              <w:bottom w:val="single" w:sz="4" w:space="0" w:color="auto"/>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single" w:sz="4" w:space="0" w:color="auto"/>
              <w:right w:val="nil"/>
            </w:tcBorders>
          </w:tcPr>
          <w:p w:rsidR="001956F7" w:rsidRPr="000D323C" w:rsidRDefault="001956F7" w:rsidP="00575E35">
            <w:pPr>
              <w:pStyle w:val="Tabletext"/>
              <w:jc w:val="center"/>
              <w:rPr>
                <w:color w:val="000000" w:themeColor="text1"/>
              </w:rPr>
            </w:pPr>
          </w:p>
        </w:tc>
        <w:tc>
          <w:tcPr>
            <w:tcW w:w="952" w:type="dxa"/>
            <w:tcBorders>
              <w:top w:val="nil"/>
              <w:left w:val="nil"/>
              <w:bottom w:val="single" w:sz="4" w:space="0" w:color="auto"/>
              <w:right w:val="nil"/>
            </w:tcBorders>
          </w:tcPr>
          <w:p w:rsidR="001956F7" w:rsidRPr="000D323C" w:rsidRDefault="001956F7" w:rsidP="00575E35">
            <w:pPr>
              <w:pStyle w:val="Tabletext"/>
              <w:jc w:val="center"/>
              <w:rPr>
                <w:color w:val="000000" w:themeColor="text1"/>
              </w:rPr>
            </w:pPr>
          </w:p>
        </w:tc>
        <w:tc>
          <w:tcPr>
            <w:tcW w:w="1338" w:type="dxa"/>
            <w:tcBorders>
              <w:top w:val="nil"/>
              <w:left w:val="nil"/>
              <w:bottom w:val="single" w:sz="4" w:space="0" w:color="auto"/>
              <w:right w:val="nil"/>
            </w:tcBorders>
          </w:tcPr>
          <w:p w:rsidR="001956F7" w:rsidRPr="000D323C" w:rsidRDefault="001956F7" w:rsidP="00575E35">
            <w:pPr>
              <w:pStyle w:val="Tabletext"/>
              <w:ind w:left="113"/>
              <w:rPr>
                <w:color w:val="000000" w:themeColor="text1"/>
              </w:rPr>
            </w:pPr>
            <w:r w:rsidRPr="000D323C">
              <w:rPr>
                <w:color w:val="000000" w:themeColor="text1"/>
              </w:rPr>
              <w:t>F/T work</w:t>
            </w:r>
          </w:p>
        </w:tc>
        <w:tc>
          <w:tcPr>
            <w:tcW w:w="1339" w:type="dxa"/>
            <w:tcBorders>
              <w:top w:val="nil"/>
              <w:left w:val="nil"/>
              <w:bottom w:val="single" w:sz="4" w:space="0" w:color="auto"/>
              <w:right w:val="nil"/>
            </w:tcBorders>
          </w:tcPr>
          <w:p w:rsidR="001956F7" w:rsidRPr="000D323C" w:rsidRDefault="001956F7" w:rsidP="00575E35">
            <w:pPr>
              <w:pStyle w:val="Tabletext"/>
              <w:ind w:left="170"/>
              <w:rPr>
                <w:color w:val="000000" w:themeColor="text1"/>
              </w:rPr>
            </w:pPr>
            <w:r w:rsidRPr="000D323C">
              <w:rPr>
                <w:color w:val="000000" w:themeColor="text1"/>
              </w:rPr>
              <w:t>F/T work</w:t>
            </w:r>
          </w:p>
        </w:tc>
      </w:tr>
    </w:tbl>
    <w:p w:rsidR="001956F7" w:rsidRPr="00AF1F5B" w:rsidRDefault="001956F7" w:rsidP="001956F7">
      <w:pPr>
        <w:pStyle w:val="Source"/>
      </w:pPr>
      <w:r w:rsidRPr="00AF1F5B">
        <w:t xml:space="preserve">Notes: </w:t>
      </w:r>
      <w:r w:rsidRPr="00AF1F5B">
        <w:tab/>
        <w:t>1 * denotes migrants whose mid-2008 outcomes differed from those they nominated in mid-2007</w:t>
      </w:r>
      <w:r>
        <w:t>.</w:t>
      </w:r>
    </w:p>
    <w:p w:rsidR="001956F7" w:rsidRDefault="001956F7" w:rsidP="001956F7">
      <w:pPr>
        <w:pStyle w:val="Source"/>
      </w:pPr>
      <w:r w:rsidRPr="00AF1F5B">
        <w:tab/>
        <w:t>2 P/T denotes part-time, and F/T denotes full-time paid work</w:t>
      </w:r>
      <w:r>
        <w:t>.</w:t>
      </w:r>
      <w:bookmarkEnd w:id="18"/>
      <w:bookmarkEnd w:id="19"/>
      <w:bookmarkEnd w:id="20"/>
      <w:bookmarkEnd w:id="21"/>
    </w:p>
    <w:p w:rsidR="004F0FC9" w:rsidRPr="001956F7" w:rsidRDefault="004F0FC9" w:rsidP="001956F7">
      <w:pPr>
        <w:pStyle w:val="Source"/>
      </w:pPr>
      <w:r>
        <w:tab/>
        <w:t xml:space="preserve">N = </w:t>
      </w:r>
      <w:r w:rsidRPr="00AF1F5B">
        <w:t>14</w:t>
      </w:r>
      <w:r>
        <w:t>.</w:t>
      </w:r>
    </w:p>
    <w:sectPr w:rsidR="004F0FC9" w:rsidRPr="001956F7" w:rsidSect="00F60BA5">
      <w:footerReference w:type="even" r:id="rId44"/>
      <w:footerReference w:type="default" r:id="rId45"/>
      <w:pgSz w:w="11907" w:h="16840" w:code="9"/>
      <w:pgMar w:top="1276" w:right="1701" w:bottom="1276" w:left="1418" w:header="709"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F2B" w:rsidRDefault="00501F2B">
      <w:r>
        <w:separator/>
      </w:r>
    </w:p>
  </w:endnote>
  <w:endnote w:type="continuationSeparator" w:id="0">
    <w:p w:rsidR="00501F2B" w:rsidRDefault="00501F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Neue LT 45 Light">
    <w:altName w:val="HelveticaNeue LT 45 Light"/>
    <w:panose1 w:val="00000000000000000000"/>
    <w:charset w:val="00"/>
    <w:family w:val="swiss"/>
    <w:notTrueType/>
    <w:pitch w:val="default"/>
    <w:sig w:usb0="00000003" w:usb1="00000000" w:usb2="00000000" w:usb3="00000000" w:csb0="00000001" w:csb1="00000000"/>
  </w:font>
  <w:font w:name="HelveticaNeue LT 55 Roman">
    <w:altName w:val="HelveticaNeue LT 55 Roman"/>
    <w:panose1 w:val="00000000000000000000"/>
    <w:charset w:val="00"/>
    <w:family w:val="roman"/>
    <w:notTrueType/>
    <w:pitch w:val="default"/>
    <w:sig w:usb0="00000003" w:usb1="00000000" w:usb2="00000000" w:usb3="00000000" w:csb0="00000001" w:csb1="00000000"/>
  </w:font>
  <w:font w:name="Avant Gard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F2B" w:rsidRPr="00BD032A" w:rsidRDefault="00EC7AE7" w:rsidP="00BD032A">
    <w:pPr>
      <w:pStyle w:val="Footer"/>
      <w:tabs>
        <w:tab w:val="clear" w:pos="8505"/>
        <w:tab w:val="right" w:pos="8789"/>
      </w:tabs>
      <w:rPr>
        <w:b/>
      </w:rPr>
    </w:pPr>
    <w:r w:rsidRPr="00EC7AE7">
      <w:rPr>
        <w:b/>
        <w:noProof/>
        <w:color w:val="FFFFFF" w:themeColor="background1"/>
        <w:lang w:eastAsia="en-AU"/>
      </w:rPr>
      <w:pict>
        <v:rect id="_x0000_s2054" style="position:absolute;margin-left:-85.05pt;margin-top:-2.45pt;width:99pt;height:18.75pt;z-index:-251649024" fillcolor="black [3213]" stroked="f" strokecolor="#bfbfbf [2412]"/>
      </w:pict>
    </w:r>
    <w:r w:rsidRPr="008C0A74">
      <w:rPr>
        <w:b/>
        <w:color w:val="FFFFFF" w:themeColor="background1"/>
      </w:rPr>
      <w:fldChar w:fldCharType="begin"/>
    </w:r>
    <w:r w:rsidR="00501F2B" w:rsidRPr="008C0A74">
      <w:rPr>
        <w:b/>
        <w:color w:val="FFFFFF" w:themeColor="background1"/>
      </w:rPr>
      <w:instrText xml:space="preserve"> PAGE </w:instrText>
    </w:r>
    <w:r w:rsidRPr="008C0A74">
      <w:rPr>
        <w:b/>
        <w:color w:val="FFFFFF" w:themeColor="background1"/>
      </w:rPr>
      <w:fldChar w:fldCharType="separate"/>
    </w:r>
    <w:r w:rsidR="00355A24">
      <w:rPr>
        <w:b/>
        <w:noProof/>
        <w:color w:val="FFFFFF" w:themeColor="background1"/>
      </w:rPr>
      <w:t>4</w:t>
    </w:r>
    <w:r w:rsidRPr="008C0A74">
      <w:rPr>
        <w:b/>
        <w:color w:val="FFFFFF" w:themeColor="background1"/>
      </w:rPr>
      <w:fldChar w:fldCharType="end"/>
    </w:r>
    <w:r w:rsidR="00501F2B" w:rsidRPr="008C0A74">
      <w:rPr>
        <w:b/>
        <w:color w:val="FFFFFF" w:themeColor="background1"/>
      </w:rPr>
      <w:tab/>
    </w:r>
    <w:r w:rsidR="00501F2B">
      <w:rPr>
        <w:b/>
      </w:rPr>
      <w:t>How learning English facilitates integration for adult migrants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F2B" w:rsidRPr="008C0A74" w:rsidRDefault="00EC7AE7" w:rsidP="00FF5931">
    <w:pPr>
      <w:pStyle w:val="Footer"/>
      <w:tabs>
        <w:tab w:val="clear" w:pos="8505"/>
        <w:tab w:val="right" w:pos="8789"/>
      </w:tabs>
      <w:rPr>
        <w:b/>
      </w:rPr>
    </w:pPr>
    <w:r w:rsidRPr="00EC7AE7">
      <w:rPr>
        <w:b/>
        <w:noProof/>
        <w:color w:val="FFFFFF" w:themeColor="background1"/>
        <w:lang w:eastAsia="en-AU"/>
      </w:rPr>
      <w:pict>
        <v:rect id="_x0000_s2051" style="position:absolute;margin-left:-85.05pt;margin-top:-2.45pt;width:99pt;height:18.75pt;z-index:-251655168" fillcolor="black [3213]" stroked="f" strokecolor="#bfbfbf [2412]"/>
      </w:pict>
    </w:r>
    <w:r w:rsidRPr="008C0A74">
      <w:rPr>
        <w:b/>
        <w:color w:val="FFFFFF" w:themeColor="background1"/>
      </w:rPr>
      <w:fldChar w:fldCharType="begin"/>
    </w:r>
    <w:r w:rsidR="00501F2B" w:rsidRPr="008C0A74">
      <w:rPr>
        <w:b/>
        <w:color w:val="FFFFFF" w:themeColor="background1"/>
      </w:rPr>
      <w:instrText xml:space="preserve"> PAGE </w:instrText>
    </w:r>
    <w:r w:rsidRPr="008C0A74">
      <w:rPr>
        <w:b/>
        <w:color w:val="FFFFFF" w:themeColor="background1"/>
      </w:rPr>
      <w:fldChar w:fldCharType="separate"/>
    </w:r>
    <w:r w:rsidR="00355A24">
      <w:rPr>
        <w:b/>
        <w:noProof/>
        <w:color w:val="FFFFFF" w:themeColor="background1"/>
      </w:rPr>
      <w:t>34</w:t>
    </w:r>
    <w:r w:rsidRPr="008C0A74">
      <w:rPr>
        <w:b/>
        <w:color w:val="FFFFFF" w:themeColor="background1"/>
      </w:rPr>
      <w:fldChar w:fldCharType="end"/>
    </w:r>
    <w:r w:rsidR="00501F2B" w:rsidRPr="008C0A74">
      <w:rPr>
        <w:b/>
        <w:color w:val="FFFFFF" w:themeColor="background1"/>
      </w:rPr>
      <w:tab/>
    </w:r>
    <w:r w:rsidR="00501F2B">
      <w:rPr>
        <w:b/>
      </w:rPr>
      <w:t>How learning English facilitates integration for adult migrants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F2B" w:rsidRPr="009775C7" w:rsidRDefault="00EC7AE7" w:rsidP="008C0A74">
    <w:pPr>
      <w:pStyle w:val="Footer"/>
      <w:tabs>
        <w:tab w:val="clear" w:pos="8505"/>
        <w:tab w:val="right" w:pos="8789"/>
      </w:tabs>
      <w:rPr>
        <w:color w:val="FFFFFF" w:themeColor="background1"/>
      </w:rPr>
    </w:pPr>
    <w:r w:rsidRPr="00EC7AE7">
      <w:rPr>
        <w:b/>
        <w:noProof/>
        <w:lang w:eastAsia="en-AU"/>
      </w:rPr>
      <w:pict>
        <v:rect id="_x0000_s2052" style="position:absolute;margin-left:425.6pt;margin-top:-2.45pt;width:99pt;height:18.75pt;z-index:-251653120" fillcolor="black [3213]" stroked="f" strokecolor="#bfbfbf [2412]"/>
      </w:pict>
    </w:r>
    <w:r w:rsidR="00501F2B" w:rsidRPr="009775C7">
      <w:rPr>
        <w:b/>
      </w:rPr>
      <w:t>NCVER</w:t>
    </w:r>
    <w:r w:rsidR="00501F2B" w:rsidRPr="009775C7">
      <w:tab/>
    </w:r>
    <w:r w:rsidRPr="009775C7">
      <w:rPr>
        <w:rStyle w:val="PageNumber"/>
        <w:rFonts w:cs="Tahoma"/>
        <w:b/>
        <w:color w:val="FFFFFF" w:themeColor="background1"/>
        <w:sz w:val="17"/>
      </w:rPr>
      <w:fldChar w:fldCharType="begin"/>
    </w:r>
    <w:r w:rsidR="00501F2B"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355A24">
      <w:rPr>
        <w:rStyle w:val="PageNumber"/>
        <w:rFonts w:cs="Tahoma"/>
        <w:b/>
        <w:noProof/>
        <w:color w:val="FFFFFF" w:themeColor="background1"/>
        <w:sz w:val="17"/>
      </w:rPr>
      <w:t>35</w:t>
    </w:r>
    <w:r w:rsidRPr="009775C7">
      <w:rPr>
        <w:rStyle w:val="PageNumber"/>
        <w:rFonts w:cs="Tahoma"/>
        <w:b/>
        <w:color w:val="FFFFFF" w:themeColor="background1"/>
        <w:sz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F2B" w:rsidRDefault="00501F2B">
      <w:r>
        <w:separator/>
      </w:r>
    </w:p>
  </w:footnote>
  <w:footnote w:type="continuationSeparator" w:id="0">
    <w:p w:rsidR="00501F2B" w:rsidRDefault="00501F2B">
      <w:r>
        <w:continuationSeparator/>
      </w:r>
    </w:p>
  </w:footnote>
  <w:footnote w:id="1">
    <w:p w:rsidR="00501F2B" w:rsidRDefault="00501F2B" w:rsidP="007E2B5E">
      <w:pPr>
        <w:pStyle w:val="FootnoteText"/>
      </w:pPr>
      <w:r>
        <w:rPr>
          <w:rStyle w:val="FootnoteReference"/>
        </w:rPr>
        <w:footnoteRef/>
      </w:r>
      <w:r>
        <w:tab/>
      </w:r>
      <w:r w:rsidRPr="005F14C9">
        <w:t>‘The Au</w:t>
      </w:r>
      <w:r>
        <w:t xml:space="preserve">stralian Government states [that] its </w:t>
      </w:r>
      <w:r w:rsidRPr="005F14C9">
        <w:t>vision of a socially inclusive society is one in which all Australians feel valued and have the opportunity to participate fully in the life of our society. Achieving this vision means that all Australians will have the resources, opportunities and capability to learn, work, engage in the community and have a voice’</w:t>
      </w:r>
      <w:r>
        <w:t xml:space="preserve"> </w:t>
      </w:r>
      <w:r w:rsidRPr="005F14C9">
        <w:t>(</w:t>
      </w:r>
      <w:r w:rsidRPr="003154C2">
        <w:t>Commonwealth of Australia 2008).</w:t>
      </w:r>
    </w:p>
  </w:footnote>
  <w:footnote w:id="2">
    <w:p w:rsidR="00501F2B" w:rsidRPr="00127CA0" w:rsidRDefault="00501F2B" w:rsidP="00E56CF2">
      <w:pPr>
        <w:pStyle w:val="FootnoteText"/>
      </w:pPr>
      <w:r w:rsidRPr="001134E9">
        <w:rPr>
          <w:rStyle w:val="FootnoteReference"/>
          <w:rFonts w:cs="Arial"/>
          <w:szCs w:val="18"/>
        </w:rPr>
        <w:footnoteRef/>
      </w:r>
      <w:r>
        <w:tab/>
      </w:r>
      <w:r w:rsidRPr="001134E9">
        <w:t xml:space="preserve">The use of the term </w:t>
      </w:r>
      <w:r>
        <w:t>‘</w:t>
      </w:r>
      <w:r w:rsidRPr="00951A7D">
        <w:t>psychosocial</w:t>
      </w:r>
      <w:r>
        <w:t>’</w:t>
      </w:r>
      <w:r w:rsidRPr="00951A7D">
        <w:t xml:space="preserve"> </w:t>
      </w:r>
      <w:r w:rsidRPr="001134E9">
        <w:t xml:space="preserve">in this paper relates </w:t>
      </w:r>
      <w:r w:rsidRPr="00127CA0">
        <w:t>to ‘the psychological development of the individual in relation to his or her social environment’ (Webster</w:t>
      </w:r>
      <w:r>
        <w:t>’s</w:t>
      </w:r>
      <w:r w:rsidRPr="00127CA0">
        <w:t xml:space="preserve"> 2010). </w:t>
      </w:r>
    </w:p>
  </w:footnote>
  <w:footnote w:id="3">
    <w:p w:rsidR="00501F2B" w:rsidRPr="003866D8" w:rsidRDefault="00501F2B" w:rsidP="00E56CF2">
      <w:pPr>
        <w:pStyle w:val="FootnoteText"/>
      </w:pPr>
      <w:r w:rsidRPr="00127CA0">
        <w:rPr>
          <w:rStyle w:val="FootnoteReference"/>
          <w:rFonts w:cs="Arial"/>
          <w:szCs w:val="18"/>
        </w:rPr>
        <w:footnoteRef/>
      </w:r>
      <w:r>
        <w:tab/>
      </w:r>
      <w:proofErr w:type="spellStart"/>
      <w:r w:rsidRPr="00127CA0">
        <w:t>Entzinger</w:t>
      </w:r>
      <w:proofErr w:type="spellEnd"/>
      <w:r w:rsidRPr="00127CA0">
        <w:t xml:space="preserve"> and </w:t>
      </w:r>
      <w:proofErr w:type="spellStart"/>
      <w:r w:rsidRPr="00127CA0">
        <w:t>Biezeveld</w:t>
      </w:r>
      <w:proofErr w:type="spellEnd"/>
      <w:r w:rsidRPr="00127CA0">
        <w:t xml:space="preserve"> (2003, p.9) define acculturation as </w:t>
      </w:r>
      <w:r w:rsidRPr="00127CA0">
        <w:rPr>
          <w:i/>
        </w:rPr>
        <w:t>‘</w:t>
      </w:r>
      <w:r w:rsidRPr="00127CA0">
        <w:t xml:space="preserve">the </w:t>
      </w:r>
      <w:r w:rsidRPr="003C0C3F">
        <w:t xml:space="preserve">phenomenon that immigrants gradually take over </w:t>
      </w:r>
      <w:r w:rsidRPr="004508AA">
        <w:t>certain major elements of their surrounding cultural environment, without compl</w:t>
      </w:r>
      <w:r>
        <w:t xml:space="preserve">etely abandoning their original </w:t>
      </w:r>
      <w:r w:rsidRPr="004508AA">
        <w:t>cultural</w:t>
      </w:r>
      <w:r w:rsidRPr="00127CA0">
        <w:t xml:space="preserve"> </w:t>
      </w:r>
      <w:r>
        <w:t>identity</w:t>
      </w:r>
      <w:r w:rsidRPr="004508AA">
        <w:t xml:space="preserve">. Although the term </w:t>
      </w:r>
      <w:r>
        <w:t>‘</w:t>
      </w:r>
      <w:r w:rsidRPr="004508AA">
        <w:t>acculturation</w:t>
      </w:r>
      <w:r>
        <w:t>’</w:t>
      </w:r>
      <w:r w:rsidRPr="004508AA">
        <w:t xml:space="preserve"> is used in some contexts, including in Australian psychological research</w:t>
      </w:r>
      <w:r w:rsidRPr="00127CA0">
        <w:t xml:space="preserve"> (Murray 2010), it does not appear to be widely used in general discussions about migrants</w:t>
      </w:r>
      <w:r w:rsidRPr="001134E9">
        <w:t xml:space="preserve"> in Australia.</w:t>
      </w:r>
      <w:r w:rsidRPr="00A20102">
        <w:rPr>
          <w:sz w:val="12"/>
          <w:szCs w:val="12"/>
          <w:u w:val="single"/>
        </w:rPr>
        <w:t xml:space="preserve"> </w:t>
      </w:r>
    </w:p>
  </w:footnote>
  <w:footnote w:id="4">
    <w:p w:rsidR="00501F2B" w:rsidRPr="005F14C9" w:rsidRDefault="00501F2B" w:rsidP="00E56CF2">
      <w:pPr>
        <w:pStyle w:val="FootnoteText"/>
        <w:rPr>
          <w:b/>
        </w:rPr>
      </w:pPr>
      <w:r w:rsidRPr="001134E9">
        <w:rPr>
          <w:rStyle w:val="FootnoteReference"/>
          <w:szCs w:val="18"/>
        </w:rPr>
        <w:footnoteRef/>
      </w:r>
      <w:r>
        <w:tab/>
      </w:r>
      <w:r w:rsidRPr="001134E9">
        <w:t xml:space="preserve">In Australia, the International English Language Testing System (IELTS) is the test used by </w:t>
      </w:r>
      <w:r>
        <w:t xml:space="preserve">the </w:t>
      </w:r>
      <w:r w:rsidRPr="005F14C9">
        <w:t>government to determine some migrants’ English proficiency for immigration purposes.</w:t>
      </w:r>
    </w:p>
  </w:footnote>
  <w:footnote w:id="5">
    <w:p w:rsidR="00501F2B" w:rsidRPr="00752295" w:rsidRDefault="00501F2B" w:rsidP="00E56CF2">
      <w:pPr>
        <w:pStyle w:val="FootnoteText"/>
        <w:ind w:right="-143"/>
        <w:rPr>
          <w:szCs w:val="16"/>
        </w:rPr>
      </w:pPr>
      <w:r w:rsidRPr="005F14C9">
        <w:rPr>
          <w:rStyle w:val="FootnoteReference"/>
          <w:szCs w:val="18"/>
        </w:rPr>
        <w:footnoteRef/>
      </w:r>
      <w:r>
        <w:tab/>
      </w:r>
      <w:r w:rsidRPr="005F14C9">
        <w:t>The Australian Government defines</w:t>
      </w:r>
      <w:r w:rsidRPr="005F14C9">
        <w:rPr>
          <w:b/>
          <w:i/>
        </w:rPr>
        <w:t xml:space="preserve"> </w:t>
      </w:r>
      <w:r>
        <w:rPr>
          <w:b/>
          <w:i/>
        </w:rPr>
        <w:t>‘</w:t>
      </w:r>
      <w:r w:rsidRPr="005F14C9">
        <w:t>functional</w:t>
      </w:r>
      <w:r>
        <w:t>’</w:t>
      </w:r>
      <w:r w:rsidRPr="005F14C9">
        <w:t xml:space="preserve"> English as having ‘the basic language skills necessary to</w:t>
      </w:r>
      <w:r w:rsidRPr="00FC6DAB">
        <w:t xml:space="preserve"> deal with everyday</w:t>
      </w:r>
      <w:r>
        <w:t> </w:t>
      </w:r>
      <w:r w:rsidRPr="00FC6DAB">
        <w:t xml:space="preserve">social situations and some work situations in English’ </w:t>
      </w:r>
      <w:r w:rsidRPr="001134E9">
        <w:rPr>
          <w:bCs/>
        </w:rPr>
        <w:t>(</w:t>
      </w:r>
      <w:r>
        <w:rPr>
          <w:bCs/>
        </w:rPr>
        <w:t>Department of Immigration and Citizenship</w:t>
      </w:r>
      <w:r w:rsidRPr="001134E9">
        <w:rPr>
          <w:bCs/>
        </w:rPr>
        <w:t xml:space="preserve"> 2008b, p.5)</w:t>
      </w:r>
      <w:r>
        <w:rPr>
          <w:bCs/>
        </w:rPr>
        <w:t>.</w:t>
      </w:r>
    </w:p>
  </w:footnote>
  <w:footnote w:id="6">
    <w:p w:rsidR="00501F2B" w:rsidRPr="00A9038A" w:rsidRDefault="00501F2B" w:rsidP="00A9038A">
      <w:pPr>
        <w:pStyle w:val="FootnoteText"/>
      </w:pPr>
      <w:r w:rsidRPr="00A9038A">
        <w:rPr>
          <w:rStyle w:val="FootnoteReference"/>
        </w:rPr>
        <w:footnoteRef/>
      </w:r>
      <w:r>
        <w:tab/>
      </w:r>
      <w:proofErr w:type="gramStart"/>
      <w:r w:rsidRPr="00A9038A">
        <w:t>English Language Intensive Courses for Overseas Students.</w:t>
      </w:r>
      <w:proofErr w:type="gramEnd"/>
    </w:p>
  </w:footnote>
  <w:footnote w:id="7">
    <w:p w:rsidR="00501F2B" w:rsidRDefault="00501F2B" w:rsidP="00A9038A">
      <w:pPr>
        <w:pStyle w:val="FootnoteText"/>
      </w:pPr>
      <w:r w:rsidRPr="00A9038A">
        <w:rPr>
          <w:rStyle w:val="FootnoteReference"/>
        </w:rPr>
        <w:footnoteRef/>
      </w:r>
      <w:r>
        <w:tab/>
      </w:r>
      <w:r w:rsidRPr="00A9038A">
        <w:t>AMEP clients were</w:t>
      </w:r>
      <w:r w:rsidRPr="003866D8">
        <w:t xml:space="preserve"> not recruited to participate in this research</w:t>
      </w:r>
      <w:r>
        <w:t>.</w:t>
      </w:r>
    </w:p>
  </w:footnote>
  <w:footnote w:id="8">
    <w:p w:rsidR="00501F2B" w:rsidRPr="001C1318" w:rsidRDefault="00501F2B" w:rsidP="0065293E">
      <w:pPr>
        <w:pStyle w:val="FootnoteText"/>
      </w:pPr>
      <w:r w:rsidRPr="003866D8">
        <w:rPr>
          <w:rStyle w:val="FootnoteReference"/>
          <w:szCs w:val="18"/>
        </w:rPr>
        <w:footnoteRef/>
      </w:r>
      <w:r>
        <w:tab/>
      </w:r>
      <w:r w:rsidRPr="003866D8">
        <w:t xml:space="preserve">Two of the </w:t>
      </w:r>
      <w:r>
        <w:t>16</w:t>
      </w:r>
      <w:r w:rsidRPr="003866D8">
        <w:t xml:space="preserve"> migrants</w:t>
      </w:r>
      <w:r w:rsidRPr="00283530">
        <w:t xml:space="preserve"> (two young Chinese females) </w:t>
      </w:r>
      <w:r w:rsidRPr="001C1318">
        <w:t>were not able to be contacted after their first interviews.</w:t>
      </w:r>
    </w:p>
  </w:footnote>
  <w:footnote w:id="9">
    <w:p w:rsidR="00501F2B" w:rsidRDefault="00501F2B" w:rsidP="00E66F03">
      <w:pPr>
        <w:pStyle w:val="FootnoteText"/>
      </w:pPr>
      <w:r>
        <w:rPr>
          <w:rStyle w:val="FootnoteReference"/>
        </w:rPr>
        <w:footnoteRef/>
      </w:r>
      <w:r>
        <w:tab/>
        <w:t>All quotes from migrant students are as given.</w:t>
      </w:r>
    </w:p>
  </w:footnote>
  <w:footnote w:id="10">
    <w:p w:rsidR="00501F2B" w:rsidRPr="00242465" w:rsidRDefault="00501F2B" w:rsidP="00FA1427">
      <w:pPr>
        <w:pStyle w:val="FootnoteText"/>
      </w:pPr>
      <w:r w:rsidRPr="00242465">
        <w:rPr>
          <w:rStyle w:val="FootnoteReference"/>
          <w:sz w:val="18"/>
          <w:szCs w:val="18"/>
        </w:rPr>
        <w:footnoteRef/>
      </w:r>
      <w:r>
        <w:tab/>
      </w:r>
      <w:r w:rsidRPr="00242465">
        <w:t xml:space="preserve">Yoko did not enrol in </w:t>
      </w:r>
      <w:proofErr w:type="gramStart"/>
      <w:r w:rsidRPr="00242465">
        <w:t xml:space="preserve">another </w:t>
      </w:r>
      <w:r>
        <w:t>English</w:t>
      </w:r>
      <w:proofErr w:type="gramEnd"/>
      <w:r>
        <w:t xml:space="preserve"> as a second language</w:t>
      </w:r>
      <w:r w:rsidRPr="00242465">
        <w:t xml:space="preserve"> program after this course.</w:t>
      </w:r>
    </w:p>
  </w:footnote>
  <w:footnote w:id="11">
    <w:p w:rsidR="00501F2B" w:rsidRPr="001134E9" w:rsidRDefault="00501F2B" w:rsidP="00FA1427">
      <w:pPr>
        <w:pStyle w:val="FootnoteText"/>
      </w:pPr>
      <w:r w:rsidRPr="001134E9">
        <w:rPr>
          <w:rStyle w:val="FootnoteReference"/>
          <w:szCs w:val="18"/>
        </w:rPr>
        <w:footnoteRef/>
      </w:r>
      <w:r>
        <w:tab/>
      </w:r>
      <w:r w:rsidRPr="0003311A">
        <w:t xml:space="preserve">Simultaneously undertaking </w:t>
      </w:r>
      <w:proofErr w:type="gramStart"/>
      <w:r w:rsidRPr="0003311A">
        <w:t xml:space="preserve">an </w:t>
      </w:r>
      <w:r>
        <w:t>English</w:t>
      </w:r>
      <w:proofErr w:type="gramEnd"/>
      <w:r>
        <w:t xml:space="preserve"> as a second language</w:t>
      </w:r>
      <w:r w:rsidRPr="0003311A">
        <w:t xml:space="preserve"> course and a main</w:t>
      </w:r>
      <w:r>
        <w:t>stream program was possi</w:t>
      </w:r>
      <w:r w:rsidRPr="00E145AF">
        <w:t>ble</w:t>
      </w:r>
      <w:r w:rsidRPr="0003311A">
        <w:t xml:space="preserve"> at Jarrah Institute.</w:t>
      </w:r>
    </w:p>
  </w:footnote>
  <w:footnote w:id="12">
    <w:p w:rsidR="00501F2B" w:rsidRPr="001134E9" w:rsidRDefault="00501F2B" w:rsidP="00810675">
      <w:pPr>
        <w:pStyle w:val="FootnoteText"/>
        <w:rPr>
          <w:lang w:val="en-US"/>
        </w:rPr>
      </w:pPr>
      <w:r w:rsidRPr="001134E9">
        <w:rPr>
          <w:rStyle w:val="FootnoteReference"/>
          <w:szCs w:val="18"/>
        </w:rPr>
        <w:footnoteRef/>
      </w:r>
      <w:r>
        <w:tab/>
        <w:t>For most</w:t>
      </w:r>
      <w:r w:rsidRPr="001134E9">
        <w:t xml:space="preserve"> </w:t>
      </w:r>
      <w:r>
        <w:t>institute</w:t>
      </w:r>
      <w:r w:rsidRPr="001134E9">
        <w:t xml:space="preserve"> mainstr</w:t>
      </w:r>
      <w:r>
        <w:t>eam courses, migrants from non-English speaking backgrounds</w:t>
      </w:r>
      <w:r w:rsidRPr="001134E9">
        <w:t xml:space="preserve"> need an </w:t>
      </w:r>
      <w:r>
        <w:t>English as a second language</w:t>
      </w:r>
      <w:r w:rsidRPr="001134E9">
        <w:t xml:space="preserve"> entry score </w:t>
      </w:r>
      <w:r w:rsidRPr="00D455C8">
        <w:t>of 2+ (</w:t>
      </w:r>
      <w:r w:rsidRPr="00D455C8">
        <w:rPr>
          <w:i/>
        </w:rPr>
        <w:t>‘</w:t>
      </w:r>
      <w:r w:rsidRPr="005542A8">
        <w:t>Social Proficiency’)</w:t>
      </w:r>
      <w:r w:rsidRPr="00D455C8">
        <w:t xml:space="preserve"> </w:t>
      </w:r>
      <w:r w:rsidRPr="001134E9">
        <w:t xml:space="preserve">on the International Second Language Proficiency Ratings </w:t>
      </w:r>
      <w:r w:rsidRPr="00D455C8">
        <w:t>(ISLPR</w:t>
      </w:r>
      <w:r>
        <w:t>),</w:t>
      </w:r>
      <w:r w:rsidRPr="001134E9">
        <w:t xml:space="preserve"> which can be achieved by undertaking</w:t>
      </w:r>
      <w:r>
        <w:t xml:space="preserve"> language centre </w:t>
      </w:r>
      <w:r w:rsidRPr="001134E9">
        <w:t>courses.</w:t>
      </w:r>
    </w:p>
  </w:footnote>
  <w:footnote w:id="13">
    <w:p w:rsidR="00501F2B" w:rsidRPr="009273D4" w:rsidRDefault="00501F2B" w:rsidP="003A588A">
      <w:pPr>
        <w:pStyle w:val="FootnoteText"/>
      </w:pPr>
      <w:r w:rsidRPr="001134E9">
        <w:rPr>
          <w:rStyle w:val="FootnoteReference"/>
          <w:rFonts w:cs="Arial"/>
          <w:szCs w:val="18"/>
        </w:rPr>
        <w:footnoteRef/>
      </w:r>
      <w:r>
        <w:tab/>
        <w:t>The Commonwealth</w:t>
      </w:r>
      <w:r w:rsidRPr="001134E9">
        <w:t>-funded A</w:t>
      </w:r>
      <w:r>
        <w:t>dult Migrant English Program</w:t>
      </w:r>
      <w:r w:rsidRPr="001134E9">
        <w:t xml:space="preserve"> </w:t>
      </w:r>
      <w:r>
        <w:t xml:space="preserve">tender </w:t>
      </w:r>
      <w:r w:rsidRPr="001134E9">
        <w:t>contract</w:t>
      </w:r>
      <w:r>
        <w:t>s</w:t>
      </w:r>
      <w:r w:rsidRPr="001134E9">
        <w:t xml:space="preserve"> </w:t>
      </w:r>
      <w:r w:rsidRPr="000A6D0D">
        <w:t xml:space="preserve">which were announced in 2010, for example, placed greater, and more explicit, emphasis on </w:t>
      </w:r>
      <w:r>
        <w:t>English as a second language</w:t>
      </w:r>
      <w:r w:rsidRPr="000A6D0D">
        <w:t xml:space="preserve"> programs articulating migrants into work as</w:t>
      </w:r>
      <w:r>
        <w:t xml:space="preserve"> quickly as possible.</w:t>
      </w:r>
    </w:p>
  </w:footnote>
  <w:footnote w:id="14">
    <w:p w:rsidR="00501F2B" w:rsidRPr="001134E9" w:rsidRDefault="00501F2B" w:rsidP="003A588A">
      <w:pPr>
        <w:pStyle w:val="FootnoteText"/>
      </w:pPr>
      <w:r w:rsidRPr="001134E9">
        <w:rPr>
          <w:rStyle w:val="FootnoteReference"/>
          <w:szCs w:val="18"/>
        </w:rPr>
        <w:footnoteRef/>
      </w:r>
      <w:r>
        <w:tab/>
      </w:r>
      <w:r w:rsidRPr="001134E9">
        <w:t>The A</w:t>
      </w:r>
      <w:r>
        <w:t>dult Migrant English Program</w:t>
      </w:r>
      <w:r w:rsidRPr="00127CA0">
        <w:t xml:space="preserve"> ‘helps (migrants) … to achieve </w:t>
      </w:r>
      <w:r w:rsidRPr="00BD5270">
        <w:rPr>
          <w:i/>
        </w:rPr>
        <w:t>realistic</w:t>
      </w:r>
      <w:r w:rsidRPr="00127CA0">
        <w:t xml:space="preserve"> goals such as employment, further study and social participation’ (</w:t>
      </w:r>
      <w:r>
        <w:t>Department of Immigration and Citizenship 2008a, p.7, my emphasis)</w:t>
      </w:r>
      <w:r w:rsidRPr="00127CA0">
        <w:t>.</w:t>
      </w:r>
    </w:p>
  </w:footnote>
  <w:footnote w:id="15">
    <w:p w:rsidR="00501F2B" w:rsidRPr="001134E9" w:rsidRDefault="00501F2B" w:rsidP="003A588A">
      <w:pPr>
        <w:pStyle w:val="FootnoteText"/>
        <w:rPr>
          <w:lang w:val="en-US"/>
        </w:rPr>
      </w:pPr>
      <w:r w:rsidRPr="001134E9">
        <w:rPr>
          <w:rStyle w:val="FootnoteReference"/>
          <w:szCs w:val="18"/>
        </w:rPr>
        <w:footnoteRef/>
      </w:r>
      <w:r>
        <w:tab/>
      </w:r>
      <w:r w:rsidRPr="001134E9">
        <w:t>This question allowed for multiple answers.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10EF"/>
    <w:multiLevelType w:val="hybridMultilevel"/>
    <w:tmpl w:val="04C080C2"/>
    <w:lvl w:ilvl="0" w:tplc="24BA3DD4">
      <w:start w:val="1"/>
      <w:numFmt w:val="decimal"/>
      <w:pStyle w:val="NumberedListContinuing"/>
      <w:lvlText w:val="%1"/>
      <w:lvlJc w:val="left"/>
      <w:pPr>
        <w:tabs>
          <w:tab w:val="num" w:pos="284"/>
        </w:tabs>
        <w:ind w:left="0" w:firstLine="0"/>
      </w:pPr>
      <w:rPr>
        <w:rFonts w:hint="default"/>
      </w:rPr>
    </w:lvl>
    <w:lvl w:ilvl="1" w:tplc="0994B9E0">
      <w:start w:val="1"/>
      <w:numFmt w:val="lowerLetter"/>
      <w:pStyle w:val="NumberedAlphaLevel2"/>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399F3E63"/>
    <w:multiLevelType w:val="multilevel"/>
    <w:tmpl w:val="50CE470E"/>
    <w:styleLink w:val="LFO7"/>
    <w:lvl w:ilvl="0">
      <w:numFmt w:val="bullet"/>
      <w:lvlText w:val=""/>
      <w:lvlJc w:val="left"/>
      <w:pPr>
        <w:ind w:left="36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stylePaneFormatFilter w:val="9F01"/>
  <w:stylePaneSortMethod w:val="0000"/>
  <w:defaultTabStop w:val="720"/>
  <w:doNotHyphenateCaps/>
  <w:clickAndTypeStyle w:val="Text"/>
  <w:evenAndOddHeaders/>
  <w:drawingGridHorizontalSpacing w:val="95"/>
  <w:displayHorizontalDrawingGridEvery w:val="0"/>
  <w:displayVerticalDrawingGridEvery w:val="2"/>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610CD3"/>
    <w:rsid w:val="000108B2"/>
    <w:rsid w:val="00013265"/>
    <w:rsid w:val="00022290"/>
    <w:rsid w:val="000315D7"/>
    <w:rsid w:val="00053090"/>
    <w:rsid w:val="0005562E"/>
    <w:rsid w:val="0006125F"/>
    <w:rsid w:val="00074BD4"/>
    <w:rsid w:val="000A0745"/>
    <w:rsid w:val="000D2331"/>
    <w:rsid w:val="000D323C"/>
    <w:rsid w:val="000F641C"/>
    <w:rsid w:val="0010761A"/>
    <w:rsid w:val="0011427F"/>
    <w:rsid w:val="00123B5C"/>
    <w:rsid w:val="00135C75"/>
    <w:rsid w:val="00150874"/>
    <w:rsid w:val="001509F3"/>
    <w:rsid w:val="00155839"/>
    <w:rsid w:val="00172269"/>
    <w:rsid w:val="00177827"/>
    <w:rsid w:val="00184504"/>
    <w:rsid w:val="001956F7"/>
    <w:rsid w:val="001B43CF"/>
    <w:rsid w:val="001C0490"/>
    <w:rsid w:val="001F7D84"/>
    <w:rsid w:val="002277A9"/>
    <w:rsid w:val="00233BFA"/>
    <w:rsid w:val="00284FCB"/>
    <w:rsid w:val="002E196B"/>
    <w:rsid w:val="00334CE3"/>
    <w:rsid w:val="00335A0F"/>
    <w:rsid w:val="00337709"/>
    <w:rsid w:val="00340B4D"/>
    <w:rsid w:val="00342A9F"/>
    <w:rsid w:val="00355A24"/>
    <w:rsid w:val="00383BD5"/>
    <w:rsid w:val="00397C94"/>
    <w:rsid w:val="003A588A"/>
    <w:rsid w:val="003B16DA"/>
    <w:rsid w:val="003B356C"/>
    <w:rsid w:val="003B483E"/>
    <w:rsid w:val="003D36D4"/>
    <w:rsid w:val="003E67CB"/>
    <w:rsid w:val="003F55AB"/>
    <w:rsid w:val="00417517"/>
    <w:rsid w:val="00430FD7"/>
    <w:rsid w:val="00431004"/>
    <w:rsid w:val="00462076"/>
    <w:rsid w:val="0048643A"/>
    <w:rsid w:val="0049453B"/>
    <w:rsid w:val="00494E7C"/>
    <w:rsid w:val="004C4063"/>
    <w:rsid w:val="004D4802"/>
    <w:rsid w:val="004E6E83"/>
    <w:rsid w:val="004E7227"/>
    <w:rsid w:val="004F0FC9"/>
    <w:rsid w:val="00501F2B"/>
    <w:rsid w:val="00506EC7"/>
    <w:rsid w:val="00520315"/>
    <w:rsid w:val="0052276C"/>
    <w:rsid w:val="00535F01"/>
    <w:rsid w:val="00570758"/>
    <w:rsid w:val="00575E35"/>
    <w:rsid w:val="005B181A"/>
    <w:rsid w:val="005C277E"/>
    <w:rsid w:val="005C61F8"/>
    <w:rsid w:val="005E4764"/>
    <w:rsid w:val="00610CD3"/>
    <w:rsid w:val="00634404"/>
    <w:rsid w:val="0065293E"/>
    <w:rsid w:val="00652973"/>
    <w:rsid w:val="00656679"/>
    <w:rsid w:val="0067712D"/>
    <w:rsid w:val="00682A97"/>
    <w:rsid w:val="00696A48"/>
    <w:rsid w:val="006A0C5C"/>
    <w:rsid w:val="006C011B"/>
    <w:rsid w:val="006C48E9"/>
    <w:rsid w:val="006C5DA9"/>
    <w:rsid w:val="007037A4"/>
    <w:rsid w:val="00731EC8"/>
    <w:rsid w:val="00783F44"/>
    <w:rsid w:val="00787494"/>
    <w:rsid w:val="007A2079"/>
    <w:rsid w:val="007A33D0"/>
    <w:rsid w:val="007C3281"/>
    <w:rsid w:val="007C50A7"/>
    <w:rsid w:val="007E2B5E"/>
    <w:rsid w:val="007E2D8C"/>
    <w:rsid w:val="007F191E"/>
    <w:rsid w:val="00800A2B"/>
    <w:rsid w:val="00806C1C"/>
    <w:rsid w:val="00810675"/>
    <w:rsid w:val="00826757"/>
    <w:rsid w:val="00842044"/>
    <w:rsid w:val="00852661"/>
    <w:rsid w:val="00874DA5"/>
    <w:rsid w:val="008923B6"/>
    <w:rsid w:val="00894271"/>
    <w:rsid w:val="008C0A74"/>
    <w:rsid w:val="008F20BA"/>
    <w:rsid w:val="009058B5"/>
    <w:rsid w:val="00923FEF"/>
    <w:rsid w:val="00933317"/>
    <w:rsid w:val="009461ED"/>
    <w:rsid w:val="009538E6"/>
    <w:rsid w:val="009704E4"/>
    <w:rsid w:val="009775C7"/>
    <w:rsid w:val="009A20EF"/>
    <w:rsid w:val="009C22BE"/>
    <w:rsid w:val="009D251A"/>
    <w:rsid w:val="009E1173"/>
    <w:rsid w:val="009E231A"/>
    <w:rsid w:val="009E2F64"/>
    <w:rsid w:val="009E437D"/>
    <w:rsid w:val="00A10A6B"/>
    <w:rsid w:val="00A10E2B"/>
    <w:rsid w:val="00A30084"/>
    <w:rsid w:val="00A50895"/>
    <w:rsid w:val="00A73318"/>
    <w:rsid w:val="00A9038A"/>
    <w:rsid w:val="00A93867"/>
    <w:rsid w:val="00AA44D4"/>
    <w:rsid w:val="00AB7C9D"/>
    <w:rsid w:val="00AC688A"/>
    <w:rsid w:val="00AF1005"/>
    <w:rsid w:val="00B05F5C"/>
    <w:rsid w:val="00B41272"/>
    <w:rsid w:val="00B426FE"/>
    <w:rsid w:val="00B66DF4"/>
    <w:rsid w:val="00B77043"/>
    <w:rsid w:val="00B86D06"/>
    <w:rsid w:val="00BB113D"/>
    <w:rsid w:val="00BC770A"/>
    <w:rsid w:val="00BC7C47"/>
    <w:rsid w:val="00BD032A"/>
    <w:rsid w:val="00BF690E"/>
    <w:rsid w:val="00C053D5"/>
    <w:rsid w:val="00C37003"/>
    <w:rsid w:val="00C54125"/>
    <w:rsid w:val="00C5547E"/>
    <w:rsid w:val="00C63294"/>
    <w:rsid w:val="00C77DC6"/>
    <w:rsid w:val="00C801DA"/>
    <w:rsid w:val="00C926F0"/>
    <w:rsid w:val="00C9656D"/>
    <w:rsid w:val="00CA4AFC"/>
    <w:rsid w:val="00CD5F32"/>
    <w:rsid w:val="00CE254D"/>
    <w:rsid w:val="00D14A01"/>
    <w:rsid w:val="00D43B5F"/>
    <w:rsid w:val="00D806B0"/>
    <w:rsid w:val="00DB599C"/>
    <w:rsid w:val="00DC5F5C"/>
    <w:rsid w:val="00DD5C97"/>
    <w:rsid w:val="00DE2C71"/>
    <w:rsid w:val="00E0311A"/>
    <w:rsid w:val="00E06B95"/>
    <w:rsid w:val="00E123CB"/>
    <w:rsid w:val="00E14FA9"/>
    <w:rsid w:val="00E236D0"/>
    <w:rsid w:val="00E365F8"/>
    <w:rsid w:val="00E45A10"/>
    <w:rsid w:val="00E52313"/>
    <w:rsid w:val="00E56CF2"/>
    <w:rsid w:val="00E56EC1"/>
    <w:rsid w:val="00E57478"/>
    <w:rsid w:val="00E66225"/>
    <w:rsid w:val="00E66F03"/>
    <w:rsid w:val="00E671C8"/>
    <w:rsid w:val="00E81A91"/>
    <w:rsid w:val="00E84787"/>
    <w:rsid w:val="00E95812"/>
    <w:rsid w:val="00E95948"/>
    <w:rsid w:val="00EC52C3"/>
    <w:rsid w:val="00EC7AE7"/>
    <w:rsid w:val="00ED24F6"/>
    <w:rsid w:val="00ED4D6D"/>
    <w:rsid w:val="00EE42D9"/>
    <w:rsid w:val="00EE67B3"/>
    <w:rsid w:val="00F60BA5"/>
    <w:rsid w:val="00F727E2"/>
    <w:rsid w:val="00F93048"/>
    <w:rsid w:val="00FA1427"/>
    <w:rsid w:val="00FA79F7"/>
    <w:rsid w:val="00FE3F74"/>
    <w:rsid w:val="00FE4A2D"/>
    <w:rsid w:val="00FF5931"/>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0" w:qFormat="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footnote text" w:uiPriority="0" w:unhideWhenUsed="1"/>
    <w:lsdException w:name="annotation text" w:uiPriority="0"/>
    <w:lsdException w:name="header" w:unhideWhenUsed="1"/>
    <w:lsdException w:name="footer" w:uiPriority="0" w:unhideWhenUsed="1"/>
    <w:lsdException w:name="caption" w:uiPriority="35" w:qFormat="1"/>
    <w:lsdException w:name="table of figures" w:unhideWhenUsed="1"/>
    <w:lsdException w:name="footnote reference" w:uiPriority="0"/>
    <w:lsdException w:name="annotation reference" w:uiPriority="0"/>
    <w:lsdException w:name="page number" w:uiPriority="0" w:unhideWhenUsed="1"/>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Block Text" w:uiPriority="0"/>
    <w:lsdException w:name="Hyperlink" w:uiPriority="0" w:unhideWhenUsed="1"/>
    <w:lsdException w:name="Strong" w:uiPriority="0" w:qFormat="1"/>
    <w:lsdException w:name="Emphasis" w:uiPriority="20" w:qFormat="1"/>
    <w:lsdException w:name="HTML Top of Form" w:unhideWhenUsed="1"/>
    <w:lsdException w:name="HTML Bottom of Form" w:unhideWhenUsed="1"/>
    <w:lsdException w:name="Normal (Web)" w:uiPriority="1" w:unhideWhenUsed="1"/>
    <w:lsdException w:name="HTML Cite" w:uiPriority="0"/>
    <w:lsdException w:name="Normal Table"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E56CF2"/>
    <w:pPr>
      <w:spacing w:before="160" w:line="260" w:lineRule="exact"/>
    </w:pPr>
    <w:rPr>
      <w:rFonts w:ascii="Trebuchet MS" w:hAnsi="Trebuchet MS"/>
      <w:sz w:val="19"/>
      <w:lang w:val="en-AU"/>
    </w:rPr>
  </w:style>
  <w:style w:type="paragraph" w:styleId="Heading1">
    <w:name w:val="heading 1"/>
    <w:next w:val="Text"/>
    <w:qFormat/>
    <w:rsid w:val="009775C7"/>
    <w:pPr>
      <w:keepNext/>
      <w:spacing w:after="360"/>
      <w:outlineLvl w:val="0"/>
    </w:pPr>
    <w:rPr>
      <w:rFonts w:ascii="Tahoma" w:hAnsi="Tahoma" w:cs="Tahoma"/>
      <w:color w:val="000000"/>
      <w:kern w:val="28"/>
      <w:sz w:val="56"/>
      <w:szCs w:val="56"/>
      <w:lang w:val="en-AU"/>
    </w:rPr>
  </w:style>
  <w:style w:type="paragraph" w:styleId="Heading2">
    <w:name w:val="heading 2"/>
    <w:next w:val="Text"/>
    <w:qFormat/>
    <w:rsid w:val="009775C7"/>
    <w:pPr>
      <w:keepNext/>
      <w:spacing w:before="360"/>
      <w:ind w:right="-369"/>
      <w:outlineLvl w:val="1"/>
    </w:pPr>
    <w:rPr>
      <w:rFonts w:ascii="Tahoma" w:hAnsi="Tahoma" w:cs="Tahoma"/>
      <w:sz w:val="28"/>
      <w:lang w:val="en-AU"/>
    </w:rPr>
  </w:style>
  <w:style w:type="paragraph" w:styleId="Heading3">
    <w:name w:val="heading 3"/>
    <w:next w:val="Text"/>
    <w:link w:val="Heading3Char"/>
    <w:qFormat/>
    <w:rsid w:val="00800A2B"/>
    <w:pPr>
      <w:spacing w:before="280" w:line="320" w:lineRule="exact"/>
      <w:outlineLvl w:val="2"/>
    </w:pPr>
    <w:rPr>
      <w:rFonts w:ascii="Tahoma" w:hAnsi="Tahoma" w:cs="Tahoma"/>
      <w:color w:val="000000"/>
      <w:sz w:val="24"/>
      <w:lang w:val="en-AU"/>
    </w:rPr>
  </w:style>
  <w:style w:type="paragraph" w:styleId="Heading4">
    <w:name w:val="heading 4"/>
    <w:next w:val="Text"/>
    <w:qFormat/>
    <w:rsid w:val="007037A4"/>
    <w:pPr>
      <w:spacing w:before="240"/>
      <w:outlineLvl w:val="3"/>
    </w:pPr>
    <w:rPr>
      <w:rFonts w:ascii="Tahoma" w:hAnsi="Tahoma"/>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paragraph" w:styleId="Heading9">
    <w:name w:val="heading 9"/>
    <w:basedOn w:val="Normal"/>
    <w:next w:val="Normal"/>
    <w:link w:val="Heading9Char"/>
    <w:qFormat/>
    <w:rsid w:val="001956F7"/>
    <w:pPr>
      <w:keepNext/>
      <w:spacing w:before="0"/>
      <w:ind w:firstLine="2977"/>
      <w:outlineLvl w:val="8"/>
    </w:pPr>
    <w:rPr>
      <w:rFonts w:ascii="Garamond" w:hAnsi="Garamond"/>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rsid w:val="00AA44D4"/>
    <w:pPr>
      <w:tabs>
        <w:tab w:val="right" w:pos="8505"/>
      </w:tabs>
      <w:spacing w:before="0"/>
    </w:pPr>
    <w:rPr>
      <w:rFonts w:ascii="Tahoma" w:hAnsi="Tahoma"/>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link w:val="tabletitleChar"/>
    <w:rsid w:val="00150874"/>
    <w:pPr>
      <w:spacing w:before="360" w:after="80"/>
      <w:ind w:left="851" w:hanging="851"/>
    </w:pPr>
    <w:rPr>
      <w:rFonts w:ascii="Tahoma" w:hAnsi="Tahoma"/>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7E2B5E"/>
    <w:pPr>
      <w:tabs>
        <w:tab w:val="right" w:pos="8136"/>
      </w:tabs>
      <w:spacing w:before="80"/>
      <w:ind w:left="567" w:right="652"/>
    </w:pPr>
    <w:rPr>
      <w:sz w:val="17"/>
    </w:rPr>
  </w:style>
  <w:style w:type="paragraph" w:customStyle="1" w:styleId="References">
    <w:name w:val="References"/>
    <w:rsid w:val="00C5547E"/>
    <w:pPr>
      <w:spacing w:before="80"/>
      <w:ind w:left="284"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6C011B"/>
    <w:pPr>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48643A"/>
    <w:pPr>
      <w:numPr>
        <w:numId w:val="1"/>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2"/>
      </w:numPr>
      <w:tabs>
        <w:tab w:val="clear" w:pos="284"/>
        <w:tab w:val="left" w:pos="567"/>
      </w:tabs>
      <w:ind w:left="568" w:hanging="284"/>
    </w:pPr>
  </w:style>
  <w:style w:type="paragraph" w:customStyle="1" w:styleId="NumberedListContinuing">
    <w:name w:val="NumberedListContinuing"/>
    <w:rsid w:val="00520315"/>
    <w:pPr>
      <w:numPr>
        <w:numId w:val="3"/>
      </w:numPr>
      <w:spacing w:before="120" w:line="300" w:lineRule="exact"/>
    </w:pPr>
    <w:rPr>
      <w:rFonts w:ascii="Trebuchet MS" w:hAnsi="Trebuchet MS"/>
      <w:sz w:val="19"/>
      <w:lang w:val="en-AU" w:eastAsia="en-AU"/>
    </w:rPr>
  </w:style>
  <w:style w:type="paragraph" w:customStyle="1" w:styleId="Source">
    <w:name w:val="Source"/>
    <w:rsid w:val="00AC688A"/>
    <w:pPr>
      <w:spacing w:before="40"/>
      <w:ind w:left="567" w:hanging="567"/>
    </w:pPr>
    <w:rPr>
      <w:rFonts w:ascii="Arial" w:hAnsi="Arial"/>
      <w:sz w:val="15"/>
      <w:lang w:val="en-AU"/>
    </w:rPr>
  </w:style>
  <w:style w:type="paragraph" w:styleId="FootnoteText">
    <w:name w:val="footnote text"/>
    <w:basedOn w:val="Text"/>
    <w:rsid w:val="00A50895"/>
    <w:pPr>
      <w:tabs>
        <w:tab w:val="left" w:pos="1418"/>
      </w:tabs>
      <w:spacing w:before="0" w:line="220" w:lineRule="exact"/>
      <w:ind w:left="170" w:hanging="170"/>
    </w:pPr>
    <w:rPr>
      <w:sz w:val="16"/>
    </w:rPr>
  </w:style>
  <w:style w:type="paragraph" w:styleId="NormalWeb">
    <w:name w:val="Normal (Web)"/>
    <w:basedOn w:val="Normal"/>
    <w:uiPriority w:val="1"/>
    <w:rsid w:val="009058B5"/>
    <w:pPr>
      <w:spacing w:before="100" w:beforeAutospacing="1" w:after="240"/>
    </w:pPr>
    <w:rPr>
      <w:sz w:val="18"/>
      <w:szCs w:val="18"/>
    </w:rPr>
  </w:style>
  <w:style w:type="paragraph" w:customStyle="1" w:styleId="PublicationTitle">
    <w:name w:val="Publication Title"/>
    <w:qFormat/>
    <w:rsid w:val="0049453B"/>
    <w:pPr>
      <w:spacing w:before="3200" w:after="840"/>
      <w:ind w:left="1701"/>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037A4"/>
    <w:rPr>
      <w:rFonts w:ascii="Tahoma" w:hAnsi="Tahoma" w:cs="Tahoma"/>
      <w:sz w:val="16"/>
      <w:szCs w:val="16"/>
      <w:lang w:val="en-AU"/>
    </w:rPr>
  </w:style>
  <w:style w:type="table" w:styleId="TableGrid">
    <w:name w:val="Table Grid"/>
    <w:basedOn w:val="TableNormal"/>
    <w:uiPriority w:val="59"/>
    <w:rsid w:val="00150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rsid w:val="00800A2B"/>
    <w:rPr>
      <w:rFonts w:ascii="Tahoma" w:hAnsi="Tahoma" w:cs="Tahoma"/>
      <w:color w:val="000000"/>
      <w:sz w:val="24"/>
      <w:lang w:val="en-AU"/>
    </w:rPr>
  </w:style>
  <w:style w:type="character" w:styleId="Hyperlink">
    <w:name w:val="Hyperlink"/>
    <w:basedOn w:val="DefaultParagraphFont"/>
    <w:unhideWhenUsed/>
    <w:rsid w:val="007037A4"/>
    <w:rPr>
      <w:rFonts w:ascii="Trebuchet MS" w:hAnsi="Trebuchet MS"/>
      <w:color w:val="auto"/>
      <w:sz w:val="19"/>
      <w:u w:val="none"/>
    </w:rPr>
  </w:style>
  <w:style w:type="paragraph" w:styleId="ListParagraph">
    <w:name w:val="List Paragraph"/>
    <w:basedOn w:val="Normal"/>
    <w:uiPriority w:val="34"/>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9453B"/>
    <w:pPr>
      <w:ind w:left="1701" w:right="-1"/>
    </w:pPr>
    <w:rPr>
      <w:rFonts w:ascii="Tahoma" w:hAnsi="Tahoma" w:cs="Tahoma"/>
      <w:sz w:val="28"/>
      <w:lang w:val="en-AU"/>
    </w:rPr>
  </w:style>
  <w:style w:type="paragraph" w:customStyle="1" w:styleId="Contents">
    <w:name w:val="Contents"/>
    <w:qFormat/>
    <w:rsid w:val="00F93048"/>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177827"/>
    <w:pPr>
      <w:spacing w:before="120"/>
      <w:ind w:right="0"/>
    </w:pPr>
    <w:rPr>
      <w:sz w:val="24"/>
    </w:rPr>
  </w:style>
  <w:style w:type="character" w:styleId="FollowedHyperlink">
    <w:name w:val="FollowedHyperlink"/>
    <w:basedOn w:val="DefaultParagraphFont"/>
    <w:uiPriority w:val="99"/>
    <w:rsid w:val="00E95812"/>
    <w:rPr>
      <w:color w:val="800080" w:themeColor="followedHyperlink"/>
      <w:u w:val="single"/>
    </w:rPr>
  </w:style>
  <w:style w:type="paragraph" w:customStyle="1" w:styleId="NumberedAlphaLevel2">
    <w:name w:val="NumberedAlphaLevel2"/>
    <w:basedOn w:val="NumberedListContinuing"/>
    <w:uiPriority w:val="1"/>
    <w:qFormat/>
    <w:rsid w:val="00ED24F6"/>
    <w:pPr>
      <w:numPr>
        <w:ilvl w:val="1"/>
      </w:numPr>
      <w:tabs>
        <w:tab w:val="clear" w:pos="1440"/>
        <w:tab w:val="num" w:pos="567"/>
      </w:tabs>
      <w:ind w:left="567" w:hanging="283"/>
    </w:pPr>
  </w:style>
  <w:style w:type="character" w:customStyle="1" w:styleId="Heading9Char">
    <w:name w:val="Heading 9 Char"/>
    <w:basedOn w:val="DefaultParagraphFont"/>
    <w:link w:val="Heading9"/>
    <w:rsid w:val="001956F7"/>
    <w:rPr>
      <w:rFonts w:ascii="Garamond" w:hAnsi="Garamond"/>
      <w:sz w:val="36"/>
      <w:lang w:val="en-AU"/>
    </w:rPr>
  </w:style>
  <w:style w:type="paragraph" w:styleId="TOC5">
    <w:name w:val="toc 5"/>
    <w:basedOn w:val="Normal"/>
    <w:next w:val="Normal"/>
    <w:autoRedefine/>
    <w:semiHidden/>
    <w:rsid w:val="001956F7"/>
    <w:pPr>
      <w:ind w:left="880"/>
    </w:pPr>
  </w:style>
  <w:style w:type="paragraph" w:styleId="TOC6">
    <w:name w:val="toc 6"/>
    <w:basedOn w:val="Normal"/>
    <w:next w:val="Normal"/>
    <w:autoRedefine/>
    <w:semiHidden/>
    <w:rsid w:val="001956F7"/>
    <w:pPr>
      <w:ind w:left="1100"/>
    </w:pPr>
  </w:style>
  <w:style w:type="paragraph" w:styleId="TOC7">
    <w:name w:val="toc 7"/>
    <w:basedOn w:val="Normal"/>
    <w:next w:val="Normal"/>
    <w:autoRedefine/>
    <w:semiHidden/>
    <w:rsid w:val="001956F7"/>
    <w:pPr>
      <w:ind w:left="1320"/>
    </w:pPr>
  </w:style>
  <w:style w:type="paragraph" w:styleId="TOC8">
    <w:name w:val="toc 8"/>
    <w:basedOn w:val="Normal"/>
    <w:next w:val="Normal"/>
    <w:autoRedefine/>
    <w:semiHidden/>
    <w:rsid w:val="001956F7"/>
    <w:pPr>
      <w:ind w:left="1540"/>
    </w:pPr>
  </w:style>
  <w:style w:type="paragraph" w:styleId="TOC9">
    <w:name w:val="toc 9"/>
    <w:basedOn w:val="Normal"/>
    <w:next w:val="Normal"/>
    <w:autoRedefine/>
    <w:semiHidden/>
    <w:rsid w:val="001956F7"/>
    <w:pPr>
      <w:ind w:left="1760"/>
    </w:pPr>
  </w:style>
  <w:style w:type="paragraph" w:customStyle="1" w:styleId="contents0">
    <w:name w:val="contents"/>
    <w:rsid w:val="001956F7"/>
    <w:pPr>
      <w:pBdr>
        <w:bottom w:val="single" w:sz="4" w:space="1" w:color="auto"/>
      </w:pBdr>
      <w:jc w:val="right"/>
    </w:pPr>
    <w:rPr>
      <w:rFonts w:ascii="Garamond" w:hAnsi="Garamond"/>
      <w:kern w:val="28"/>
      <w:sz w:val="60"/>
      <w:lang w:val="en-AU" w:eastAsia="en-AU"/>
    </w:rPr>
  </w:style>
  <w:style w:type="paragraph" w:customStyle="1" w:styleId="Abstract">
    <w:name w:val="Abstract"/>
    <w:basedOn w:val="Text"/>
    <w:rsid w:val="001956F7"/>
    <w:pPr>
      <w:spacing w:before="120"/>
      <w:ind w:firstLine="2977"/>
    </w:pPr>
    <w:rPr>
      <w:smallCaps/>
      <w:sz w:val="20"/>
    </w:rPr>
  </w:style>
  <w:style w:type="paragraph" w:customStyle="1" w:styleId="Aboutresearch">
    <w:name w:val="About research"/>
    <w:basedOn w:val="contents0"/>
    <w:rsid w:val="001956F7"/>
  </w:style>
  <w:style w:type="paragraph" w:customStyle="1" w:styleId="text0">
    <w:name w:val="text"/>
    <w:rsid w:val="001956F7"/>
    <w:pPr>
      <w:spacing w:before="160" w:line="260" w:lineRule="exact"/>
    </w:pPr>
    <w:rPr>
      <w:rFonts w:ascii="Garamond" w:hAnsi="Garamond"/>
      <w:sz w:val="22"/>
    </w:rPr>
  </w:style>
  <w:style w:type="paragraph" w:customStyle="1" w:styleId="l1text">
    <w:name w:val="l1text"/>
    <w:basedOn w:val="Normal"/>
    <w:rsid w:val="001956F7"/>
  </w:style>
  <w:style w:type="paragraph" w:customStyle="1" w:styleId="l2text">
    <w:name w:val="l2text"/>
    <w:basedOn w:val="Normal"/>
    <w:rsid w:val="001956F7"/>
    <w:pPr>
      <w:ind w:left="709"/>
    </w:pPr>
  </w:style>
  <w:style w:type="paragraph" w:styleId="BlockText">
    <w:name w:val="Block Text"/>
    <w:basedOn w:val="Normal"/>
    <w:rsid w:val="001956F7"/>
    <w:pPr>
      <w:shd w:val="clear" w:color="auto" w:fill="FFFFFF"/>
      <w:spacing w:before="0" w:line="360" w:lineRule="auto"/>
      <w:ind w:left="1701" w:right="992"/>
      <w:jc w:val="both"/>
    </w:pPr>
    <w:rPr>
      <w:rFonts w:ascii="Arial" w:hAnsi="Arial" w:cs="Arial"/>
      <w:i/>
      <w:iCs/>
      <w:shd w:val="clear" w:color="auto" w:fill="FFFFFF"/>
      <w:lang w:val="en-GB"/>
    </w:rPr>
  </w:style>
  <w:style w:type="character" w:styleId="FootnoteReference">
    <w:name w:val="footnote reference"/>
    <w:basedOn w:val="DefaultParagraphFont"/>
    <w:semiHidden/>
    <w:rsid w:val="001956F7"/>
    <w:rPr>
      <w:vertAlign w:val="superscript"/>
    </w:rPr>
  </w:style>
  <w:style w:type="paragraph" w:customStyle="1" w:styleId="Pa11">
    <w:name w:val="Pa11"/>
    <w:basedOn w:val="Normal"/>
    <w:next w:val="Normal"/>
    <w:rsid w:val="001956F7"/>
    <w:pPr>
      <w:autoSpaceDE w:val="0"/>
      <w:autoSpaceDN w:val="0"/>
      <w:adjustRightInd w:val="0"/>
      <w:spacing w:before="0" w:line="201" w:lineRule="atLeast"/>
    </w:pPr>
    <w:rPr>
      <w:rFonts w:ascii="HelveticaNeue LT 45 Light" w:hAnsi="HelveticaNeue LT 45 Light"/>
      <w:szCs w:val="24"/>
    </w:rPr>
  </w:style>
  <w:style w:type="numbering" w:customStyle="1" w:styleId="LFO7">
    <w:name w:val="LFO7"/>
    <w:basedOn w:val="NoList"/>
    <w:rsid w:val="001956F7"/>
    <w:pPr>
      <w:numPr>
        <w:numId w:val="4"/>
      </w:numPr>
    </w:pPr>
  </w:style>
  <w:style w:type="character" w:customStyle="1" w:styleId="A11">
    <w:name w:val="A1+1"/>
    <w:rsid w:val="001956F7"/>
    <w:rPr>
      <w:rFonts w:cs="HelveticaNeue LT 55 Roman"/>
      <w:color w:val="003566"/>
      <w:sz w:val="44"/>
      <w:szCs w:val="44"/>
    </w:rPr>
  </w:style>
  <w:style w:type="character" w:customStyle="1" w:styleId="breadcrumb-vol-label">
    <w:name w:val="breadcrumb-vol-label"/>
    <w:basedOn w:val="DefaultParagraphFont"/>
    <w:rsid w:val="001956F7"/>
  </w:style>
  <w:style w:type="character" w:customStyle="1" w:styleId="breadcrumb-iss-label">
    <w:name w:val="breadcrumb-iss-label"/>
    <w:basedOn w:val="DefaultParagraphFont"/>
    <w:rsid w:val="001956F7"/>
  </w:style>
  <w:style w:type="character" w:customStyle="1" w:styleId="slug-pages">
    <w:name w:val="slug-pages"/>
    <w:basedOn w:val="DefaultParagraphFont"/>
    <w:rsid w:val="001956F7"/>
  </w:style>
  <w:style w:type="character" w:styleId="HTMLCite">
    <w:name w:val="HTML Cite"/>
    <w:basedOn w:val="DefaultParagraphFont"/>
    <w:semiHidden/>
    <w:unhideWhenUsed/>
    <w:rsid w:val="001956F7"/>
    <w:rPr>
      <w:i/>
      <w:iCs/>
    </w:rPr>
  </w:style>
  <w:style w:type="character" w:customStyle="1" w:styleId="tabletitleChar">
    <w:name w:val="tabletitle Char"/>
    <w:basedOn w:val="DefaultParagraphFont"/>
    <w:link w:val="tabletitle"/>
    <w:rsid w:val="001956F7"/>
    <w:rPr>
      <w:rFonts w:ascii="Tahoma" w:hAnsi="Tahoma"/>
      <w:b/>
      <w:sz w:val="17"/>
      <w:lang w:val="en-AU"/>
    </w:rPr>
  </w:style>
  <w:style w:type="character" w:customStyle="1" w:styleId="texthigh">
    <w:name w:val="texthigh"/>
    <w:basedOn w:val="DefaultParagraphFont"/>
    <w:rsid w:val="001956F7"/>
  </w:style>
  <w:style w:type="character" w:styleId="Strong">
    <w:name w:val="Strong"/>
    <w:basedOn w:val="DefaultParagraphFont"/>
    <w:qFormat/>
    <w:rsid w:val="001956F7"/>
    <w:rPr>
      <w:b/>
      <w:bCs/>
    </w:rPr>
  </w:style>
  <w:style w:type="character" w:styleId="CommentReference">
    <w:name w:val="annotation reference"/>
    <w:basedOn w:val="DefaultParagraphFont"/>
    <w:rsid w:val="001956F7"/>
    <w:rPr>
      <w:sz w:val="16"/>
      <w:szCs w:val="16"/>
    </w:rPr>
  </w:style>
  <w:style w:type="paragraph" w:styleId="CommentText">
    <w:name w:val="annotation text"/>
    <w:basedOn w:val="Normal"/>
    <w:link w:val="CommentTextChar"/>
    <w:rsid w:val="001956F7"/>
    <w:rPr>
      <w:sz w:val="20"/>
    </w:rPr>
  </w:style>
  <w:style w:type="character" w:customStyle="1" w:styleId="CommentTextChar">
    <w:name w:val="Comment Text Char"/>
    <w:basedOn w:val="DefaultParagraphFont"/>
    <w:link w:val="CommentText"/>
    <w:rsid w:val="001956F7"/>
    <w:rPr>
      <w:rFonts w:ascii="Trebuchet MS" w:hAnsi="Trebuchet MS"/>
      <w:lang w:val="en-AU"/>
    </w:rPr>
  </w:style>
  <w:style w:type="paragraph" w:styleId="CommentSubject">
    <w:name w:val="annotation subject"/>
    <w:basedOn w:val="CommentText"/>
    <w:next w:val="CommentText"/>
    <w:link w:val="CommentSubjectChar"/>
    <w:rsid w:val="001956F7"/>
    <w:rPr>
      <w:b/>
      <w:bCs/>
    </w:rPr>
  </w:style>
  <w:style w:type="character" w:customStyle="1" w:styleId="CommentSubjectChar">
    <w:name w:val="Comment Subject Char"/>
    <w:basedOn w:val="CommentTextChar"/>
    <w:link w:val="CommentSubject"/>
    <w:rsid w:val="001956F7"/>
    <w:rPr>
      <w:b/>
      <w:bCs/>
    </w:rPr>
  </w:style>
  <w:style w:type="paragraph" w:customStyle="1" w:styleId="Textlessbefore">
    <w:name w:val="Text less # before"/>
    <w:basedOn w:val="Text"/>
    <w:uiPriority w:val="1"/>
    <w:qFormat/>
    <w:rsid w:val="00E56CF2"/>
    <w:pPr>
      <w:spacing w:before="80"/>
      <w:ind w:right="0"/>
    </w:pPr>
  </w:style>
  <w:style w:type="paragraph" w:styleId="EndnoteText">
    <w:name w:val="endnote text"/>
    <w:basedOn w:val="Normal"/>
    <w:link w:val="EndnoteTextChar"/>
    <w:uiPriority w:val="99"/>
    <w:semiHidden/>
    <w:rsid w:val="0065293E"/>
    <w:pPr>
      <w:spacing w:before="0" w:line="240" w:lineRule="auto"/>
    </w:pPr>
    <w:rPr>
      <w:sz w:val="20"/>
    </w:rPr>
  </w:style>
  <w:style w:type="character" w:customStyle="1" w:styleId="EndnoteTextChar">
    <w:name w:val="Endnote Text Char"/>
    <w:basedOn w:val="DefaultParagraphFont"/>
    <w:link w:val="EndnoteText"/>
    <w:uiPriority w:val="99"/>
    <w:semiHidden/>
    <w:rsid w:val="0065293E"/>
    <w:rPr>
      <w:rFonts w:ascii="Trebuchet MS" w:hAnsi="Trebuchet MS"/>
      <w:lang w:val="en-AU"/>
    </w:rPr>
  </w:style>
  <w:style w:type="character" w:styleId="EndnoteReference">
    <w:name w:val="endnote reference"/>
    <w:basedOn w:val="DefaultParagraphFont"/>
    <w:uiPriority w:val="99"/>
    <w:semiHidden/>
    <w:rsid w:val="0065293E"/>
    <w:rPr>
      <w:vertAlign w:val="superscript"/>
    </w:rPr>
  </w:style>
  <w:style w:type="paragraph" w:customStyle="1" w:styleId="Textmorebefore">
    <w:name w:val="Text more # before"/>
    <w:basedOn w:val="Text"/>
    <w:uiPriority w:val="1"/>
    <w:qFormat/>
    <w:rsid w:val="00810675"/>
    <w:pPr>
      <w:spacing w:before="360"/>
      <w:ind w:right="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immi.gov.au/media/%20publications/research/social-costs-benefits/" TargetMode="External"/><Relationship Id="rId18" Type="http://schemas.openxmlformats.org/officeDocument/2006/relationships/hyperlink" Target="http://www.immi.gov.au/living-in-australia/help-with-english/learn-english/client/pubs/AMEP_%20client_survey_report_2007.pdf" TargetMode="External"/><Relationship Id="rId26" Type="http://schemas.openxmlformats.org/officeDocument/2006/relationships/hyperlink" Target="http://andrewjakubowicz.com/publications/new-groups-and-social-cohesion-in-australia-ch8-nations-of-immigrants-2009/" TargetMode="External"/><Relationship Id="rId39" Type="http://schemas.openxmlformats.org/officeDocument/2006/relationships/hyperlink" Target="http://www.unesco.org/most/migration/glossary_integration.htm" TargetMode="External"/><Relationship Id="rId3" Type="http://schemas.openxmlformats.org/officeDocument/2006/relationships/styles" Target="styles.xml"/><Relationship Id="rId21" Type="http://schemas.openxmlformats.org/officeDocument/2006/relationships/hyperlink" Target="http://www.immi.gov.au/living-in-australia/settle-in-australia/settling/" TargetMode="External"/><Relationship Id="rId34" Type="http://schemas.openxmlformats.org/officeDocument/2006/relationships/hyperlink" Target="http://www.ncver.edu.au/%20publications/1501.html" TargetMode="External"/><Relationship Id="rId42" Type="http://schemas.openxmlformats.org/officeDocument/2006/relationships/hyperlink" Target="http://www.yourdictionary.com/dictionary-definitions/"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bc.net.au/lateline/content/2006/s1580681.htm" TargetMode="External"/><Relationship Id="rId17" Type="http://schemas.openxmlformats.org/officeDocument/2006/relationships/hyperlink" Target="http://www.immi.gov.au/living-in-australia/delivering-assistance/amep-review-paper.htm" TargetMode="External"/><Relationship Id="rId25" Type="http://schemas.openxmlformats.org/officeDocument/2006/relationships/hyperlink" Target="http://unesdoc.unesco.org/images/0015/001584/158473e.pdf" TargetMode="External"/><Relationship Id="rId33" Type="http://schemas.openxmlformats.org/officeDocument/2006/relationships/hyperlink" Target="http://jrs.oxfordjournals.org/content/23/4.toc" TargetMode="External"/><Relationship Id="rId38" Type="http://schemas.openxmlformats.org/officeDocument/2006/relationships/hyperlink" Target="http://eprints.qut.edu.au/32029/1/c32029.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mmi.gov.au/media/research/lsia/" TargetMode="External"/><Relationship Id="rId20" Type="http://schemas.openxmlformats.org/officeDocument/2006/relationships/hyperlink" Target="http://www.immi.gov.au/media/publications/research/_pdf/csam-results-2010.pdf" TargetMode="External"/><Relationship Id="rId29" Type="http://schemas.openxmlformats.org/officeDocument/2006/relationships/hyperlink" Target="http://www.oecd.org/dataoecd/28/12/38164878.pdf" TargetMode="External"/><Relationship Id="rId41" Type="http://schemas.openxmlformats.org/officeDocument/2006/relationships/hyperlink" Target="http://www.volunteeringaustralia.org/%20files/BRTVP4DHB8/CALD%20National%20Survey%20final%20report%20with%20cove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oecd.org/document/14/0,3746,en_2649_201185_40125838_1_1_1_1,00.html" TargetMode="External"/><Relationship Id="rId32" Type="http://schemas.openxmlformats.org/officeDocument/2006/relationships/hyperlink" Target="http://jrs.oxfordjournals.org/" TargetMode="External"/><Relationship Id="rId37" Type="http://schemas.openxmlformats.org/officeDocument/2006/relationships/hyperlink" Target="http://www.oecd.org/document/46/0,2340" TargetMode="External"/><Relationship Id="rId40" Type="http://schemas.openxmlformats.org/officeDocument/2006/relationships/hyperlink" Target="http://www.compas.ox.ac.uk/fileadmin/%20files/pdfs/WP0753%20Vasta.pdf"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benjamins.com/cgi-bin/t_seriesview.cgi?series=LPLP" TargetMode="External"/><Relationship Id="rId23" Type="http://schemas.openxmlformats.org/officeDocument/2006/relationships/hyperlink" Target="http://arrow.monash.edu.au/vital/access/manager/Repository/monash:8327" TargetMode="External"/><Relationship Id="rId28" Type="http://schemas.openxmlformats.org/officeDocument/2006/relationships/hyperlink" Target="http://www.mmr.sagepub.com/cgi/reprint/i/2/112" TargetMode="External"/><Relationship Id="rId36" Type="http://schemas.openxmlformats.org/officeDocument/2006/relationships/hyperlink" Target="http://lerc.educ.ubc.ca/fac/%20norton/Norton%202008%20in%20Cenoz.pdf" TargetMode="External"/><Relationship Id="rId10" Type="http://schemas.openxmlformats.org/officeDocument/2006/relationships/hyperlink" Target="mailto:ncver@ncver.edu.au" TargetMode="External"/><Relationship Id="rId19" Type="http://schemas.openxmlformats.org/officeDocument/2006/relationships/hyperlink" Target="http://www.immi.gov.au/media/publications/research/_pdf/csam-info.pdf" TargetMode="External"/><Relationship Id="rId31" Type="http://schemas.openxmlformats.org/officeDocument/2006/relationships/hyperlink" Target="http://www.harmony.gov.au/harmony-day/about-harmony-day.htm"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mams.rmit.edu.au/mkikaa6uyb421.pdf" TargetMode="External"/><Relationship Id="rId22" Type="http://schemas.openxmlformats.org/officeDocument/2006/relationships/hyperlink" Target="http://ec.europa.eu/justice/funding/2004_2007/doc/study_indicators_integration.pdf" TargetMode="External"/><Relationship Id="rId27" Type="http://schemas.openxmlformats.org/officeDocument/2006/relationships/hyperlink" Target="http://andrewjakubowicz.com/publications/integrationfutures_risk/" TargetMode="External"/><Relationship Id="rId30" Type="http://schemas.openxmlformats.org/officeDocument/2006/relationships/hyperlink" Target="http://archive.ecml.at/%20documents/Conference%20Publication2007.pdf" TargetMode="External"/><Relationship Id="rId35" Type="http://schemas.openxmlformats.org/officeDocument/2006/relationships/hyperlink" Target="http://search.informit.com.au/fullText;%20dn=414006969999966;res=IELHEA" TargetMode="External"/><Relationship Id="rId43" Type="http://schemas.openxmlformats.org/officeDocument/2006/relationships/hyperlink" Target="http://www.msd.govt.nz/documents/about-msd-and-our-work/publications-resources/journals-and-magazines/social-policy-journal/spj18/18-pages148-16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F938E-34D7-41CB-8375-5985F6F3D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14985</Words>
  <Characters>85419</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lpstr>
    </vt:vector>
  </TitlesOfParts>
  <Company>UQ</Company>
  <LinksUpToDate>false</LinksUpToDate>
  <CharactersWithSpaces>100204</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paulineackland</dc:creator>
  <cp:keywords/>
  <dc:description/>
  <cp:lastModifiedBy>julianneTreloar</cp:lastModifiedBy>
  <cp:revision>2</cp:revision>
  <cp:lastPrinted>2011-08-03T05:38:00Z</cp:lastPrinted>
  <dcterms:created xsi:type="dcterms:W3CDTF">2012-01-05T00:42:00Z</dcterms:created>
  <dcterms:modified xsi:type="dcterms:W3CDTF">2012-01-05T00:42:00Z</dcterms:modified>
</cp:coreProperties>
</file>