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F0E" w:rsidRDefault="002E76AC" w:rsidP="00333F0E">
      <w:pPr>
        <w:jc w:val="right"/>
      </w:pPr>
      <w:bookmarkStart w:id="0" w:name="_Toc73766312"/>
      <w:bookmarkStart w:id="1" w:name="_Toc77937774"/>
      <w:bookmarkStart w:id="2" w:name="_Toc80174750"/>
      <w:bookmarkStart w:id="3" w:name="_Toc81560506"/>
      <w:bookmarkStart w:id="4" w:name="_Toc82071799"/>
      <w:bookmarkStart w:id="5" w:name="_Toc82151754"/>
      <w:bookmarkStart w:id="6" w:name="_Toc82498260"/>
      <w:bookmarkStart w:id="7" w:name="_Toc86829097"/>
      <w:bookmarkStart w:id="8" w:name="_Toc89226248"/>
      <w:bookmarkStart w:id="9" w:name="_Toc89240893"/>
      <w:bookmarkStart w:id="10" w:name="_Toc98394875"/>
      <w:bookmarkStart w:id="11" w:name="_Toc296423679"/>
      <w:bookmarkStart w:id="12" w:name="_Toc296497510"/>
      <w:r>
        <w:rPr>
          <w:noProof/>
          <w:lang w:eastAsia="en-AU"/>
        </w:rPr>
        <w:drawing>
          <wp:anchor distT="0" distB="0" distL="114300" distR="114300" simplePos="0" relativeHeight="251764736" behindDoc="1" locked="0" layoutInCell="1" allowOverlap="1" wp14:anchorId="1AA18CDD" wp14:editId="42A5B3FB">
            <wp:simplePos x="0" y="0"/>
            <wp:positionH relativeFrom="column">
              <wp:posOffset>-532765</wp:posOffset>
            </wp:positionH>
            <wp:positionV relativeFrom="paragraph">
              <wp:posOffset>-3175</wp:posOffset>
            </wp:positionV>
            <wp:extent cx="866775" cy="9512300"/>
            <wp:effectExtent l="0" t="0" r="9525" b="0"/>
            <wp:wrapTight wrapText="bothSides">
              <wp:wrapPolygon edited="0">
                <wp:start x="0" y="0"/>
                <wp:lineTo x="0" y="21542"/>
                <wp:lineTo x="21363" y="21542"/>
                <wp:lineTo x="21363" y="0"/>
                <wp:lineTo x="0" y="0"/>
              </wp:wrapPolygon>
            </wp:wrapTight>
            <wp:docPr id="1" name="Picture 1" descr="P:\WorkInProgress\AAAKatrinasPubs\NoFrills_RefereedPaper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KatrinasPubs\NoFrills_RefereedPapers\Ban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951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F0E">
        <w:rPr>
          <w:noProof/>
          <w:lang w:eastAsia="en-AU"/>
        </w:rPr>
        <w:drawing>
          <wp:anchor distT="0" distB="0" distL="114300" distR="114300" simplePos="0" relativeHeight="251711488" behindDoc="0" locked="0" layoutInCell="1" allowOverlap="1" wp14:anchorId="69F678C7" wp14:editId="2F8446E8">
            <wp:simplePos x="0" y="0"/>
            <wp:positionH relativeFrom="column">
              <wp:posOffset>814705</wp:posOffset>
            </wp:positionH>
            <wp:positionV relativeFrom="paragraph">
              <wp:posOffset>0</wp:posOffset>
            </wp:positionV>
            <wp:extent cx="5431790" cy="14725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r="1240"/>
                    <a:stretch/>
                  </pic:blipFill>
                  <pic:spPr bwMode="auto">
                    <a:xfrm>
                      <a:off x="0" y="0"/>
                      <a:ext cx="5431790" cy="1472565"/>
                    </a:xfrm>
                    <a:prstGeom prst="rect">
                      <a:avLst/>
                    </a:prstGeom>
                    <a:ln>
                      <a:noFill/>
                    </a:ln>
                    <a:extLst>
                      <a:ext uri="{53640926-AAD7-44D8-BBD7-CCE9431645EC}">
                        <a14:shadowObscured xmlns:a14="http://schemas.microsoft.com/office/drawing/2010/main"/>
                      </a:ext>
                    </a:extLst>
                  </pic:spPr>
                </pic:pic>
              </a:graphicData>
            </a:graphic>
          </wp:anchor>
        </w:drawing>
      </w:r>
    </w:p>
    <w:p w:rsidR="00333F0E" w:rsidRDefault="00333F0E" w:rsidP="00333F0E"/>
    <w:p w:rsidR="00333F0E" w:rsidRPr="00AF3AFC" w:rsidRDefault="00333F0E" w:rsidP="00333F0E">
      <w:pPr>
        <w:rPr>
          <w:sz w:val="4"/>
          <w:szCs w:val="4"/>
        </w:rPr>
      </w:pPr>
    </w:p>
    <w:p w:rsidR="00333F0E" w:rsidRDefault="00333F0E" w:rsidP="00333F0E">
      <w:pPr>
        <w:pStyle w:val="Text"/>
        <w:jc w:val="both"/>
      </w:pPr>
    </w:p>
    <w:p w:rsidR="00430B34" w:rsidRDefault="00430B34" w:rsidP="00333F0E">
      <w:pPr>
        <w:pStyle w:val="PublicationTitle"/>
        <w:spacing w:before="0"/>
      </w:pPr>
    </w:p>
    <w:p w:rsidR="00333F0E" w:rsidRPr="003C0F56" w:rsidRDefault="002E76AC" w:rsidP="002E76AC">
      <w:pPr>
        <w:pStyle w:val="PublicationTitle"/>
        <w:spacing w:before="0"/>
        <w:jc w:val="right"/>
        <w:rPr>
          <w:rFonts w:ascii="Arial" w:hAnsi="Arial" w:cs="Arial"/>
        </w:rPr>
      </w:pPr>
      <w:r>
        <w:br/>
      </w:r>
      <w:r>
        <w:br/>
      </w:r>
      <w:r>
        <w:br/>
      </w:r>
      <w:r w:rsidR="00430B34" w:rsidRPr="003C0F56">
        <w:rPr>
          <w:rFonts w:ascii="Arial" w:hAnsi="Arial" w:cs="Arial"/>
        </w:rPr>
        <w:t xml:space="preserve">Refereed </w:t>
      </w:r>
      <w:r w:rsidR="005C4B7F" w:rsidRPr="003C0F56">
        <w:rPr>
          <w:rFonts w:ascii="Arial" w:hAnsi="Arial" w:cs="Arial"/>
        </w:rPr>
        <w:t>p</w:t>
      </w:r>
      <w:r w:rsidR="00430B34" w:rsidRPr="003C0F56">
        <w:rPr>
          <w:rFonts w:ascii="Arial" w:hAnsi="Arial" w:cs="Arial"/>
        </w:rPr>
        <w:t>apers</w:t>
      </w:r>
    </w:p>
    <w:p w:rsidR="00333F0E" w:rsidRPr="003C0F56" w:rsidRDefault="00333F0E" w:rsidP="00333F0E">
      <w:pPr>
        <w:pStyle w:val="Organisation"/>
        <w:jc w:val="right"/>
        <w:rPr>
          <w:rFonts w:ascii="Arial" w:hAnsi="Arial" w:cs="Arial"/>
          <w:sz w:val="28"/>
        </w:rPr>
      </w:pPr>
      <w:r w:rsidRPr="003C0F56">
        <w:rPr>
          <w:rFonts w:ascii="Arial" w:hAnsi="Arial" w:cs="Arial"/>
          <w:sz w:val="28"/>
        </w:rPr>
        <w:t>Edited by Laura O</w:t>
      </w:r>
      <w:r w:rsidR="004C5471" w:rsidRPr="003C0F56">
        <w:rPr>
          <w:rFonts w:ascii="Arial" w:hAnsi="Arial" w:cs="Arial"/>
          <w:sz w:val="28"/>
        </w:rPr>
        <w:t>’</w:t>
      </w:r>
      <w:r w:rsidRPr="003C0F56">
        <w:rPr>
          <w:rFonts w:ascii="Arial" w:hAnsi="Arial" w:cs="Arial"/>
          <w:sz w:val="28"/>
        </w:rPr>
        <w:t>Connor and Maree Ackehurst</w:t>
      </w:r>
    </w:p>
    <w:p w:rsidR="00333F0E" w:rsidRPr="003C0F56" w:rsidRDefault="00333F0E" w:rsidP="00333F0E">
      <w:pPr>
        <w:pStyle w:val="Organisation"/>
        <w:jc w:val="right"/>
        <w:rPr>
          <w:rFonts w:ascii="Arial" w:hAnsi="Arial" w:cs="Arial"/>
        </w:rPr>
      </w:pPr>
      <w:r w:rsidRPr="003C0F56">
        <w:rPr>
          <w:rFonts w:ascii="Arial" w:hAnsi="Arial" w:cs="Arial"/>
        </w:rPr>
        <w:t>NCVER</w:t>
      </w:r>
    </w:p>
    <w:p w:rsidR="004E5E58" w:rsidRDefault="004E5E58" w:rsidP="00333F0E">
      <w:pPr>
        <w:pStyle w:val="Organisation"/>
        <w:jc w:val="right"/>
      </w:pPr>
    </w:p>
    <w:p w:rsidR="00333F0E" w:rsidRPr="004E5E58" w:rsidRDefault="00333F0E" w:rsidP="004E5E58">
      <w:pPr>
        <w:pStyle w:val="Text"/>
        <w:jc w:val="both"/>
      </w:pPr>
    </w:p>
    <w:p w:rsidR="00333F0E" w:rsidRDefault="00333F0E" w:rsidP="00333F0E">
      <w:pPr>
        <w:jc w:val="right"/>
        <w:rPr>
          <w:sz w:val="23"/>
          <w:szCs w:val="23"/>
        </w:rPr>
      </w:pPr>
    </w:p>
    <w:p w:rsidR="00333F0E" w:rsidRPr="00AF3AFC" w:rsidRDefault="00333F0E" w:rsidP="00333F0E">
      <w:pPr>
        <w:spacing w:before="0" w:line="240" w:lineRule="auto"/>
        <w:jc w:val="right"/>
        <w:rPr>
          <w:sz w:val="23"/>
          <w:szCs w:val="23"/>
        </w:rPr>
      </w:pPr>
    </w:p>
    <w:p w:rsidR="00333F0E" w:rsidRPr="00AF3AFC" w:rsidRDefault="00333F0E" w:rsidP="00333F0E">
      <w:pPr>
        <w:rPr>
          <w:sz w:val="23"/>
          <w:szCs w:val="23"/>
        </w:rPr>
      </w:pPr>
    </w:p>
    <w:p w:rsidR="00333F0E" w:rsidRPr="00AF3AFC" w:rsidRDefault="00B771C8" w:rsidP="00333F0E">
      <w:pPr>
        <w:rPr>
          <w:sz w:val="23"/>
          <w:szCs w:val="23"/>
        </w:rPr>
      </w:pPr>
      <w:r>
        <w:rPr>
          <w:noProof/>
          <w:sz w:val="23"/>
          <w:szCs w:val="23"/>
          <w:lang w:eastAsia="en-AU"/>
        </w:rPr>
        <mc:AlternateContent>
          <mc:Choice Requires="wps">
            <w:drawing>
              <wp:anchor distT="0" distB="0" distL="114300" distR="114300" simplePos="0" relativeHeight="251758592" behindDoc="0" locked="0" layoutInCell="1" allowOverlap="1">
                <wp:simplePos x="0" y="0"/>
                <wp:positionH relativeFrom="column">
                  <wp:posOffset>4396431</wp:posOffset>
                </wp:positionH>
                <wp:positionV relativeFrom="paragraph">
                  <wp:posOffset>242570</wp:posOffset>
                </wp:positionV>
                <wp:extent cx="1446456" cy="468611"/>
                <wp:effectExtent l="0" t="0" r="1905" b="8255"/>
                <wp:wrapNone/>
                <wp:docPr id="15" name="Text Box 15"/>
                <wp:cNvGraphicFramePr/>
                <a:graphic xmlns:a="http://schemas.openxmlformats.org/drawingml/2006/main">
                  <a:graphicData uri="http://schemas.microsoft.com/office/word/2010/wordprocessingShape">
                    <wps:wsp>
                      <wps:cNvSpPr txBox="1"/>
                      <wps:spPr>
                        <a:xfrm>
                          <a:off x="0" y="0"/>
                          <a:ext cx="1446456" cy="468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9E8" w:rsidRPr="003C0F56" w:rsidRDefault="005219E8" w:rsidP="000248DB">
                            <w:pPr>
                              <w:jc w:val="right"/>
                              <w:rPr>
                                <w:rFonts w:ascii="Arial" w:hAnsi="Arial" w:cs="Arial"/>
                                <w:sz w:val="20"/>
                              </w:rPr>
                            </w:pPr>
                            <w:r w:rsidRPr="003C0F56">
                              <w:rPr>
                                <w:rFonts w:ascii="Arial" w:hAnsi="Arial" w:cs="Arial"/>
                                <w:sz w:val="20"/>
                              </w:rPr>
                              <w:t>Presented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46.2pt;margin-top:19.1pt;width:113.9pt;height:36.9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" fillcolor="white [3201]" stroked="f" strokeweight=".5pt">
                <v:textbox>
                  <w:txbxContent>
                    <w:p w:rsidR="005219E8" w:rsidRPr="003C0F56" w:rsidRDefault="005219E8" w:rsidP="000248DB">
                      <w:pPr>
                        <w:jc w:val="right"/>
                        <w:rPr>
                          <w:rFonts w:ascii="Arial" w:hAnsi="Arial" w:cs="Arial"/>
                          <w:sz w:val="20"/>
                        </w:rPr>
                      </w:pPr>
                      <w:r w:rsidRPr="003C0F56">
                        <w:rPr>
                          <w:rFonts w:ascii="Arial" w:hAnsi="Arial" w:cs="Arial"/>
                          <w:sz w:val="20"/>
                        </w:rPr>
                        <w:t>Presented by</w:t>
                      </w:r>
                    </w:p>
                  </w:txbxContent>
                </v:textbox>
              </v:shape>
            </w:pict>
          </mc:Fallback>
        </mc:AlternateContent>
      </w:r>
    </w:p>
    <w:p w:rsidR="00333F0E" w:rsidRDefault="00333F0E" w:rsidP="00333F0E"/>
    <w:p w:rsidR="00333F0E" w:rsidRDefault="00333F0E">
      <w:pPr>
        <w:spacing w:before="0" w:line="240" w:lineRule="auto"/>
        <w:rPr>
          <w:sz w:val="16"/>
          <w:szCs w:val="16"/>
        </w:rPr>
      </w:pPr>
    </w:p>
    <w:p w:rsidR="00333F0E" w:rsidRDefault="00B771C8">
      <w:pPr>
        <w:spacing w:before="0" w:line="240" w:lineRule="auto"/>
        <w:rPr>
          <w:sz w:val="16"/>
          <w:szCs w:val="16"/>
        </w:rPr>
      </w:pPr>
      <w:r>
        <w:rPr>
          <w:noProof/>
          <w:sz w:val="16"/>
          <w:szCs w:val="16"/>
          <w:lang w:eastAsia="en-AU"/>
        </w:rPr>
        <w:drawing>
          <wp:anchor distT="0" distB="0" distL="114300" distR="114300" simplePos="0" relativeHeight="251760640" behindDoc="0" locked="0" layoutInCell="1" allowOverlap="1">
            <wp:simplePos x="0" y="0"/>
            <wp:positionH relativeFrom="column">
              <wp:posOffset>3768310</wp:posOffset>
            </wp:positionH>
            <wp:positionV relativeFrom="paragraph">
              <wp:posOffset>59856</wp:posOffset>
            </wp:positionV>
            <wp:extent cx="2003626" cy="429353"/>
            <wp:effectExtent l="0" t="0" r="0" b="8890"/>
            <wp:wrapNone/>
            <wp:docPr id="34" name="Picture 34" descr="P:\PublicationComponents\logos\NCVER LOGOS\Web\NCV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PublicationComponents\logos\NCVER LOGOS\Web\NCVER_RGB.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3626" cy="429353"/>
                    </a:xfrm>
                    <a:prstGeom prst="rect">
                      <a:avLst/>
                    </a:prstGeom>
                    <a:noFill/>
                    <a:ln>
                      <a:noFill/>
                    </a:ln>
                  </pic:spPr>
                </pic:pic>
              </a:graphicData>
            </a:graphic>
          </wp:anchor>
        </w:drawing>
      </w:r>
    </w:p>
    <w:p w:rsidR="00333F0E" w:rsidRDefault="00333F0E">
      <w:pPr>
        <w:spacing w:before="0" w:line="240" w:lineRule="auto"/>
        <w:rPr>
          <w:sz w:val="16"/>
          <w:szCs w:val="16"/>
        </w:rPr>
      </w:pPr>
    </w:p>
    <w:p w:rsidR="00333F0E" w:rsidRDefault="00333F0E">
      <w:pPr>
        <w:spacing w:before="0" w:line="240" w:lineRule="auto"/>
        <w:rPr>
          <w:sz w:val="16"/>
          <w:szCs w:val="16"/>
        </w:rPr>
      </w:pPr>
    </w:p>
    <w:p w:rsidR="00333F0E" w:rsidRDefault="00333F0E">
      <w:pPr>
        <w:spacing w:before="0" w:line="240" w:lineRule="auto"/>
        <w:rPr>
          <w:sz w:val="16"/>
          <w:szCs w:val="16"/>
        </w:rPr>
      </w:pPr>
    </w:p>
    <w:p w:rsidR="00333F0E" w:rsidRDefault="00B771C8">
      <w:pPr>
        <w:spacing w:before="0" w:line="240" w:lineRule="auto"/>
        <w:rPr>
          <w:sz w:val="16"/>
          <w:szCs w:val="16"/>
        </w:rPr>
      </w:pPr>
      <w:r>
        <w:rPr>
          <w:noProof/>
          <w:sz w:val="16"/>
          <w:szCs w:val="16"/>
          <w:lang w:eastAsia="en-AU"/>
        </w:rPr>
        <mc:AlternateContent>
          <mc:Choice Requires="wps">
            <w:drawing>
              <wp:anchor distT="0" distB="0" distL="114300" distR="114300" simplePos="0" relativeHeight="251761664" behindDoc="0" locked="0" layoutInCell="1" allowOverlap="1">
                <wp:simplePos x="0" y="0"/>
                <wp:positionH relativeFrom="column">
                  <wp:posOffset>4404381</wp:posOffset>
                </wp:positionH>
                <wp:positionV relativeFrom="paragraph">
                  <wp:posOffset>9661</wp:posOffset>
                </wp:positionV>
                <wp:extent cx="1446456" cy="357490"/>
                <wp:effectExtent l="0" t="0" r="1905" b="5080"/>
                <wp:wrapNone/>
                <wp:docPr id="35" name="Text Box 35"/>
                <wp:cNvGraphicFramePr/>
                <a:graphic xmlns:a="http://schemas.openxmlformats.org/drawingml/2006/main">
                  <a:graphicData uri="http://schemas.microsoft.com/office/word/2010/wordprocessingShape">
                    <wps:wsp>
                      <wps:cNvSpPr txBox="1"/>
                      <wps:spPr>
                        <a:xfrm>
                          <a:off x="0" y="0"/>
                          <a:ext cx="1446456" cy="35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9E8" w:rsidRPr="003C0F56" w:rsidRDefault="005219E8" w:rsidP="000248DB">
                            <w:pPr>
                              <w:jc w:val="right"/>
                              <w:rPr>
                                <w:rFonts w:ascii="Arial" w:hAnsi="Arial" w:cs="Arial"/>
                                <w:sz w:val="20"/>
                              </w:rPr>
                            </w:pPr>
                            <w:r w:rsidRPr="003C0F56">
                              <w:rPr>
                                <w:rFonts w:ascii="Arial" w:hAnsi="Arial" w:cs="Arial"/>
                                <w:sz w:val="20"/>
                              </w:rPr>
                              <w:t>Co-hosted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27" type="#_x0000_t202" style="position:absolute;margin-left:346.8pt;margin-top:.75pt;width:113.9pt;height:28.1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" fillcolor="white [3201]" stroked="f" strokeweight=".5pt">
                <v:textbox>
                  <w:txbxContent>
                    <w:p w:rsidR="005219E8" w:rsidRPr="003C0F56" w:rsidRDefault="005219E8" w:rsidP="000248DB">
                      <w:pPr>
                        <w:jc w:val="right"/>
                        <w:rPr>
                          <w:rFonts w:ascii="Arial" w:hAnsi="Arial" w:cs="Arial"/>
                          <w:sz w:val="20"/>
                        </w:rPr>
                      </w:pPr>
                      <w:r w:rsidRPr="003C0F56">
                        <w:rPr>
                          <w:rFonts w:ascii="Arial" w:hAnsi="Arial" w:cs="Arial"/>
                          <w:sz w:val="20"/>
                        </w:rPr>
                        <w:t>Co-hosted by</w:t>
                      </w:r>
                    </w:p>
                  </w:txbxContent>
                </v:textbox>
              </v:shape>
            </w:pict>
          </mc:Fallback>
        </mc:AlternateContent>
      </w:r>
    </w:p>
    <w:p w:rsidR="00333F0E" w:rsidRDefault="00333F0E">
      <w:pPr>
        <w:spacing w:before="0" w:line="240" w:lineRule="auto"/>
        <w:rPr>
          <w:sz w:val="16"/>
          <w:szCs w:val="16"/>
        </w:rPr>
      </w:pPr>
    </w:p>
    <w:p w:rsidR="00333F0E" w:rsidRDefault="00333F0E">
      <w:pPr>
        <w:spacing w:before="0" w:line="240" w:lineRule="auto"/>
        <w:rPr>
          <w:sz w:val="16"/>
          <w:szCs w:val="16"/>
        </w:rPr>
      </w:pPr>
    </w:p>
    <w:p w:rsidR="00333F0E" w:rsidRDefault="00B771C8">
      <w:pPr>
        <w:spacing w:before="0" w:line="240" w:lineRule="auto"/>
        <w:rPr>
          <w:sz w:val="16"/>
          <w:szCs w:val="16"/>
        </w:rPr>
      </w:pPr>
      <w:r>
        <w:rPr>
          <w:noProof/>
          <w:sz w:val="16"/>
          <w:szCs w:val="16"/>
          <w:lang w:eastAsia="en-AU"/>
        </w:rPr>
        <w:drawing>
          <wp:anchor distT="0" distB="0" distL="114300" distR="114300" simplePos="0" relativeHeight="251757568" behindDoc="0" locked="0" layoutInCell="1" allowOverlap="1">
            <wp:simplePos x="0" y="0"/>
            <wp:positionH relativeFrom="column">
              <wp:posOffset>4078395</wp:posOffset>
            </wp:positionH>
            <wp:positionV relativeFrom="paragraph">
              <wp:posOffset>76525</wp:posOffset>
            </wp:positionV>
            <wp:extent cx="1677639" cy="779196"/>
            <wp:effectExtent l="0" t="0" r="0" b="1905"/>
            <wp:wrapNone/>
            <wp:docPr id="2" name="Picture 2" descr="P:\PublicationComponents\logos\TAFE_institutes\Holmesglen Logo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PublicationComponents\logos\TAFE_institutes\Holmesglen Logo_CYMK.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7639" cy="779196"/>
                    </a:xfrm>
                    <a:prstGeom prst="rect">
                      <a:avLst/>
                    </a:prstGeom>
                    <a:noFill/>
                    <a:ln>
                      <a:noFill/>
                    </a:ln>
                  </pic:spPr>
                </pic:pic>
              </a:graphicData>
            </a:graphic>
          </wp:anchor>
        </w:drawing>
      </w:r>
    </w:p>
    <w:p w:rsidR="00516FE1" w:rsidRDefault="00B771C8" w:rsidP="00642C3F">
      <w:pPr>
        <w:pStyle w:val="Imprint"/>
        <w:rPr>
          <w:sz w:val="19"/>
          <w:szCs w:val="19"/>
        </w:rPr>
      </w:pPr>
      <w:r>
        <w:rPr>
          <w:noProof/>
          <w:sz w:val="19"/>
          <w:szCs w:val="19"/>
          <w:lang w:eastAsia="en-AU"/>
        </w:rPr>
        <w:drawing>
          <wp:anchor distT="0" distB="0" distL="114300" distR="114300" simplePos="0" relativeHeight="251759616" behindDoc="0" locked="0" layoutInCell="1" allowOverlap="1">
            <wp:simplePos x="0" y="0"/>
            <wp:positionH relativeFrom="column">
              <wp:posOffset>1565910</wp:posOffset>
            </wp:positionH>
            <wp:positionV relativeFrom="paragraph">
              <wp:posOffset>261187</wp:posOffset>
            </wp:positionV>
            <wp:extent cx="2154694" cy="532716"/>
            <wp:effectExtent l="0" t="0" r="0" b="1270"/>
            <wp:wrapNone/>
            <wp:docPr id="33" name="Picture 33" descr="P:\PublicationComponents\logos\TAFE_institutes\Hemi Logo (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PublicationComponents\logos\TAFE_institutes\Hemi Logo (CYMK).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4694" cy="532716"/>
                    </a:xfrm>
                    <a:prstGeom prst="rect">
                      <a:avLst/>
                    </a:prstGeom>
                    <a:noFill/>
                    <a:ln>
                      <a:noFill/>
                    </a:ln>
                  </pic:spPr>
                </pic:pic>
              </a:graphicData>
            </a:graphic>
          </wp:anchor>
        </w:drawing>
      </w:r>
    </w:p>
    <w:p w:rsidR="00516FE1" w:rsidRDefault="00516FE1" w:rsidP="00642C3F">
      <w:pPr>
        <w:pStyle w:val="Imprint"/>
        <w:rPr>
          <w:sz w:val="19"/>
          <w:szCs w:val="19"/>
        </w:rPr>
      </w:pPr>
    </w:p>
    <w:p w:rsidR="00516FE1" w:rsidRDefault="00B771C8" w:rsidP="00642C3F">
      <w:pPr>
        <w:pStyle w:val="Imprint"/>
        <w:rPr>
          <w:sz w:val="19"/>
          <w:szCs w:val="19"/>
        </w:rPr>
      </w:pPr>
      <w:r>
        <w:rPr>
          <w:noProof/>
          <w:sz w:val="19"/>
          <w:szCs w:val="19"/>
          <w:lang w:eastAsia="en-AU"/>
        </w:rPr>
        <mc:AlternateContent>
          <mc:Choice Requires="wps">
            <w:drawing>
              <wp:anchor distT="0" distB="0" distL="114300" distR="114300" simplePos="0" relativeHeight="251762688" behindDoc="0" locked="0" layoutInCell="1" allowOverlap="1">
                <wp:simplePos x="0" y="0"/>
                <wp:positionH relativeFrom="column">
                  <wp:posOffset>4412332</wp:posOffset>
                </wp:positionH>
                <wp:positionV relativeFrom="paragraph">
                  <wp:posOffset>220748</wp:posOffset>
                </wp:positionV>
                <wp:extent cx="1446456" cy="357490"/>
                <wp:effectExtent l="0" t="0" r="1905" b="5080"/>
                <wp:wrapNone/>
                <wp:docPr id="36" name="Text Box 36"/>
                <wp:cNvGraphicFramePr/>
                <a:graphic xmlns:a="http://schemas.openxmlformats.org/drawingml/2006/main">
                  <a:graphicData uri="http://schemas.microsoft.com/office/word/2010/wordprocessingShape">
                    <wps:wsp>
                      <wps:cNvSpPr txBox="1"/>
                      <wps:spPr>
                        <a:xfrm>
                          <a:off x="0" y="0"/>
                          <a:ext cx="1446456" cy="35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9E8" w:rsidRPr="003C0F56" w:rsidRDefault="005219E8" w:rsidP="000248DB">
                            <w:pPr>
                              <w:jc w:val="right"/>
                              <w:rPr>
                                <w:rFonts w:ascii="Arial" w:hAnsi="Arial" w:cs="Arial"/>
                                <w:sz w:val="20"/>
                              </w:rPr>
                            </w:pPr>
                            <w:r w:rsidRPr="003C0F56">
                              <w:rPr>
                                <w:rFonts w:ascii="Arial" w:hAnsi="Arial" w:cs="Arial"/>
                                <w:sz w:val="20"/>
                              </w:rPr>
                              <w:t>Supported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8" type="#_x0000_t202" style="position:absolute;margin-left:347.45pt;margin-top:17.4pt;width:113.9pt;height:28.1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" fillcolor="white [3201]" stroked="f" strokeweight=".5pt">
                <v:textbox>
                  <w:txbxContent>
                    <w:p w:rsidR="005219E8" w:rsidRPr="003C0F56" w:rsidRDefault="005219E8" w:rsidP="000248DB">
                      <w:pPr>
                        <w:jc w:val="right"/>
                        <w:rPr>
                          <w:rFonts w:ascii="Arial" w:hAnsi="Arial" w:cs="Arial"/>
                          <w:sz w:val="20"/>
                        </w:rPr>
                      </w:pPr>
                      <w:r w:rsidRPr="003C0F56">
                        <w:rPr>
                          <w:rFonts w:ascii="Arial" w:hAnsi="Arial" w:cs="Arial"/>
                          <w:sz w:val="20"/>
                        </w:rPr>
                        <w:t>Supported by</w:t>
                      </w:r>
                    </w:p>
                  </w:txbxContent>
                </v:textbox>
              </v:shape>
            </w:pict>
          </mc:Fallback>
        </mc:AlternateContent>
      </w:r>
    </w:p>
    <w:p w:rsidR="003B2A3D" w:rsidRDefault="003B2A3D" w:rsidP="0016655A">
      <w:pPr>
        <w:pStyle w:val="Abouttheresearch"/>
      </w:pPr>
    </w:p>
    <w:p w:rsidR="00642C3F" w:rsidRDefault="00B771C8" w:rsidP="0016655A">
      <w:pPr>
        <w:pStyle w:val="Abouttheresearch"/>
      </w:pPr>
      <w:r>
        <w:rPr>
          <w:noProof/>
          <w:lang w:eastAsia="en-AU"/>
        </w:rPr>
        <w:drawing>
          <wp:anchor distT="0" distB="0" distL="114300" distR="114300" simplePos="0" relativeHeight="251777024" behindDoc="1" locked="0" layoutInCell="1" allowOverlap="1">
            <wp:simplePos x="0" y="0"/>
            <wp:positionH relativeFrom="column">
              <wp:posOffset>2870200</wp:posOffset>
            </wp:positionH>
            <wp:positionV relativeFrom="paragraph">
              <wp:posOffset>86360</wp:posOffset>
            </wp:positionV>
            <wp:extent cx="2909570" cy="523875"/>
            <wp:effectExtent l="0" t="0" r="5080" b="9525"/>
            <wp:wrapTight wrapText="bothSides">
              <wp:wrapPolygon edited="0">
                <wp:start x="0" y="0"/>
                <wp:lineTo x="0" y="21207"/>
                <wp:lineTo x="21496" y="21207"/>
                <wp:lineTo x="21496" y="0"/>
                <wp:lineTo x="0" y="0"/>
              </wp:wrapPolygon>
            </wp:wrapTight>
            <wp:docPr id="3" name="Picture 3" descr="P:\PublicationComponents\logos\Commonwealth logo\JPG\Dept Education and Training_Inline_Corp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Commonwealth logo\JPG\Dept Education and Training_Inline_CorpBlu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957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4CF">
        <w:rPr>
          <w:noProof/>
          <w:lang w:eastAsia="en-AU"/>
        </w:rPr>
        <mc:AlternateContent>
          <mc:Choice Requires="wps">
            <w:drawing>
              <wp:anchor distT="0" distB="0" distL="114300" distR="114300" simplePos="0" relativeHeight="251685888" behindDoc="0" locked="0" layoutInCell="1" allowOverlap="1" wp14:anchorId="0A5BE791" wp14:editId="02CF61FF">
                <wp:simplePos x="0" y="0"/>
                <wp:positionH relativeFrom="column">
                  <wp:posOffset>4445</wp:posOffset>
                </wp:positionH>
                <wp:positionV relativeFrom="paragraph">
                  <wp:posOffset>3173537</wp:posOffset>
                </wp:positionV>
                <wp:extent cx="4838700" cy="5791200"/>
                <wp:effectExtent l="0" t="0" r="0" b="0"/>
                <wp:wrapNone/>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9E8" w:rsidRPr="00A021FC" w:rsidRDefault="005219E8" w:rsidP="00642C3F">
                            <w:pPr>
                              <w:pStyle w:val="Imprint"/>
                              <w:rPr>
                                <w:b/>
                              </w:rPr>
                            </w:pPr>
                            <w:r w:rsidRPr="00A021FC">
                              <w:rPr>
                                <w:b/>
                              </w:rPr>
                              <w:t xml:space="preserve">© Commonwealth of Australia, </w:t>
                            </w:r>
                            <w:r>
                              <w:rPr>
                                <w:b/>
                              </w:rPr>
                              <w:t>2015</w:t>
                            </w:r>
                          </w:p>
                          <w:p w:rsidR="005219E8" w:rsidRDefault="005219E8" w:rsidP="00642C3F">
                            <w:pPr>
                              <w:pStyle w:val="Imprint"/>
                              <w:rPr>
                                <w:sz w:val="20"/>
                              </w:rPr>
                            </w:pPr>
                            <w:r w:rsidRPr="00E80270">
                              <w:rPr>
                                <w:noProof/>
                                <w:sz w:val="20"/>
                                <w:lang w:eastAsia="en-AU"/>
                              </w:rPr>
                              <w:drawing>
                                <wp:inline distT="0" distB="0" distL="0" distR="0" wp14:anchorId="137E7FDF" wp14:editId="76FC3B1E">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219E8" w:rsidRPr="00A021FC" w:rsidRDefault="005219E8" w:rsidP="00642C3F">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&lt;http://creativecommons.org/licenses/by/3.0/au&gt; licence. </w:t>
                            </w:r>
                          </w:p>
                          <w:p w:rsidR="005219E8" w:rsidRPr="00A021FC" w:rsidRDefault="005219E8" w:rsidP="00642C3F">
                            <w:pPr>
                              <w:pStyle w:val="Imprint"/>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5219E8" w:rsidRPr="00A021FC" w:rsidRDefault="005219E8" w:rsidP="00642C3F">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5219E8" w:rsidRPr="000274CC" w:rsidRDefault="005219E8" w:rsidP="00642C3F">
                            <w:pPr>
                              <w:pStyle w:val="Imprint"/>
                            </w:pPr>
                            <w:r w:rsidRPr="00A021FC">
                              <w:t>This document should be attributed as</w:t>
                            </w:r>
                            <w:r>
                              <w:t xml:space="preserve"> O’Connor, L &amp;</w:t>
                            </w:r>
                            <w:r w:rsidRPr="00A021FC">
                              <w:t xml:space="preserve"> </w:t>
                            </w:r>
                            <w:r>
                              <w:t>Ackehurst, M (</w:t>
                            </w:r>
                            <w:proofErr w:type="gramStart"/>
                            <w:r>
                              <w:t>eds</w:t>
                            </w:r>
                            <w:proofErr w:type="gramEnd"/>
                            <w:r>
                              <w:t xml:space="preserve">) 2015, </w:t>
                            </w:r>
                            <w:r w:rsidRPr="00652AF2">
                              <w:rPr>
                                <w:i/>
                              </w:rPr>
                              <w:t>23</w:t>
                            </w:r>
                            <w:r w:rsidRPr="00652AF2">
                              <w:rPr>
                                <w:i/>
                                <w:vertAlign w:val="superscript"/>
                              </w:rPr>
                              <w:t>rd</w:t>
                            </w:r>
                            <w:r w:rsidRPr="00652AF2">
                              <w:rPr>
                                <w:i/>
                              </w:rPr>
                              <w:t xml:space="preserve"> National Vocational Education and Training Research Conference </w:t>
                            </w:r>
                            <w:r>
                              <w:rPr>
                                <w:i/>
                              </w:rPr>
                              <w:t>‘</w:t>
                            </w:r>
                            <w:r w:rsidRPr="00652AF2">
                              <w:rPr>
                                <w:i/>
                              </w:rPr>
                              <w:t>No Frills</w:t>
                            </w:r>
                            <w:r>
                              <w:rPr>
                                <w:i/>
                              </w:rPr>
                              <w:t>’</w:t>
                            </w:r>
                            <w:r w:rsidRPr="00652AF2">
                              <w:rPr>
                                <w:i/>
                              </w:rPr>
                              <w:t>: refereed papers</w:t>
                            </w:r>
                            <w:r w:rsidRPr="00A021FC">
                              <w:rPr>
                                <w:i/>
                              </w:rPr>
                              <w:t>,</w:t>
                            </w:r>
                            <w:r w:rsidRPr="00A021FC">
                              <w:t xml:space="preserve"> NCVER, Adelaide.</w:t>
                            </w:r>
                          </w:p>
                          <w:p w:rsidR="005219E8" w:rsidRPr="005C2FCF" w:rsidRDefault="005219E8" w:rsidP="00BA41C1">
                            <w:pPr>
                              <w:pStyle w:val="Imprint"/>
                              <w:rPr>
                                <w:color w:val="000000"/>
                              </w:rPr>
                            </w:pPr>
                            <w:r w:rsidRPr="00516FE1">
                              <w:rPr>
                                <w:color w:val="000000"/>
                              </w:rPr>
                              <w:t>ISBN</w:t>
                            </w:r>
                            <w:r w:rsidRPr="00516FE1">
                              <w:rPr>
                                <w:color w:val="000000"/>
                              </w:rPr>
                              <w:tab/>
                              <w:t>978 1 925173 17 8</w:t>
                            </w:r>
                            <w:r>
                              <w:rPr>
                                <w:color w:val="000000"/>
                              </w:rPr>
                              <w:br/>
                            </w:r>
                            <w:r w:rsidRPr="00516FE1">
                              <w:rPr>
                                <w:color w:val="000000"/>
                              </w:rPr>
                              <w:t>TD/TNC</w:t>
                            </w:r>
                            <w:r w:rsidRPr="00516FE1">
                              <w:rPr>
                                <w:color w:val="000000"/>
                              </w:rPr>
                              <w:tab/>
                              <w:t>120.04</w:t>
                            </w:r>
                          </w:p>
                          <w:p w:rsidR="005219E8" w:rsidRPr="005C2FCF" w:rsidRDefault="005219E8" w:rsidP="00642C3F">
                            <w:pPr>
                              <w:pStyle w:val="Imprint"/>
                              <w:ind w:right="1700"/>
                              <w:rPr>
                                <w:color w:val="000000"/>
                              </w:rPr>
                            </w:pPr>
                            <w:r w:rsidRPr="005C2FCF">
                              <w:rPr>
                                <w:color w:val="000000"/>
                              </w:rPr>
                              <w:t>Published by NCVER</w:t>
                            </w:r>
                            <w:r>
                              <w:rPr>
                                <w:color w:val="000000"/>
                              </w:rPr>
                              <w:t xml:space="preserve">, </w:t>
                            </w:r>
                            <w:r w:rsidRPr="005C2FCF">
                              <w:rPr>
                                <w:color w:val="000000"/>
                              </w:rPr>
                              <w:t xml:space="preserve">ABN </w:t>
                            </w:r>
                            <w:r w:rsidRPr="00516FE1">
                              <w:rPr>
                                <w:color w:val="000000"/>
                              </w:rPr>
                              <w:t>87 007 967 311</w:t>
                            </w:r>
                          </w:p>
                          <w:p w:rsidR="005219E8" w:rsidRPr="005C2FCF" w:rsidRDefault="005219E8" w:rsidP="00642C3F">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5219E8" w:rsidRDefault="005219E8" w:rsidP="000274CC">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5219E8" w:rsidRPr="000274CC" w:rsidRDefault="005219E8" w:rsidP="000274CC">
                            <w:pPr>
                              <w:pStyle w:val="Imprint"/>
                              <w:spacing w:before="0"/>
                            </w:pPr>
                            <w:r w:rsidRPr="002C3573">
                              <w:rPr>
                                <w:b/>
                              </w:rPr>
                              <w:t>Email</w:t>
                            </w:r>
                            <w:r w:rsidRPr="002C3573">
                              <w:t xml:space="preserve"> </w:t>
                            </w:r>
                            <w:hyperlink r:id="rId16" w:history="1">
                              <w:r w:rsidRPr="000274CC">
                                <w:t>ncver@ncver.edu.au</w:t>
                              </w:r>
                            </w:hyperlink>
                            <w:r w:rsidRPr="002C3573">
                              <w:t xml:space="preserve">     </w:t>
                            </w:r>
                            <w:r w:rsidRPr="002C3573">
                              <w:rPr>
                                <w:b/>
                              </w:rPr>
                              <w:t>Web</w:t>
                            </w:r>
                            <w:r w:rsidRPr="002C3573">
                              <w:t xml:space="preserve"> </w:t>
                            </w:r>
                            <w:r w:rsidRPr="000274CC">
                              <w:t>&lt;http://www.ncver.edu.au</w:t>
                            </w:r>
                            <w:proofErr w:type="gramStart"/>
                            <w:r w:rsidRPr="000274CC">
                              <w:t>&gt;</w:t>
                            </w:r>
                            <w:r w:rsidRPr="002C3573">
                              <w:t xml:space="preserve">  </w:t>
                            </w:r>
                            <w:r w:rsidRPr="000274CC">
                              <w:t>&lt;</w:t>
                            </w:r>
                            <w:proofErr w:type="gramEnd"/>
                            <w:r w:rsidRPr="000274CC">
                              <w:fldChar w:fldCharType="begin"/>
                            </w:r>
                            <w:r w:rsidRPr="000274CC">
                              <w:instrText xml:space="preserve"> HYPERLINK "http://www.lsay.edu.au" </w:instrText>
                            </w:r>
                            <w:r w:rsidRPr="000274CC">
                              <w:fldChar w:fldCharType="separate"/>
                            </w:r>
                            <w:r w:rsidRPr="000274CC">
                              <w:t>http://www.lsay.edu.au</w:t>
                            </w:r>
                            <w:r w:rsidRPr="000274CC">
                              <w:fldChar w:fldCharType="end"/>
                            </w:r>
                            <w:r w:rsidRPr="000274CC">
                              <w:t>&gt;</w:t>
                            </w:r>
                          </w:p>
                          <w:p w:rsidR="005219E8" w:rsidRPr="000274CC" w:rsidRDefault="005219E8" w:rsidP="000274CC">
                            <w:pPr>
                              <w:pStyle w:val="Imprint"/>
                              <w:tabs>
                                <w:tab w:val="left" w:pos="993"/>
                                <w:tab w:val="left" w:pos="3686"/>
                              </w:tabs>
                              <w:spacing w:before="0"/>
                            </w:pPr>
                            <w:r w:rsidRPr="00E65C3B">
                              <w:rPr>
                                <w:b/>
                              </w:rPr>
                              <w:t>Follow us:</w:t>
                            </w:r>
                            <w:r>
                              <w:t xml:space="preserve"> </w:t>
                            </w:r>
                            <w:r>
                              <w:tab/>
                              <w:t xml:space="preserve">  </w:t>
                            </w:r>
                            <w:r>
                              <w:rPr>
                                <w:noProof/>
                                <w:color w:val="000000"/>
                                <w:lang w:eastAsia="en-AU"/>
                              </w:rPr>
                              <w:drawing>
                                <wp:inline distT="0" distB="0" distL="0" distR="0" wp14:anchorId="4574D513" wp14:editId="2E1F1863">
                                  <wp:extent cx="123825" cy="14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&lt;http://twitter.com/ncver&gt;</w:t>
                            </w:r>
                            <w:r>
                              <w:tab/>
                            </w:r>
                            <w:r>
                              <w:rPr>
                                <w:noProof/>
                                <w:color w:val="000000"/>
                                <w:lang w:eastAsia="en-AU"/>
                              </w:rPr>
                              <w:drawing>
                                <wp:inline distT="0" distB="0" distL="0" distR="0" wp14:anchorId="79F769AD" wp14:editId="239DF847">
                                  <wp:extent cx="133350" cy="14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9" type="#_x0000_t202" style="position:absolute;margin-left:.35pt;margin-top:249.9pt;width:381pt;height:4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MNtgIAALs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" filled="f" stroked="f">
                <v:textbox inset="0,,0">
                  <w:txbxContent>
                    <w:p w:rsidR="005219E8" w:rsidRPr="00A021FC" w:rsidRDefault="005219E8" w:rsidP="00642C3F">
                      <w:pPr>
                        <w:pStyle w:val="Imprint"/>
                        <w:rPr>
                          <w:b/>
                        </w:rPr>
                      </w:pPr>
                      <w:r w:rsidRPr="00A021FC">
                        <w:rPr>
                          <w:b/>
                        </w:rPr>
                        <w:t xml:space="preserve">© Commonwealth of Australia, </w:t>
                      </w:r>
                      <w:r>
                        <w:rPr>
                          <w:b/>
                        </w:rPr>
                        <w:t>2015</w:t>
                      </w:r>
                    </w:p>
                    <w:p w:rsidR="005219E8" w:rsidRDefault="005219E8" w:rsidP="00642C3F">
                      <w:pPr>
                        <w:pStyle w:val="Imprint"/>
                        <w:rPr>
                          <w:sz w:val="20"/>
                        </w:rPr>
                      </w:pPr>
                      <w:r w:rsidRPr="00E80270">
                        <w:rPr>
                          <w:noProof/>
                          <w:sz w:val="20"/>
                          <w:lang w:eastAsia="en-AU"/>
                        </w:rPr>
                        <w:drawing>
                          <wp:inline distT="0" distB="0" distL="0" distR="0" wp14:anchorId="137E7FDF" wp14:editId="76FC3B1E">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219E8" w:rsidRPr="00A021FC" w:rsidRDefault="005219E8" w:rsidP="00642C3F">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&lt;http://creativecommons.org/licenses/by/3.0/au&gt; licence. </w:t>
                      </w:r>
                    </w:p>
                    <w:p w:rsidR="005219E8" w:rsidRPr="00A021FC" w:rsidRDefault="005219E8" w:rsidP="00642C3F">
                      <w:pPr>
                        <w:pStyle w:val="Imprint"/>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5219E8" w:rsidRPr="00A021FC" w:rsidRDefault="005219E8" w:rsidP="00642C3F">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5219E8" w:rsidRPr="000274CC" w:rsidRDefault="005219E8" w:rsidP="00642C3F">
                      <w:pPr>
                        <w:pStyle w:val="Imprint"/>
                      </w:pPr>
                      <w:r w:rsidRPr="00A021FC">
                        <w:t>This document should be attributed as</w:t>
                      </w:r>
                      <w:r>
                        <w:t xml:space="preserve"> O’Connor, L &amp;</w:t>
                      </w:r>
                      <w:r w:rsidRPr="00A021FC">
                        <w:t xml:space="preserve"> </w:t>
                      </w:r>
                      <w:r>
                        <w:t>Ackehurst, M (</w:t>
                      </w:r>
                      <w:proofErr w:type="gramStart"/>
                      <w:r>
                        <w:t>eds</w:t>
                      </w:r>
                      <w:proofErr w:type="gramEnd"/>
                      <w:r>
                        <w:t xml:space="preserve">) 2015, </w:t>
                      </w:r>
                      <w:r w:rsidRPr="00652AF2">
                        <w:rPr>
                          <w:i/>
                        </w:rPr>
                        <w:t>23</w:t>
                      </w:r>
                      <w:r w:rsidRPr="00652AF2">
                        <w:rPr>
                          <w:i/>
                          <w:vertAlign w:val="superscript"/>
                        </w:rPr>
                        <w:t>rd</w:t>
                      </w:r>
                      <w:r w:rsidRPr="00652AF2">
                        <w:rPr>
                          <w:i/>
                        </w:rPr>
                        <w:t xml:space="preserve"> National Vocational Education and Training Research Conference </w:t>
                      </w:r>
                      <w:r>
                        <w:rPr>
                          <w:i/>
                        </w:rPr>
                        <w:t>‘</w:t>
                      </w:r>
                      <w:r w:rsidRPr="00652AF2">
                        <w:rPr>
                          <w:i/>
                        </w:rPr>
                        <w:t>No Frills</w:t>
                      </w:r>
                      <w:r>
                        <w:rPr>
                          <w:i/>
                        </w:rPr>
                        <w:t>’</w:t>
                      </w:r>
                      <w:r w:rsidRPr="00652AF2">
                        <w:rPr>
                          <w:i/>
                        </w:rPr>
                        <w:t>: refereed papers</w:t>
                      </w:r>
                      <w:r w:rsidRPr="00A021FC">
                        <w:rPr>
                          <w:i/>
                        </w:rPr>
                        <w:t>,</w:t>
                      </w:r>
                      <w:r w:rsidRPr="00A021FC">
                        <w:t xml:space="preserve"> NCVER, Adelaide.</w:t>
                      </w:r>
                    </w:p>
                    <w:p w:rsidR="005219E8" w:rsidRPr="005C2FCF" w:rsidRDefault="005219E8" w:rsidP="00BA41C1">
                      <w:pPr>
                        <w:pStyle w:val="Imprint"/>
                        <w:rPr>
                          <w:color w:val="000000"/>
                        </w:rPr>
                      </w:pPr>
                      <w:r w:rsidRPr="00516FE1">
                        <w:rPr>
                          <w:color w:val="000000"/>
                        </w:rPr>
                        <w:t>ISBN</w:t>
                      </w:r>
                      <w:r w:rsidRPr="00516FE1">
                        <w:rPr>
                          <w:color w:val="000000"/>
                        </w:rPr>
                        <w:tab/>
                        <w:t>978 1 925173 17 8</w:t>
                      </w:r>
                      <w:r>
                        <w:rPr>
                          <w:color w:val="000000"/>
                        </w:rPr>
                        <w:br/>
                      </w:r>
                      <w:r w:rsidRPr="00516FE1">
                        <w:rPr>
                          <w:color w:val="000000"/>
                        </w:rPr>
                        <w:t>TD/TNC</w:t>
                      </w:r>
                      <w:r w:rsidRPr="00516FE1">
                        <w:rPr>
                          <w:color w:val="000000"/>
                        </w:rPr>
                        <w:tab/>
                        <w:t>120.04</w:t>
                      </w:r>
                    </w:p>
                    <w:p w:rsidR="005219E8" w:rsidRPr="005C2FCF" w:rsidRDefault="005219E8" w:rsidP="00642C3F">
                      <w:pPr>
                        <w:pStyle w:val="Imprint"/>
                        <w:ind w:right="1700"/>
                        <w:rPr>
                          <w:color w:val="000000"/>
                        </w:rPr>
                      </w:pPr>
                      <w:r w:rsidRPr="005C2FCF">
                        <w:rPr>
                          <w:color w:val="000000"/>
                        </w:rPr>
                        <w:t>Published by NCVER</w:t>
                      </w:r>
                      <w:r>
                        <w:rPr>
                          <w:color w:val="000000"/>
                        </w:rPr>
                        <w:t xml:space="preserve">, </w:t>
                      </w:r>
                      <w:r w:rsidRPr="005C2FCF">
                        <w:rPr>
                          <w:color w:val="000000"/>
                        </w:rPr>
                        <w:t xml:space="preserve">ABN </w:t>
                      </w:r>
                      <w:r w:rsidRPr="00516FE1">
                        <w:rPr>
                          <w:color w:val="000000"/>
                        </w:rPr>
                        <w:t>87 007 967 311</w:t>
                      </w:r>
                    </w:p>
                    <w:p w:rsidR="005219E8" w:rsidRPr="005C2FCF" w:rsidRDefault="005219E8" w:rsidP="00642C3F">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5219E8" w:rsidRDefault="005219E8" w:rsidP="000274CC">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5219E8" w:rsidRPr="000274CC" w:rsidRDefault="005219E8" w:rsidP="000274CC">
                      <w:pPr>
                        <w:pStyle w:val="Imprint"/>
                        <w:spacing w:before="0"/>
                      </w:pPr>
                      <w:r w:rsidRPr="002C3573">
                        <w:rPr>
                          <w:b/>
                        </w:rPr>
                        <w:t>Email</w:t>
                      </w:r>
                      <w:r w:rsidRPr="002C3573">
                        <w:t xml:space="preserve"> </w:t>
                      </w:r>
                      <w:hyperlink r:id="rId20" w:history="1">
                        <w:r w:rsidRPr="000274CC">
                          <w:t>ncver@ncver.edu.au</w:t>
                        </w:r>
                      </w:hyperlink>
                      <w:r w:rsidRPr="002C3573">
                        <w:t xml:space="preserve">     </w:t>
                      </w:r>
                      <w:r w:rsidRPr="002C3573">
                        <w:rPr>
                          <w:b/>
                        </w:rPr>
                        <w:t>Web</w:t>
                      </w:r>
                      <w:r w:rsidRPr="002C3573">
                        <w:t xml:space="preserve"> </w:t>
                      </w:r>
                      <w:r w:rsidRPr="000274CC">
                        <w:t>&lt;http://www.ncver.edu.au</w:t>
                      </w:r>
                      <w:proofErr w:type="gramStart"/>
                      <w:r w:rsidRPr="000274CC">
                        <w:t>&gt;</w:t>
                      </w:r>
                      <w:r w:rsidRPr="002C3573">
                        <w:t xml:space="preserve">  </w:t>
                      </w:r>
                      <w:r w:rsidRPr="000274CC">
                        <w:t>&lt;</w:t>
                      </w:r>
                      <w:proofErr w:type="gramEnd"/>
                      <w:r w:rsidRPr="000274CC">
                        <w:fldChar w:fldCharType="begin"/>
                      </w:r>
                      <w:r w:rsidRPr="000274CC">
                        <w:instrText xml:space="preserve"> HYPERLINK "http://www.lsay.edu.au" </w:instrText>
                      </w:r>
                      <w:r w:rsidRPr="000274CC">
                        <w:fldChar w:fldCharType="separate"/>
                      </w:r>
                      <w:r w:rsidRPr="000274CC">
                        <w:t>http://www.lsay.edu.au</w:t>
                      </w:r>
                      <w:r w:rsidRPr="000274CC">
                        <w:fldChar w:fldCharType="end"/>
                      </w:r>
                      <w:r w:rsidRPr="000274CC">
                        <w:t>&gt;</w:t>
                      </w:r>
                    </w:p>
                    <w:p w:rsidR="005219E8" w:rsidRPr="000274CC" w:rsidRDefault="005219E8" w:rsidP="000274CC">
                      <w:pPr>
                        <w:pStyle w:val="Imprint"/>
                        <w:tabs>
                          <w:tab w:val="left" w:pos="993"/>
                          <w:tab w:val="left" w:pos="3686"/>
                        </w:tabs>
                        <w:spacing w:before="0"/>
                      </w:pPr>
                      <w:r w:rsidRPr="00E65C3B">
                        <w:rPr>
                          <w:b/>
                        </w:rPr>
                        <w:t>Follow us:</w:t>
                      </w:r>
                      <w:r>
                        <w:t xml:space="preserve"> </w:t>
                      </w:r>
                      <w:r>
                        <w:tab/>
                        <w:t xml:space="preserve">  </w:t>
                      </w:r>
                      <w:r>
                        <w:rPr>
                          <w:noProof/>
                          <w:color w:val="000000"/>
                          <w:lang w:eastAsia="en-AU"/>
                        </w:rPr>
                        <w:drawing>
                          <wp:inline distT="0" distB="0" distL="0" distR="0" wp14:anchorId="4574D513" wp14:editId="2E1F1863">
                            <wp:extent cx="123825" cy="14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&lt;http://twitter.com/ncver&gt;</w:t>
                      </w:r>
                      <w:r>
                        <w:tab/>
                      </w:r>
                      <w:r>
                        <w:rPr>
                          <w:noProof/>
                          <w:color w:val="000000"/>
                          <w:lang w:eastAsia="en-AU"/>
                        </w:rPr>
                        <w:drawing>
                          <wp:inline distT="0" distB="0" distL="0" distR="0" wp14:anchorId="79F769AD" wp14:editId="239DF847">
                            <wp:extent cx="133350" cy="14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txbxContent>
                </v:textbox>
              </v:shape>
            </w:pict>
          </mc:Fallback>
        </mc:AlternateContent>
      </w:r>
      <w:r w:rsidR="00642C3F" w:rsidRPr="005C2FCF">
        <w:br w:type="page"/>
      </w:r>
    </w:p>
    <w:p w:rsidR="00430B34" w:rsidRDefault="00430B34" w:rsidP="0049453B">
      <w:pPr>
        <w:pStyle w:val="Abouttheresearch"/>
      </w:pPr>
    </w:p>
    <w:p w:rsidR="00430B34" w:rsidRDefault="00430B34">
      <w:pPr>
        <w:spacing w:before="0" w:line="240" w:lineRule="auto"/>
        <w:rPr>
          <w:rFonts w:ascii="Tahoma" w:hAnsi="Tahoma" w:cs="Tahoma"/>
          <w:color w:val="000000"/>
          <w:kern w:val="28"/>
          <w:sz w:val="56"/>
          <w:szCs w:val="56"/>
        </w:rPr>
      </w:pPr>
      <w:r>
        <w:br w:type="page"/>
      </w:r>
      <w:r w:rsidR="002E76AC">
        <w:rPr>
          <w:noProof/>
          <w:lang w:eastAsia="en-AU"/>
        </w:rPr>
        <mc:AlternateContent>
          <mc:Choice Requires="wps">
            <w:drawing>
              <wp:anchor distT="0" distB="0" distL="114300" distR="114300" simplePos="0" relativeHeight="251766784" behindDoc="0" locked="0" layoutInCell="1" allowOverlap="1" wp14:anchorId="6673783B" wp14:editId="76D85E8D">
                <wp:simplePos x="0" y="0"/>
                <wp:positionH relativeFrom="column">
                  <wp:posOffset>156845</wp:posOffset>
                </wp:positionH>
                <wp:positionV relativeFrom="paragraph">
                  <wp:posOffset>2896235</wp:posOffset>
                </wp:positionV>
                <wp:extent cx="4838700" cy="5791200"/>
                <wp:effectExtent l="0" t="0" r="0" b="0"/>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9E8" w:rsidRPr="00A021FC" w:rsidRDefault="005219E8" w:rsidP="002E76AC">
                            <w:pPr>
                              <w:pStyle w:val="Imprint"/>
                              <w:rPr>
                                <w:b/>
                              </w:rPr>
                            </w:pPr>
                            <w:r w:rsidRPr="00A021FC">
                              <w:rPr>
                                <w:b/>
                              </w:rPr>
                              <w:t xml:space="preserve">© Commonwealth of Australia, </w:t>
                            </w:r>
                            <w:r>
                              <w:rPr>
                                <w:b/>
                              </w:rPr>
                              <w:t>2015</w:t>
                            </w:r>
                          </w:p>
                          <w:p w:rsidR="005219E8" w:rsidRDefault="005219E8" w:rsidP="002E76AC">
                            <w:pPr>
                              <w:pStyle w:val="Imprint"/>
                              <w:rPr>
                                <w:sz w:val="20"/>
                              </w:rPr>
                            </w:pPr>
                            <w:r w:rsidRPr="00E80270">
                              <w:rPr>
                                <w:noProof/>
                                <w:sz w:val="20"/>
                                <w:lang w:eastAsia="en-AU"/>
                              </w:rPr>
                              <w:drawing>
                                <wp:inline distT="0" distB="0" distL="0" distR="0" wp14:anchorId="07BA05E4" wp14:editId="0680AC50">
                                  <wp:extent cx="850265" cy="302895"/>
                                  <wp:effectExtent l="19050" t="0" r="6985" b="0"/>
                                  <wp:docPr id="1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219E8" w:rsidRPr="00A021FC" w:rsidRDefault="005219E8" w:rsidP="002E76AC">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&lt;http://creativecommons.org/licenses/by/3.0/au&gt; licence. </w:t>
                            </w:r>
                          </w:p>
                          <w:p w:rsidR="005219E8" w:rsidRPr="00A021FC" w:rsidRDefault="005219E8" w:rsidP="002E76AC">
                            <w:pPr>
                              <w:pStyle w:val="Imprint"/>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5219E8" w:rsidRPr="00A021FC" w:rsidRDefault="005219E8" w:rsidP="002E76AC">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5219E8" w:rsidRPr="000274CC" w:rsidRDefault="005219E8" w:rsidP="002E76AC">
                            <w:pPr>
                              <w:pStyle w:val="Imprint"/>
                            </w:pPr>
                            <w:r w:rsidRPr="00A021FC">
                              <w:t>This document should be attributed as</w:t>
                            </w:r>
                            <w:r>
                              <w:t xml:space="preserve"> O’Connor, L &amp;</w:t>
                            </w:r>
                            <w:r w:rsidRPr="00A021FC">
                              <w:t xml:space="preserve"> </w:t>
                            </w:r>
                            <w:r>
                              <w:t>Ackehurst, M (</w:t>
                            </w:r>
                            <w:proofErr w:type="gramStart"/>
                            <w:r>
                              <w:t>eds</w:t>
                            </w:r>
                            <w:proofErr w:type="gramEnd"/>
                            <w:r>
                              <w:t xml:space="preserve">) 2015, </w:t>
                            </w:r>
                            <w:r w:rsidRPr="00652AF2">
                              <w:rPr>
                                <w:i/>
                              </w:rPr>
                              <w:t>23</w:t>
                            </w:r>
                            <w:r w:rsidRPr="00652AF2">
                              <w:rPr>
                                <w:i/>
                                <w:vertAlign w:val="superscript"/>
                              </w:rPr>
                              <w:t>rd</w:t>
                            </w:r>
                            <w:r w:rsidRPr="00652AF2">
                              <w:rPr>
                                <w:i/>
                              </w:rPr>
                              <w:t xml:space="preserve"> National Vocational Education and Training Research Conference </w:t>
                            </w:r>
                            <w:r>
                              <w:rPr>
                                <w:i/>
                              </w:rPr>
                              <w:t>‘</w:t>
                            </w:r>
                            <w:r w:rsidRPr="00652AF2">
                              <w:rPr>
                                <w:i/>
                              </w:rPr>
                              <w:t>No Frills</w:t>
                            </w:r>
                            <w:r>
                              <w:rPr>
                                <w:i/>
                              </w:rPr>
                              <w:t>’</w:t>
                            </w:r>
                            <w:r w:rsidRPr="00652AF2">
                              <w:rPr>
                                <w:i/>
                              </w:rPr>
                              <w:t>: refereed papers</w:t>
                            </w:r>
                            <w:r w:rsidRPr="00A021FC">
                              <w:rPr>
                                <w:i/>
                              </w:rPr>
                              <w:t>,</w:t>
                            </w:r>
                            <w:r w:rsidRPr="00A021FC">
                              <w:t xml:space="preserve"> NCVER, Adelaide.</w:t>
                            </w:r>
                          </w:p>
                          <w:p w:rsidR="005219E8" w:rsidRPr="005C2FCF" w:rsidRDefault="005219E8" w:rsidP="002E76AC">
                            <w:pPr>
                              <w:pStyle w:val="Imprint"/>
                              <w:rPr>
                                <w:color w:val="000000"/>
                              </w:rPr>
                            </w:pPr>
                            <w:r w:rsidRPr="00516FE1">
                              <w:rPr>
                                <w:color w:val="000000"/>
                              </w:rPr>
                              <w:t>ISBN</w:t>
                            </w:r>
                            <w:r w:rsidRPr="00516FE1">
                              <w:rPr>
                                <w:color w:val="000000"/>
                              </w:rPr>
                              <w:tab/>
                              <w:t>978 1 925173 17 8</w:t>
                            </w:r>
                            <w:r>
                              <w:rPr>
                                <w:color w:val="000000"/>
                              </w:rPr>
                              <w:br/>
                            </w:r>
                            <w:r w:rsidRPr="00516FE1">
                              <w:rPr>
                                <w:color w:val="000000"/>
                              </w:rPr>
                              <w:t>TD/TNC</w:t>
                            </w:r>
                            <w:r w:rsidRPr="00516FE1">
                              <w:rPr>
                                <w:color w:val="000000"/>
                              </w:rPr>
                              <w:tab/>
                              <w:t>120.04</w:t>
                            </w:r>
                          </w:p>
                          <w:p w:rsidR="005219E8" w:rsidRPr="005C2FCF" w:rsidRDefault="005219E8" w:rsidP="002E76AC">
                            <w:pPr>
                              <w:pStyle w:val="Imprint"/>
                              <w:ind w:right="1700"/>
                              <w:rPr>
                                <w:color w:val="000000"/>
                              </w:rPr>
                            </w:pPr>
                            <w:r w:rsidRPr="005C2FCF">
                              <w:rPr>
                                <w:color w:val="000000"/>
                              </w:rPr>
                              <w:t>Published by NCVER</w:t>
                            </w:r>
                            <w:r>
                              <w:rPr>
                                <w:color w:val="000000"/>
                              </w:rPr>
                              <w:t xml:space="preserve">, </w:t>
                            </w:r>
                            <w:r w:rsidRPr="005C2FCF">
                              <w:rPr>
                                <w:color w:val="000000"/>
                              </w:rPr>
                              <w:t xml:space="preserve">ABN </w:t>
                            </w:r>
                            <w:r w:rsidRPr="00516FE1">
                              <w:rPr>
                                <w:color w:val="000000"/>
                              </w:rPr>
                              <w:t>87 007 967 311</w:t>
                            </w:r>
                          </w:p>
                          <w:p w:rsidR="005219E8" w:rsidRPr="005C2FCF" w:rsidRDefault="005219E8" w:rsidP="002E76AC">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5219E8" w:rsidRDefault="005219E8" w:rsidP="002E76AC">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5219E8" w:rsidRPr="000274CC" w:rsidRDefault="005219E8" w:rsidP="002E76AC">
                            <w:pPr>
                              <w:pStyle w:val="Imprint"/>
                              <w:spacing w:before="0"/>
                            </w:pPr>
                            <w:r w:rsidRPr="002C3573">
                              <w:rPr>
                                <w:b/>
                              </w:rPr>
                              <w:t>Email</w:t>
                            </w:r>
                            <w:r w:rsidRPr="002C3573">
                              <w:t xml:space="preserve"> </w:t>
                            </w:r>
                            <w:hyperlink r:id="rId23" w:history="1">
                              <w:r w:rsidRPr="000274CC">
                                <w:t>ncver@ncver.edu.au</w:t>
                              </w:r>
                            </w:hyperlink>
                            <w:r w:rsidRPr="002C3573">
                              <w:t xml:space="preserve">     </w:t>
                            </w:r>
                            <w:r w:rsidRPr="002C3573">
                              <w:rPr>
                                <w:b/>
                              </w:rPr>
                              <w:t>Web</w:t>
                            </w:r>
                            <w:r w:rsidRPr="002C3573">
                              <w:t xml:space="preserve"> </w:t>
                            </w:r>
                            <w:r w:rsidRPr="000274CC">
                              <w:t>&lt;http://www.ncver.edu.au&gt;</w:t>
                            </w:r>
                            <w:r w:rsidRPr="002C3573">
                              <w:t xml:space="preserve">  </w:t>
                            </w:r>
                            <w:r w:rsidRPr="000274CC">
                              <w:t>&lt;</w:t>
                            </w:r>
                            <w:hyperlink r:id="rId24" w:history="1">
                              <w:r w:rsidRPr="000274CC">
                                <w:t>http://www.lsay.edu.au</w:t>
                              </w:r>
                            </w:hyperlink>
                            <w:r w:rsidRPr="000274CC">
                              <w:t>&gt;</w:t>
                            </w:r>
                          </w:p>
                          <w:p w:rsidR="005219E8" w:rsidRPr="000274CC" w:rsidRDefault="005219E8" w:rsidP="002E76AC">
                            <w:pPr>
                              <w:pStyle w:val="Imprint"/>
                              <w:tabs>
                                <w:tab w:val="left" w:pos="993"/>
                                <w:tab w:val="left" w:pos="3686"/>
                              </w:tabs>
                              <w:spacing w:before="0"/>
                            </w:pPr>
                            <w:r w:rsidRPr="00E65C3B">
                              <w:rPr>
                                <w:b/>
                              </w:rPr>
                              <w:t>Follow us:</w:t>
                            </w:r>
                            <w:r>
                              <w:t xml:space="preserve"> </w:t>
                            </w:r>
                            <w:r>
                              <w:tab/>
                              <w:t xml:space="preserve">  </w:t>
                            </w:r>
                            <w:r>
                              <w:rPr>
                                <w:noProof/>
                                <w:color w:val="000000"/>
                                <w:lang w:eastAsia="en-AU"/>
                              </w:rPr>
                              <w:drawing>
                                <wp:inline distT="0" distB="0" distL="0" distR="0" wp14:anchorId="115F1A2F" wp14:editId="087C3B7E">
                                  <wp:extent cx="123825" cy="142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&lt;http://twitter.com/ncver&gt;</w:t>
                            </w:r>
                            <w:r>
                              <w:tab/>
                            </w:r>
                            <w:r>
                              <w:rPr>
                                <w:noProof/>
                                <w:color w:val="000000"/>
                                <w:lang w:eastAsia="en-AU"/>
                              </w:rPr>
                              <w:drawing>
                                <wp:inline distT="0" distB="0" distL="0" distR="0" wp14:anchorId="21031004" wp14:editId="0D8A289F">
                                  <wp:extent cx="133350" cy="142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2.35pt;margin-top:228.05pt;width:381pt;height:45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Y9tgIAALo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" filled="f" stroked="f">
                <v:textbox inset="0,,0">
                  <w:txbxContent>
                    <w:p w:rsidR="005219E8" w:rsidRPr="00A021FC" w:rsidRDefault="005219E8" w:rsidP="002E76AC">
                      <w:pPr>
                        <w:pStyle w:val="Imprint"/>
                        <w:rPr>
                          <w:b/>
                        </w:rPr>
                      </w:pPr>
                      <w:r w:rsidRPr="00A021FC">
                        <w:rPr>
                          <w:b/>
                        </w:rPr>
                        <w:t xml:space="preserve">© Commonwealth of Australia, </w:t>
                      </w:r>
                      <w:r>
                        <w:rPr>
                          <w:b/>
                        </w:rPr>
                        <w:t>2015</w:t>
                      </w:r>
                    </w:p>
                    <w:p w:rsidR="005219E8" w:rsidRDefault="005219E8" w:rsidP="002E76AC">
                      <w:pPr>
                        <w:pStyle w:val="Imprint"/>
                        <w:rPr>
                          <w:sz w:val="20"/>
                        </w:rPr>
                      </w:pPr>
                      <w:r w:rsidRPr="00E80270">
                        <w:rPr>
                          <w:noProof/>
                          <w:sz w:val="20"/>
                          <w:lang w:eastAsia="en-AU"/>
                        </w:rPr>
                        <w:drawing>
                          <wp:inline distT="0" distB="0" distL="0" distR="0" wp14:anchorId="07BA05E4" wp14:editId="0680AC50">
                            <wp:extent cx="850265" cy="302895"/>
                            <wp:effectExtent l="19050" t="0" r="6985" b="0"/>
                            <wp:docPr id="1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219E8" w:rsidRPr="00A021FC" w:rsidRDefault="005219E8" w:rsidP="002E76AC">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&lt;http://creativecommons.org/licenses/by/3.0/au&gt; licence. </w:t>
                      </w:r>
                    </w:p>
                    <w:p w:rsidR="005219E8" w:rsidRPr="00A021FC" w:rsidRDefault="005219E8" w:rsidP="002E76AC">
                      <w:pPr>
                        <w:pStyle w:val="Imprint"/>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5219E8" w:rsidRPr="00A021FC" w:rsidRDefault="005219E8" w:rsidP="002E76AC">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5219E8" w:rsidRPr="000274CC" w:rsidRDefault="005219E8" w:rsidP="002E76AC">
                      <w:pPr>
                        <w:pStyle w:val="Imprint"/>
                      </w:pPr>
                      <w:r w:rsidRPr="00A021FC">
                        <w:t>This document should be attributed as</w:t>
                      </w:r>
                      <w:r>
                        <w:t xml:space="preserve"> O’Connor, L &amp;</w:t>
                      </w:r>
                      <w:r w:rsidRPr="00A021FC">
                        <w:t xml:space="preserve"> </w:t>
                      </w:r>
                      <w:r>
                        <w:t>Ackehurst, M (</w:t>
                      </w:r>
                      <w:proofErr w:type="gramStart"/>
                      <w:r>
                        <w:t>eds</w:t>
                      </w:r>
                      <w:proofErr w:type="gramEnd"/>
                      <w:r>
                        <w:t xml:space="preserve">) 2015, </w:t>
                      </w:r>
                      <w:r w:rsidRPr="00652AF2">
                        <w:rPr>
                          <w:i/>
                        </w:rPr>
                        <w:t>23</w:t>
                      </w:r>
                      <w:r w:rsidRPr="00652AF2">
                        <w:rPr>
                          <w:i/>
                          <w:vertAlign w:val="superscript"/>
                        </w:rPr>
                        <w:t>rd</w:t>
                      </w:r>
                      <w:r w:rsidRPr="00652AF2">
                        <w:rPr>
                          <w:i/>
                        </w:rPr>
                        <w:t xml:space="preserve"> National Vocational Education and Training Research Conference </w:t>
                      </w:r>
                      <w:r>
                        <w:rPr>
                          <w:i/>
                        </w:rPr>
                        <w:t>‘</w:t>
                      </w:r>
                      <w:r w:rsidRPr="00652AF2">
                        <w:rPr>
                          <w:i/>
                        </w:rPr>
                        <w:t>No Frills</w:t>
                      </w:r>
                      <w:r>
                        <w:rPr>
                          <w:i/>
                        </w:rPr>
                        <w:t>’</w:t>
                      </w:r>
                      <w:r w:rsidRPr="00652AF2">
                        <w:rPr>
                          <w:i/>
                        </w:rPr>
                        <w:t>: refereed papers</w:t>
                      </w:r>
                      <w:r w:rsidRPr="00A021FC">
                        <w:rPr>
                          <w:i/>
                        </w:rPr>
                        <w:t>,</w:t>
                      </w:r>
                      <w:r w:rsidRPr="00A021FC">
                        <w:t xml:space="preserve"> NCVER, Adelaide.</w:t>
                      </w:r>
                    </w:p>
                    <w:p w:rsidR="005219E8" w:rsidRPr="005C2FCF" w:rsidRDefault="005219E8" w:rsidP="002E76AC">
                      <w:pPr>
                        <w:pStyle w:val="Imprint"/>
                        <w:rPr>
                          <w:color w:val="000000"/>
                        </w:rPr>
                      </w:pPr>
                      <w:r w:rsidRPr="00516FE1">
                        <w:rPr>
                          <w:color w:val="000000"/>
                        </w:rPr>
                        <w:t>ISBN</w:t>
                      </w:r>
                      <w:r w:rsidRPr="00516FE1">
                        <w:rPr>
                          <w:color w:val="000000"/>
                        </w:rPr>
                        <w:tab/>
                        <w:t>978 1 925173 17 8</w:t>
                      </w:r>
                      <w:r>
                        <w:rPr>
                          <w:color w:val="000000"/>
                        </w:rPr>
                        <w:br/>
                      </w:r>
                      <w:r w:rsidRPr="00516FE1">
                        <w:rPr>
                          <w:color w:val="000000"/>
                        </w:rPr>
                        <w:t>TD/TNC</w:t>
                      </w:r>
                      <w:r w:rsidRPr="00516FE1">
                        <w:rPr>
                          <w:color w:val="000000"/>
                        </w:rPr>
                        <w:tab/>
                        <w:t>120.04</w:t>
                      </w:r>
                    </w:p>
                    <w:p w:rsidR="005219E8" w:rsidRPr="005C2FCF" w:rsidRDefault="005219E8" w:rsidP="002E76AC">
                      <w:pPr>
                        <w:pStyle w:val="Imprint"/>
                        <w:ind w:right="1700"/>
                        <w:rPr>
                          <w:color w:val="000000"/>
                        </w:rPr>
                      </w:pPr>
                      <w:r w:rsidRPr="005C2FCF">
                        <w:rPr>
                          <w:color w:val="000000"/>
                        </w:rPr>
                        <w:t>Published by NCVER</w:t>
                      </w:r>
                      <w:r>
                        <w:rPr>
                          <w:color w:val="000000"/>
                        </w:rPr>
                        <w:t xml:space="preserve">, </w:t>
                      </w:r>
                      <w:r w:rsidRPr="005C2FCF">
                        <w:rPr>
                          <w:color w:val="000000"/>
                        </w:rPr>
                        <w:t xml:space="preserve">ABN </w:t>
                      </w:r>
                      <w:r w:rsidRPr="00516FE1">
                        <w:rPr>
                          <w:color w:val="000000"/>
                        </w:rPr>
                        <w:t>87 007 967 311</w:t>
                      </w:r>
                    </w:p>
                    <w:p w:rsidR="005219E8" w:rsidRPr="005C2FCF" w:rsidRDefault="005219E8" w:rsidP="002E76AC">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5219E8" w:rsidRDefault="005219E8" w:rsidP="002E76AC">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5219E8" w:rsidRPr="000274CC" w:rsidRDefault="005219E8" w:rsidP="002E76AC">
                      <w:pPr>
                        <w:pStyle w:val="Imprint"/>
                        <w:spacing w:before="0"/>
                      </w:pPr>
                      <w:r w:rsidRPr="002C3573">
                        <w:rPr>
                          <w:b/>
                        </w:rPr>
                        <w:t>Email</w:t>
                      </w:r>
                      <w:r w:rsidRPr="002C3573">
                        <w:t xml:space="preserve"> </w:t>
                      </w:r>
                      <w:hyperlink r:id="rId25" w:history="1">
                        <w:r w:rsidRPr="000274CC">
                          <w:t>ncver@ncver.edu.au</w:t>
                        </w:r>
                      </w:hyperlink>
                      <w:r w:rsidRPr="002C3573">
                        <w:t xml:space="preserve">     </w:t>
                      </w:r>
                      <w:r w:rsidRPr="002C3573">
                        <w:rPr>
                          <w:b/>
                        </w:rPr>
                        <w:t>Web</w:t>
                      </w:r>
                      <w:r w:rsidRPr="002C3573">
                        <w:t xml:space="preserve"> </w:t>
                      </w:r>
                      <w:r w:rsidRPr="000274CC">
                        <w:t>&lt;http://www.ncver.edu.au&gt;</w:t>
                      </w:r>
                      <w:r w:rsidRPr="002C3573">
                        <w:t xml:space="preserve">  </w:t>
                      </w:r>
                      <w:r w:rsidRPr="000274CC">
                        <w:t>&lt;</w:t>
                      </w:r>
                      <w:hyperlink r:id="rId26" w:history="1">
                        <w:r w:rsidRPr="000274CC">
                          <w:t>http://www.lsay.edu.au</w:t>
                        </w:r>
                      </w:hyperlink>
                      <w:r w:rsidRPr="000274CC">
                        <w:t>&gt;</w:t>
                      </w:r>
                    </w:p>
                    <w:p w:rsidR="005219E8" w:rsidRPr="000274CC" w:rsidRDefault="005219E8" w:rsidP="002E76AC">
                      <w:pPr>
                        <w:pStyle w:val="Imprint"/>
                        <w:tabs>
                          <w:tab w:val="left" w:pos="993"/>
                          <w:tab w:val="left" w:pos="3686"/>
                        </w:tabs>
                        <w:spacing w:before="0"/>
                      </w:pPr>
                      <w:r w:rsidRPr="00E65C3B">
                        <w:rPr>
                          <w:b/>
                        </w:rPr>
                        <w:t>Follow us:</w:t>
                      </w:r>
                      <w:r>
                        <w:t xml:space="preserve"> </w:t>
                      </w:r>
                      <w:r>
                        <w:tab/>
                        <w:t xml:space="preserve">  </w:t>
                      </w:r>
                      <w:r>
                        <w:rPr>
                          <w:noProof/>
                          <w:color w:val="000000"/>
                          <w:lang w:eastAsia="en-AU"/>
                        </w:rPr>
                        <w:drawing>
                          <wp:inline distT="0" distB="0" distL="0" distR="0" wp14:anchorId="115F1A2F" wp14:editId="087C3B7E">
                            <wp:extent cx="123825" cy="142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&lt;http://twitter.com/ncver&gt;</w:t>
                      </w:r>
                      <w:r>
                        <w:tab/>
                      </w:r>
                      <w:r>
                        <w:rPr>
                          <w:noProof/>
                          <w:color w:val="000000"/>
                          <w:lang w:eastAsia="en-AU"/>
                        </w:rPr>
                        <w:drawing>
                          <wp:inline distT="0" distB="0" distL="0" distR="0" wp14:anchorId="21031004" wp14:editId="0D8A289F">
                            <wp:extent cx="133350" cy="142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txbxContent>
                </v:textbox>
              </v:shape>
            </w:pict>
          </mc:Fallback>
        </mc:AlternateContent>
      </w:r>
    </w:p>
    <w:p w:rsidR="009E231A" w:rsidRPr="00C77DC6" w:rsidRDefault="00FE4A2D" w:rsidP="0049453B">
      <w:pPr>
        <w:pStyle w:val="Abouttheresearch"/>
      </w:pPr>
      <w:r w:rsidRPr="005C2FCF">
        <w:lastRenderedPageBreak/>
        <w:t>About the research</w:t>
      </w:r>
      <w:bookmarkEnd w:id="0"/>
      <w:bookmarkEnd w:id="1"/>
      <w:bookmarkEnd w:id="2"/>
      <w:bookmarkEnd w:id="3"/>
      <w:bookmarkEnd w:id="4"/>
      <w:bookmarkEnd w:id="5"/>
      <w:bookmarkEnd w:id="6"/>
      <w:bookmarkEnd w:id="7"/>
      <w:bookmarkEnd w:id="8"/>
      <w:bookmarkEnd w:id="9"/>
      <w:bookmarkEnd w:id="10"/>
      <w:bookmarkEnd w:id="11"/>
      <w:bookmarkEnd w:id="12"/>
    </w:p>
    <w:p w:rsidR="001B43CF" w:rsidRDefault="00471E6C" w:rsidP="00F93048">
      <w:pPr>
        <w:pStyle w:val="Abouttheresearchpubtitle"/>
      </w:pPr>
      <w:bookmarkStart w:id="13" w:name="_Toc98394877"/>
      <w:r>
        <w:t>The 2</w:t>
      </w:r>
      <w:r w:rsidR="00652AF2">
        <w:t>3rd</w:t>
      </w:r>
      <w:r>
        <w:t xml:space="preserve"> National Vocational Education and Training Research Conference</w:t>
      </w:r>
      <w:r w:rsidR="006B4E7B">
        <w:t xml:space="preserve"> ‘No Frills’</w:t>
      </w:r>
      <w:r>
        <w:t xml:space="preserve">: </w:t>
      </w:r>
      <w:r w:rsidR="00422DBF">
        <w:t>refereed papers</w:t>
      </w:r>
    </w:p>
    <w:bookmarkEnd w:id="13"/>
    <w:p w:rsidR="009E231A" w:rsidRPr="001B43CF" w:rsidRDefault="00471E6C" w:rsidP="00874DA5">
      <w:pPr>
        <w:pStyle w:val="Heading3"/>
      </w:pPr>
      <w:r>
        <w:t>NCVER</w:t>
      </w:r>
    </w:p>
    <w:p w:rsidR="00471E6C" w:rsidRPr="00096228" w:rsidRDefault="00471E6C" w:rsidP="00BA41C1">
      <w:pPr>
        <w:pStyle w:val="Text"/>
        <w:spacing w:before="360"/>
        <w:ind w:right="141"/>
      </w:pPr>
      <w:bookmarkStart w:id="14" w:name="_Toc98394878"/>
      <w:bookmarkStart w:id="15" w:name="_Toc296423682"/>
      <w:bookmarkStart w:id="16" w:name="_Toc296497513"/>
      <w:r w:rsidRPr="00096228">
        <w:t>The 2</w:t>
      </w:r>
      <w:r w:rsidR="00652AF2" w:rsidRPr="00096228">
        <w:t>3rd</w:t>
      </w:r>
      <w:r w:rsidRPr="00096228">
        <w:t xml:space="preserve"> National Vocational Education and Training Research Conference, colloquially known as </w:t>
      </w:r>
      <w:r w:rsidR="004C5471">
        <w:t>‘</w:t>
      </w:r>
      <w:r w:rsidRPr="00096228">
        <w:t>No</w:t>
      </w:r>
      <w:r w:rsidR="00BA41C1">
        <w:t> </w:t>
      </w:r>
      <w:r w:rsidRPr="00096228">
        <w:t>Frills</w:t>
      </w:r>
      <w:r w:rsidR="004C5471">
        <w:t>’</w:t>
      </w:r>
      <w:r w:rsidRPr="00096228">
        <w:t>, was held in July 201</w:t>
      </w:r>
      <w:r w:rsidR="00652AF2" w:rsidRPr="00096228">
        <w:t>4</w:t>
      </w:r>
      <w:r w:rsidRPr="00096228">
        <w:t xml:space="preserve">. </w:t>
      </w:r>
    </w:p>
    <w:p w:rsidR="00471E6C" w:rsidRPr="00096228" w:rsidRDefault="00B230ED" w:rsidP="00BA41C1">
      <w:pPr>
        <w:pStyle w:val="Text"/>
        <w:ind w:right="141"/>
      </w:pPr>
      <w:r>
        <w:t>R</w:t>
      </w:r>
      <w:r w:rsidR="00471E6C" w:rsidRPr="00096228">
        <w:t xml:space="preserve">esearchers and practitioners </w:t>
      </w:r>
      <w:r w:rsidR="00702C7A" w:rsidRPr="00096228">
        <w:t xml:space="preserve">from a range of disciplines </w:t>
      </w:r>
      <w:r w:rsidR="00471E6C" w:rsidRPr="00096228">
        <w:t xml:space="preserve">in the vocational education and training (VET) sector </w:t>
      </w:r>
      <w:r>
        <w:t>gathered</w:t>
      </w:r>
      <w:r w:rsidR="00471E6C" w:rsidRPr="00096228">
        <w:t xml:space="preserve"> </w:t>
      </w:r>
      <w:r>
        <w:t>a</w:t>
      </w:r>
      <w:r w:rsidRPr="00096228">
        <w:t xml:space="preserve">t the conference </w:t>
      </w:r>
      <w:r w:rsidR="00471E6C" w:rsidRPr="00096228">
        <w:t>to share information about key issues confronting the sector.</w:t>
      </w:r>
      <w:r w:rsidR="00702C7A" w:rsidRPr="00096228">
        <w:t xml:space="preserve"> </w:t>
      </w:r>
      <w:r w:rsidR="00471E6C" w:rsidRPr="00096228">
        <w:t xml:space="preserve">A select few speakers at the conference were also offered the opportunity to have their papers peer-reviewed, and these </w:t>
      </w:r>
      <w:r w:rsidR="00096228" w:rsidRPr="00096228">
        <w:t>nine</w:t>
      </w:r>
      <w:r w:rsidR="00471E6C" w:rsidRPr="00096228">
        <w:t xml:space="preserve"> refereed papers have been compiled into this book of conference proceedings.</w:t>
      </w:r>
    </w:p>
    <w:p w:rsidR="00096228" w:rsidRPr="00096228" w:rsidRDefault="00471E6C" w:rsidP="00BA41C1">
      <w:pPr>
        <w:pStyle w:val="Text"/>
        <w:ind w:right="141"/>
      </w:pPr>
      <w:r w:rsidRPr="00096228">
        <w:t>The pape</w:t>
      </w:r>
      <w:r w:rsidR="00F701DD" w:rsidRPr="00096228">
        <w:t>rs span a broad range of topics</w:t>
      </w:r>
      <w:r w:rsidR="005C4B7F">
        <w:t>,</w:t>
      </w:r>
      <w:r w:rsidR="00E4732C">
        <w:t xml:space="preserve"> and include</w:t>
      </w:r>
      <w:r w:rsidR="00702C7A" w:rsidRPr="00096228">
        <w:t xml:space="preserve"> </w:t>
      </w:r>
      <w:r w:rsidR="00F701DD" w:rsidRPr="00096228">
        <w:t xml:space="preserve">pathways and </w:t>
      </w:r>
      <w:r w:rsidR="00096228" w:rsidRPr="00096228">
        <w:t>student mobility between VET and higher education</w:t>
      </w:r>
      <w:r w:rsidR="00F701DD" w:rsidRPr="00096228">
        <w:t xml:space="preserve">, </w:t>
      </w:r>
      <w:r w:rsidR="00096228" w:rsidRPr="00096228">
        <w:t>student aspirations, access to education and training, and issues involved with</w:t>
      </w:r>
      <w:r w:rsidR="00BA41C1">
        <w:t> </w:t>
      </w:r>
      <w:r w:rsidR="00096228" w:rsidRPr="00096228">
        <w:t>VET reform.</w:t>
      </w:r>
    </w:p>
    <w:p w:rsidR="00471E6C" w:rsidRPr="00096228" w:rsidRDefault="00702C7A" w:rsidP="00BA41C1">
      <w:pPr>
        <w:pStyle w:val="Text"/>
        <w:ind w:right="141"/>
      </w:pPr>
      <w:r w:rsidRPr="00096228">
        <w:t>It is hoped that these</w:t>
      </w:r>
      <w:r w:rsidR="00471E6C" w:rsidRPr="00096228">
        <w:t xml:space="preserve"> papers</w:t>
      </w:r>
      <w:r w:rsidRPr="00096228">
        <w:t xml:space="preserve"> will</w:t>
      </w:r>
      <w:r w:rsidR="00471E6C" w:rsidRPr="00096228">
        <w:t xml:space="preserve"> provide an insight into the array of topics presented at the </w:t>
      </w:r>
      <w:r w:rsidR="005C4B7F">
        <w:t>No Frills c</w:t>
      </w:r>
      <w:r w:rsidR="00471E6C" w:rsidRPr="00096228">
        <w:t>onference</w:t>
      </w:r>
      <w:r w:rsidRPr="00096228">
        <w:t>s</w:t>
      </w:r>
      <w:r w:rsidR="00471E6C" w:rsidRPr="00096228">
        <w:t xml:space="preserve"> and generate interest in attending future conference</w:t>
      </w:r>
      <w:r w:rsidRPr="00096228">
        <w:t>s.</w:t>
      </w:r>
    </w:p>
    <w:bookmarkEnd w:id="14"/>
    <w:bookmarkEnd w:id="15"/>
    <w:bookmarkEnd w:id="16"/>
    <w:p w:rsidR="00096228" w:rsidRPr="00096228" w:rsidRDefault="00096228" w:rsidP="00BA41C1">
      <w:pPr>
        <w:pStyle w:val="Text"/>
      </w:pPr>
    </w:p>
    <w:p w:rsidR="009E231A" w:rsidRDefault="00D64519" w:rsidP="00BA41C1">
      <w:pPr>
        <w:pStyle w:val="Text"/>
      </w:pPr>
      <w:r>
        <w:t>Dr</w:t>
      </w:r>
      <w:r w:rsidR="00AE6568" w:rsidRPr="00096228">
        <w:t xml:space="preserve"> Craig Fowler</w:t>
      </w:r>
      <w:r w:rsidR="0031787F" w:rsidRPr="00096228">
        <w:br/>
      </w:r>
      <w:r w:rsidR="00FE4A2D" w:rsidRPr="00096228">
        <w:t>Managing Director, NCVER</w:t>
      </w:r>
    </w:p>
    <w:p w:rsidR="00AE6568" w:rsidRDefault="00AE6568" w:rsidP="00BA41C1">
      <w:pPr>
        <w:pStyle w:val="Text"/>
      </w:pPr>
    </w:p>
    <w:p w:rsidR="00BA41C1" w:rsidRDefault="00BA41C1">
      <w:pPr>
        <w:spacing w:before="0" w:line="240" w:lineRule="auto"/>
        <w:rPr>
          <w:rFonts w:ascii="Tahoma" w:hAnsi="Tahoma" w:cs="Tahoma"/>
          <w:color w:val="000000"/>
          <w:kern w:val="28"/>
          <w:sz w:val="56"/>
          <w:szCs w:val="56"/>
        </w:rPr>
      </w:pPr>
      <w:r>
        <w:br w:type="page"/>
      </w:r>
    </w:p>
    <w:p w:rsidR="00177827" w:rsidRDefault="00177827" w:rsidP="00874DA5">
      <w:pPr>
        <w:pStyle w:val="Contents"/>
      </w:pPr>
    </w:p>
    <w:p w:rsidR="00177827" w:rsidRDefault="00177827" w:rsidP="00874DA5">
      <w:pPr>
        <w:pStyle w:val="Contents"/>
        <w:sectPr w:rsidR="00177827" w:rsidSect="00430B34">
          <w:pgSz w:w="11907" w:h="16840" w:code="9"/>
          <w:pgMar w:top="1276" w:right="708" w:bottom="567" w:left="1418" w:header="709" w:footer="556" w:gutter="0"/>
          <w:cols w:space="708"/>
          <w:docGrid w:linePitch="360"/>
        </w:sectPr>
      </w:pPr>
    </w:p>
    <w:p w:rsidR="009E231A" w:rsidRPr="00DC5F5C" w:rsidRDefault="00FE4A2D" w:rsidP="00874DA5">
      <w:pPr>
        <w:pStyle w:val="Contents"/>
      </w:pPr>
      <w:bookmarkStart w:id="17" w:name="_Toc98394880"/>
      <w:bookmarkStart w:id="18" w:name="_Toc296423683"/>
      <w:bookmarkStart w:id="19" w:name="_Toc296497514"/>
      <w:r w:rsidRPr="00DC5F5C">
        <w:lastRenderedPageBreak/>
        <w:t>Contents</w:t>
      </w:r>
      <w:bookmarkEnd w:id="17"/>
      <w:bookmarkEnd w:id="18"/>
      <w:bookmarkEnd w:id="19"/>
      <w:r w:rsidR="00566CFB">
        <w:t xml:space="preserve"> </w:t>
      </w:r>
    </w:p>
    <w:p w:rsidR="00165C2A" w:rsidRDefault="00671C09">
      <w:pPr>
        <w:pStyle w:val="TOC1"/>
        <w:rPr>
          <w:rFonts w:asciiTheme="minorHAnsi" w:eastAsiaTheme="minorEastAsia" w:hAnsiTheme="minorHAnsi" w:cstheme="minorBidi"/>
          <w:color w:val="auto"/>
          <w:sz w:val="22"/>
          <w:szCs w:val="22"/>
          <w:lang w:eastAsia="en-AU"/>
        </w:rPr>
      </w:pPr>
      <w:r w:rsidRPr="00406026">
        <w:rPr>
          <w:rFonts w:ascii="Avant Garde" w:hAnsi="Avant Garde"/>
          <w:highlight w:val="cyan"/>
        </w:rPr>
        <w:fldChar w:fldCharType="begin"/>
      </w:r>
      <w:r w:rsidR="00FE4A2D" w:rsidRPr="00406026">
        <w:rPr>
          <w:rFonts w:ascii="Avant Garde" w:hAnsi="Avant Garde"/>
          <w:highlight w:val="cyan"/>
        </w:rPr>
        <w:instrText xml:space="preserve"> TOC \o "1-2" </w:instrText>
      </w:r>
      <w:r w:rsidRPr="00406026">
        <w:rPr>
          <w:rFonts w:ascii="Avant Garde" w:hAnsi="Avant Garde"/>
          <w:highlight w:val="cyan"/>
        </w:rPr>
        <w:fldChar w:fldCharType="separate"/>
      </w:r>
      <w:r w:rsidR="00165C2A">
        <w:t>Introduction</w:t>
      </w:r>
      <w:r w:rsidR="00165C2A">
        <w:tab/>
      </w:r>
      <w:r>
        <w:fldChar w:fldCharType="begin"/>
      </w:r>
      <w:r w:rsidR="00165C2A">
        <w:instrText xml:space="preserve"> PAGEREF _Toc416683008 \h </w:instrText>
      </w:r>
      <w:r>
        <w:fldChar w:fldCharType="separate"/>
      </w:r>
      <w:r w:rsidR="006B4E7B">
        <w:t>6</w:t>
      </w:r>
      <w:r>
        <w:fldChar w:fldCharType="end"/>
      </w:r>
    </w:p>
    <w:p w:rsidR="00165C2A" w:rsidRDefault="00165C2A">
      <w:pPr>
        <w:pStyle w:val="TOC1"/>
        <w:rPr>
          <w:rFonts w:asciiTheme="minorHAnsi" w:eastAsiaTheme="minorEastAsia" w:hAnsiTheme="minorHAnsi" w:cstheme="minorBidi"/>
          <w:color w:val="auto"/>
          <w:sz w:val="22"/>
          <w:szCs w:val="22"/>
          <w:lang w:eastAsia="en-AU"/>
        </w:rPr>
      </w:pPr>
      <w:r>
        <w:t xml:space="preserve">Tinkering around the edges, but ignoring the huge cracks: a discussion </w:t>
      </w:r>
      <w:r w:rsidR="00AF71F5">
        <w:br/>
      </w:r>
      <w:r>
        <w:t>of VET in Schools for young Australians</w:t>
      </w:r>
      <w:r w:rsidR="00657E80">
        <w:t xml:space="preserve">, </w:t>
      </w:r>
      <w:r w:rsidR="00657E80" w:rsidRPr="00940FC8">
        <w:rPr>
          <w:i/>
        </w:rPr>
        <w:t>Kira Clarke</w:t>
      </w:r>
      <w:r>
        <w:tab/>
      </w:r>
      <w:r w:rsidR="00671C09">
        <w:fldChar w:fldCharType="begin"/>
      </w:r>
      <w:r>
        <w:instrText xml:space="preserve"> PAGEREF _Toc416683009 \h </w:instrText>
      </w:r>
      <w:r w:rsidR="00671C09">
        <w:fldChar w:fldCharType="separate"/>
      </w:r>
      <w:r w:rsidR="006B4E7B">
        <w:t>8</w:t>
      </w:r>
      <w:r w:rsidR="00671C09">
        <w:fldChar w:fldCharType="end"/>
      </w:r>
    </w:p>
    <w:p w:rsidR="00165C2A" w:rsidRDefault="00165C2A">
      <w:pPr>
        <w:pStyle w:val="TOC1"/>
        <w:rPr>
          <w:rFonts w:asciiTheme="minorHAnsi" w:eastAsiaTheme="minorEastAsia" w:hAnsiTheme="minorHAnsi" w:cstheme="minorBidi"/>
          <w:color w:val="auto"/>
          <w:sz w:val="22"/>
          <w:szCs w:val="22"/>
          <w:lang w:eastAsia="en-AU"/>
        </w:rPr>
      </w:pPr>
      <w:r>
        <w:t xml:space="preserve">Comprehensive universities and the role of the national TAFE system: </w:t>
      </w:r>
      <w:r w:rsidR="00AF71F5">
        <w:br/>
      </w:r>
      <w:r>
        <w:t>the CQUniversity context</w:t>
      </w:r>
      <w:r w:rsidR="00657E80">
        <w:t xml:space="preserve">, </w:t>
      </w:r>
      <w:r w:rsidR="00657E80" w:rsidRPr="00940FC8">
        <w:rPr>
          <w:i/>
        </w:rPr>
        <w:t>Greg McMillan, Susan Kinnear and Nik Babovic</w:t>
      </w:r>
      <w:r>
        <w:tab/>
      </w:r>
      <w:r w:rsidR="00671C09">
        <w:fldChar w:fldCharType="begin"/>
      </w:r>
      <w:r>
        <w:instrText xml:space="preserve"> PAGEREF _Toc416683019 \h </w:instrText>
      </w:r>
      <w:r w:rsidR="00671C09">
        <w:fldChar w:fldCharType="separate"/>
      </w:r>
      <w:r w:rsidR="006B4E7B">
        <w:t>16</w:t>
      </w:r>
      <w:r w:rsidR="00671C09">
        <w:fldChar w:fldCharType="end"/>
      </w:r>
    </w:p>
    <w:p w:rsidR="00165C2A" w:rsidRDefault="00165C2A">
      <w:pPr>
        <w:pStyle w:val="TOC1"/>
        <w:rPr>
          <w:rFonts w:asciiTheme="minorHAnsi" w:eastAsiaTheme="minorEastAsia" w:hAnsiTheme="minorHAnsi" w:cstheme="minorBidi"/>
          <w:color w:val="auto"/>
          <w:sz w:val="22"/>
          <w:szCs w:val="22"/>
          <w:lang w:eastAsia="en-AU"/>
        </w:rPr>
      </w:pPr>
      <w:r>
        <w:t xml:space="preserve"> </w:t>
      </w:r>
      <w:r w:rsidR="004C5471">
        <w:t>‘</w:t>
      </w:r>
      <w:r>
        <w:t>That</w:t>
      </w:r>
      <w:r w:rsidR="004C5471">
        <w:t>’</w:t>
      </w:r>
      <w:r>
        <w:t>s not a job for a lady</w:t>
      </w:r>
      <w:r w:rsidR="004C5471">
        <w:t>’</w:t>
      </w:r>
      <w:r>
        <w:t xml:space="preserve">: understanding the impact of gender on </w:t>
      </w:r>
      <w:r w:rsidR="00AF71F5">
        <w:br/>
      </w:r>
      <w:r>
        <w:t>career exploration activities in schools</w:t>
      </w:r>
      <w:r w:rsidR="00657E80">
        <w:t xml:space="preserve">, </w:t>
      </w:r>
      <w:r w:rsidR="00657E80" w:rsidRPr="00940FC8">
        <w:rPr>
          <w:i/>
        </w:rPr>
        <w:t>Kira Clarke</w:t>
      </w:r>
      <w:r w:rsidR="00950881">
        <w:rPr>
          <w:i/>
        </w:rPr>
        <w:t xml:space="preserve"> and Linda Simon</w:t>
      </w:r>
      <w:r>
        <w:tab/>
      </w:r>
      <w:r w:rsidR="00671C09">
        <w:fldChar w:fldCharType="begin"/>
      </w:r>
      <w:r>
        <w:instrText xml:space="preserve"> PAGEREF _Toc416683026 \h </w:instrText>
      </w:r>
      <w:r w:rsidR="00671C09">
        <w:fldChar w:fldCharType="separate"/>
      </w:r>
      <w:r w:rsidR="006B4E7B">
        <w:t>25</w:t>
      </w:r>
      <w:r w:rsidR="00671C09">
        <w:fldChar w:fldCharType="end"/>
      </w:r>
    </w:p>
    <w:p w:rsidR="00165C2A" w:rsidRDefault="00D64519">
      <w:pPr>
        <w:pStyle w:val="TOC1"/>
        <w:rPr>
          <w:rFonts w:asciiTheme="minorHAnsi" w:eastAsiaTheme="minorEastAsia" w:hAnsiTheme="minorHAnsi" w:cstheme="minorBidi"/>
          <w:color w:val="auto"/>
          <w:sz w:val="22"/>
          <w:szCs w:val="22"/>
          <w:lang w:eastAsia="en-AU"/>
        </w:rPr>
      </w:pPr>
      <w:r>
        <w:t>Diploma to d</w:t>
      </w:r>
      <w:r w:rsidR="00165C2A">
        <w:t xml:space="preserve">egree; why successful </w:t>
      </w:r>
      <w:r>
        <w:t>VET d</w:t>
      </w:r>
      <w:r w:rsidR="00165C2A">
        <w:t>iploma graduates undertake a university enabling course</w:t>
      </w:r>
      <w:r w:rsidR="00657E80">
        <w:t xml:space="preserve">, </w:t>
      </w:r>
      <w:r w:rsidR="00657E80" w:rsidRPr="00940FC8">
        <w:rPr>
          <w:i/>
        </w:rPr>
        <w:t>Suzanne Storer</w:t>
      </w:r>
      <w:r w:rsidR="00165C2A">
        <w:tab/>
      </w:r>
      <w:r w:rsidR="00671C09">
        <w:fldChar w:fldCharType="begin"/>
      </w:r>
      <w:r w:rsidR="00165C2A">
        <w:instrText xml:space="preserve"> PAGEREF _Toc416683038 \h </w:instrText>
      </w:r>
      <w:r w:rsidR="00671C09">
        <w:fldChar w:fldCharType="separate"/>
      </w:r>
      <w:r w:rsidR="006B4E7B">
        <w:t>38</w:t>
      </w:r>
      <w:r w:rsidR="00671C09">
        <w:fldChar w:fldCharType="end"/>
      </w:r>
    </w:p>
    <w:p w:rsidR="00165C2A" w:rsidRDefault="00D64519">
      <w:pPr>
        <w:pStyle w:val="TOC1"/>
        <w:rPr>
          <w:rFonts w:asciiTheme="minorHAnsi" w:eastAsiaTheme="minorEastAsia" w:hAnsiTheme="minorHAnsi" w:cstheme="minorBidi"/>
          <w:color w:val="auto"/>
          <w:sz w:val="22"/>
          <w:szCs w:val="22"/>
          <w:lang w:eastAsia="en-AU"/>
        </w:rPr>
      </w:pPr>
      <w:r>
        <w:t>Tick</w:t>
      </w:r>
      <w:r w:rsidR="00273835">
        <w:t xml:space="preserve"> </w:t>
      </w:r>
      <w:r w:rsidR="005C4B7F">
        <w:t>T</w:t>
      </w:r>
      <w:r w:rsidR="00165C2A">
        <w:t xml:space="preserve">AC: the role of tertiary admissions centres in VET to university </w:t>
      </w:r>
      <w:r w:rsidR="00AF71F5">
        <w:br/>
      </w:r>
      <w:r w:rsidR="00165C2A">
        <w:t>pathways</w:t>
      </w:r>
      <w:r w:rsidR="00657E80">
        <w:t xml:space="preserve">, </w:t>
      </w:r>
      <w:r w:rsidR="00657E80" w:rsidRPr="00940FC8">
        <w:rPr>
          <w:i/>
        </w:rPr>
        <w:t>Jillian Blacker, Mark Doran, Craig Poole and Alicia Toohey</w:t>
      </w:r>
      <w:r w:rsidR="00165C2A">
        <w:tab/>
      </w:r>
      <w:r w:rsidR="00671C09">
        <w:fldChar w:fldCharType="begin"/>
      </w:r>
      <w:r w:rsidR="00165C2A">
        <w:instrText xml:space="preserve"> PAGEREF _Toc416683043 \h </w:instrText>
      </w:r>
      <w:r w:rsidR="00671C09">
        <w:fldChar w:fldCharType="separate"/>
      </w:r>
      <w:r w:rsidR="006B4E7B">
        <w:t>43</w:t>
      </w:r>
      <w:r w:rsidR="00671C09">
        <w:fldChar w:fldCharType="end"/>
      </w:r>
    </w:p>
    <w:p w:rsidR="00165C2A" w:rsidRDefault="00165C2A">
      <w:pPr>
        <w:pStyle w:val="TOC1"/>
        <w:rPr>
          <w:rFonts w:asciiTheme="minorHAnsi" w:eastAsiaTheme="minorEastAsia" w:hAnsiTheme="minorHAnsi" w:cstheme="minorBidi"/>
          <w:color w:val="auto"/>
          <w:sz w:val="22"/>
          <w:szCs w:val="22"/>
          <w:lang w:eastAsia="en-AU"/>
        </w:rPr>
      </w:pPr>
      <w:r>
        <w:t>VET</w:t>
      </w:r>
      <w:r w:rsidR="00D64519">
        <w:t xml:space="preserve"> credit transferees</w:t>
      </w:r>
      <w:r>
        <w:t xml:space="preserve"> enrolling directly into the second year of </w:t>
      </w:r>
      <w:r w:rsidR="00AF71F5">
        <w:br/>
      </w:r>
      <w:r>
        <w:t>university</w:t>
      </w:r>
      <w:r w:rsidR="00657E80">
        <w:t xml:space="preserve">, </w:t>
      </w:r>
      <w:r w:rsidR="00657E80" w:rsidRPr="00940FC8">
        <w:rPr>
          <w:i/>
        </w:rPr>
        <w:t>Pam Delly, Anna Brunken and Mike Brown</w:t>
      </w:r>
      <w:r>
        <w:tab/>
      </w:r>
      <w:r w:rsidR="00671C09">
        <w:fldChar w:fldCharType="begin"/>
      </w:r>
      <w:r>
        <w:instrText xml:space="preserve"> PAGEREF _Toc416683048 \h </w:instrText>
      </w:r>
      <w:r w:rsidR="00671C09">
        <w:fldChar w:fldCharType="separate"/>
      </w:r>
      <w:r w:rsidR="006B4E7B">
        <w:t>52</w:t>
      </w:r>
      <w:r w:rsidR="00671C09">
        <w:fldChar w:fldCharType="end"/>
      </w:r>
    </w:p>
    <w:p w:rsidR="00165C2A" w:rsidRDefault="00165C2A">
      <w:pPr>
        <w:pStyle w:val="TOC1"/>
        <w:rPr>
          <w:rFonts w:asciiTheme="minorHAnsi" w:eastAsiaTheme="minorEastAsia" w:hAnsiTheme="minorHAnsi" w:cstheme="minorBidi"/>
          <w:color w:val="auto"/>
          <w:sz w:val="22"/>
          <w:szCs w:val="22"/>
          <w:lang w:eastAsia="en-AU"/>
        </w:rPr>
      </w:pPr>
      <w:r>
        <w:t xml:space="preserve">A </w:t>
      </w:r>
      <w:r w:rsidR="004C5471">
        <w:t>‘</w:t>
      </w:r>
      <w:r w:rsidR="00D64519">
        <w:t>road map</w:t>
      </w:r>
      <w:r w:rsidR="004C5471">
        <w:t>’</w:t>
      </w:r>
      <w:r w:rsidR="00D64519">
        <w:t xml:space="preserve"> to completion: t</w:t>
      </w:r>
      <w:r>
        <w:t>he architecture and negotiation of apprenticeship training plans</w:t>
      </w:r>
      <w:r w:rsidR="00657E80">
        <w:t xml:space="preserve">, </w:t>
      </w:r>
      <w:r w:rsidR="00657E80" w:rsidRPr="00940FC8">
        <w:rPr>
          <w:i/>
        </w:rPr>
        <w:t>Warren Guest</w:t>
      </w:r>
      <w:r w:rsidR="00F95A48">
        <w:rPr>
          <w:i/>
        </w:rPr>
        <w:t xml:space="preserve"> and Mike Brown</w:t>
      </w:r>
      <w:r>
        <w:tab/>
      </w:r>
      <w:r w:rsidR="00671C09">
        <w:fldChar w:fldCharType="begin"/>
      </w:r>
      <w:r>
        <w:instrText xml:space="preserve"> PAGEREF _Toc416683054 \h </w:instrText>
      </w:r>
      <w:r w:rsidR="00671C09">
        <w:fldChar w:fldCharType="separate"/>
      </w:r>
      <w:r w:rsidR="006B4E7B">
        <w:t>60</w:t>
      </w:r>
      <w:r w:rsidR="00671C09">
        <w:fldChar w:fldCharType="end"/>
      </w:r>
    </w:p>
    <w:p w:rsidR="00165C2A" w:rsidRDefault="00D64519">
      <w:pPr>
        <w:pStyle w:val="TOC1"/>
        <w:rPr>
          <w:rFonts w:asciiTheme="minorHAnsi" w:eastAsiaTheme="minorEastAsia" w:hAnsiTheme="minorHAnsi" w:cstheme="minorBidi"/>
          <w:color w:val="auto"/>
          <w:sz w:val="22"/>
          <w:szCs w:val="22"/>
          <w:lang w:eastAsia="en-AU"/>
        </w:rPr>
      </w:pPr>
      <w:r>
        <w:t>Missing links: c</w:t>
      </w:r>
      <w:r w:rsidR="00165C2A">
        <w:t xml:space="preserve">onnections between VET qualifications and pay in </w:t>
      </w:r>
      <w:r w:rsidR="00AF71F5">
        <w:br/>
      </w:r>
      <w:r w:rsidR="00165C2A">
        <w:t>modern awards</w:t>
      </w:r>
      <w:r w:rsidR="00657E80">
        <w:t xml:space="preserve">, </w:t>
      </w:r>
      <w:r w:rsidR="00657E80" w:rsidRPr="00940FC8">
        <w:rPr>
          <w:i/>
        </w:rPr>
        <w:t>Damian Oliver and Kurt Walpole</w:t>
      </w:r>
      <w:r w:rsidR="00165C2A">
        <w:tab/>
      </w:r>
      <w:r w:rsidR="00671C09">
        <w:fldChar w:fldCharType="begin"/>
      </w:r>
      <w:r w:rsidR="00165C2A">
        <w:instrText xml:space="preserve"> PAGEREF _Toc416683061 \h </w:instrText>
      </w:r>
      <w:r w:rsidR="00671C09">
        <w:fldChar w:fldCharType="separate"/>
      </w:r>
      <w:r w:rsidR="006B4E7B">
        <w:t>67</w:t>
      </w:r>
      <w:r w:rsidR="00671C09">
        <w:fldChar w:fldCharType="end"/>
      </w:r>
    </w:p>
    <w:p w:rsidR="004E7227" w:rsidRDefault="00671C09" w:rsidP="00622236">
      <w:pPr>
        <w:pStyle w:val="Text"/>
        <w:tabs>
          <w:tab w:val="right" w:pos="7513"/>
        </w:tabs>
      </w:pPr>
      <w:r w:rsidRPr="00406026">
        <w:rPr>
          <w:highlight w:val="cyan"/>
        </w:rPr>
        <w:fldChar w:fldCharType="end"/>
      </w:r>
    </w:p>
    <w:p w:rsidR="004E7227" w:rsidRDefault="004E7227" w:rsidP="0048643A">
      <w:pPr>
        <w:pStyle w:val="Text"/>
        <w:rPr>
          <w:rFonts w:ascii="Tahoma" w:hAnsi="Tahoma" w:cs="Tahoma"/>
          <w:color w:val="000000"/>
          <w:kern w:val="28"/>
          <w:sz w:val="56"/>
          <w:szCs w:val="56"/>
        </w:rPr>
      </w:pPr>
      <w:r>
        <w:br w:type="page"/>
      </w:r>
    </w:p>
    <w:p w:rsidR="009E231A" w:rsidRPr="00B86D06" w:rsidRDefault="00A50D1C" w:rsidP="008C0A74">
      <w:pPr>
        <w:pStyle w:val="Heading1"/>
      </w:pPr>
      <w:bookmarkStart w:id="20" w:name="_Toc416683008"/>
      <w:r>
        <w:lastRenderedPageBreak/>
        <w:t>Introduction</w:t>
      </w:r>
      <w:bookmarkEnd w:id="20"/>
      <w:r w:rsidR="00A50895">
        <w:t xml:space="preserve"> </w:t>
      </w:r>
    </w:p>
    <w:p w:rsidR="0083629B" w:rsidRPr="004C5471" w:rsidRDefault="00A50D1C" w:rsidP="004C5471">
      <w:pPr>
        <w:pStyle w:val="Text"/>
      </w:pPr>
      <w:bookmarkStart w:id="21" w:name="_Toc296423685"/>
      <w:bookmarkStart w:id="22" w:name="_Toc296497519"/>
      <w:bookmarkStart w:id="23" w:name="_Toc298162804"/>
      <w:r w:rsidRPr="00E67672">
        <w:t xml:space="preserve">The </w:t>
      </w:r>
      <w:r w:rsidR="00F701DD" w:rsidRPr="00E67672">
        <w:t>23rd</w:t>
      </w:r>
      <w:r w:rsidR="00CE7D3E" w:rsidRPr="00E67672">
        <w:t xml:space="preserve"> </w:t>
      </w:r>
      <w:r w:rsidRPr="00E67672">
        <w:t>National Vocational Education and Tra</w:t>
      </w:r>
      <w:r w:rsidR="00886CBF" w:rsidRPr="00E67672">
        <w:t>ining Re</w:t>
      </w:r>
      <w:r w:rsidR="00E4732C">
        <w:t>search Conference</w:t>
      </w:r>
      <w:r w:rsidR="00886CBF" w:rsidRPr="00E67672">
        <w:t xml:space="preserve"> </w:t>
      </w:r>
      <w:proofErr w:type="gramStart"/>
      <w:r w:rsidRPr="00E67672">
        <w:t>was</w:t>
      </w:r>
      <w:proofErr w:type="gramEnd"/>
      <w:r w:rsidRPr="00E67672">
        <w:t xml:space="preserve"> held</w:t>
      </w:r>
      <w:r w:rsidR="00E57D0C" w:rsidRPr="00E67672">
        <w:t xml:space="preserve"> in </w:t>
      </w:r>
      <w:r w:rsidR="00F701DD" w:rsidRPr="00E67672">
        <w:rPr>
          <w:szCs w:val="19"/>
        </w:rPr>
        <w:t>Melbourne</w:t>
      </w:r>
      <w:r w:rsidR="00E57D0C" w:rsidRPr="00E67672">
        <w:t xml:space="preserve"> </w:t>
      </w:r>
      <w:r w:rsidRPr="00E67672">
        <w:t xml:space="preserve">from </w:t>
      </w:r>
      <w:r w:rsidR="00D64519">
        <w:t xml:space="preserve">9 to </w:t>
      </w:r>
      <w:r w:rsidR="00F701DD" w:rsidRPr="00E67672">
        <w:t>11</w:t>
      </w:r>
      <w:r w:rsidRPr="00E67672">
        <w:t xml:space="preserve"> July 201</w:t>
      </w:r>
      <w:r w:rsidR="00F701DD" w:rsidRPr="00E67672">
        <w:t>4</w:t>
      </w:r>
      <w:r w:rsidRPr="00E67672">
        <w:t xml:space="preserve">. </w:t>
      </w:r>
      <w:r w:rsidR="005C4B7F">
        <w:t>This</w:t>
      </w:r>
      <w:r w:rsidR="007A3D7F" w:rsidRPr="00E67672">
        <w:t xml:space="preserve"> </w:t>
      </w:r>
      <w:r w:rsidR="00F9758E" w:rsidRPr="00E67672">
        <w:t xml:space="preserve">annual </w:t>
      </w:r>
      <w:r w:rsidR="007A3D7F" w:rsidRPr="00E67672">
        <w:t>conference</w:t>
      </w:r>
      <w:r w:rsidR="00E4732C">
        <w:t>,</w:t>
      </w:r>
      <w:r w:rsidR="007A3D7F" w:rsidRPr="00E67672">
        <w:t xml:space="preserve"> </w:t>
      </w:r>
      <w:r w:rsidR="00E4732C" w:rsidRPr="00E67672">
        <w:t xml:space="preserve">colloquially known as </w:t>
      </w:r>
      <w:r w:rsidR="004C5471">
        <w:t>‘</w:t>
      </w:r>
      <w:r w:rsidR="00E4732C" w:rsidRPr="00E67672">
        <w:t>No Frills</w:t>
      </w:r>
      <w:r w:rsidR="004C5471">
        <w:t>’</w:t>
      </w:r>
      <w:r w:rsidR="00E4732C" w:rsidRPr="00E67672">
        <w:t xml:space="preserve">, </w:t>
      </w:r>
      <w:r w:rsidR="007A3D7F" w:rsidRPr="00E67672">
        <w:t>align</w:t>
      </w:r>
      <w:r w:rsidR="00F9758E" w:rsidRPr="00E67672">
        <w:t>s</w:t>
      </w:r>
      <w:r w:rsidR="007A3D7F" w:rsidRPr="00E67672">
        <w:t xml:space="preserve"> with NCVER</w:t>
      </w:r>
      <w:r w:rsidR="004C5471">
        <w:t>’</w:t>
      </w:r>
      <w:r w:rsidR="007A3D7F" w:rsidRPr="00E67672">
        <w:t xml:space="preserve">s strategic goals of disseminating research to the wider community by bringing together practitioners and </w:t>
      </w:r>
      <w:r w:rsidR="00E4732C">
        <w:t>researchers, especially early-</w:t>
      </w:r>
      <w:r w:rsidR="007A3D7F" w:rsidRPr="00E67672">
        <w:t xml:space="preserve">career vocational education and training (VET) researchers and those new to the VET sector, to share their </w:t>
      </w:r>
      <w:r w:rsidR="00B73706" w:rsidRPr="00E67672">
        <w:t>experience</w:t>
      </w:r>
      <w:r w:rsidR="007A3D7F" w:rsidRPr="00E67672">
        <w:t xml:space="preserve"> and knowledge. </w:t>
      </w:r>
      <w:r w:rsidR="00B73706" w:rsidRPr="00E67672">
        <w:t>B</w:t>
      </w:r>
      <w:r w:rsidR="00FE072C" w:rsidRPr="00E67672">
        <w:t xml:space="preserve">y engaging with the established research community </w:t>
      </w:r>
      <w:r w:rsidR="009D0E07" w:rsidRPr="00E67672">
        <w:t xml:space="preserve">and </w:t>
      </w:r>
      <w:r w:rsidR="0083629B" w:rsidRPr="00E67672">
        <w:t>encouraging</w:t>
      </w:r>
      <w:r w:rsidR="00FE072C" w:rsidRPr="00E67672">
        <w:t xml:space="preserve"> industry, policy</w:t>
      </w:r>
      <w:r w:rsidR="0075603A">
        <w:t>-makers</w:t>
      </w:r>
      <w:r w:rsidR="00FE072C" w:rsidRPr="00E67672">
        <w:t xml:space="preserve"> and training providers </w:t>
      </w:r>
      <w:r w:rsidR="0083629B" w:rsidRPr="00E67672">
        <w:t xml:space="preserve">to </w:t>
      </w:r>
      <w:r w:rsidR="00E4732C">
        <w:t xml:space="preserve">utilise their expertise </w:t>
      </w:r>
      <w:r w:rsidR="00B73706" w:rsidRPr="00E67672">
        <w:t xml:space="preserve">in the research landscape, the value of research to business and teaching outcomes is </w:t>
      </w:r>
      <w:r w:rsidR="00B73706" w:rsidRPr="004C5471">
        <w:t>demonstrated.</w:t>
      </w:r>
    </w:p>
    <w:p w:rsidR="007A3D7F" w:rsidRPr="004C5471" w:rsidRDefault="00B73706" w:rsidP="004C5471">
      <w:pPr>
        <w:pStyle w:val="Text"/>
      </w:pPr>
      <w:r w:rsidRPr="004C5471">
        <w:t>The 2014</w:t>
      </w:r>
      <w:r w:rsidR="00D64519" w:rsidRPr="004C5471">
        <w:t xml:space="preserve"> c</w:t>
      </w:r>
      <w:r w:rsidR="001A33BF" w:rsidRPr="004C5471">
        <w:t>onference was c</w:t>
      </w:r>
      <w:r w:rsidR="00A50D1C" w:rsidRPr="004C5471">
        <w:t xml:space="preserve">o-hosted by the National Centre for Vocational Education Research (NCVER) and </w:t>
      </w:r>
      <w:r w:rsidR="00F701DD" w:rsidRPr="004C5471">
        <w:t>Holmesglen Institute</w:t>
      </w:r>
      <w:r w:rsidR="00840D5D" w:rsidRPr="004C5471">
        <w:t xml:space="preserve">, </w:t>
      </w:r>
      <w:r w:rsidR="00E9587D" w:rsidRPr="004C5471">
        <w:t xml:space="preserve">with support from the </w:t>
      </w:r>
      <w:r w:rsidR="00D64519" w:rsidRPr="004C5471">
        <w:t xml:space="preserve">Australian </w:t>
      </w:r>
      <w:r w:rsidR="007642B5" w:rsidRPr="004C5471">
        <w:t xml:space="preserve">Department of </w:t>
      </w:r>
      <w:r w:rsidR="004F7E8A" w:rsidRPr="004C5471">
        <w:t>Education and Training</w:t>
      </w:r>
      <w:r w:rsidR="007642B5" w:rsidRPr="004C5471">
        <w:t xml:space="preserve"> (formerly the </w:t>
      </w:r>
      <w:r w:rsidR="00E9587D" w:rsidRPr="004C5471">
        <w:t>Department of Industry</w:t>
      </w:r>
      <w:r w:rsidR="007642B5" w:rsidRPr="004C5471">
        <w:t>)</w:t>
      </w:r>
      <w:r w:rsidR="001A33BF" w:rsidRPr="004C5471">
        <w:t xml:space="preserve">. </w:t>
      </w:r>
      <w:r w:rsidR="007A3D7F" w:rsidRPr="004C5471">
        <w:t>Through informative, relevant and thought-provoking prese</w:t>
      </w:r>
      <w:r w:rsidR="00D64519" w:rsidRPr="004C5471">
        <w:t>ntations on a wide range of VET-</w:t>
      </w:r>
      <w:r w:rsidR="007A3D7F" w:rsidRPr="004C5471">
        <w:t>related research in progress, as well as completed work, the conference explored key issues in the VET sector.</w:t>
      </w:r>
    </w:p>
    <w:p w:rsidR="00184276" w:rsidRPr="004C5471" w:rsidRDefault="00A50D1C" w:rsidP="004C5471">
      <w:pPr>
        <w:pStyle w:val="Text"/>
        <w:ind w:right="-143"/>
      </w:pPr>
      <w:r w:rsidRPr="005E2A70">
        <w:t>T</w:t>
      </w:r>
      <w:r w:rsidR="001F0597" w:rsidRPr="005E2A70">
        <w:t>he t</w:t>
      </w:r>
      <w:r w:rsidR="000C4083" w:rsidRPr="005E2A70">
        <w:t>wo</w:t>
      </w:r>
      <w:r w:rsidRPr="005E2A70">
        <w:t xml:space="preserve"> keynote speakers</w:t>
      </w:r>
      <w:r w:rsidRPr="004C5471">
        <w:t xml:space="preserve"> looked at </w:t>
      </w:r>
      <w:r w:rsidR="00D02B6C" w:rsidRPr="004C5471">
        <w:t>practical challenges</w:t>
      </w:r>
      <w:r w:rsidRPr="004C5471">
        <w:t xml:space="preserve"> currently facing the VET sector. </w:t>
      </w:r>
      <w:r w:rsidR="000C4083" w:rsidRPr="004C5471">
        <w:t xml:space="preserve">Steve Sargent, President and Chief Executive Officer </w:t>
      </w:r>
      <w:r w:rsidR="00D64519" w:rsidRPr="004C5471">
        <w:t>of GE Australia and New Zealand</w:t>
      </w:r>
      <w:r w:rsidR="000C4083" w:rsidRPr="004C5471">
        <w:t xml:space="preserve"> and chair of the B20 Human Capital Taskforce</w:t>
      </w:r>
      <w:r w:rsidR="00D64519" w:rsidRPr="004C5471">
        <w:t>,</w:t>
      </w:r>
      <w:r w:rsidR="000C4083" w:rsidRPr="004C5471">
        <w:t xml:space="preserve"> </w:t>
      </w:r>
      <w:r w:rsidR="00184276" w:rsidRPr="004C5471">
        <w:t xml:space="preserve">focused on how global </w:t>
      </w:r>
      <w:r w:rsidR="001F0597" w:rsidRPr="004C5471">
        <w:t>trends are affecting industry. </w:t>
      </w:r>
      <w:r w:rsidR="00184276" w:rsidRPr="004C5471">
        <w:t>With the world becoming more digitised, high-paid, low-skill jobs are bei</w:t>
      </w:r>
      <w:r w:rsidR="001F0597" w:rsidRPr="004C5471">
        <w:t xml:space="preserve">ng lost, which means </w:t>
      </w:r>
      <w:r w:rsidR="00977651" w:rsidRPr="004C5471">
        <w:t xml:space="preserve">that </w:t>
      </w:r>
      <w:r w:rsidR="001F0597" w:rsidRPr="004C5471">
        <w:t xml:space="preserve">people will </w:t>
      </w:r>
      <w:r w:rsidR="00977651" w:rsidRPr="004C5471">
        <w:t>require</w:t>
      </w:r>
      <w:r w:rsidR="001F0597" w:rsidRPr="004C5471">
        <w:t xml:space="preserve"> re</w:t>
      </w:r>
      <w:r w:rsidR="0075603A">
        <w:t>skilling.</w:t>
      </w:r>
      <w:r w:rsidR="00977651" w:rsidRPr="004C5471">
        <w:t xml:space="preserve"> </w:t>
      </w:r>
      <w:proofErr w:type="gramStart"/>
      <w:r w:rsidR="0075603A">
        <w:t>In parallel</w:t>
      </w:r>
      <w:r w:rsidR="00977651" w:rsidRPr="004C5471">
        <w:t xml:space="preserve"> v</w:t>
      </w:r>
      <w:r w:rsidR="00184276" w:rsidRPr="004C5471">
        <w:t>ocati</w:t>
      </w:r>
      <w:r w:rsidR="00B03C61" w:rsidRPr="004C5471">
        <w:t>onal education and training</w:t>
      </w:r>
      <w:r w:rsidR="00184276" w:rsidRPr="004C5471">
        <w:t xml:space="preserve"> need</w:t>
      </w:r>
      <w:r w:rsidR="00B03C61" w:rsidRPr="004C5471">
        <w:t>s</w:t>
      </w:r>
      <w:r w:rsidR="00184276" w:rsidRPr="004C5471">
        <w:t xml:space="preserve"> </w:t>
      </w:r>
      <w:r w:rsidR="00977651" w:rsidRPr="004C5471">
        <w:t xml:space="preserve">to </w:t>
      </w:r>
      <w:r w:rsidR="00184276" w:rsidRPr="004C5471">
        <w:t xml:space="preserve">focus </w:t>
      </w:r>
      <w:r w:rsidR="00977651" w:rsidRPr="004C5471">
        <w:t xml:space="preserve">more </w:t>
      </w:r>
      <w:r w:rsidR="00184276" w:rsidRPr="004C5471">
        <w:t>on foundation, rather than job-specific</w:t>
      </w:r>
      <w:r w:rsidR="00977651" w:rsidRPr="004C5471">
        <w:t>,</w:t>
      </w:r>
      <w:r w:rsidR="00184276" w:rsidRPr="004C5471">
        <w:t xml:space="preserve"> skills.</w:t>
      </w:r>
      <w:proofErr w:type="gramEnd"/>
      <w:r w:rsidR="00184276" w:rsidRPr="004C5471">
        <w:t xml:space="preserve"> </w:t>
      </w:r>
      <w:r w:rsidR="00977651" w:rsidRPr="004C5471">
        <w:t>Steve Sargent</w:t>
      </w:r>
      <w:r w:rsidR="004C5471">
        <w:t>’</w:t>
      </w:r>
      <w:r w:rsidR="00977651" w:rsidRPr="004C5471">
        <w:t>s</w:t>
      </w:r>
      <w:r w:rsidR="00184276" w:rsidRPr="004C5471">
        <w:t xml:space="preserve"> presentation</w:t>
      </w:r>
      <w:r w:rsidR="001F0597" w:rsidRPr="004C5471">
        <w:t>,</w:t>
      </w:r>
      <w:r w:rsidR="00184276" w:rsidRPr="004C5471">
        <w:t xml:space="preserve"> </w:t>
      </w:r>
      <w:r w:rsidR="004C5471">
        <w:t>‘</w:t>
      </w:r>
      <w:r w:rsidR="001F4611" w:rsidRPr="004C5471">
        <w:t>The future of work</w:t>
      </w:r>
      <w:r w:rsidR="004C5471">
        <w:t>’</w:t>
      </w:r>
      <w:r w:rsidR="001F0597" w:rsidRPr="004C5471">
        <w:t>,</w:t>
      </w:r>
      <w:r w:rsidR="00184276" w:rsidRPr="004C5471">
        <w:t xml:space="preserve"> </w:t>
      </w:r>
      <w:r w:rsidR="00D018B7" w:rsidRPr="004C5471">
        <w:t xml:space="preserve">also </w:t>
      </w:r>
      <w:r w:rsidR="001F0597" w:rsidRPr="004C5471">
        <w:t>addressed</w:t>
      </w:r>
      <w:r w:rsidR="00184276" w:rsidRPr="004C5471">
        <w:t xml:space="preserve"> </w:t>
      </w:r>
      <w:r w:rsidR="001F0597" w:rsidRPr="004C5471">
        <w:t>the deliberations</w:t>
      </w:r>
      <w:r w:rsidR="000C4083" w:rsidRPr="004C5471">
        <w:t xml:space="preserve"> of the </w:t>
      </w:r>
      <w:r w:rsidR="00D02B6C" w:rsidRPr="004C5471">
        <w:t xml:space="preserve">B20 </w:t>
      </w:r>
      <w:r w:rsidR="000C4083" w:rsidRPr="004C5471">
        <w:t>taskforce and its relationship to Australia</w:t>
      </w:r>
      <w:r w:rsidR="004C5471">
        <w:t>’</w:t>
      </w:r>
      <w:r w:rsidR="00977651" w:rsidRPr="004C5471">
        <w:t>s position in the global market</w:t>
      </w:r>
      <w:r w:rsidR="000C4083" w:rsidRPr="004C5471">
        <w:t>place</w:t>
      </w:r>
      <w:r w:rsidR="005A565F" w:rsidRPr="004C5471">
        <w:t xml:space="preserve">. </w:t>
      </w:r>
      <w:r w:rsidR="000C4083" w:rsidRPr="004C5471">
        <w:t xml:space="preserve">Mark </w:t>
      </w:r>
      <w:proofErr w:type="spellStart"/>
      <w:r w:rsidR="000C4083" w:rsidRPr="004C5471">
        <w:t>Burford</w:t>
      </w:r>
      <w:proofErr w:type="spellEnd"/>
      <w:r w:rsidR="000C4083" w:rsidRPr="004C5471">
        <w:t xml:space="preserve">, Executive </w:t>
      </w:r>
      <w:r w:rsidR="00007BEE" w:rsidRPr="004C5471">
        <w:t xml:space="preserve">Director of the Mitchell Institute for Health and Education Policy at Victoria </w:t>
      </w:r>
      <w:r w:rsidR="001F0597" w:rsidRPr="004C5471">
        <w:t>University</w:t>
      </w:r>
      <w:r w:rsidR="00007BEE" w:rsidRPr="004C5471">
        <w:t xml:space="preserve"> </w:t>
      </w:r>
      <w:r w:rsidR="00184276" w:rsidRPr="004C5471">
        <w:t>and our second keynote</w:t>
      </w:r>
      <w:r w:rsidR="001F0597" w:rsidRPr="004C5471">
        <w:t xml:space="preserve"> speaker</w:t>
      </w:r>
      <w:r w:rsidR="00D018B7" w:rsidRPr="004C5471">
        <w:t>,</w:t>
      </w:r>
      <w:r w:rsidR="00184276" w:rsidRPr="004C5471">
        <w:t xml:space="preserve"> shared his experiences working in a policy environment. </w:t>
      </w:r>
      <w:r w:rsidR="00D018B7" w:rsidRPr="004C5471">
        <w:t>Through his</w:t>
      </w:r>
      <w:r w:rsidR="00184276" w:rsidRPr="004C5471">
        <w:t xml:space="preserve"> presentation </w:t>
      </w:r>
      <w:r w:rsidR="004C5471">
        <w:t>‘</w:t>
      </w:r>
      <w:r w:rsidR="001F4611" w:rsidRPr="004C5471">
        <w:t>Confessions of a (failed) policy adviser</w:t>
      </w:r>
      <w:r w:rsidR="004C5471">
        <w:t>’</w:t>
      </w:r>
      <w:r w:rsidR="00977651" w:rsidRPr="004C5471">
        <w:t>,</w:t>
      </w:r>
      <w:r w:rsidR="00184276" w:rsidRPr="004C5471">
        <w:t xml:space="preserve"> the importance of and the nexus between a </w:t>
      </w:r>
      <w:r w:rsidR="00977651" w:rsidRPr="004C5471">
        <w:t>sound</w:t>
      </w:r>
      <w:r w:rsidR="00184276" w:rsidRPr="004C5471">
        <w:t xml:space="preserve"> idea and the political will to develop and implement good policies</w:t>
      </w:r>
      <w:r w:rsidR="00D018B7" w:rsidRPr="004C5471">
        <w:t xml:space="preserve"> were highlighted</w:t>
      </w:r>
      <w:r w:rsidR="00184276" w:rsidRPr="004C5471">
        <w:t>.</w:t>
      </w:r>
      <w:r w:rsidR="001F4611" w:rsidRPr="004C5471">
        <w:t xml:space="preserve"> </w:t>
      </w:r>
    </w:p>
    <w:p w:rsidR="00406026" w:rsidRPr="004C5471" w:rsidRDefault="001F0597" w:rsidP="004C5471">
      <w:pPr>
        <w:pStyle w:val="Text"/>
      </w:pPr>
      <w:r w:rsidRPr="004C5471">
        <w:t>The p</w:t>
      </w:r>
      <w:r w:rsidR="00F15C21" w:rsidRPr="004C5471">
        <w:t>re</w:t>
      </w:r>
      <w:r w:rsidRPr="004C5471">
        <w:t>-conference workshops focu</w:t>
      </w:r>
      <w:r w:rsidR="00406026" w:rsidRPr="004C5471">
        <w:t>sed on the professional development of researchers</w:t>
      </w:r>
      <w:r w:rsidRPr="004C5471">
        <w:t xml:space="preserve"> and included</w:t>
      </w:r>
      <w:r w:rsidR="00406026" w:rsidRPr="004C5471">
        <w:t xml:space="preserve"> a number of practical forums on</w:t>
      </w:r>
      <w:r w:rsidR="00390CCF" w:rsidRPr="004C5471">
        <w:t>:</w:t>
      </w:r>
      <w:r w:rsidR="00406026" w:rsidRPr="004C5471">
        <w:t xml:space="preserve"> how to better understand NCVER and the process by which </w:t>
      </w:r>
      <w:r w:rsidRPr="004C5471">
        <w:t>the organisation</w:t>
      </w:r>
      <w:r w:rsidR="00406026" w:rsidRPr="004C5471">
        <w:t xml:space="preserve"> commission</w:t>
      </w:r>
      <w:r w:rsidR="00390CCF" w:rsidRPr="004C5471">
        <w:t>s</w:t>
      </w:r>
      <w:r w:rsidR="00406026" w:rsidRPr="004C5471">
        <w:t xml:space="preserve"> and manage</w:t>
      </w:r>
      <w:r w:rsidR="00390CCF" w:rsidRPr="004C5471">
        <w:t>s</w:t>
      </w:r>
      <w:r w:rsidR="00406026" w:rsidRPr="004C5471">
        <w:t xml:space="preserve"> research; making sense of statistics, a practical guide to using NCVER resources; getting to know LSAY; and the </w:t>
      </w:r>
      <w:proofErr w:type="spellStart"/>
      <w:r w:rsidR="00406026" w:rsidRPr="004C5471">
        <w:t>VOCEDplus</w:t>
      </w:r>
      <w:proofErr w:type="spellEnd"/>
      <w:r w:rsidR="00406026" w:rsidRPr="004C5471">
        <w:t xml:space="preserve"> database.</w:t>
      </w:r>
    </w:p>
    <w:p w:rsidR="00B03C61" w:rsidRPr="004C5471" w:rsidRDefault="00B03C61" w:rsidP="004C5471">
      <w:pPr>
        <w:pStyle w:val="Text"/>
      </w:pPr>
      <w:r w:rsidRPr="004C5471">
        <w:t>During the</w:t>
      </w:r>
      <w:r w:rsidR="00BD028F" w:rsidRPr="004C5471">
        <w:t xml:space="preserve"> conference </w:t>
      </w:r>
      <w:r w:rsidRPr="004C5471">
        <w:t xml:space="preserve">presenters </w:t>
      </w:r>
      <w:r w:rsidR="0075603A">
        <w:t xml:space="preserve">touched </w:t>
      </w:r>
      <w:r w:rsidR="004319DD" w:rsidRPr="004C5471">
        <w:t>on</w:t>
      </w:r>
      <w:r w:rsidR="00A50D1C" w:rsidRPr="004C5471">
        <w:t xml:space="preserve"> a wide variety of </w:t>
      </w:r>
      <w:r w:rsidR="004319DD" w:rsidRPr="004C5471">
        <w:t>i</w:t>
      </w:r>
      <w:r w:rsidR="00390CCF" w:rsidRPr="004C5471">
        <w:t>ssue</w:t>
      </w:r>
      <w:r w:rsidR="004319DD" w:rsidRPr="004C5471">
        <w:t>s</w:t>
      </w:r>
      <w:r w:rsidR="0075603A">
        <w:t>.</w:t>
      </w:r>
      <w:r w:rsidR="00977651" w:rsidRPr="004C5471">
        <w:t xml:space="preserve"> These included</w:t>
      </w:r>
      <w:r w:rsidRPr="004C5471">
        <w:t xml:space="preserve">: partnerships between industry and education to ensure </w:t>
      </w:r>
      <w:r w:rsidR="00390CCF" w:rsidRPr="004C5471">
        <w:t xml:space="preserve">the </w:t>
      </w:r>
      <w:r w:rsidR="0075603A">
        <w:t>relevance</w:t>
      </w:r>
      <w:r w:rsidR="00D018B7" w:rsidRPr="004C5471">
        <w:t xml:space="preserve"> of skills</w:t>
      </w:r>
      <w:r w:rsidRPr="004C5471">
        <w:t xml:space="preserve">; experiences of </w:t>
      </w:r>
      <w:r w:rsidR="00C762F7" w:rsidRPr="004C5471">
        <w:t xml:space="preserve">VET </w:t>
      </w:r>
      <w:r w:rsidRPr="004C5471">
        <w:t>practitioners</w:t>
      </w:r>
      <w:r w:rsidR="00390CCF" w:rsidRPr="004C5471">
        <w:t>,</w:t>
      </w:r>
      <w:r w:rsidRPr="004C5471">
        <w:t xml:space="preserve"> including student engagement; effects of reforms on enrolments, completions and VET delivery; pathways within </w:t>
      </w:r>
      <w:r w:rsidR="00D018B7" w:rsidRPr="004C5471">
        <w:t xml:space="preserve">the </w:t>
      </w:r>
      <w:r w:rsidRPr="004C5471">
        <w:t xml:space="preserve">education </w:t>
      </w:r>
      <w:r w:rsidR="00D018B7" w:rsidRPr="004C5471">
        <w:t xml:space="preserve">system </w:t>
      </w:r>
      <w:r w:rsidRPr="004C5471">
        <w:t xml:space="preserve">and transitions into the workforce; </w:t>
      </w:r>
      <w:r w:rsidR="002E64E3" w:rsidRPr="004C5471">
        <w:t xml:space="preserve">and </w:t>
      </w:r>
      <w:r w:rsidRPr="004C5471">
        <w:t>the value of mentoring and support to students</w:t>
      </w:r>
      <w:r w:rsidR="00D018B7" w:rsidRPr="004C5471">
        <w:t>,</w:t>
      </w:r>
      <w:r w:rsidRPr="004C5471">
        <w:t xml:space="preserve"> particularly those who are disadvantaged or transitioning from VET to higher education. </w:t>
      </w:r>
    </w:p>
    <w:p w:rsidR="004555B3" w:rsidRPr="004C5471" w:rsidRDefault="00390CCF" w:rsidP="004C5471">
      <w:pPr>
        <w:pStyle w:val="Text"/>
      </w:pPr>
      <w:r w:rsidRPr="004C5471">
        <w:t>The conference</w:t>
      </w:r>
      <w:r w:rsidR="004C5471">
        <w:t>’</w:t>
      </w:r>
      <w:r w:rsidRPr="004C5471">
        <w:t>s rich and varied program, during which 49</w:t>
      </w:r>
      <w:r w:rsidR="00A50D1C" w:rsidRPr="004C5471">
        <w:t xml:space="preserve"> par</w:t>
      </w:r>
      <w:r w:rsidRPr="004C5471">
        <w:t>allel sessions were presented,</w:t>
      </w:r>
      <w:r w:rsidR="00A50D1C" w:rsidRPr="004C5471">
        <w:t xml:space="preserve"> </w:t>
      </w:r>
      <w:r w:rsidR="00B360E7" w:rsidRPr="004C5471">
        <w:t>was well received</w:t>
      </w:r>
      <w:r w:rsidR="00977651" w:rsidRPr="004C5471">
        <w:t>, attracting</w:t>
      </w:r>
      <w:r w:rsidRPr="004C5471">
        <w:t xml:space="preserve"> </w:t>
      </w:r>
      <w:r w:rsidR="004532E0" w:rsidRPr="004C5471">
        <w:t>over 200 participants</w:t>
      </w:r>
      <w:r w:rsidR="00D018B7" w:rsidRPr="004C5471">
        <w:t xml:space="preserve"> </w:t>
      </w:r>
      <w:r w:rsidR="0076598C" w:rsidRPr="004C5471">
        <w:t xml:space="preserve">from Australia, East Timor and New Zealand </w:t>
      </w:r>
      <w:r w:rsidR="00D018B7" w:rsidRPr="004C5471">
        <w:t xml:space="preserve">with backgrounds in government, research, industry, training </w:t>
      </w:r>
      <w:r w:rsidR="0039142E" w:rsidRPr="004C5471">
        <w:t>and consultan</w:t>
      </w:r>
      <w:r w:rsidR="0076598C" w:rsidRPr="004C5471">
        <w:t>cy</w:t>
      </w:r>
      <w:r w:rsidR="00D018B7" w:rsidRPr="004C5471">
        <w:t xml:space="preserve">. </w:t>
      </w:r>
      <w:r w:rsidR="00165C2A" w:rsidRPr="004C5471">
        <w:t>Eight</w:t>
      </w:r>
      <w:r w:rsidR="00DE5674" w:rsidRPr="004C5471">
        <w:t xml:space="preserve"> </w:t>
      </w:r>
      <w:r w:rsidR="00B360E7" w:rsidRPr="004C5471">
        <w:t xml:space="preserve">of the </w:t>
      </w:r>
      <w:r w:rsidR="0076598C" w:rsidRPr="004C5471">
        <w:t>49</w:t>
      </w:r>
      <w:r w:rsidR="00B360E7" w:rsidRPr="004C5471">
        <w:t xml:space="preserve"> presentations were selected </w:t>
      </w:r>
      <w:r w:rsidR="0076598C" w:rsidRPr="004C5471">
        <w:t>for inclusion in</w:t>
      </w:r>
      <w:r w:rsidR="00A50D1C" w:rsidRPr="004C5471">
        <w:t xml:space="preserve"> </w:t>
      </w:r>
      <w:r w:rsidR="007C11FE" w:rsidRPr="004C5471">
        <w:t>this</w:t>
      </w:r>
      <w:r w:rsidR="00A50D1C" w:rsidRPr="004C5471">
        <w:t xml:space="preserve"> book of conference proceedings.</w:t>
      </w:r>
      <w:r w:rsidR="0076598C" w:rsidRPr="004C5471">
        <w:t xml:space="preserve"> </w:t>
      </w:r>
      <w:r w:rsidR="004555B3" w:rsidRPr="004C5471">
        <w:t xml:space="preserve">Each </w:t>
      </w:r>
      <w:r w:rsidR="0076598C" w:rsidRPr="004C5471">
        <w:t xml:space="preserve">of these </w:t>
      </w:r>
      <w:r w:rsidR="004555B3" w:rsidRPr="004C5471">
        <w:t>paper</w:t>
      </w:r>
      <w:r w:rsidR="0076598C" w:rsidRPr="004C5471">
        <w:t>s</w:t>
      </w:r>
      <w:r w:rsidR="00B360E7" w:rsidRPr="004C5471">
        <w:t xml:space="preserve">, </w:t>
      </w:r>
      <w:r w:rsidR="0076598C" w:rsidRPr="004C5471">
        <w:t xml:space="preserve">which were </w:t>
      </w:r>
      <w:r w:rsidR="00B360E7" w:rsidRPr="004C5471">
        <w:t xml:space="preserve">subject to a </w:t>
      </w:r>
      <w:r w:rsidR="004C5471">
        <w:t>‘</w:t>
      </w:r>
      <w:r w:rsidR="00B360E7" w:rsidRPr="004C5471">
        <w:t>double blind</w:t>
      </w:r>
      <w:r w:rsidR="004C5471">
        <w:t>’</w:t>
      </w:r>
      <w:r w:rsidR="00B360E7" w:rsidRPr="004C5471">
        <w:t xml:space="preserve"> review process, </w:t>
      </w:r>
      <w:r w:rsidR="004555B3" w:rsidRPr="004C5471">
        <w:t>contribut</w:t>
      </w:r>
      <w:r w:rsidR="00165C2A" w:rsidRPr="004C5471">
        <w:t>es</w:t>
      </w:r>
      <w:r w:rsidR="004555B3" w:rsidRPr="004C5471">
        <w:t xml:space="preserve"> to </w:t>
      </w:r>
      <w:r w:rsidR="0076598C" w:rsidRPr="004C5471">
        <w:t xml:space="preserve">policy and practice </w:t>
      </w:r>
      <w:r w:rsidR="00D02B6C" w:rsidRPr="004C5471">
        <w:t>in the sector.</w:t>
      </w:r>
    </w:p>
    <w:p w:rsidR="00184276" w:rsidRPr="004C5471" w:rsidRDefault="0076598C" w:rsidP="004C5471">
      <w:pPr>
        <w:pStyle w:val="Text"/>
      </w:pPr>
      <w:r w:rsidRPr="004C5471">
        <w:lastRenderedPageBreak/>
        <w:t>The paper</w:t>
      </w:r>
      <w:r w:rsidR="000720E3" w:rsidRPr="004C5471">
        <w:t>s indicate</w:t>
      </w:r>
      <w:r w:rsidRPr="004C5471">
        <w:t xml:space="preserve"> an increasing </w:t>
      </w:r>
      <w:r w:rsidR="000720E3" w:rsidRPr="004C5471">
        <w:t>interest in</w:t>
      </w:r>
      <w:r w:rsidR="00184276" w:rsidRPr="004C5471">
        <w:t xml:space="preserve"> the </w:t>
      </w:r>
      <w:r w:rsidR="00B91BE4" w:rsidRPr="004C5471">
        <w:t xml:space="preserve">various </w:t>
      </w:r>
      <w:r w:rsidR="00184276" w:rsidRPr="004C5471">
        <w:t>aspects of</w:t>
      </w:r>
      <w:r w:rsidR="00B5329F" w:rsidRPr="004C5471">
        <w:t xml:space="preserve"> </w:t>
      </w:r>
      <w:r w:rsidR="00B91BE4" w:rsidRPr="004C5471">
        <w:t xml:space="preserve">VET reform, </w:t>
      </w:r>
      <w:r w:rsidR="00B5329F" w:rsidRPr="004C5471">
        <w:t xml:space="preserve">pathways into vocational education and training as well as </w:t>
      </w:r>
      <w:r w:rsidR="000720E3" w:rsidRPr="004C5471">
        <w:t>the issue of</w:t>
      </w:r>
      <w:r w:rsidR="00B5329F" w:rsidRPr="004C5471">
        <w:t xml:space="preserve"> articulation across sectoral boundaries. </w:t>
      </w:r>
      <w:r w:rsidRPr="004C5471">
        <w:t>These themes are comple</w:t>
      </w:r>
      <w:r w:rsidR="00184276" w:rsidRPr="004C5471">
        <w:t>mented by more traditional foci</w:t>
      </w:r>
      <w:r w:rsidR="00A36837" w:rsidRPr="004C5471">
        <w:t>,</w:t>
      </w:r>
      <w:r w:rsidR="00184276" w:rsidRPr="004C5471">
        <w:t xml:space="preserve"> su</w:t>
      </w:r>
      <w:r w:rsidR="00B5329F" w:rsidRPr="004C5471">
        <w:t>c</w:t>
      </w:r>
      <w:r w:rsidR="00184276" w:rsidRPr="004C5471">
        <w:t xml:space="preserve">h as </w:t>
      </w:r>
      <w:r w:rsidR="000720E3" w:rsidRPr="004C5471">
        <w:t xml:space="preserve">the </w:t>
      </w:r>
      <w:r w:rsidR="00B5329F" w:rsidRPr="004C5471">
        <w:t>aspirations of students, access to and return</w:t>
      </w:r>
      <w:r w:rsidR="000720E3" w:rsidRPr="004C5471">
        <w:t>s</w:t>
      </w:r>
      <w:r w:rsidR="00B5329F" w:rsidRPr="004C5471">
        <w:t xml:space="preserve"> </w:t>
      </w:r>
      <w:r w:rsidR="000720E3" w:rsidRPr="004C5471">
        <w:t>from</w:t>
      </w:r>
      <w:r w:rsidR="00B5329F" w:rsidRPr="004C5471">
        <w:t xml:space="preserve"> education and training, and completion rates.</w:t>
      </w:r>
      <w:r w:rsidR="00611BDD" w:rsidRPr="004C5471">
        <w:t xml:space="preserve"> </w:t>
      </w:r>
    </w:p>
    <w:p w:rsidR="00172863" w:rsidRPr="004C5471" w:rsidRDefault="00172863" w:rsidP="004C5471">
      <w:pPr>
        <w:pStyle w:val="Text"/>
      </w:pPr>
      <w:r w:rsidRPr="004C5471">
        <w:t>Kira Clarke</w:t>
      </w:r>
      <w:r w:rsidR="004C5471">
        <w:t>’</w:t>
      </w:r>
      <w:r w:rsidR="00C9124B" w:rsidRPr="004C5471">
        <w:t>s paper on VET in Schools</w:t>
      </w:r>
      <w:r w:rsidRPr="004C5471">
        <w:t xml:space="preserve"> </w:t>
      </w:r>
      <w:r w:rsidR="008138E5" w:rsidRPr="004C5471">
        <w:t>reflects on</w:t>
      </w:r>
      <w:r w:rsidRPr="004C5471">
        <w:t xml:space="preserve"> the challenges constraining </w:t>
      </w:r>
      <w:r w:rsidR="00A36837" w:rsidRPr="004C5471">
        <w:t xml:space="preserve">meaningful </w:t>
      </w:r>
      <w:r w:rsidRPr="004C5471">
        <w:t xml:space="preserve">policy change </w:t>
      </w:r>
      <w:r w:rsidR="00B3704A" w:rsidRPr="004C5471">
        <w:t xml:space="preserve">in the area of VET for young people </w:t>
      </w:r>
      <w:r w:rsidRPr="004C5471">
        <w:t xml:space="preserve">and highlights the impact these challenges are having on the national discussion </w:t>
      </w:r>
      <w:r w:rsidR="000720E3" w:rsidRPr="004C5471">
        <w:t>on</w:t>
      </w:r>
      <w:r w:rsidRPr="004C5471">
        <w:t xml:space="preserve"> strengthen</w:t>
      </w:r>
      <w:r w:rsidR="00D02B6C" w:rsidRPr="004C5471">
        <w:t>ing</w:t>
      </w:r>
      <w:r w:rsidRPr="004C5471">
        <w:t xml:space="preserve"> vocational pathways for young Australians. Adding another dimension to </w:t>
      </w:r>
      <w:r w:rsidR="009C7F2C" w:rsidRPr="004C5471">
        <w:t>discussions of reform</w:t>
      </w:r>
      <w:r w:rsidR="00C9124B" w:rsidRPr="004C5471">
        <w:t>,</w:t>
      </w:r>
      <w:r w:rsidRPr="004C5471">
        <w:t xml:space="preserve"> Greg McMillan </w:t>
      </w:r>
      <w:r w:rsidR="00A36837" w:rsidRPr="004C5471">
        <w:t>and his colleagues offer</w:t>
      </w:r>
      <w:r w:rsidRPr="004C5471">
        <w:t xml:space="preserve"> useful insights into issues associated with </w:t>
      </w:r>
      <w:r w:rsidR="00C9124B" w:rsidRPr="004C5471">
        <w:t xml:space="preserve">mergers between </w:t>
      </w:r>
      <w:r w:rsidRPr="004C5471">
        <w:t>TAFE</w:t>
      </w:r>
      <w:r w:rsidR="000720E3" w:rsidRPr="004C5471">
        <w:t xml:space="preserve"> (technical and further education) </w:t>
      </w:r>
      <w:r w:rsidR="00C9124B" w:rsidRPr="004C5471">
        <w:t xml:space="preserve">institutes </w:t>
      </w:r>
      <w:r w:rsidR="000720E3" w:rsidRPr="004C5471">
        <w:t>and higher education</w:t>
      </w:r>
      <w:r w:rsidRPr="004C5471">
        <w:t xml:space="preserve"> </w:t>
      </w:r>
      <w:r w:rsidR="00C9124B" w:rsidRPr="004C5471">
        <w:t xml:space="preserve">institutions </w:t>
      </w:r>
      <w:r w:rsidR="009C7F2C" w:rsidRPr="004C5471">
        <w:t xml:space="preserve">through his examination of the merger between </w:t>
      </w:r>
      <w:r w:rsidR="00A36837" w:rsidRPr="004C5471">
        <w:t xml:space="preserve">Central </w:t>
      </w:r>
      <w:r w:rsidR="009C7F2C" w:rsidRPr="004C5471">
        <w:t>Queensland University and the Central Que</w:t>
      </w:r>
      <w:r w:rsidR="00A36837" w:rsidRPr="004C5471">
        <w:t>ensland Institute of TAFE</w:t>
      </w:r>
      <w:r w:rsidR="00C9124B" w:rsidRPr="004C5471">
        <w:t>. His paper identifies</w:t>
      </w:r>
      <w:r w:rsidRPr="004C5471">
        <w:t xml:space="preserve"> </w:t>
      </w:r>
      <w:r w:rsidR="00FA3382" w:rsidRPr="004C5471">
        <w:t>the main messages,</w:t>
      </w:r>
      <w:r w:rsidR="009C7F2C" w:rsidRPr="004C5471">
        <w:t xml:space="preserve"> issues and potential lessons </w:t>
      </w:r>
      <w:r w:rsidR="00D02B6C" w:rsidRPr="004C5471">
        <w:t>arising from this union</w:t>
      </w:r>
      <w:r w:rsidRPr="004C5471">
        <w:t xml:space="preserve">. </w:t>
      </w:r>
    </w:p>
    <w:p w:rsidR="00B5329F" w:rsidRPr="004C5471" w:rsidRDefault="00C9124B" w:rsidP="004C5471">
      <w:pPr>
        <w:pStyle w:val="Text"/>
      </w:pPr>
      <w:r w:rsidRPr="004C5471">
        <w:t xml:space="preserve">In another paper </w:t>
      </w:r>
      <w:r w:rsidR="009C7F2C" w:rsidRPr="004C5471">
        <w:t xml:space="preserve">Kira Clarke sheds light on </w:t>
      </w:r>
      <w:r w:rsidRPr="004C5471">
        <w:t>the</w:t>
      </w:r>
      <w:r w:rsidR="009C7F2C" w:rsidRPr="004C5471">
        <w:t xml:space="preserve"> important topic </w:t>
      </w:r>
      <w:r w:rsidR="002E7F9A" w:rsidRPr="004C5471">
        <w:t xml:space="preserve">of the role of gender stereotypes </w:t>
      </w:r>
      <w:r w:rsidR="00A36837" w:rsidRPr="004C5471">
        <w:t xml:space="preserve">in </w:t>
      </w:r>
      <w:r w:rsidR="002E7F9A" w:rsidRPr="004C5471">
        <w:t>the career choices of youth</w:t>
      </w:r>
      <w:r w:rsidR="009C7F2C" w:rsidRPr="004C5471">
        <w:t xml:space="preserve">. </w:t>
      </w:r>
      <w:r w:rsidR="008138E5" w:rsidRPr="004C5471">
        <w:t>T</w:t>
      </w:r>
      <w:r w:rsidR="009C7F2C" w:rsidRPr="004C5471">
        <w:t xml:space="preserve">he challenges that face young women as they approach </w:t>
      </w:r>
      <w:r w:rsidR="00D02B6C" w:rsidRPr="004C5471">
        <w:t>important career decisions</w:t>
      </w:r>
      <w:r w:rsidR="008138E5" w:rsidRPr="004C5471">
        <w:t xml:space="preserve"> are </w:t>
      </w:r>
      <w:r w:rsidR="00A4137A" w:rsidRPr="004C5471">
        <w:t>e</w:t>
      </w:r>
      <w:r w:rsidR="00D02B6C" w:rsidRPr="004C5471">
        <w:t>xamined</w:t>
      </w:r>
      <w:r w:rsidR="00A4137A" w:rsidRPr="004C5471">
        <w:t xml:space="preserve"> </w:t>
      </w:r>
      <w:r w:rsidR="002E7F9A" w:rsidRPr="004C5471">
        <w:t>and</w:t>
      </w:r>
      <w:r w:rsidR="00A4137A" w:rsidRPr="004C5471">
        <w:t xml:space="preserve"> recommendations </w:t>
      </w:r>
      <w:r w:rsidR="002E7F9A" w:rsidRPr="004C5471">
        <w:t xml:space="preserve">are offered </w:t>
      </w:r>
      <w:r w:rsidR="00A36837" w:rsidRPr="004C5471">
        <w:t>for strengthening</w:t>
      </w:r>
      <w:r w:rsidR="009C7F2C" w:rsidRPr="004C5471">
        <w:t xml:space="preserve"> models of career exploration for </w:t>
      </w:r>
      <w:r w:rsidR="0075603A">
        <w:t>this group of young people</w:t>
      </w:r>
      <w:r w:rsidR="009C7F2C" w:rsidRPr="004C5471">
        <w:t xml:space="preserve">. </w:t>
      </w:r>
    </w:p>
    <w:p w:rsidR="009C7F2C" w:rsidRPr="004C5471" w:rsidRDefault="00FA3382" w:rsidP="004C5471">
      <w:pPr>
        <w:pStyle w:val="Text"/>
        <w:ind w:right="-143"/>
      </w:pPr>
      <w:r w:rsidRPr="004C5471">
        <w:t>Pathways and articulation</w:t>
      </w:r>
      <w:r w:rsidR="008138E5" w:rsidRPr="004C5471">
        <w:t xml:space="preserve"> are</w:t>
      </w:r>
      <w:r w:rsidRPr="004C5471">
        <w:t xml:space="preserve"> </w:t>
      </w:r>
      <w:r w:rsidR="00D02B6C" w:rsidRPr="004C5471">
        <w:t>considered</w:t>
      </w:r>
      <w:r w:rsidR="00A4137A" w:rsidRPr="004C5471">
        <w:t xml:space="preserve"> at length </w:t>
      </w:r>
      <w:r w:rsidRPr="004C5471">
        <w:t>in the final four papers</w:t>
      </w:r>
      <w:r w:rsidR="00A4137A" w:rsidRPr="004C5471">
        <w:t xml:space="preserve"> of this booklet. Suzanne</w:t>
      </w:r>
      <w:r w:rsidR="004C5471">
        <w:t> </w:t>
      </w:r>
      <w:r w:rsidR="00A4137A" w:rsidRPr="004C5471">
        <w:t xml:space="preserve">Storer looks at </w:t>
      </w:r>
      <w:r w:rsidRPr="004C5471">
        <w:t xml:space="preserve">why successful VET students </w:t>
      </w:r>
      <w:r w:rsidR="002E7F9A" w:rsidRPr="004C5471">
        <w:t>undertake</w:t>
      </w:r>
      <w:r w:rsidRPr="004C5471">
        <w:t xml:space="preserve"> enabling courses rather than </w:t>
      </w:r>
      <w:r w:rsidR="002E7F9A" w:rsidRPr="004C5471">
        <w:t>proceeding</w:t>
      </w:r>
      <w:r w:rsidR="00BF466F" w:rsidRPr="004C5471">
        <w:t xml:space="preserve"> straight </w:t>
      </w:r>
      <w:r w:rsidR="002E7F9A" w:rsidRPr="004C5471">
        <w:t>to university, while</w:t>
      </w:r>
      <w:r w:rsidRPr="004C5471">
        <w:t xml:space="preserve"> Damian Oliver </w:t>
      </w:r>
      <w:r w:rsidR="00A36837" w:rsidRPr="004C5471">
        <w:t xml:space="preserve">and </w:t>
      </w:r>
      <w:r w:rsidR="005A0180" w:rsidRPr="004C5471">
        <w:t>Kurt Walpole examine</w:t>
      </w:r>
      <w:r w:rsidRPr="004C5471">
        <w:t xml:space="preserve"> the divergence between awards and qualifications </w:t>
      </w:r>
      <w:r w:rsidR="005A0180" w:rsidRPr="004C5471">
        <w:t xml:space="preserve">that has occurred </w:t>
      </w:r>
      <w:r w:rsidRPr="004C5471">
        <w:t xml:space="preserve">over the past few decades. Student mobility across sectoral boundaries is </w:t>
      </w:r>
      <w:r w:rsidR="00A4137A" w:rsidRPr="004C5471">
        <w:t>analysed</w:t>
      </w:r>
      <w:r w:rsidR="005A0180" w:rsidRPr="004C5471">
        <w:t xml:space="preserve"> in the </w:t>
      </w:r>
      <w:r w:rsidRPr="004C5471">
        <w:t xml:space="preserve">paper </w:t>
      </w:r>
      <w:r w:rsidR="005A0180" w:rsidRPr="004C5471">
        <w:t>by Jillian Blacker and colleagues</w:t>
      </w:r>
      <w:r w:rsidR="0075603A">
        <w:t>. I</w:t>
      </w:r>
      <w:r w:rsidR="005A0180" w:rsidRPr="004C5471">
        <w:t xml:space="preserve">n their </w:t>
      </w:r>
      <w:r w:rsidR="0075603A">
        <w:t xml:space="preserve">paper they explore </w:t>
      </w:r>
      <w:r w:rsidRPr="004C5471">
        <w:t>how tertiary admission centres (TACs) in different Australian states and territories function in enabling student</w:t>
      </w:r>
      <w:r w:rsidR="00A4137A" w:rsidRPr="004C5471">
        <w:t>s</w:t>
      </w:r>
      <w:r w:rsidRPr="004C5471">
        <w:t xml:space="preserve"> to move into higher education upon completion of their </w:t>
      </w:r>
      <w:r w:rsidR="005A0180" w:rsidRPr="004C5471">
        <w:t>VET</w:t>
      </w:r>
      <w:r w:rsidRPr="004C5471">
        <w:t xml:space="preserve"> qualification. </w:t>
      </w:r>
      <w:r w:rsidR="00A63023" w:rsidRPr="004C5471">
        <w:t>Further to the topic of student mobility</w:t>
      </w:r>
      <w:r w:rsidR="002E7F9A" w:rsidRPr="004C5471">
        <w:t>,</w:t>
      </w:r>
      <w:r w:rsidR="00A63023" w:rsidRPr="004C5471">
        <w:t xml:space="preserve"> </w:t>
      </w:r>
      <w:r w:rsidRPr="004C5471">
        <w:t>Pamela Delly</w:t>
      </w:r>
      <w:r w:rsidR="005A0180" w:rsidRPr="004C5471">
        <w:t xml:space="preserve">, Anna </w:t>
      </w:r>
      <w:proofErr w:type="spellStart"/>
      <w:r w:rsidR="005A0180" w:rsidRPr="004C5471">
        <w:t>Brunken</w:t>
      </w:r>
      <w:proofErr w:type="spellEnd"/>
      <w:r w:rsidRPr="004C5471">
        <w:t xml:space="preserve"> and Mike Brown discuss </w:t>
      </w:r>
      <w:r w:rsidR="00C10411" w:rsidRPr="004C5471">
        <w:t xml:space="preserve">how VET graduates negotiate university and </w:t>
      </w:r>
      <w:r w:rsidR="00BF466F" w:rsidRPr="004C5471">
        <w:t xml:space="preserve">some of the </w:t>
      </w:r>
      <w:r w:rsidR="00A4137A" w:rsidRPr="004C5471">
        <w:t xml:space="preserve">differences these students experience </w:t>
      </w:r>
      <w:r w:rsidR="00BF466F" w:rsidRPr="004C5471">
        <w:t xml:space="preserve">between </w:t>
      </w:r>
      <w:r w:rsidR="00A4137A" w:rsidRPr="004C5471">
        <w:t>the two</w:t>
      </w:r>
      <w:r w:rsidR="00C10411" w:rsidRPr="004C5471">
        <w:t xml:space="preserve"> sector</w:t>
      </w:r>
      <w:r w:rsidR="00A4137A" w:rsidRPr="004C5471">
        <w:t>s</w:t>
      </w:r>
      <w:r w:rsidR="00C10411" w:rsidRPr="004C5471">
        <w:t xml:space="preserve">. </w:t>
      </w:r>
    </w:p>
    <w:p w:rsidR="00D018B7" w:rsidRPr="004C5471" w:rsidRDefault="00A4137A" w:rsidP="004C5471">
      <w:pPr>
        <w:pStyle w:val="Text"/>
      </w:pPr>
      <w:r w:rsidRPr="004C5471">
        <w:t>Overall, t</w:t>
      </w:r>
      <w:r w:rsidR="008138E5" w:rsidRPr="004C5471">
        <w:t>he 2014 No Frills conference highlights that researchers are continuously being challenged to consider how best to meet the current and future skill need</w:t>
      </w:r>
      <w:r w:rsidR="00E67672" w:rsidRPr="004C5471">
        <w:t xml:space="preserve">s of all Australian businesses. In </w:t>
      </w:r>
      <w:r w:rsidR="00AB6EA4" w:rsidRPr="004C5471">
        <w:t>addressing</w:t>
      </w:r>
      <w:r w:rsidR="00E67672" w:rsidRPr="004C5471">
        <w:t xml:space="preserve"> this challenge</w:t>
      </w:r>
      <w:r w:rsidR="005A0180" w:rsidRPr="004C5471">
        <w:t>,</w:t>
      </w:r>
      <w:r w:rsidR="00E67672" w:rsidRPr="004C5471">
        <w:t xml:space="preserve"> many of the researchers presented here have also considered how theoretical applications translate into policy and practice. </w:t>
      </w:r>
      <w:r w:rsidRPr="004C5471">
        <w:t>T</w:t>
      </w:r>
      <w:r w:rsidR="008138E5" w:rsidRPr="004C5471">
        <w:t xml:space="preserve">hese proceedings highlight the importance of ongoing research </w:t>
      </w:r>
      <w:r w:rsidR="005A0180" w:rsidRPr="004C5471">
        <w:t>in</w:t>
      </w:r>
      <w:r w:rsidR="008138E5" w:rsidRPr="004C5471">
        <w:t xml:space="preserve"> sustain</w:t>
      </w:r>
      <w:r w:rsidR="005A0180" w:rsidRPr="004C5471">
        <w:t>ing and improving</w:t>
      </w:r>
      <w:r w:rsidR="008138E5" w:rsidRPr="004C5471">
        <w:t xml:space="preserve"> </w:t>
      </w:r>
      <w:r w:rsidR="005A0180" w:rsidRPr="004C5471">
        <w:t>Australia</w:t>
      </w:r>
      <w:r w:rsidR="004C5471">
        <w:t>’</w:t>
      </w:r>
      <w:r w:rsidR="005A0180" w:rsidRPr="004C5471">
        <w:t>s</w:t>
      </w:r>
      <w:r w:rsidR="008138E5" w:rsidRPr="004C5471">
        <w:t xml:space="preserve"> tertiary education and training system.</w:t>
      </w:r>
    </w:p>
    <w:p w:rsidR="00A50D1C" w:rsidRDefault="0075603A" w:rsidP="004C5471">
      <w:pPr>
        <w:pStyle w:val="Text"/>
        <w:rPr>
          <w:rStyle w:val="Strong"/>
          <w:b w:val="0"/>
          <w:color w:val="000000"/>
          <w:szCs w:val="19"/>
        </w:rPr>
      </w:pPr>
      <w:r>
        <w:t>The k</w:t>
      </w:r>
      <w:r w:rsidR="00A50D1C" w:rsidRPr="004C5471">
        <w:t>eynote</w:t>
      </w:r>
      <w:r w:rsidR="008B7F72" w:rsidRPr="004C5471">
        <w:t xml:space="preserve"> presentat</w:t>
      </w:r>
      <w:r w:rsidR="008B7F72" w:rsidRPr="00E67672">
        <w:rPr>
          <w:szCs w:val="19"/>
        </w:rPr>
        <w:t>ions and further information regarding the</w:t>
      </w:r>
      <w:r w:rsidR="00A50D1C" w:rsidRPr="00E67672">
        <w:rPr>
          <w:szCs w:val="19"/>
        </w:rPr>
        <w:t xml:space="preserve"> </w:t>
      </w:r>
      <w:r w:rsidR="004C5471">
        <w:rPr>
          <w:szCs w:val="19"/>
        </w:rPr>
        <w:t>‘</w:t>
      </w:r>
      <w:r w:rsidR="00A50D1C" w:rsidRPr="00E67672">
        <w:rPr>
          <w:szCs w:val="19"/>
        </w:rPr>
        <w:t>No Frills</w:t>
      </w:r>
      <w:r w:rsidR="004C5471">
        <w:rPr>
          <w:szCs w:val="19"/>
        </w:rPr>
        <w:t>’</w:t>
      </w:r>
      <w:r w:rsidR="00A50D1C" w:rsidRPr="00E67672">
        <w:rPr>
          <w:szCs w:val="19"/>
        </w:rPr>
        <w:t xml:space="preserve"> 201</w:t>
      </w:r>
      <w:r w:rsidR="00B9722A" w:rsidRPr="00E67672">
        <w:rPr>
          <w:szCs w:val="19"/>
        </w:rPr>
        <w:t>4</w:t>
      </w:r>
      <w:r w:rsidR="00A50D1C" w:rsidRPr="00E67672">
        <w:rPr>
          <w:szCs w:val="19"/>
        </w:rPr>
        <w:t xml:space="preserve"> conference can be found at the </w:t>
      </w:r>
      <w:proofErr w:type="spellStart"/>
      <w:r w:rsidR="00A50D1C" w:rsidRPr="00E67672">
        <w:rPr>
          <w:szCs w:val="19"/>
        </w:rPr>
        <w:t>VOCEDplus</w:t>
      </w:r>
      <w:proofErr w:type="spellEnd"/>
      <w:r w:rsidR="00A50D1C" w:rsidRPr="00E67672">
        <w:rPr>
          <w:szCs w:val="19"/>
        </w:rPr>
        <w:t xml:space="preserve"> website</w:t>
      </w:r>
      <w:r w:rsidR="00A50D1C" w:rsidRPr="00E67672">
        <w:rPr>
          <w:b/>
          <w:szCs w:val="19"/>
        </w:rPr>
        <w:t xml:space="preserve"> </w:t>
      </w:r>
      <w:r w:rsidR="004C5471">
        <w:rPr>
          <w:b/>
          <w:szCs w:val="19"/>
        </w:rPr>
        <w:t>&lt;</w:t>
      </w:r>
      <w:bookmarkStart w:id="24" w:name="_GoBack"/>
      <w:r w:rsidR="004E0CB6" w:rsidRPr="004E0CB6">
        <w:rPr>
          <w:szCs w:val="19"/>
        </w:rPr>
        <w:t>http://www.voced.edu.au/content/ngv%3A62746</w:t>
      </w:r>
      <w:bookmarkEnd w:id="24"/>
      <w:r w:rsidR="004C5471" w:rsidRPr="005E2A70">
        <w:rPr>
          <w:rStyle w:val="Strong"/>
          <w:b w:val="0"/>
          <w:szCs w:val="19"/>
        </w:rPr>
        <w:t>&gt;</w:t>
      </w:r>
      <w:r w:rsidR="008B7F72" w:rsidRPr="005E2A70">
        <w:rPr>
          <w:rStyle w:val="Strong"/>
          <w:b w:val="0"/>
          <w:szCs w:val="19"/>
        </w:rPr>
        <w:t>.</w:t>
      </w:r>
    </w:p>
    <w:bookmarkEnd w:id="21"/>
    <w:bookmarkEnd w:id="22"/>
    <w:bookmarkEnd w:id="23"/>
    <w:p w:rsidR="009E231A" w:rsidRPr="00E5011C" w:rsidRDefault="009E231A" w:rsidP="00E5011C">
      <w:pPr>
        <w:pStyle w:val="Text"/>
      </w:pPr>
    </w:p>
    <w:p w:rsidR="00834983" w:rsidRDefault="00834983">
      <w:pPr>
        <w:spacing w:before="0" w:line="240" w:lineRule="auto"/>
        <w:rPr>
          <w:rFonts w:ascii="Tahoma" w:hAnsi="Tahoma" w:cs="Tahoma"/>
          <w:color w:val="000000"/>
          <w:kern w:val="28"/>
          <w:sz w:val="56"/>
          <w:szCs w:val="56"/>
        </w:rPr>
      </w:pPr>
      <w:bookmarkStart w:id="25" w:name="_Toc296423677"/>
      <w:bookmarkStart w:id="26" w:name="_Toc296497508"/>
      <w:r>
        <w:br w:type="page"/>
      </w:r>
    </w:p>
    <w:p w:rsidR="00996066" w:rsidRPr="00996066" w:rsidRDefault="00996066" w:rsidP="004C5471">
      <w:pPr>
        <w:pStyle w:val="Heading1"/>
      </w:pPr>
      <w:bookmarkStart w:id="27" w:name="_Toc416683009"/>
      <w:bookmarkEnd w:id="25"/>
      <w:bookmarkEnd w:id="26"/>
      <w:r w:rsidRPr="00996066">
        <w:lastRenderedPageBreak/>
        <w:t xml:space="preserve">Tinkering around the edges, but ignoring the huge cracks: a </w:t>
      </w:r>
      <w:r w:rsidRPr="004C5471">
        <w:t>discussion</w:t>
      </w:r>
      <w:r w:rsidRPr="00996066">
        <w:t xml:space="preserve"> of VET in Schools for young Australians</w:t>
      </w:r>
      <w:bookmarkEnd w:id="27"/>
    </w:p>
    <w:p w:rsidR="00996066" w:rsidRDefault="00996066" w:rsidP="00F17BA9">
      <w:pPr>
        <w:pStyle w:val="StyleAuthorsLeft0cm"/>
      </w:pPr>
      <w:r>
        <w:t>Kira Clarke</w:t>
      </w:r>
    </w:p>
    <w:p w:rsidR="00996066" w:rsidRPr="00996066" w:rsidRDefault="00996066" w:rsidP="00F17BA9">
      <w:pPr>
        <w:pStyle w:val="StyleOrganisationLeft0cmRight-0cm"/>
      </w:pPr>
      <w:r>
        <w:t>University of Melbourne</w:t>
      </w:r>
    </w:p>
    <w:p w:rsidR="00996066" w:rsidRPr="00996066" w:rsidRDefault="00996066" w:rsidP="006E23C9">
      <w:pPr>
        <w:pStyle w:val="Text"/>
        <w:spacing w:before="360"/>
        <w:ind w:right="0"/>
      </w:pPr>
      <w:bookmarkStart w:id="28" w:name="_Toc296423680"/>
      <w:bookmarkStart w:id="29" w:name="_Toc296497511"/>
      <w:r w:rsidRPr="00996066">
        <w:t>I</w:t>
      </w:r>
      <w:r w:rsidR="00AB6EA4">
        <w:t xml:space="preserve">n 2012 </w:t>
      </w:r>
      <w:r w:rsidR="00B3704A">
        <w:t xml:space="preserve">the number of </w:t>
      </w:r>
      <w:r w:rsidR="00AB6EA4">
        <w:t>15 to 19-year-</w:t>
      </w:r>
      <w:r w:rsidRPr="00996066">
        <w:t>olds participati</w:t>
      </w:r>
      <w:r w:rsidR="00B3704A">
        <w:t>ng</w:t>
      </w:r>
      <w:r w:rsidRPr="00996066">
        <w:t xml:space="preserve"> in </w:t>
      </w:r>
      <w:r w:rsidR="00AB6EA4" w:rsidRPr="00996066">
        <w:t>vocational education and training</w:t>
      </w:r>
      <w:r w:rsidRPr="00996066">
        <w:t xml:space="preserve"> in Australia </w:t>
      </w:r>
      <w:r w:rsidR="00B3704A">
        <w:t xml:space="preserve">exceeded </w:t>
      </w:r>
      <w:r w:rsidR="00A72B35">
        <w:t>488 100</w:t>
      </w:r>
      <w:r w:rsidR="00B3704A">
        <w:t xml:space="preserve"> </w:t>
      </w:r>
      <w:r w:rsidRPr="00996066">
        <w:t>(NCVER 201</w:t>
      </w:r>
      <w:r w:rsidR="00AB6EA4">
        <w:t xml:space="preserve">3). This included more than 242 </w:t>
      </w:r>
      <w:r w:rsidRPr="00996066">
        <w:t>000 students undertaking V</w:t>
      </w:r>
      <w:r w:rsidR="00AB6EA4">
        <w:t xml:space="preserve">ET in Schools and more than 147 </w:t>
      </w:r>
      <w:r w:rsidRPr="00996066">
        <w:t xml:space="preserve">000 who had left school prior to completing a senior secondary certificate and </w:t>
      </w:r>
      <w:r w:rsidR="00B3704A">
        <w:t xml:space="preserve">who </w:t>
      </w:r>
      <w:r w:rsidRPr="00996066">
        <w:t xml:space="preserve">were undertaking </w:t>
      </w:r>
      <w:r w:rsidR="00AB6EA4">
        <w:t>vocational education</w:t>
      </w:r>
      <w:r w:rsidRPr="00996066">
        <w:t xml:space="preserve"> at </w:t>
      </w:r>
      <w:r w:rsidR="00AB6EA4">
        <w:t xml:space="preserve">a </w:t>
      </w:r>
      <w:r w:rsidRPr="00996066">
        <w:t xml:space="preserve">TAFE </w:t>
      </w:r>
      <w:r w:rsidR="00AB6EA4">
        <w:t xml:space="preserve">institute </w:t>
      </w:r>
      <w:r w:rsidRPr="00996066">
        <w:t xml:space="preserve">or a private </w:t>
      </w:r>
      <w:r w:rsidR="00AB6EA4">
        <w:t>registered training organis</w:t>
      </w:r>
      <w:r w:rsidR="00AB6EA4" w:rsidRPr="00996066">
        <w:t>ation</w:t>
      </w:r>
      <w:r w:rsidR="00AB6EA4">
        <w:t xml:space="preserve"> (RTO)</w:t>
      </w:r>
      <w:r w:rsidR="00A72B35">
        <w:t xml:space="preserve"> (NCVER 2012a; NCVER 2012b)</w:t>
      </w:r>
      <w:r w:rsidR="00AB6EA4">
        <w:t xml:space="preserve">. The VET landscape </w:t>
      </w:r>
      <w:r w:rsidRPr="00996066">
        <w:t>in which these young people learn is pl</w:t>
      </w:r>
      <w:r w:rsidR="00AB6EA4">
        <w:t>agued by a lack of clarity, which</w:t>
      </w:r>
      <w:r w:rsidRPr="00996066">
        <w:t xml:space="preserve"> makes a critical discussion of the role of VET for young people </w:t>
      </w:r>
      <w:r w:rsidR="00AB6EA4">
        <w:t>imperative</w:t>
      </w:r>
      <w:r w:rsidRPr="00996066">
        <w:t xml:space="preserve">. </w:t>
      </w:r>
    </w:p>
    <w:p w:rsidR="00996066" w:rsidRPr="00996066" w:rsidRDefault="00996066" w:rsidP="00A67AB4">
      <w:pPr>
        <w:pStyle w:val="Text"/>
      </w:pPr>
      <w:r w:rsidRPr="00996066">
        <w:t>In seeking to understand how VET pathways can be strengthened for young people, the broader purposes of our post-compulsory education and training systems</w:t>
      </w:r>
      <w:r w:rsidR="00A52541">
        <w:t xml:space="preserve"> should be considered</w:t>
      </w:r>
      <w:r w:rsidRPr="00996066">
        <w:t xml:space="preserve">. </w:t>
      </w:r>
      <w:r w:rsidR="00A52541">
        <w:t>This</w:t>
      </w:r>
      <w:r w:rsidRPr="00996066">
        <w:t xml:space="preserve"> discussion crosses policy silos and requires input from stakeholders with often contrasting and competing expectations of the purpose of vocational education for young people.</w:t>
      </w:r>
    </w:p>
    <w:p w:rsidR="00996066" w:rsidRPr="00996066" w:rsidRDefault="00996066" w:rsidP="00A67AB4">
      <w:pPr>
        <w:pStyle w:val="Text"/>
      </w:pPr>
      <w:r w:rsidRPr="00996066">
        <w:t>This paper, focusing on the role of VET in Schools for young Australians, proposes that there are three key challenges constraining productive policy change. Firstly, current discussion</w:t>
      </w:r>
      <w:r w:rsidR="00A52541">
        <w:t>s</w:t>
      </w:r>
      <w:r w:rsidRPr="00996066">
        <w:t xml:space="preserve"> of VET for young people </w:t>
      </w:r>
      <w:r w:rsidR="00A52541">
        <w:t>are often focus</w:t>
      </w:r>
      <w:r w:rsidRPr="00996066">
        <w:t xml:space="preserve">ed on curriculum alone, with </w:t>
      </w:r>
      <w:r w:rsidR="00A52541">
        <w:t>little</w:t>
      </w:r>
      <w:r w:rsidRPr="00996066">
        <w:t xml:space="preserve"> examination of the role of pedagogy. Secondly, a key issue in the broader discussion of the purposes of VET for young people is what can be described as a </w:t>
      </w:r>
      <w:r w:rsidR="004C5471">
        <w:t>‘</w:t>
      </w:r>
      <w:r w:rsidRPr="00996066">
        <w:t>problematic certificate paradigm</w:t>
      </w:r>
      <w:r w:rsidR="004C5471">
        <w:t>’</w:t>
      </w:r>
      <w:r w:rsidRPr="00996066">
        <w:t xml:space="preserve">. That is, there is </w:t>
      </w:r>
      <w:r w:rsidR="00B3704A">
        <w:t xml:space="preserve">an </w:t>
      </w:r>
      <w:r w:rsidRPr="00996066">
        <w:t xml:space="preserve">increasing focus on </w:t>
      </w:r>
      <w:r w:rsidR="00A52541">
        <w:t xml:space="preserve">the </w:t>
      </w:r>
      <w:r w:rsidRPr="00996066">
        <w:t xml:space="preserve">attainment of entry-level certificates as the key policy measure of effective youth </w:t>
      </w:r>
      <w:r w:rsidR="00A52541">
        <w:t>transitions, despite acknowledg</w:t>
      </w:r>
      <w:r w:rsidRPr="00996066">
        <w:t>ment that these qualifications hold limited value in the labour market. Thirdly, policy discus</w:t>
      </w:r>
      <w:r w:rsidR="006B4D9B">
        <w:t>sions too often skirt the class-</w:t>
      </w:r>
      <w:r w:rsidRPr="00996066">
        <w:t xml:space="preserve">segmentation role that VET pathways can and do play. </w:t>
      </w:r>
    </w:p>
    <w:p w:rsidR="00996066" w:rsidRPr="00996066" w:rsidRDefault="00996066" w:rsidP="00A67AB4">
      <w:pPr>
        <w:pStyle w:val="Text"/>
      </w:pPr>
      <w:r w:rsidRPr="00996066">
        <w:t xml:space="preserve">This paper draws on two recently completed studies, one funded by NCVER and </w:t>
      </w:r>
      <w:r w:rsidR="00B3704A">
        <w:t xml:space="preserve">the other </w:t>
      </w:r>
      <w:r w:rsidRPr="00996066">
        <w:t xml:space="preserve">funded by the Australian Research Council, to highlight the impact that these three challenges are having on the national discussion </w:t>
      </w:r>
      <w:r w:rsidR="00B3704A">
        <w:t>on</w:t>
      </w:r>
      <w:r w:rsidRPr="00996066">
        <w:t xml:space="preserve"> how to strengthen vocational pathways for young Australians.</w:t>
      </w:r>
    </w:p>
    <w:p w:rsidR="00996066" w:rsidRPr="00996066" w:rsidRDefault="00996066" w:rsidP="00A67AB4">
      <w:pPr>
        <w:pStyle w:val="Heading2"/>
      </w:pPr>
      <w:bookmarkStart w:id="30" w:name="_Toc412455583"/>
      <w:bookmarkStart w:id="31" w:name="_Toc416683010"/>
      <w:r w:rsidRPr="00996066">
        <w:t>Introduction</w:t>
      </w:r>
      <w:bookmarkEnd w:id="30"/>
      <w:bookmarkEnd w:id="31"/>
      <w:r w:rsidRPr="00996066">
        <w:t xml:space="preserve"> </w:t>
      </w:r>
    </w:p>
    <w:p w:rsidR="00996066" w:rsidRPr="00996066" w:rsidRDefault="00A52541" w:rsidP="00A67AB4">
      <w:pPr>
        <w:pStyle w:val="Text"/>
      </w:pPr>
      <w:r>
        <w:t>VET</w:t>
      </w:r>
      <w:r w:rsidR="00996066" w:rsidRPr="00996066">
        <w:t xml:space="preserve"> in Schools is often considered to be </w:t>
      </w:r>
      <w:r w:rsidR="00D92C0F">
        <w:t>accommodated most effectively within</w:t>
      </w:r>
      <w:r w:rsidR="00996066" w:rsidRPr="00996066">
        <w:t xml:space="preserve"> th</w:t>
      </w:r>
      <w:r w:rsidR="00D92C0F">
        <w:t>e senior secondary certificates; however,</w:t>
      </w:r>
      <w:r w:rsidR="00996066" w:rsidRPr="00996066">
        <w:t xml:space="preserve"> in </w:t>
      </w:r>
      <w:r w:rsidR="00D92C0F">
        <w:t>attempting to determine</w:t>
      </w:r>
      <w:r w:rsidR="00996066" w:rsidRPr="00996066">
        <w:t xml:space="preserve"> why VET in Schools is not working for some students (Clarke 2012</w:t>
      </w:r>
      <w:r w:rsidR="00C96CCE">
        <w:t xml:space="preserve">, </w:t>
      </w:r>
      <w:r w:rsidR="00996066" w:rsidRPr="00996066">
        <w:t>2013; Rothman et al</w:t>
      </w:r>
      <w:r w:rsidR="004C5471">
        <w:t>.</w:t>
      </w:r>
      <w:r w:rsidR="00996066" w:rsidRPr="00996066">
        <w:t xml:space="preserve"> 2011; Queensland Department of Education and Training 2011), </w:t>
      </w:r>
      <w:r w:rsidR="00D92C0F">
        <w:t>its role</w:t>
      </w:r>
      <w:r w:rsidR="00996066" w:rsidRPr="00996066">
        <w:t xml:space="preserve"> within the broader purposes of secondary education</w:t>
      </w:r>
      <w:r w:rsidR="00D92C0F">
        <w:t xml:space="preserve"> needs to be considered</w:t>
      </w:r>
      <w:r w:rsidR="00996066" w:rsidRPr="00996066">
        <w:t xml:space="preserve">. This paper draws on two recently completed studies, one funded by </w:t>
      </w:r>
      <w:r w:rsidR="00D92C0F">
        <w:t>NCVER</w:t>
      </w:r>
      <w:r w:rsidR="00996066" w:rsidRPr="00996066">
        <w:t xml:space="preserve"> and </w:t>
      </w:r>
      <w:r w:rsidR="00D92C0F">
        <w:t>the other</w:t>
      </w:r>
      <w:r w:rsidR="00996066" w:rsidRPr="00996066">
        <w:t xml:space="preserve"> funded by the Australian Research Council, to present a case for how the contribution that Australian senior secondary schools make to human capability for the labour market and to the development of </w:t>
      </w:r>
      <w:r w:rsidR="00996066" w:rsidRPr="00996066">
        <w:lastRenderedPageBreak/>
        <w:t xml:space="preserve">successful learners and informed citizens </w:t>
      </w:r>
      <w:r w:rsidR="00D92C0F">
        <w:t xml:space="preserve">could be strengthened </w:t>
      </w:r>
      <w:r w:rsidR="00996066" w:rsidRPr="00996066">
        <w:t>(</w:t>
      </w:r>
      <w:r w:rsidR="00D92C0F">
        <w:t>Ministerial Council on Education, Employment</w:t>
      </w:r>
      <w:r w:rsidR="00A76AFE">
        <w:t>, Training and Youth Affairs</w:t>
      </w:r>
      <w:r w:rsidR="00996066" w:rsidRPr="00996066">
        <w:t xml:space="preserve"> 2008). This discussi</w:t>
      </w:r>
      <w:r w:rsidR="00A76AFE">
        <w:t>on is grounded in an acknowledg</w:t>
      </w:r>
      <w:r w:rsidR="00996066" w:rsidRPr="00996066">
        <w:t>ment of current w</w:t>
      </w:r>
      <w:r w:rsidR="00A76AFE">
        <w:t>eaknesses in national and state-</w:t>
      </w:r>
      <w:r w:rsidR="00996066" w:rsidRPr="00996066">
        <w:t xml:space="preserve">based conceptualisations of senior secondary education (Clarke 2012; Clarke &amp; </w:t>
      </w:r>
      <w:proofErr w:type="spellStart"/>
      <w:r w:rsidR="00996066" w:rsidRPr="00996066">
        <w:t>Volkoff</w:t>
      </w:r>
      <w:proofErr w:type="spellEnd"/>
      <w:r w:rsidR="00996066" w:rsidRPr="00996066">
        <w:t xml:space="preserve"> 2012; Clarke &amp; </w:t>
      </w:r>
      <w:proofErr w:type="spellStart"/>
      <w:r w:rsidR="00996066" w:rsidRPr="00996066">
        <w:t>Polesel</w:t>
      </w:r>
      <w:proofErr w:type="spellEnd"/>
      <w:r w:rsidR="00996066" w:rsidRPr="00996066">
        <w:t xml:space="preserve"> 2013). </w:t>
      </w:r>
    </w:p>
    <w:p w:rsidR="00996066" w:rsidRPr="00996066" w:rsidRDefault="00996066" w:rsidP="00A67AB4">
      <w:pPr>
        <w:pStyle w:val="Text"/>
      </w:pPr>
      <w:r w:rsidRPr="00996066">
        <w:t>The discussion of VET in Schools in this paper is framed around three key challenges</w:t>
      </w:r>
      <w:r w:rsidR="00B3394A">
        <w:t>, identified earlier,</w:t>
      </w:r>
      <w:r w:rsidRPr="00996066">
        <w:t xml:space="preserve"> that are seen to be constraining productive policy change (Clarke 2012</w:t>
      </w:r>
      <w:r w:rsidR="00C96CCE">
        <w:t>,</w:t>
      </w:r>
      <w:r w:rsidRPr="00996066">
        <w:t xml:space="preserve"> 2013</w:t>
      </w:r>
      <w:r w:rsidR="00C96CCE">
        <w:t>,</w:t>
      </w:r>
      <w:r w:rsidR="0075603A">
        <w:t xml:space="preserve"> 2014</w:t>
      </w:r>
      <w:r w:rsidRPr="00996066">
        <w:t>). Firstly, current discussion of VET</w:t>
      </w:r>
      <w:r w:rsidR="00A76AFE">
        <w:t xml:space="preserve"> for young people is often focu</w:t>
      </w:r>
      <w:r w:rsidRPr="00996066">
        <w:t xml:space="preserve">sed on curriculum alone, with </w:t>
      </w:r>
      <w:r w:rsidR="00A76AFE">
        <w:t>no</w:t>
      </w:r>
      <w:r w:rsidRPr="00996066">
        <w:t xml:space="preserve"> examination of the role of pedagogy. The second challenge </w:t>
      </w:r>
      <w:r w:rsidR="00B3394A">
        <w:t>encompasses</w:t>
      </w:r>
      <w:r w:rsidRPr="00996066">
        <w:t xml:space="preserve"> what can be described as a </w:t>
      </w:r>
      <w:r w:rsidR="004C5471">
        <w:t>‘</w:t>
      </w:r>
      <w:r w:rsidRPr="00996066">
        <w:t>pr</w:t>
      </w:r>
      <w:r w:rsidR="00B3394A">
        <w:t>oblematic certificate paradigm</w:t>
      </w:r>
      <w:r w:rsidR="004C5471">
        <w:t>’</w:t>
      </w:r>
      <w:r w:rsidR="00B3394A">
        <w:t>; t</w:t>
      </w:r>
      <w:r w:rsidRPr="00996066">
        <w:t xml:space="preserve">hat is, there is </w:t>
      </w:r>
      <w:r w:rsidR="00B3394A">
        <w:t xml:space="preserve">an </w:t>
      </w:r>
      <w:r w:rsidRPr="00996066">
        <w:t xml:space="preserve">increasing focus on certificate attainment as the key policy measure of effective youth </w:t>
      </w:r>
      <w:r w:rsidR="00B3394A">
        <w:t>transitions, despite acknowledgment that the predominantly low-</w:t>
      </w:r>
      <w:r w:rsidRPr="00996066">
        <w:t xml:space="preserve">level qualifications attained through VET in Schools hold very limited value in the Australian labour market. The third and final challenge discussed in this paper is </w:t>
      </w:r>
      <w:r w:rsidR="00B3394A">
        <w:t>the class-</w:t>
      </w:r>
      <w:r w:rsidRPr="00996066">
        <w:t xml:space="preserve">segmentation role that VET pathways can and do play in secondary schools. </w:t>
      </w:r>
    </w:p>
    <w:p w:rsidR="00996066" w:rsidRPr="00D21A11" w:rsidRDefault="00996066" w:rsidP="00A67AB4">
      <w:pPr>
        <w:pStyle w:val="Heading2"/>
      </w:pPr>
      <w:bookmarkStart w:id="32" w:name="_Toc412455584"/>
      <w:bookmarkStart w:id="33" w:name="_Toc416683011"/>
      <w:r w:rsidRPr="00D21A11">
        <w:t>What is VET in Schools?</w:t>
      </w:r>
      <w:bookmarkEnd w:id="32"/>
      <w:bookmarkEnd w:id="33"/>
    </w:p>
    <w:p w:rsidR="00996066" w:rsidRPr="00D21A11" w:rsidRDefault="00996066" w:rsidP="00A67AB4">
      <w:pPr>
        <w:pStyle w:val="Text"/>
      </w:pPr>
      <w:r w:rsidRPr="00D21A11">
        <w:t xml:space="preserve">The research on which this paper is based used a definition of VET in Schools that includes all </w:t>
      </w:r>
      <w:r w:rsidR="00B3394A">
        <w:t>vocational education</w:t>
      </w:r>
      <w:r w:rsidRPr="00D21A11">
        <w:t xml:space="preserve"> undertaken as part of a senior sec</w:t>
      </w:r>
      <w:r w:rsidR="00B3394A">
        <w:t>ondary certificate of education;</w:t>
      </w:r>
      <w:r w:rsidRPr="00D21A11">
        <w:t xml:space="preserve"> that is, all VET that is used to contribute to the requirements of a school completion certificate. Within this definition there is a great diversity of models of delivery (</w:t>
      </w:r>
      <w:r w:rsidR="00B3394A">
        <w:t>for example,</w:t>
      </w:r>
      <w:r w:rsidRPr="00D21A11">
        <w:t xml:space="preserve"> delivery by schools as </w:t>
      </w:r>
      <w:r w:rsidR="00B3394A">
        <w:t>registered training organisations</w:t>
      </w:r>
      <w:r w:rsidRPr="00D21A11">
        <w:t xml:space="preserve">, delivery within TAFE </w:t>
      </w:r>
      <w:r w:rsidR="00B3394A">
        <w:t xml:space="preserve">institutes </w:t>
      </w:r>
      <w:r w:rsidRPr="00D21A11">
        <w:t xml:space="preserve">and </w:t>
      </w:r>
      <w:proofErr w:type="spellStart"/>
      <w:r w:rsidRPr="00D21A11">
        <w:t>auspiced</w:t>
      </w:r>
      <w:proofErr w:type="spellEnd"/>
      <w:r w:rsidRPr="00D21A11">
        <w:t xml:space="preserve"> delivery). While this research focused </w:t>
      </w:r>
      <w:r w:rsidR="005E2A70">
        <w:t xml:space="preserve">specifically on </w:t>
      </w:r>
      <w:r w:rsidRPr="00D21A11">
        <w:t>the youth age cohort (</w:t>
      </w:r>
      <w:r w:rsidR="00B3394A">
        <w:t>that is, 15 to 19-year</w:t>
      </w:r>
      <w:r w:rsidR="00B3394A" w:rsidRPr="005E2A70">
        <w:t>-</w:t>
      </w:r>
      <w:r w:rsidRPr="005E2A70">
        <w:t xml:space="preserve">olds), the definition used </w:t>
      </w:r>
      <w:r w:rsidR="005E2A70" w:rsidRPr="005E2A70">
        <w:t xml:space="preserve">for this research </w:t>
      </w:r>
      <w:r w:rsidRPr="005E2A70">
        <w:t xml:space="preserve">was cognisant of the fact that there are </w:t>
      </w:r>
      <w:r w:rsidR="0075603A">
        <w:t xml:space="preserve">some </w:t>
      </w:r>
      <w:r w:rsidRPr="005E2A70">
        <w:t>young people undertaking their se</w:t>
      </w:r>
      <w:r w:rsidR="00345017" w:rsidRPr="005E2A70">
        <w:t xml:space="preserve">nior secondary certificates in schools and </w:t>
      </w:r>
      <w:r w:rsidRPr="005E2A70">
        <w:t xml:space="preserve">in adult settings. </w:t>
      </w:r>
    </w:p>
    <w:p w:rsidR="00996066" w:rsidRPr="00996066" w:rsidRDefault="00996066" w:rsidP="00A67AB4">
      <w:pPr>
        <w:pStyle w:val="Text"/>
      </w:pPr>
      <w:r w:rsidRPr="00D21A11">
        <w:t xml:space="preserve">The research </w:t>
      </w:r>
      <w:r w:rsidR="00345017">
        <w:t>in this</w:t>
      </w:r>
      <w:r w:rsidRPr="00D21A11">
        <w:t xml:space="preserve"> paper draws </w:t>
      </w:r>
      <w:r w:rsidR="00345017">
        <w:t xml:space="preserve">on </w:t>
      </w:r>
      <w:r w:rsidR="0075603A">
        <w:t>literature</w:t>
      </w:r>
      <w:r w:rsidRPr="00D21A11">
        <w:t xml:space="preserve"> </w:t>
      </w:r>
      <w:r w:rsidR="00345017">
        <w:t>that</w:t>
      </w:r>
      <w:r w:rsidRPr="00D21A11">
        <w:t xml:space="preserve"> has highlighted some commonly held deficit views of VET in Schools (Barnett &amp; Ryan 2005a, 2005b; </w:t>
      </w:r>
      <w:proofErr w:type="spellStart"/>
      <w:r w:rsidRPr="00D21A11">
        <w:t>Dall</w:t>
      </w:r>
      <w:r w:rsidR="00345017">
        <w:t>ey</w:t>
      </w:r>
      <w:proofErr w:type="spellEnd"/>
      <w:r w:rsidR="00345017">
        <w:t xml:space="preserve">-Trim, </w:t>
      </w:r>
      <w:proofErr w:type="spellStart"/>
      <w:r w:rsidR="00345017">
        <w:t>Alloway</w:t>
      </w:r>
      <w:proofErr w:type="spellEnd"/>
      <w:r w:rsidR="00345017">
        <w:t xml:space="preserve"> &amp; Waller 2008);</w:t>
      </w:r>
      <w:r w:rsidRPr="00D21A11">
        <w:t xml:space="preserve"> evidence that VET in Schools often fails to deliver effective pathways into post-school VET or full-time employment (Anlezark, </w:t>
      </w:r>
      <w:proofErr w:type="spellStart"/>
      <w:r w:rsidRPr="00D21A11">
        <w:t>Karmel</w:t>
      </w:r>
      <w:proofErr w:type="spellEnd"/>
      <w:r w:rsidRPr="00D21A11">
        <w:t xml:space="preserve"> &amp; On</w:t>
      </w:r>
      <w:r w:rsidR="00345017">
        <w:t xml:space="preserve">g 2006; </w:t>
      </w:r>
      <w:proofErr w:type="spellStart"/>
      <w:r w:rsidR="00345017">
        <w:t>Polesel</w:t>
      </w:r>
      <w:proofErr w:type="spellEnd"/>
      <w:r w:rsidR="00345017">
        <w:t xml:space="preserve"> &amp; </w:t>
      </w:r>
      <w:proofErr w:type="spellStart"/>
      <w:r w:rsidR="00345017">
        <w:t>Volkoff</w:t>
      </w:r>
      <w:proofErr w:type="spellEnd"/>
      <w:r w:rsidR="00345017">
        <w:t xml:space="preserve"> 2009);</w:t>
      </w:r>
      <w:r w:rsidRPr="00D21A11">
        <w:t xml:space="preserve"> the importance of workplace learning and exploration in supporting progression to further study in</w:t>
      </w:r>
      <w:r w:rsidR="00345017">
        <w:t xml:space="preserve"> the field (Smith &amp; Green 2005);</w:t>
      </w:r>
      <w:r w:rsidRPr="00D21A11">
        <w:t xml:space="preserve"> and the considerable variation in the extent to which</w:t>
      </w:r>
      <w:r w:rsidR="0075603A">
        <w:t xml:space="preserve"> the</w:t>
      </w:r>
      <w:r w:rsidRPr="00D21A11">
        <w:t xml:space="preserve"> fields of education undertaken by VET in Schools students align with post-school VET (Anlezark, </w:t>
      </w:r>
      <w:proofErr w:type="spellStart"/>
      <w:r w:rsidRPr="00D21A11">
        <w:t>Karmel</w:t>
      </w:r>
      <w:proofErr w:type="spellEnd"/>
      <w:r w:rsidRPr="00D21A11">
        <w:t xml:space="preserve"> </w:t>
      </w:r>
      <w:r w:rsidR="00345017">
        <w:t>&amp;</w:t>
      </w:r>
      <w:r w:rsidRPr="00D21A11">
        <w:t xml:space="preserve"> Ong 2006). </w:t>
      </w:r>
    </w:p>
    <w:p w:rsidR="00996066" w:rsidRPr="00D21A11" w:rsidRDefault="00996066" w:rsidP="00A67AB4">
      <w:pPr>
        <w:pStyle w:val="Heading2"/>
      </w:pPr>
      <w:bookmarkStart w:id="34" w:name="_Toc412455585"/>
      <w:bookmarkStart w:id="35" w:name="_Toc416683012"/>
      <w:r w:rsidRPr="00D21A11">
        <w:t>Methodology</w:t>
      </w:r>
      <w:bookmarkEnd w:id="34"/>
      <w:bookmarkEnd w:id="35"/>
    </w:p>
    <w:p w:rsidR="00996066" w:rsidRPr="00996066" w:rsidRDefault="00996066" w:rsidP="00A67AB4">
      <w:pPr>
        <w:pStyle w:val="Text"/>
      </w:pPr>
      <w:r w:rsidRPr="00996066">
        <w:t>The research on</w:t>
      </w:r>
      <w:r w:rsidR="0075603A">
        <w:t xml:space="preserve"> which this paper draws includes</w:t>
      </w:r>
      <w:r w:rsidRPr="00996066">
        <w:t xml:space="preserve"> a three-year study of VET in Schools</w:t>
      </w:r>
      <w:r w:rsidR="00345017">
        <w:t>, which</w:t>
      </w:r>
      <w:r w:rsidRPr="00996066">
        <w:t xml:space="preserve"> involved a series of case studies and two sets of stakeholder roundtables. Participants in the stakeholder roundtables included representatives from departments of education and training, boards of study, </w:t>
      </w:r>
      <w:r w:rsidR="00345017" w:rsidRPr="00996066">
        <w:t xml:space="preserve">industry training and advisory boards </w:t>
      </w:r>
      <w:r w:rsidRPr="00996066">
        <w:t xml:space="preserve">(ITABs), </w:t>
      </w:r>
      <w:r w:rsidR="00345017" w:rsidRPr="00996066">
        <w:t xml:space="preserve">industry skill councils </w:t>
      </w:r>
      <w:r w:rsidR="00345017">
        <w:t>(ISCs), TAFE</w:t>
      </w:r>
      <w:r w:rsidRPr="00996066">
        <w:t xml:space="preserve"> institutes, </w:t>
      </w:r>
      <w:r w:rsidR="00345017">
        <w:t>p</w:t>
      </w:r>
      <w:r w:rsidRPr="00996066">
        <w:t xml:space="preserve">rivate </w:t>
      </w:r>
      <w:r w:rsidR="00345017">
        <w:t>registered training organisations</w:t>
      </w:r>
      <w:r w:rsidRPr="00996066">
        <w:t xml:space="preserve">, </w:t>
      </w:r>
      <w:r w:rsidR="00345017" w:rsidRPr="00996066">
        <w:t xml:space="preserve">group training organisations </w:t>
      </w:r>
      <w:r w:rsidRPr="00996066">
        <w:t>(GTOs), Catholic education offices, peak independent school sector organisations and secondary schools. Audio recordings of all roundtable discussions were transcribed and coded using both deductive and inductive coding techniques. This paper also</w:t>
      </w:r>
      <w:r w:rsidR="00BE6E13">
        <w:t xml:space="preserve"> draws on findings from a three-</w:t>
      </w:r>
      <w:r w:rsidRPr="00996066">
        <w:t>year Australian Research Council Discovery Project</w:t>
      </w:r>
      <w:r w:rsidR="00BE6E13">
        <w:t>,</w:t>
      </w:r>
      <w:r w:rsidRPr="00996066">
        <w:t xml:space="preserve"> which involved longitudinal tracking of a sample of VET in Schools students in </w:t>
      </w:r>
      <w:r w:rsidR="00BE6E13">
        <w:t>six</w:t>
      </w:r>
      <w:r w:rsidRPr="00996066">
        <w:t xml:space="preserve"> schools across Victoria, New South Wales and Queensland.</w:t>
      </w:r>
    </w:p>
    <w:p w:rsidR="00996066" w:rsidRPr="00D21A11" w:rsidRDefault="00996066" w:rsidP="00A67AB4">
      <w:pPr>
        <w:pStyle w:val="Heading2"/>
      </w:pPr>
      <w:bookmarkStart w:id="36" w:name="_Toc412455586"/>
      <w:bookmarkStart w:id="37" w:name="_Toc416683013"/>
      <w:r w:rsidRPr="00D21A11">
        <w:lastRenderedPageBreak/>
        <w:t>Thinking about curriculum and pedagogy</w:t>
      </w:r>
      <w:bookmarkEnd w:id="36"/>
      <w:bookmarkEnd w:id="37"/>
    </w:p>
    <w:p w:rsidR="006B4D9B" w:rsidRDefault="00996066" w:rsidP="00A67AB4">
      <w:pPr>
        <w:pStyle w:val="Text"/>
      </w:pPr>
      <w:r w:rsidRPr="00D21A11">
        <w:t>Emerging from the two pieces of research on VET in Schools is evidence that a productive and meaningful dialogue about future improvement appears hampered by a narrow f</w:t>
      </w:r>
      <w:r w:rsidR="00BE6E13">
        <w:t xml:space="preserve">ocus on the curriculum content </w:t>
      </w:r>
      <w:r w:rsidRPr="00D21A11">
        <w:t xml:space="preserve">in VET in Schools programs and </w:t>
      </w:r>
      <w:r w:rsidR="006B4D9B">
        <w:t xml:space="preserve">a </w:t>
      </w:r>
      <w:r w:rsidRPr="00D21A11">
        <w:t xml:space="preserve">limited discussion of the significance of </w:t>
      </w:r>
      <w:r w:rsidR="006B4D9B">
        <w:t xml:space="preserve">the </w:t>
      </w:r>
      <w:r w:rsidRPr="00D21A11">
        <w:t>learning context, modes of delivery and p</w:t>
      </w:r>
      <w:r w:rsidR="00BE6E13">
        <w:t>edagogy (Clarke 2014</w:t>
      </w:r>
      <w:r w:rsidRPr="00D21A11">
        <w:t>). It is important to bring understanding of the contexts of senior secondary learning and the diversity in</w:t>
      </w:r>
      <w:r w:rsidR="00BE6E13">
        <w:t xml:space="preserve"> modes of delivery and pedagogy</w:t>
      </w:r>
      <w:r w:rsidRPr="00D21A11">
        <w:t xml:space="preserve"> into this discussion. Substantive and positive change to the efficacy of vocational education for young people in schools is not achievable through changes to curriculum alone. However, within the confines of the traditional academic architecture of Australian senior secondary certificates of education, contexts of learning an</w:t>
      </w:r>
      <w:r w:rsidR="006B4D9B">
        <w:t>d pedagogy are not an easy fit.</w:t>
      </w:r>
    </w:p>
    <w:p w:rsidR="00996066" w:rsidRPr="00D21A11" w:rsidRDefault="00996066" w:rsidP="00A67AB4">
      <w:pPr>
        <w:pStyle w:val="Text"/>
      </w:pPr>
      <w:r w:rsidRPr="00D21A11">
        <w:t>Australian senior secondary certificates of education such as the Victorian Certificate of Education o</w:t>
      </w:r>
      <w:r w:rsidR="00BE6E13">
        <w:t>r the Higher School Certificate</w:t>
      </w:r>
      <w:r w:rsidRPr="00D21A11">
        <w:t xml:space="preserve"> were designed initially to suppo</w:t>
      </w:r>
      <w:r w:rsidR="00BE6E13">
        <w:t>rt access to higher education (u</w:t>
      </w:r>
      <w:r w:rsidRPr="00D21A11">
        <w:t xml:space="preserve">niversity). With increasing numbers of young Australians </w:t>
      </w:r>
      <w:r w:rsidR="00BE6E13">
        <w:t>remaining</w:t>
      </w:r>
      <w:r w:rsidRPr="00D21A11">
        <w:t xml:space="preserve"> at school to follow a range of academic, vocational and employment pathways, </w:t>
      </w:r>
      <w:r w:rsidR="00BE6E13" w:rsidRPr="00D21A11">
        <w:t xml:space="preserve">demands </w:t>
      </w:r>
      <w:r w:rsidRPr="00D21A11">
        <w:t xml:space="preserve">are now placed on senior secondary certificates of education to provide the foundational learning for a broad range of post-school options, beyond entry to university. One of the key ways in which the Australian senior secondary education landscape has adapted to these diverse needs is through the increasing provision of VET in Schools programs. During the last decade, several of the senior secondary certificates of education in Australia have </w:t>
      </w:r>
      <w:r w:rsidR="00BE6E13">
        <w:t>under</w:t>
      </w:r>
      <w:r w:rsidRPr="00D21A11">
        <w:t xml:space="preserve">gone </w:t>
      </w:r>
      <w:r w:rsidR="00BE6E13">
        <w:t>a process of review and re</w:t>
      </w:r>
      <w:r w:rsidRPr="00D21A11">
        <w:t>development</w:t>
      </w:r>
      <w:r w:rsidR="00BE6E13">
        <w:t>,</w:t>
      </w:r>
      <w:r w:rsidRPr="00D21A11">
        <w:t xml:space="preserve"> resulting in the incorporation of broader ranges of vocational, employment-based and community learning options. Victoria has gone a step beyond this and</w:t>
      </w:r>
      <w:r w:rsidR="00BE6E13">
        <w:t xml:space="preserve"> has introduced a second school-</w:t>
      </w:r>
      <w:r w:rsidRPr="00D21A11">
        <w:t xml:space="preserve">completion certificate, the Victorian Certificate of Applied Learning (VCAL), </w:t>
      </w:r>
      <w:r w:rsidR="00BE6E13">
        <w:t>by</w:t>
      </w:r>
      <w:r w:rsidRPr="00D21A11">
        <w:t xml:space="preserve"> which young people can complete school through predominantly vocational and applied learning curriculum. </w:t>
      </w:r>
    </w:p>
    <w:p w:rsidR="00996066" w:rsidRPr="00D21A11" w:rsidRDefault="00996066" w:rsidP="00A67AB4">
      <w:pPr>
        <w:pStyle w:val="Text"/>
      </w:pPr>
      <w:r w:rsidRPr="00996066">
        <w:t xml:space="preserve">The </w:t>
      </w:r>
      <w:r w:rsidR="0075603A">
        <w:t>question that arises however is:</w:t>
      </w:r>
      <w:r w:rsidRPr="00996066">
        <w:t xml:space="preserve"> within this diversifying senior secondary curriculum, </w:t>
      </w:r>
      <w:r w:rsidRPr="00D21A11">
        <w:t xml:space="preserve">are young people being provided with access to meaningful </w:t>
      </w:r>
      <w:r w:rsidR="00891F91">
        <w:t xml:space="preserve">and valuable qualifications </w:t>
      </w:r>
      <w:r w:rsidRPr="00D21A11">
        <w:t>in appropriate pedagogical environments</w:t>
      </w:r>
      <w:r w:rsidRPr="00996066">
        <w:t xml:space="preserve">? One approach to considering this question is to reflect on the purpose and role of qualifications. </w:t>
      </w:r>
      <w:r w:rsidRPr="00D21A11">
        <w:t>If we accept that qua</w:t>
      </w:r>
      <w:r w:rsidR="00891F91">
        <w:t>lifications have three purposes:</w:t>
      </w:r>
      <w:r w:rsidRPr="00D21A11">
        <w:t xml:space="preserve"> to support entry to work and progr</w:t>
      </w:r>
      <w:r w:rsidR="00891F91">
        <w:t>ession to higher levels in work; to enable entry to higher-</w:t>
      </w:r>
      <w:r w:rsidRPr="00D21A11">
        <w:t>level qualifications</w:t>
      </w:r>
      <w:r w:rsidR="00891F91">
        <w:t>;</w:t>
      </w:r>
      <w:r w:rsidRPr="00D21A11">
        <w:t xml:space="preserve"> and to widen access to ter</w:t>
      </w:r>
      <w:r w:rsidR="00891F91">
        <w:t>tiary education (</w:t>
      </w:r>
      <w:proofErr w:type="spellStart"/>
      <w:r w:rsidR="00891F91">
        <w:t>Gallacher</w:t>
      </w:r>
      <w:proofErr w:type="spellEnd"/>
      <w:r w:rsidR="00891F91">
        <w:t>, Ingram &amp; Reeve 2011),</w:t>
      </w:r>
      <w:r w:rsidRPr="00D21A11">
        <w:t xml:space="preserve"> then what do we know about the role of VET in Schools </w:t>
      </w:r>
      <w:r w:rsidR="00891F91">
        <w:t xml:space="preserve">in </w:t>
      </w:r>
      <w:r w:rsidRPr="00D21A11">
        <w:t>achieving these? There is evidence from studies that track the destinations of school completers in Victoria (Rothman et al</w:t>
      </w:r>
      <w:r w:rsidR="00891F91">
        <w:t>.</w:t>
      </w:r>
      <w:r w:rsidRPr="00D21A11">
        <w:t xml:space="preserve"> 2011) and Queensland (Queensland Department of Education and Training 2011) that indicates that VET in Schools is playing a limited role in supporting entry to work. Similarly, there is little evidence to suggest that VET in Schools is providing an effective launching pad for school completers to access higher-level qualifications. Post-school tracking surveys in Victoria (Rothman et al</w:t>
      </w:r>
      <w:r w:rsidR="00891F91">
        <w:t>.</w:t>
      </w:r>
      <w:r w:rsidRPr="00D21A11">
        <w:t xml:space="preserve"> 2011) and Queensland (Queensland Department of Education and Training 2011) reveal </w:t>
      </w:r>
      <w:r w:rsidR="00891F91">
        <w:t xml:space="preserve">that </w:t>
      </w:r>
      <w:r w:rsidRPr="00D21A11">
        <w:t>VET in Schools is playing a limited role in widening participation to tertiary education, with VET in Schools students entering university programs at lower rates than their non-VET in Schools peers. Access by VET in Schools students to post-school VET also shows evidence of declin</w:t>
      </w:r>
      <w:r w:rsidR="00891F91">
        <w:t>e in recent years (</w:t>
      </w:r>
      <w:proofErr w:type="spellStart"/>
      <w:r w:rsidR="00891F91">
        <w:t>Polesel</w:t>
      </w:r>
      <w:proofErr w:type="spellEnd"/>
      <w:r w:rsidR="00891F91">
        <w:t xml:space="preserve"> 2008;</w:t>
      </w:r>
      <w:r w:rsidRPr="00D21A11">
        <w:t xml:space="preserve"> Rothman et al</w:t>
      </w:r>
      <w:r w:rsidR="00891F91">
        <w:t>.</w:t>
      </w:r>
      <w:r w:rsidRPr="00D21A11">
        <w:t xml:space="preserve"> 2011). </w:t>
      </w:r>
    </w:p>
    <w:p w:rsidR="00891F91" w:rsidRDefault="00996066" w:rsidP="00A67AB4">
      <w:pPr>
        <w:pStyle w:val="Text"/>
      </w:pPr>
      <w:r w:rsidRPr="00D21A11">
        <w:t xml:space="preserve">Our consideration of the question </w:t>
      </w:r>
      <w:r w:rsidR="00891F91">
        <w:t>of whether</w:t>
      </w:r>
      <w:r w:rsidRPr="00D21A11">
        <w:t xml:space="preserve"> young people </w:t>
      </w:r>
      <w:r w:rsidR="00891F91">
        <w:t xml:space="preserve">are </w:t>
      </w:r>
      <w:r w:rsidRPr="00D21A11">
        <w:t xml:space="preserve">being provided with access to meaningful </w:t>
      </w:r>
      <w:r w:rsidR="00891F91">
        <w:t xml:space="preserve">and valuable qualifications </w:t>
      </w:r>
      <w:r w:rsidRPr="00D21A11">
        <w:t>in appropriate p</w:t>
      </w:r>
      <w:r w:rsidR="00891F91">
        <w:t>edagogical environments</w:t>
      </w:r>
      <w:r w:rsidRPr="00996066">
        <w:t xml:space="preserve"> can also be con</w:t>
      </w:r>
      <w:r w:rsidR="003D12E4">
        <w:t>sidered within the framework that</w:t>
      </w:r>
      <w:r w:rsidRPr="00996066">
        <w:t xml:space="preserve"> emerged from the recently </w:t>
      </w:r>
      <w:r w:rsidR="003D12E4">
        <w:t>cancelled</w:t>
      </w:r>
      <w:r w:rsidRPr="00996066">
        <w:t xml:space="preserve"> N</w:t>
      </w:r>
      <w:r w:rsidR="0075603A">
        <w:t xml:space="preserve">ational Trade Cadetships (NTCs; </w:t>
      </w:r>
      <w:r w:rsidRPr="00996066">
        <w:t>A</w:t>
      </w:r>
      <w:r w:rsidR="00891F91">
        <w:t>ustra</w:t>
      </w:r>
      <w:r w:rsidR="0075603A">
        <w:t>lian Curriculum Assessment and R</w:t>
      </w:r>
      <w:r w:rsidR="00891F91">
        <w:t xml:space="preserve">eporting Authority </w:t>
      </w:r>
      <w:proofErr w:type="spellStart"/>
      <w:r w:rsidRPr="00996066">
        <w:t>n.d.</w:t>
      </w:r>
      <w:proofErr w:type="spellEnd"/>
      <w:r w:rsidRPr="00996066">
        <w:t xml:space="preserve">). The framework developed for </w:t>
      </w:r>
      <w:r w:rsidR="00891F91" w:rsidRPr="00996066">
        <w:t>National Trade Cadetships</w:t>
      </w:r>
      <w:r w:rsidRPr="00996066">
        <w:t xml:space="preserve"> considered the extent to which vocational curriculum enables l</w:t>
      </w:r>
      <w:r w:rsidRPr="00D21A11">
        <w:t xml:space="preserve">earning about, learning </w:t>
      </w:r>
      <w:r w:rsidR="00891F91">
        <w:t>for</w:t>
      </w:r>
      <w:r w:rsidR="003D12E4">
        <w:t>,</w:t>
      </w:r>
      <w:r w:rsidR="00891F91">
        <w:t xml:space="preserve"> and learning in</w:t>
      </w:r>
      <w:r w:rsidR="003D12E4">
        <w:t>,</w:t>
      </w:r>
      <w:r w:rsidR="00891F91">
        <w:t xml:space="preserve"> work. </w:t>
      </w:r>
      <w:r w:rsidR="00891F91" w:rsidRPr="0075603A">
        <w:rPr>
          <w:i/>
        </w:rPr>
        <w:t>L</w:t>
      </w:r>
      <w:r w:rsidRPr="0075603A">
        <w:rPr>
          <w:i/>
        </w:rPr>
        <w:t>earning about</w:t>
      </w:r>
      <w:r w:rsidRPr="00D21A11">
        <w:t>, in and for are in</w:t>
      </w:r>
      <w:r w:rsidR="00891F91">
        <w:t>tegral</w:t>
      </w:r>
      <w:r w:rsidRPr="00D21A11">
        <w:t xml:space="preserve"> aspects of a </w:t>
      </w:r>
      <w:r w:rsidRPr="00D21A11">
        <w:lastRenderedPageBreak/>
        <w:t xml:space="preserve">meaningful exploration of </w:t>
      </w:r>
      <w:r w:rsidR="00891F91">
        <w:t>an</w:t>
      </w:r>
      <w:r w:rsidRPr="00D21A11">
        <w:t xml:space="preserve"> occupation or industry. If we consider current mainstream models of VET in Schools against this framework, a broader understanding of the role of vocational educati</w:t>
      </w:r>
      <w:r w:rsidR="00891F91">
        <w:t>on in schools begins to emerge.</w:t>
      </w:r>
    </w:p>
    <w:p w:rsidR="00996066" w:rsidRPr="00D21A11" w:rsidRDefault="00996066" w:rsidP="00A67AB4">
      <w:pPr>
        <w:pStyle w:val="Text"/>
      </w:pPr>
      <w:r w:rsidRPr="00D21A11">
        <w:t xml:space="preserve">We begin first by considering learning about work. </w:t>
      </w:r>
      <w:r w:rsidRPr="00273835">
        <w:rPr>
          <w:i/>
        </w:rPr>
        <w:t>Learning about</w:t>
      </w:r>
      <w:r w:rsidRPr="00996066">
        <w:t xml:space="preserve"> the industry context for a chosen vocational occupation is </w:t>
      </w:r>
      <w:r w:rsidR="002262CC">
        <w:t>a crucial</w:t>
      </w:r>
      <w:r w:rsidRPr="00996066">
        <w:t xml:space="preserve"> aspect of a meaningful exploration of the occupation. </w:t>
      </w:r>
      <w:r w:rsidRPr="00D21A11">
        <w:t xml:space="preserve">VET in Schools curriculum is drawn from </w:t>
      </w:r>
      <w:r w:rsidRPr="00996066">
        <w:t>training packages that assume employment; in many cases the assumption is that students are employe</w:t>
      </w:r>
      <w:r w:rsidR="002262CC">
        <w:t xml:space="preserve">d in the occupational field </w:t>
      </w:r>
      <w:r w:rsidRPr="00996066">
        <w:t xml:space="preserve">in which they are training. Therefore, current approaches to VET in Schools contain limited learning </w:t>
      </w:r>
      <w:r w:rsidRPr="00D21A11">
        <w:t>about</w:t>
      </w:r>
      <w:r w:rsidRPr="00996066">
        <w:t xml:space="preserve"> industry. </w:t>
      </w:r>
      <w:r w:rsidR="002262CC">
        <w:t xml:space="preserve">In terms of </w:t>
      </w:r>
      <w:r w:rsidR="002262CC" w:rsidRPr="002262CC">
        <w:rPr>
          <w:i/>
        </w:rPr>
        <w:t>learning for work</w:t>
      </w:r>
      <w:r w:rsidR="002262CC">
        <w:t xml:space="preserve">: </w:t>
      </w:r>
      <w:r w:rsidRPr="00D21A11">
        <w:t xml:space="preserve">in current models of delivery, this could be described as being fairly limited to the development of vocational competencies. However, learning for the industry or occupation ideally includes the attainment of broader applied and disciplinary knowledge that complements and scaffolds those vocational competencies. While there are examples of complementary academic curriculum being used in themed programs of VET in Schools in various locations across Australia, this broader conceptualisation of how young people learn for work is not </w:t>
      </w:r>
      <w:r w:rsidR="002262CC">
        <w:t>integral to</w:t>
      </w:r>
      <w:r w:rsidRPr="00D21A11">
        <w:t xml:space="preserve"> mainstream VET in Schools model</w:t>
      </w:r>
      <w:r w:rsidR="002262CC">
        <w:t xml:space="preserve">s. In terms of </w:t>
      </w:r>
      <w:r w:rsidR="002262CC" w:rsidRPr="002262CC">
        <w:rPr>
          <w:i/>
        </w:rPr>
        <w:t>learning in work</w:t>
      </w:r>
      <w:r w:rsidR="002262CC">
        <w:t>:</w:t>
      </w:r>
      <w:r w:rsidRPr="00D21A11">
        <w:t xml:space="preserve"> </w:t>
      </w:r>
      <w:r w:rsidR="002262CC">
        <w:t xml:space="preserve">the </w:t>
      </w:r>
      <w:r w:rsidRPr="00D21A11">
        <w:t xml:space="preserve">opportunity to develop and apply vocational competencies in a workplace or industry environment remains limited for many VET in Schools students. By using training packages as the foundation for VET in Schools, the system relies on curriculum that is an occupational standard for entry to work. This is in direct contrast to </w:t>
      </w:r>
      <w:r w:rsidR="002262CC">
        <w:t xml:space="preserve">an </w:t>
      </w:r>
      <w:r w:rsidRPr="00D21A11">
        <w:t>ack</w:t>
      </w:r>
      <w:r w:rsidR="003D12E4">
        <w:t>nowledg</w:t>
      </w:r>
      <w:r w:rsidR="002262CC">
        <w:t>ment that so-</w:t>
      </w:r>
      <w:r w:rsidRPr="00D21A11">
        <w:t xml:space="preserve">called entry-level qualifications do not in fact enable entry to those occupations (Stanwick 2005; North, Ferrier &amp; Long 2010). </w:t>
      </w:r>
    </w:p>
    <w:p w:rsidR="00996066" w:rsidRPr="00996066" w:rsidRDefault="00996066" w:rsidP="00A67AB4">
      <w:pPr>
        <w:pStyle w:val="Text"/>
      </w:pPr>
      <w:r w:rsidRPr="00996066">
        <w:t xml:space="preserve">In clarifying the role that VET in Schools can play in supporting entry to work, it is important to understand the types of qualifications to which VET in Schools students have access. </w:t>
      </w:r>
      <w:r w:rsidR="002262CC">
        <w:t>B</w:t>
      </w:r>
      <w:r w:rsidR="002262CC" w:rsidRPr="00996066">
        <w:t xml:space="preserve">ased </w:t>
      </w:r>
      <w:r w:rsidR="002262CC">
        <w:t xml:space="preserve">as they are </w:t>
      </w:r>
      <w:r w:rsidR="002262CC" w:rsidRPr="00996066">
        <w:t>on training packages</w:t>
      </w:r>
      <w:r w:rsidR="002262CC">
        <w:t>,</w:t>
      </w:r>
      <w:r w:rsidR="002262CC" w:rsidRPr="00996066">
        <w:t xml:space="preserve"> </w:t>
      </w:r>
      <w:r w:rsidR="002262CC">
        <w:t>VET in Schools programs</w:t>
      </w:r>
      <w:r w:rsidRPr="00996066">
        <w:t xml:space="preserve"> consist of units of competency that describe specific workplace tasks and responsibilities. Most (92%) of the qualifications completed by VET in Schools students (including </w:t>
      </w:r>
      <w:r w:rsidR="003D12E4">
        <w:t>school-</w:t>
      </w:r>
      <w:r w:rsidR="002262CC" w:rsidRPr="00996066">
        <w:t>based apprenticeships and traineeships</w:t>
      </w:r>
      <w:r w:rsidR="002262CC">
        <w:t>) are at certificate II (54%) or c</w:t>
      </w:r>
      <w:r w:rsidRPr="00996066">
        <w:t>ertificate I (38%) l</w:t>
      </w:r>
      <w:r w:rsidR="002262CC">
        <w:t>evels. This type of basic VET (c</w:t>
      </w:r>
      <w:r w:rsidRPr="00996066">
        <w:t>ertificates I and II) has been shown to be ineffective in providing successf</w:t>
      </w:r>
      <w:r w:rsidR="002262CC">
        <w:t>ul pathways into full-</w:t>
      </w:r>
      <w:r w:rsidRPr="00996066">
        <w:t>time, sustainable employment (Stanwick 2005; North, Ferrier &amp; Long 2010). This has implications for how the system conceptualises the purpose of VET in Schools. In other words, can VET in S</w:t>
      </w:r>
      <w:r w:rsidR="0075603A">
        <w:t>chools be seen as a pathway-to-</w:t>
      </w:r>
      <w:r w:rsidRPr="00996066">
        <w:t xml:space="preserve">work program if the qualification levels do not provide access to jobs? </w:t>
      </w:r>
    </w:p>
    <w:p w:rsidR="00996066" w:rsidRPr="00D21A11" w:rsidRDefault="00996066" w:rsidP="00A67AB4">
      <w:pPr>
        <w:pStyle w:val="Heading2"/>
      </w:pPr>
      <w:bookmarkStart w:id="38" w:name="_Toc412455587"/>
      <w:bookmarkStart w:id="39" w:name="_Toc416683014"/>
      <w:r w:rsidRPr="00D21A11">
        <w:t>A problematic certificate paradigm</w:t>
      </w:r>
      <w:bookmarkEnd w:id="38"/>
      <w:bookmarkEnd w:id="39"/>
    </w:p>
    <w:p w:rsidR="00996066" w:rsidRPr="00996066" w:rsidRDefault="00996066" w:rsidP="00A67AB4">
      <w:pPr>
        <w:pStyle w:val="Text"/>
      </w:pPr>
      <w:r w:rsidRPr="00996066">
        <w:t xml:space="preserve">Policy reform of VET in Schools needs to consider not only the purpose of VET in Schools more broadly, but the purpose of qualifications used by VET in Schools programs. What are the most meaningful, appropriate and valuable qualifications we should be offering young people in schools? </w:t>
      </w:r>
      <w:r w:rsidRPr="00D21A11">
        <w:t xml:space="preserve">Findings from the two research projects suggest that greater efficacy of VET in Schools could be achieved through </w:t>
      </w:r>
      <w:r w:rsidR="002262CC">
        <w:t xml:space="preserve">a </w:t>
      </w:r>
      <w:r w:rsidRPr="00D21A11">
        <w:t>greater alignment of school vocational curriculum with labour market opportunities. This is not to say that only vocational programs that relate directly to skill shortage areas</w:t>
      </w:r>
      <w:r w:rsidR="002262CC">
        <w:t xml:space="preserve"> should be delivered in schools</w:t>
      </w:r>
      <w:r w:rsidR="0007215F">
        <w:t>;</w:t>
      </w:r>
      <w:r w:rsidR="002262CC">
        <w:t xml:space="preserve"> m</w:t>
      </w:r>
      <w:r w:rsidRPr="00D21A11">
        <w:t xml:space="preserve">ore that the vocational curriculum in schools, and by extension the vocational qualifications used in schools, should attempt to reflect </w:t>
      </w:r>
      <w:r w:rsidR="003D12E4">
        <w:t>the</w:t>
      </w:r>
      <w:r w:rsidRPr="00D21A11">
        <w:t xml:space="preserve"> broader range of skills and knowledge needed to </w:t>
      </w:r>
      <w:proofErr w:type="gramStart"/>
      <w:r w:rsidRPr="00D21A11">
        <w:t>enter,</w:t>
      </w:r>
      <w:proofErr w:type="gramEnd"/>
      <w:r w:rsidRPr="00D21A11">
        <w:t xml:space="preserve"> progress and move through a career path in industry. That is, the vocational qualification with which a young person leaves school should form the foundation not only for t</w:t>
      </w:r>
      <w:r w:rsidR="0007215F">
        <w:t>heir first job but for their on</w:t>
      </w:r>
      <w:r w:rsidRPr="00D21A11">
        <w:t xml:space="preserve">going career in their </w:t>
      </w:r>
      <w:r w:rsidRPr="00996066">
        <w:t>preferred</w:t>
      </w:r>
      <w:r w:rsidRPr="00D21A11">
        <w:t xml:space="preserve"> industry. The current narrowly defined occupational focus of VET in Schools qualifications does not achieve this.</w:t>
      </w:r>
    </w:p>
    <w:p w:rsidR="00996066" w:rsidRPr="00996066" w:rsidRDefault="00996066" w:rsidP="0009535B">
      <w:pPr>
        <w:pStyle w:val="Text"/>
        <w:ind w:right="-143"/>
      </w:pPr>
      <w:r w:rsidRPr="00996066">
        <w:lastRenderedPageBreak/>
        <w:t xml:space="preserve">The language used within national attainment targets for school completion, which refers to </w:t>
      </w:r>
      <w:r w:rsidR="004C5471">
        <w:t>‘</w:t>
      </w:r>
      <w:r w:rsidRPr="00996066">
        <w:t>Year 12 or</w:t>
      </w:r>
      <w:r w:rsidR="0009535B">
        <w:t> </w:t>
      </w:r>
      <w:r w:rsidRPr="00996066">
        <w:t>equivalent</w:t>
      </w:r>
      <w:r w:rsidR="004C5471">
        <w:t>’</w:t>
      </w:r>
      <w:r w:rsidRPr="00996066">
        <w:t xml:space="preserve"> (C</w:t>
      </w:r>
      <w:r w:rsidR="0007215F">
        <w:t>ouncil of Australian Governments</w:t>
      </w:r>
      <w:r w:rsidRPr="00996066">
        <w:t xml:space="preserve"> Reform Council 2013), complicates understanding at a system and school level of the purpose and value of different qualifications for young people. Some interpretations of this policy were described by stakeholders participating in the two research projects as</w:t>
      </w:r>
      <w:r w:rsidR="0007215F">
        <w:t xml:space="preserve"> encouraging a shift towards a </w:t>
      </w:r>
      <w:r w:rsidR="004C5471">
        <w:t>‘</w:t>
      </w:r>
      <w:r w:rsidRPr="00D21A11">
        <w:t>hidden tracked system</w:t>
      </w:r>
      <w:r w:rsidR="004C5471">
        <w:t>’</w:t>
      </w:r>
      <w:r w:rsidRPr="00996066">
        <w:t xml:space="preserve">. Stakeholders also expressed concern that Year 12 certificate completion with an Australian Tertiary </w:t>
      </w:r>
      <w:r w:rsidR="008B0D94">
        <w:t>Admission</w:t>
      </w:r>
      <w:r w:rsidRPr="00996066">
        <w:t xml:space="preserve"> Rank (ATAR) was being subtly, and</w:t>
      </w:r>
      <w:r w:rsidR="0009535B">
        <w:t> </w:t>
      </w:r>
      <w:r w:rsidRPr="00996066">
        <w:t>in some cases more</w:t>
      </w:r>
      <w:r w:rsidR="0007215F">
        <w:t xml:space="preserve"> overtly, positioned against a c</w:t>
      </w:r>
      <w:r w:rsidRPr="00996066">
        <w:t xml:space="preserve">ertificate II vocational qualification as two school completion alternatives. Stakeholders described this comparison as creating a potential space within which schools could formally track students into university and non-university pathways. This is a potentially problematic development. </w:t>
      </w:r>
      <w:r w:rsidRPr="00D21A11">
        <w:t>As one school stakeholder described:</w:t>
      </w:r>
    </w:p>
    <w:p w:rsidR="00996066" w:rsidRPr="00D21A11" w:rsidRDefault="00996066" w:rsidP="008730B2">
      <w:pPr>
        <w:pStyle w:val="Quote"/>
      </w:pPr>
      <w:r w:rsidRPr="00941068">
        <w:t>We need to think about the kid and not just what a theoretical employer might want. We are talking about kids, we</w:t>
      </w:r>
      <w:r w:rsidR="004C5471">
        <w:t>’</w:t>
      </w:r>
      <w:r w:rsidRPr="00941068">
        <w:t>re talking about school-based programs, which have to have more than just an instrumentalist, vocational purpose, they</w:t>
      </w:r>
      <w:r w:rsidR="004C5471">
        <w:t>’</w:t>
      </w:r>
      <w:r w:rsidRPr="00941068">
        <w:t>re also supposed to create citizens, and they</w:t>
      </w:r>
      <w:r w:rsidR="004C5471">
        <w:t>’</w:t>
      </w:r>
      <w:r w:rsidRPr="00941068">
        <w:t>re also supposed to create young people who can function as mature members of society, you know, the broader purposes of schooling</w:t>
      </w:r>
      <w:r w:rsidR="008730B2">
        <w:tab/>
      </w:r>
      <w:r w:rsidR="00941068" w:rsidRPr="00941068">
        <w:t xml:space="preserve"> </w:t>
      </w:r>
      <w:r w:rsidR="00D21A11" w:rsidRPr="00941068">
        <w:t>(</w:t>
      </w:r>
      <w:r w:rsidRPr="00941068">
        <w:t>Schools representative</w:t>
      </w:r>
      <w:r w:rsidR="00D21A11" w:rsidRPr="00941068">
        <w:t>)</w:t>
      </w:r>
    </w:p>
    <w:p w:rsidR="00996066" w:rsidRPr="00996066" w:rsidRDefault="00996066" w:rsidP="00A67AB4">
      <w:pPr>
        <w:pStyle w:val="Text"/>
      </w:pPr>
      <w:r w:rsidRPr="00996066">
        <w:t xml:space="preserve">So, if the key implication of this discussion is the need to ensure that reforms to the VET in Schools curriculum address the need for all students to access foundational disciplinary skills and knowledge to support their careers, how might this challenge be addressed? A new approach must find the balance between the </w:t>
      </w:r>
      <w:proofErr w:type="gramStart"/>
      <w:r w:rsidRPr="00996066">
        <w:t>desire</w:t>
      </w:r>
      <w:proofErr w:type="gramEnd"/>
      <w:r w:rsidRPr="00996066">
        <w:t xml:space="preserve"> for models of vocational education in schools to be </w:t>
      </w:r>
      <w:r w:rsidR="004C5471">
        <w:t>‘</w:t>
      </w:r>
      <w:r w:rsidRPr="00996066">
        <w:t>certified</w:t>
      </w:r>
      <w:r w:rsidR="004C5471">
        <w:t>’</w:t>
      </w:r>
      <w:r w:rsidRPr="00996066">
        <w:t xml:space="preserve"> and the recognition that </w:t>
      </w:r>
      <w:r w:rsidR="0007215F">
        <w:t xml:space="preserve">the </w:t>
      </w:r>
      <w:r w:rsidRPr="00996066">
        <w:t xml:space="preserve">entry-level certificates predominantly used in VET in Schools have limited currency. One approach </w:t>
      </w:r>
      <w:r w:rsidR="0007215F">
        <w:t xml:space="preserve">for consideration </w:t>
      </w:r>
      <w:r w:rsidRPr="00996066">
        <w:t xml:space="preserve">is redeveloping or </w:t>
      </w:r>
      <w:r w:rsidRPr="00D21A11">
        <w:t>r</w:t>
      </w:r>
      <w:r w:rsidR="0007215F">
        <w:t>econceptualising all c</w:t>
      </w:r>
      <w:r w:rsidRPr="00D21A11">
        <w:t xml:space="preserve">ertificates I and II as industry/occupation exploration or </w:t>
      </w:r>
      <w:r w:rsidR="004C5471">
        <w:t>‘</w:t>
      </w:r>
      <w:r w:rsidRPr="00D21A11">
        <w:t>career start</w:t>
      </w:r>
      <w:r w:rsidR="004C5471">
        <w:t>’</w:t>
      </w:r>
      <w:r w:rsidRPr="00D21A11">
        <w:t xml:space="preserve"> qualifications for predominant use by young people in schools. </w:t>
      </w:r>
    </w:p>
    <w:p w:rsidR="00996066" w:rsidRPr="00996066" w:rsidRDefault="00996066" w:rsidP="00A67AB4">
      <w:pPr>
        <w:pStyle w:val="Text"/>
      </w:pPr>
      <w:r w:rsidRPr="00996066">
        <w:t>Findings from the two resear</w:t>
      </w:r>
      <w:r w:rsidR="0007215F">
        <w:t>ch projects suggest that any re</w:t>
      </w:r>
      <w:r w:rsidRPr="00996066">
        <w:t xml:space="preserve">development of this nature needs to consider: </w:t>
      </w:r>
    </w:p>
    <w:p w:rsidR="00996066" w:rsidRPr="0009535B" w:rsidRDefault="0007215F" w:rsidP="0009535B">
      <w:pPr>
        <w:pStyle w:val="Dotpoint1"/>
      </w:pPr>
      <w:r>
        <w:t>h</w:t>
      </w:r>
      <w:r w:rsidR="00996066" w:rsidRPr="00941068">
        <w:t xml:space="preserve">ow to enable, within these entry-level </w:t>
      </w:r>
      <w:r w:rsidR="00996066" w:rsidRPr="0009535B">
        <w:t>qualifications, exploration of a broader range of related</w:t>
      </w:r>
      <w:r w:rsidRPr="0009535B">
        <w:t xml:space="preserve"> occupations within an industry</w:t>
      </w:r>
      <w:r w:rsidR="00996066" w:rsidRPr="0009535B">
        <w:t xml:space="preserve"> </w:t>
      </w:r>
    </w:p>
    <w:p w:rsidR="00996066" w:rsidRPr="0009535B" w:rsidRDefault="0007215F" w:rsidP="0009535B">
      <w:pPr>
        <w:pStyle w:val="Dotpoint1"/>
      </w:pPr>
      <w:r w:rsidRPr="0009535B">
        <w:t>h</w:t>
      </w:r>
      <w:r w:rsidR="00996066" w:rsidRPr="0009535B">
        <w:t xml:space="preserve">ow to integrate meaningful </w:t>
      </w:r>
      <w:r w:rsidR="004C5471" w:rsidRPr="0009535B">
        <w:t>‘</w:t>
      </w:r>
      <w:r w:rsidR="00996066" w:rsidRPr="0009535B">
        <w:t>learning about</w:t>
      </w:r>
      <w:r w:rsidR="004C5471" w:rsidRPr="0009535B">
        <w:t>’</w:t>
      </w:r>
      <w:r w:rsidR="00996066" w:rsidRPr="0009535B">
        <w:t xml:space="preserve"> the industry, including understanding issues of mobility, growth and </w:t>
      </w:r>
      <w:r w:rsidRPr="0009535B">
        <w:t>localised issues</w:t>
      </w:r>
    </w:p>
    <w:p w:rsidR="00996066" w:rsidRDefault="0007215F" w:rsidP="0009535B">
      <w:pPr>
        <w:pStyle w:val="Dotpoint1"/>
      </w:pPr>
      <w:proofErr w:type="gramStart"/>
      <w:r w:rsidRPr="0009535B">
        <w:t>h</w:t>
      </w:r>
      <w:r w:rsidR="00996066" w:rsidRPr="0009535B">
        <w:t>ow</w:t>
      </w:r>
      <w:proofErr w:type="gramEnd"/>
      <w:r w:rsidR="00996066" w:rsidRPr="0009535B">
        <w:t xml:space="preserve"> to create clear, coherent and transparent pat</w:t>
      </w:r>
      <w:r w:rsidR="00996066" w:rsidRPr="00941068">
        <w:t xml:space="preserve">hways from these foundational or </w:t>
      </w:r>
      <w:r w:rsidR="004C5471">
        <w:t>‘</w:t>
      </w:r>
      <w:r w:rsidR="00996066" w:rsidRPr="00941068">
        <w:t>career start</w:t>
      </w:r>
      <w:r w:rsidR="004C5471">
        <w:t>’</w:t>
      </w:r>
      <w:r w:rsidR="00996066" w:rsidRPr="00941068">
        <w:t xml:space="preserve"> qualifications to intermediate and higher-level qualifications.</w:t>
      </w:r>
    </w:p>
    <w:p w:rsidR="00996066" w:rsidRPr="00D21A11" w:rsidRDefault="00996066" w:rsidP="00A67AB4">
      <w:pPr>
        <w:pStyle w:val="Heading2"/>
      </w:pPr>
      <w:bookmarkStart w:id="40" w:name="_Toc412455588"/>
      <w:bookmarkStart w:id="41" w:name="_Toc416683015"/>
      <w:r w:rsidRPr="00D21A11">
        <w:t>VET as an instrument of social segregation</w:t>
      </w:r>
      <w:bookmarkEnd w:id="40"/>
      <w:bookmarkEnd w:id="41"/>
    </w:p>
    <w:p w:rsidR="00996066" w:rsidRPr="00996066" w:rsidRDefault="00996066" w:rsidP="00A67AB4">
      <w:pPr>
        <w:pStyle w:val="Text"/>
      </w:pPr>
      <w:r w:rsidRPr="00996066">
        <w:t xml:space="preserve">Australian young people participating in VET in Schools </w:t>
      </w:r>
      <w:r w:rsidR="0075603A">
        <w:t xml:space="preserve">tend to be those with </w:t>
      </w:r>
      <w:r w:rsidR="0007215F">
        <w:t>lower-than-</w:t>
      </w:r>
      <w:r w:rsidRPr="00996066">
        <w:t>average achievement and those from low socioeconomic backgrounds (</w:t>
      </w:r>
      <w:proofErr w:type="spellStart"/>
      <w:r w:rsidRPr="00996066">
        <w:t>Polesel</w:t>
      </w:r>
      <w:proofErr w:type="spellEnd"/>
      <w:r w:rsidRPr="00996066">
        <w:t xml:space="preserve"> 2008; Clarke &amp; </w:t>
      </w:r>
      <w:proofErr w:type="spellStart"/>
      <w:r w:rsidRPr="00996066">
        <w:t>Volkoff</w:t>
      </w:r>
      <w:proofErr w:type="spellEnd"/>
      <w:r w:rsidRPr="00996066">
        <w:t xml:space="preserve"> 2012). The informal social streaming role played by VET in Schools is all the more problematic in light of the weak outcomes from VET in Schools discussed above. Meaningful reform of VET in Schools must </w:t>
      </w:r>
      <w:r w:rsidR="0007215F">
        <w:t>confront</w:t>
      </w:r>
      <w:r w:rsidR="00FF6F1E">
        <w:t xml:space="preserve"> head-</w:t>
      </w:r>
      <w:r w:rsidRPr="00996066">
        <w:t xml:space="preserve">on the challenges and needs of the young people pursuing vocational pathways in their final school years. In addition to making these pathways stronger and more meaningful, as discussed above, consideration should also be given to how young people explore and choose these pathways for themselves. Even with changes to entry-level qualifications </w:t>
      </w:r>
      <w:r w:rsidR="008D1CD1">
        <w:t>to ensure</w:t>
      </w:r>
      <w:r w:rsidRPr="00996066">
        <w:t xml:space="preserve"> </w:t>
      </w:r>
      <w:r w:rsidR="008D1CD1">
        <w:t xml:space="preserve">their </w:t>
      </w:r>
      <w:r w:rsidRPr="00996066">
        <w:t>more meaningful and coherent use in schools, the ways in which young people understand the</w:t>
      </w:r>
      <w:r w:rsidR="008D1CD1">
        <w:t>ir array of</w:t>
      </w:r>
      <w:r w:rsidRPr="00996066">
        <w:t xml:space="preserve"> vocational pathway choices must be informed and supported by relevant, reliable and timely information (OECD 1997). This is all the more important to those young people with a family background </w:t>
      </w:r>
      <w:r w:rsidR="008D1CD1">
        <w:t>lacking</w:t>
      </w:r>
      <w:r w:rsidRPr="00996066">
        <w:t xml:space="preserve"> the social </w:t>
      </w:r>
      <w:r w:rsidRPr="00996066">
        <w:lastRenderedPageBreak/>
        <w:t xml:space="preserve">capital or educational experience to provide career guidance support within the home (Bourdieu &amp; </w:t>
      </w:r>
      <w:proofErr w:type="spellStart"/>
      <w:r w:rsidRPr="00996066">
        <w:t>Passeron</w:t>
      </w:r>
      <w:proofErr w:type="spellEnd"/>
      <w:r w:rsidRPr="00996066">
        <w:t xml:space="preserve"> 1990; </w:t>
      </w:r>
      <w:proofErr w:type="spellStart"/>
      <w:r w:rsidRPr="00996066">
        <w:t>Major</w:t>
      </w:r>
      <w:r w:rsidR="00611BDD">
        <w:t>i</w:t>
      </w:r>
      <w:r w:rsidRPr="00996066">
        <w:t>banks</w:t>
      </w:r>
      <w:proofErr w:type="spellEnd"/>
      <w:r w:rsidRPr="00996066">
        <w:t xml:space="preserve"> 2005; </w:t>
      </w:r>
      <w:r w:rsidRPr="00A65204">
        <w:t>Clarke, Savage &amp; St Leger</w:t>
      </w:r>
      <w:r w:rsidR="00A65204">
        <w:t xml:space="preserve"> 2011</w:t>
      </w:r>
      <w:r w:rsidRPr="00996066">
        <w:t xml:space="preserve">). </w:t>
      </w:r>
      <w:r w:rsidR="008D1CD1">
        <w:t>S</w:t>
      </w:r>
      <w:r w:rsidR="008D1CD1" w:rsidRPr="00996066">
        <w:t>takeholders in the two research projects often called for an integrated approach to caree</w:t>
      </w:r>
      <w:r w:rsidR="00FF6F1E">
        <w:t xml:space="preserve">r </w:t>
      </w:r>
      <w:r w:rsidR="008D1CD1" w:rsidRPr="00996066">
        <w:t>development curriculum</w:t>
      </w:r>
      <w:r w:rsidR="008D1CD1">
        <w:t>, with the aim of facilitating</w:t>
      </w:r>
      <w:r w:rsidR="008D1CD1" w:rsidRPr="00996066">
        <w:t xml:space="preserve"> </w:t>
      </w:r>
      <w:r w:rsidRPr="00996066">
        <w:t>the provision of this type of meaning</w:t>
      </w:r>
      <w:r w:rsidR="008D1CD1">
        <w:t>ful</w:t>
      </w:r>
      <w:r w:rsidRPr="00996066">
        <w:t xml:space="preserve"> and appropriate career g</w:t>
      </w:r>
      <w:r w:rsidR="008D1CD1">
        <w:t>uidance for vocational pathways. Furthermore,</w:t>
      </w:r>
      <w:r w:rsidRPr="00996066">
        <w:t xml:space="preserve"> there was strong support for a more coherent and targeted approach to career exploration starting in early secondary school. This should include learning about the world of work in the middle years and</w:t>
      </w:r>
      <w:r w:rsidR="008D1CD1">
        <w:t>,</w:t>
      </w:r>
      <w:r w:rsidRPr="00996066">
        <w:t xml:space="preserve"> </w:t>
      </w:r>
      <w:r w:rsidR="008D1CD1">
        <w:t xml:space="preserve">where appropriate, learning </w:t>
      </w:r>
      <w:r w:rsidRPr="00996066">
        <w:t xml:space="preserve">in the world of work in the middle and senior years. </w:t>
      </w:r>
    </w:p>
    <w:p w:rsidR="00996066" w:rsidRPr="00996066" w:rsidRDefault="00996066" w:rsidP="00A67AB4">
      <w:pPr>
        <w:pStyle w:val="Text"/>
      </w:pPr>
      <w:r w:rsidRPr="00996066">
        <w:t xml:space="preserve">A key challenge for all stakeholders involved in senior secondary education is </w:t>
      </w:r>
      <w:r w:rsidR="008D1CD1">
        <w:t>how to develop and provide high-</w:t>
      </w:r>
      <w:r w:rsidRPr="00996066">
        <w:t xml:space="preserve">quality and authentic workplace and career exploration as an embedded and fundamental part of secondary school curriculum. Stakeholders consulted as </w:t>
      </w:r>
      <w:proofErr w:type="gramStart"/>
      <w:r w:rsidRPr="00996066">
        <w:t>part of the research have</w:t>
      </w:r>
      <w:proofErr w:type="gramEnd"/>
      <w:r w:rsidRPr="00996066">
        <w:t xml:space="preserve"> frequently acknowledged that this requires cross-sector</w:t>
      </w:r>
      <w:r w:rsidR="008D1CD1">
        <w:t>al collaboration at all stages —</w:t>
      </w:r>
      <w:r w:rsidRPr="00996066">
        <w:t xml:space="preserve"> design, development and delivery. Clearer and more coherent leadership is needed at the system level to support this work, particularly in relation to consistent support for career exploration and workplace learning activities. </w:t>
      </w:r>
    </w:p>
    <w:p w:rsidR="00996066" w:rsidRPr="00996066" w:rsidRDefault="00996066" w:rsidP="00A67AB4">
      <w:pPr>
        <w:pStyle w:val="Text"/>
      </w:pPr>
      <w:r w:rsidRPr="00996066">
        <w:t>Despite significant structural differences in the nature and architecture of the senior secondary certificates in each of the five states participating in this research, there were concerns expressed at every roundtable about the impact of recent and planned changes to the</w:t>
      </w:r>
      <w:r w:rsidR="008D1CD1">
        <w:t xml:space="preserve"> senior secondary certificates. The c</w:t>
      </w:r>
      <w:r w:rsidRPr="00996066">
        <w:t xml:space="preserve">hanges in all </w:t>
      </w:r>
      <w:r w:rsidR="008D1CD1">
        <w:t xml:space="preserve">the </w:t>
      </w:r>
      <w:r w:rsidRPr="00996066">
        <w:t>states other tha</w:t>
      </w:r>
      <w:r w:rsidR="008D1CD1">
        <w:t xml:space="preserve">n New South Wales were seen as </w:t>
      </w:r>
      <w:r w:rsidR="004C5471">
        <w:t>‘</w:t>
      </w:r>
      <w:r w:rsidRPr="00D21A11">
        <w:t>opening up</w:t>
      </w:r>
      <w:r w:rsidR="004C5471">
        <w:t>’</w:t>
      </w:r>
      <w:r w:rsidRPr="00996066">
        <w:t xml:space="preserve"> senior secondary certificates of education to include an increasingly diverse range of learners. This breadth of learning was described as necessary to promote retention and to respond to the needs of the diverse cohort of young people now staying on until the final years of secondary education. Greater flexibility within senior secondary education means that Australian secondary students have more choice than ever before in the</w:t>
      </w:r>
      <w:r w:rsidR="00FF6F1E">
        <w:t>ir subjects</w:t>
      </w:r>
      <w:r w:rsidR="008D1CD1">
        <w:t>. However, this opening-</w:t>
      </w:r>
      <w:r w:rsidRPr="00996066">
        <w:t xml:space="preserve">up was also described as creating a risk of too much choice and unstructured or incoherent pathways. </w:t>
      </w:r>
    </w:p>
    <w:p w:rsidR="00996066" w:rsidRPr="00996066" w:rsidRDefault="00996066" w:rsidP="00A67AB4">
      <w:pPr>
        <w:pStyle w:val="Heading2"/>
      </w:pPr>
      <w:bookmarkStart w:id="42" w:name="_Toc412455589"/>
      <w:bookmarkStart w:id="43" w:name="_Toc416683016"/>
      <w:r w:rsidRPr="00996066">
        <w:t>Conclusions</w:t>
      </w:r>
      <w:bookmarkEnd w:id="42"/>
      <w:bookmarkEnd w:id="43"/>
    </w:p>
    <w:p w:rsidR="00D6516C" w:rsidRDefault="00996066" w:rsidP="00A67AB4">
      <w:pPr>
        <w:pStyle w:val="Text"/>
      </w:pPr>
      <w:r w:rsidRPr="00996066">
        <w:t>VET in Schools can provide a meaningful and valuable pathway between school and higher-level VET or higher education and a foundation for entry to apprenticeships and traineeships in a wide range of trade and non-t</w:t>
      </w:r>
      <w:r w:rsidR="00325265">
        <w:t>rade occupations; it</w:t>
      </w:r>
      <w:r w:rsidRPr="00996066">
        <w:t xml:space="preserve"> can enable access to rich and authentic workplace learning and can help </w:t>
      </w:r>
      <w:r w:rsidR="00D6516C">
        <w:t xml:space="preserve">to </w:t>
      </w:r>
      <w:r w:rsidRPr="00996066">
        <w:t>support students</w:t>
      </w:r>
      <w:r w:rsidR="004C5471">
        <w:t>’</w:t>
      </w:r>
      <w:r w:rsidRPr="00996066">
        <w:t xml:space="preserve"> understanding of the links and synergies between different subjects. VET in Schools can also provide robust and en</w:t>
      </w:r>
      <w:r w:rsidR="00D6516C">
        <w:t>gaging learning experiences, experiences that</w:t>
      </w:r>
      <w:r w:rsidRPr="00996066">
        <w:t xml:space="preserve"> inform and inspire career aspir</w:t>
      </w:r>
      <w:r w:rsidR="00D6516C">
        <w:t>ations.</w:t>
      </w:r>
    </w:p>
    <w:p w:rsidR="00996066" w:rsidRPr="00996066" w:rsidRDefault="00996066" w:rsidP="00A67AB4">
      <w:pPr>
        <w:pStyle w:val="Text"/>
      </w:pPr>
      <w:r w:rsidRPr="00996066">
        <w:t xml:space="preserve">VET in Schools </w:t>
      </w:r>
      <w:r w:rsidR="00D6516C">
        <w:t>has the capacity to</w:t>
      </w:r>
      <w:r w:rsidRPr="00996066">
        <w:t xml:space="preserve"> do all </w:t>
      </w:r>
      <w:r w:rsidR="00D6516C">
        <w:t xml:space="preserve">of </w:t>
      </w:r>
      <w:r w:rsidRPr="00996066">
        <w:t>these things</w:t>
      </w:r>
      <w:r w:rsidR="00D6516C">
        <w:t>,</w:t>
      </w:r>
      <w:r w:rsidRPr="00996066">
        <w:t xml:space="preserve"> and there are best practice examples of this type of VET in Schools around Australia. Unfortunately, this is not the VET in Schools that </w:t>
      </w:r>
      <w:r w:rsidR="00D6516C" w:rsidRPr="00D6516C">
        <w:rPr>
          <w:i/>
        </w:rPr>
        <w:t>all</w:t>
      </w:r>
      <w:r w:rsidRPr="00996066">
        <w:t xml:space="preserve"> students </w:t>
      </w:r>
      <w:r w:rsidR="00325265">
        <w:t>experience</w:t>
      </w:r>
      <w:r w:rsidRPr="00996066">
        <w:t xml:space="preserve">. Some students participate in programs that do not achieve clearly signposted, effective pathways into higher education, higher-level VET, apprenticeships, traineeships or </w:t>
      </w:r>
      <w:r w:rsidR="00D6516C">
        <w:t xml:space="preserve">skilled work. The landscape </w:t>
      </w:r>
      <w:r w:rsidRPr="00996066">
        <w:t xml:space="preserve">in which these Australian young people complete their secondary schooling is complex. This paper has attempted to illustrate here key challenges for policy reform in the VET in Schools </w:t>
      </w:r>
      <w:r w:rsidR="00325265">
        <w:t>arena</w:t>
      </w:r>
      <w:r w:rsidRPr="00996066">
        <w:t>. A deeper consideration of the learning contexts and pedagogy, the nature of the c</w:t>
      </w:r>
      <w:r w:rsidR="00D6516C">
        <w:t>ertificates used and the social-</w:t>
      </w:r>
      <w:r w:rsidRPr="00996066">
        <w:t>segregating role of vocational programs in Australian senior secondary schools are issues that need to be tackled</w:t>
      </w:r>
      <w:r w:rsidR="00D6516C">
        <w:t>, if meaningful,</w:t>
      </w:r>
      <w:r w:rsidRPr="00996066">
        <w:t xml:space="preserve"> substantial and effective policy change to VET in Schools is to be achieved. </w:t>
      </w:r>
    </w:p>
    <w:p w:rsidR="00996066" w:rsidRPr="00996066" w:rsidRDefault="00D6516C" w:rsidP="00A67AB4">
      <w:pPr>
        <w:pStyle w:val="Heading2"/>
      </w:pPr>
      <w:bookmarkStart w:id="44" w:name="_Toc412455590"/>
      <w:bookmarkStart w:id="45" w:name="_Toc416683017"/>
      <w:r>
        <w:lastRenderedPageBreak/>
        <w:t>Acknowledg</w:t>
      </w:r>
      <w:r w:rsidR="00996066" w:rsidRPr="00996066">
        <w:t>ments</w:t>
      </w:r>
      <w:bookmarkEnd w:id="44"/>
      <w:bookmarkEnd w:id="45"/>
      <w:r w:rsidR="00996066" w:rsidRPr="00996066">
        <w:t xml:space="preserve"> </w:t>
      </w:r>
    </w:p>
    <w:p w:rsidR="00996066" w:rsidRPr="00996066" w:rsidRDefault="00996066" w:rsidP="00A67AB4">
      <w:pPr>
        <w:pStyle w:val="Text"/>
      </w:pPr>
      <w:r w:rsidRPr="00996066">
        <w:t>I would like to acknowledge the important conceptual contributions to the research on which this paper is based</w:t>
      </w:r>
      <w:r w:rsidR="00D6516C">
        <w:t>. I thank particularly</w:t>
      </w:r>
      <w:r w:rsidRPr="00996066">
        <w:t xml:space="preserve"> </w:t>
      </w:r>
      <w:proofErr w:type="spellStart"/>
      <w:r w:rsidRPr="00996066">
        <w:t>Leesa</w:t>
      </w:r>
      <w:proofErr w:type="spellEnd"/>
      <w:r w:rsidRPr="00996066">
        <w:t xml:space="preserve"> </w:t>
      </w:r>
      <w:proofErr w:type="spellStart"/>
      <w:r w:rsidRPr="00996066">
        <w:t>Wheelahan</w:t>
      </w:r>
      <w:proofErr w:type="spellEnd"/>
      <w:r w:rsidRPr="00996066">
        <w:t xml:space="preserve">, John </w:t>
      </w:r>
      <w:proofErr w:type="spellStart"/>
      <w:r w:rsidRPr="00996066">
        <w:t>Polesel</w:t>
      </w:r>
      <w:proofErr w:type="spellEnd"/>
      <w:r w:rsidRPr="00996066">
        <w:t xml:space="preserve">, Veronica </w:t>
      </w:r>
      <w:proofErr w:type="spellStart"/>
      <w:r w:rsidRPr="00996066">
        <w:t>Volkoff</w:t>
      </w:r>
      <w:proofErr w:type="spellEnd"/>
      <w:r w:rsidRPr="00996066">
        <w:t xml:space="preserve"> and </w:t>
      </w:r>
      <w:r w:rsidR="00D6516C">
        <w:t xml:space="preserve">the late </w:t>
      </w:r>
      <w:r w:rsidRPr="00996066">
        <w:t>Jack</w:t>
      </w:r>
      <w:r w:rsidR="0009535B">
        <w:t> </w:t>
      </w:r>
      <w:r w:rsidRPr="00996066">
        <w:t>Keating. I also acknowledge the invaluable contribution that a wide range of VET in Schools stakeholders and research participants have made to this research over several years.</w:t>
      </w:r>
    </w:p>
    <w:p w:rsidR="00996066" w:rsidRPr="00996066" w:rsidRDefault="00996066" w:rsidP="00A67AB4">
      <w:pPr>
        <w:pStyle w:val="Heading2"/>
      </w:pPr>
      <w:bookmarkStart w:id="46" w:name="_Toc412455591"/>
      <w:bookmarkStart w:id="47" w:name="_Toc416683018"/>
      <w:r w:rsidRPr="00996066">
        <w:t>References</w:t>
      </w:r>
      <w:bookmarkEnd w:id="46"/>
      <w:bookmarkEnd w:id="47"/>
    </w:p>
    <w:p w:rsidR="00996066" w:rsidRPr="00044E13" w:rsidRDefault="00996066" w:rsidP="0009535B">
      <w:pPr>
        <w:pStyle w:val="References"/>
      </w:pPr>
      <w:r w:rsidRPr="00044E13">
        <w:t xml:space="preserve">Australian Curriculum Assessment </w:t>
      </w:r>
      <w:r w:rsidR="00D6516C">
        <w:t>and Reporting Authority (ACARA)</w:t>
      </w:r>
      <w:r w:rsidR="0063760A">
        <w:t xml:space="preserve"> </w:t>
      </w:r>
      <w:proofErr w:type="spellStart"/>
      <w:r w:rsidRPr="00044E13">
        <w:t>n.d.</w:t>
      </w:r>
      <w:proofErr w:type="spellEnd"/>
      <w:r w:rsidR="00D6516C">
        <w:t>,</w:t>
      </w:r>
      <w:r w:rsidRPr="00044E13">
        <w:t xml:space="preserve"> </w:t>
      </w:r>
      <w:r w:rsidR="00D6516C">
        <w:rPr>
          <w:i/>
        </w:rPr>
        <w:t>Shaping of the Year 11—12 Australian c</w:t>
      </w:r>
      <w:r w:rsidRPr="0001476F">
        <w:rPr>
          <w:i/>
        </w:rPr>
        <w:t>urriculum</w:t>
      </w:r>
      <w:r w:rsidRPr="00044E13">
        <w:t xml:space="preserve">, </w:t>
      </w:r>
      <w:r w:rsidR="00D6516C">
        <w:t>viewed</w:t>
      </w:r>
      <w:r w:rsidRPr="00044E13">
        <w:t xml:space="preserve"> </w:t>
      </w:r>
      <w:r w:rsidR="00D6516C">
        <w:t xml:space="preserve">10 February </w:t>
      </w:r>
      <w:r w:rsidRPr="00044E13">
        <w:t>2014</w:t>
      </w:r>
      <w:r w:rsidR="00D6516C">
        <w:t>,</w:t>
      </w:r>
      <w:r w:rsidRPr="00044E13">
        <w:t xml:space="preserve"> </w:t>
      </w:r>
      <w:r w:rsidR="00D6516C">
        <w:t>&lt;</w:t>
      </w:r>
      <w:r w:rsidRPr="00044E13">
        <w:t>http://www.acara.edu.au/curriculum/</w:t>
      </w:r>
      <w:r w:rsidR="00464AF4">
        <w:t xml:space="preserve"> </w:t>
      </w:r>
      <w:r w:rsidRPr="00044E13">
        <w:t>national_trade_cadetships/national_trade_cadetship_years_1112.html</w:t>
      </w:r>
      <w:r w:rsidR="00D6516C">
        <w:t>&gt;.</w:t>
      </w:r>
    </w:p>
    <w:p w:rsidR="00996066" w:rsidRPr="00044E13" w:rsidRDefault="00623D40" w:rsidP="0009535B">
      <w:pPr>
        <w:pStyle w:val="References"/>
      </w:pPr>
      <w:r>
        <w:t>Anlezark, A</w:t>
      </w:r>
      <w:r w:rsidR="00523926">
        <w:t>,</w:t>
      </w:r>
      <w:r>
        <w:t xml:space="preserve"> </w:t>
      </w:r>
      <w:proofErr w:type="spellStart"/>
      <w:r>
        <w:t>Karmel</w:t>
      </w:r>
      <w:proofErr w:type="spellEnd"/>
      <w:r>
        <w:t>, T</w:t>
      </w:r>
      <w:r w:rsidR="0063760A">
        <w:t xml:space="preserve"> &amp;</w:t>
      </w:r>
      <w:r w:rsidR="00996066" w:rsidRPr="00044E13">
        <w:t xml:space="preserve"> Ong, K</w:t>
      </w:r>
      <w:r w:rsidR="0063760A">
        <w:t xml:space="preserve"> </w:t>
      </w:r>
      <w:r w:rsidR="00996066" w:rsidRPr="00044E13">
        <w:t>2006</w:t>
      </w:r>
      <w:r w:rsidR="0063760A">
        <w:t xml:space="preserve">, </w:t>
      </w:r>
      <w:r w:rsidR="00996066" w:rsidRPr="00623D40">
        <w:rPr>
          <w:i/>
        </w:rPr>
        <w:t>Have school vocational education and training programs been successful?</w:t>
      </w:r>
      <w:r w:rsidR="00D6516C">
        <w:rPr>
          <w:i/>
        </w:rPr>
        <w:t xml:space="preserve">, </w:t>
      </w:r>
      <w:r w:rsidR="00D6516C">
        <w:t>NCVER, Adelaide</w:t>
      </w:r>
      <w:r w:rsidR="00523926">
        <w:t>.</w:t>
      </w:r>
    </w:p>
    <w:p w:rsidR="00996066" w:rsidRPr="00044E13" w:rsidRDefault="00623D40" w:rsidP="0009535B">
      <w:pPr>
        <w:pStyle w:val="References"/>
      </w:pPr>
      <w:r>
        <w:t>Barnett, K</w:t>
      </w:r>
      <w:r w:rsidR="0063760A">
        <w:t xml:space="preserve"> &amp;</w:t>
      </w:r>
      <w:r w:rsidR="00325265">
        <w:t xml:space="preserve"> Ryan, R </w:t>
      </w:r>
      <w:r w:rsidR="00996066" w:rsidRPr="00044E13">
        <w:t>2005a</w:t>
      </w:r>
      <w:r w:rsidR="0063760A">
        <w:t>,</w:t>
      </w:r>
      <w:r w:rsidR="00996066" w:rsidRPr="00044E13">
        <w:t xml:space="preserve"> </w:t>
      </w:r>
      <w:r w:rsidR="00996066" w:rsidRPr="00623D40">
        <w:rPr>
          <w:i/>
        </w:rPr>
        <w:t>Lessons and challenges: vocational education in schools — research overview</w:t>
      </w:r>
      <w:r w:rsidR="00996066" w:rsidRPr="00044E13">
        <w:t xml:space="preserve">, </w:t>
      </w:r>
      <w:r w:rsidR="00FC012A">
        <w:t>NCVER, Adelaide.</w:t>
      </w:r>
    </w:p>
    <w:p w:rsidR="00996066" w:rsidRPr="00044E13" w:rsidRDefault="00FC012A" w:rsidP="0009535B">
      <w:pPr>
        <w:pStyle w:val="References"/>
      </w:pPr>
      <w:r>
        <w:t>——</w:t>
      </w:r>
      <w:r w:rsidR="00996066" w:rsidRPr="00044E13">
        <w:t xml:space="preserve">2005b </w:t>
      </w:r>
      <w:r w:rsidR="004C5471">
        <w:t>‘</w:t>
      </w:r>
      <w:r w:rsidR="00996066" w:rsidRPr="00044E13">
        <w:t>Vocational education and training in Australian schools: issues for practitioners</w:t>
      </w:r>
      <w:r w:rsidR="004C5471">
        <w:t>’</w:t>
      </w:r>
      <w:r w:rsidR="00996066" w:rsidRPr="00044E13">
        <w:t xml:space="preserve">, </w:t>
      </w:r>
      <w:r w:rsidR="00996066" w:rsidRPr="00623D40">
        <w:rPr>
          <w:i/>
        </w:rPr>
        <w:t>International Education Journal</w:t>
      </w:r>
      <w:r w:rsidR="00996066" w:rsidRPr="00044E13">
        <w:t>, vol.5</w:t>
      </w:r>
      <w:r w:rsidR="00464AF4">
        <w:t>,</w:t>
      </w:r>
      <w:r w:rsidR="00996066" w:rsidRPr="00044E13">
        <w:t xml:space="preserve"> no.5, pp.89—104.</w:t>
      </w:r>
    </w:p>
    <w:p w:rsidR="00996066" w:rsidRPr="00044E13" w:rsidRDefault="00623D40" w:rsidP="0009535B">
      <w:pPr>
        <w:pStyle w:val="References"/>
      </w:pPr>
      <w:r>
        <w:t>Bourdieu, P</w:t>
      </w:r>
      <w:r w:rsidR="0063760A">
        <w:t xml:space="preserve"> &amp;</w:t>
      </w:r>
      <w:r w:rsidR="00996066" w:rsidRPr="00044E13">
        <w:t xml:space="preserve"> </w:t>
      </w:r>
      <w:proofErr w:type="spellStart"/>
      <w:r w:rsidR="00996066" w:rsidRPr="00044E13">
        <w:t>Passeron</w:t>
      </w:r>
      <w:proofErr w:type="spellEnd"/>
      <w:r w:rsidR="00996066" w:rsidRPr="00044E13">
        <w:t>, JC 1990</w:t>
      </w:r>
      <w:r w:rsidR="0063760A">
        <w:t>,</w:t>
      </w:r>
      <w:r w:rsidR="00996066" w:rsidRPr="00044E13">
        <w:t xml:space="preserve"> </w:t>
      </w:r>
      <w:r>
        <w:rPr>
          <w:i/>
        </w:rPr>
        <w:t>Reproduction in education, society and c</w:t>
      </w:r>
      <w:r w:rsidR="00996066" w:rsidRPr="00623D40">
        <w:rPr>
          <w:i/>
        </w:rPr>
        <w:t>ulture</w:t>
      </w:r>
      <w:r w:rsidR="00996066" w:rsidRPr="00044E13">
        <w:t xml:space="preserve">, </w:t>
      </w:r>
      <w:r>
        <w:t>2</w:t>
      </w:r>
      <w:r w:rsidRPr="00FC012A">
        <w:t xml:space="preserve">nd </w:t>
      </w:r>
      <w:proofErr w:type="spellStart"/>
      <w:r w:rsidR="00FC012A">
        <w:t>edn</w:t>
      </w:r>
      <w:proofErr w:type="spellEnd"/>
      <w:r w:rsidR="00996066" w:rsidRPr="00044E13">
        <w:t xml:space="preserve">, </w:t>
      </w:r>
      <w:r w:rsidR="00523926" w:rsidRPr="00351980">
        <w:t>SAGE Publications</w:t>
      </w:r>
      <w:r w:rsidR="00FC012A">
        <w:t>,</w:t>
      </w:r>
      <w:r w:rsidR="00523926">
        <w:t xml:space="preserve"> </w:t>
      </w:r>
      <w:r w:rsidR="00FC012A">
        <w:t>London</w:t>
      </w:r>
      <w:r w:rsidR="00523926">
        <w:t>.</w:t>
      </w:r>
      <w:r w:rsidR="00351980">
        <w:t xml:space="preserve"> </w:t>
      </w:r>
    </w:p>
    <w:p w:rsidR="00996066" w:rsidRPr="00044E13" w:rsidRDefault="00996066" w:rsidP="0009535B">
      <w:pPr>
        <w:pStyle w:val="References"/>
      </w:pPr>
      <w:r w:rsidRPr="00044E13">
        <w:t>Clarke, K 2012</w:t>
      </w:r>
      <w:r w:rsidR="0063760A">
        <w:t>,</w:t>
      </w:r>
      <w:r w:rsidRPr="00044E13">
        <w:t xml:space="preserve"> </w:t>
      </w:r>
      <w:r w:rsidRPr="00623D40">
        <w:rPr>
          <w:i/>
        </w:rPr>
        <w:t>Entry to vocations: efficacy of VET in Schools</w:t>
      </w:r>
      <w:r w:rsidRPr="00044E13">
        <w:t xml:space="preserve">, </w:t>
      </w:r>
      <w:r w:rsidR="00FC012A">
        <w:t>NCVER, Adelaide.</w:t>
      </w:r>
      <w:r w:rsidR="00FC012A" w:rsidRPr="00044E13">
        <w:t xml:space="preserve"> </w:t>
      </w:r>
    </w:p>
    <w:p w:rsidR="00996066" w:rsidRPr="00044E13" w:rsidRDefault="00FC012A" w:rsidP="0009535B">
      <w:pPr>
        <w:pStyle w:val="References"/>
      </w:pPr>
      <w:r>
        <w:t>——</w:t>
      </w:r>
      <w:r w:rsidR="00996066" w:rsidRPr="00044E13">
        <w:t>2013</w:t>
      </w:r>
      <w:r w:rsidR="0063760A">
        <w:t>,</w:t>
      </w:r>
      <w:r w:rsidR="00996066" w:rsidRPr="00044E13">
        <w:t xml:space="preserve"> </w:t>
      </w:r>
      <w:r w:rsidR="00996066" w:rsidRPr="00C635E4">
        <w:rPr>
          <w:i/>
        </w:rPr>
        <w:t>Entry to vocations: strengthening VET in Schools</w:t>
      </w:r>
      <w:r w:rsidR="00996066" w:rsidRPr="00044E13">
        <w:t xml:space="preserve">, </w:t>
      </w:r>
      <w:r>
        <w:t>NCVER, Adelaide.</w:t>
      </w:r>
    </w:p>
    <w:p w:rsidR="00C635E4" w:rsidRPr="00044E13" w:rsidRDefault="00FC012A" w:rsidP="0009535B">
      <w:pPr>
        <w:pStyle w:val="References"/>
      </w:pPr>
      <w:r>
        <w:t>——</w:t>
      </w:r>
      <w:r w:rsidR="00996066" w:rsidRPr="00351980">
        <w:t>2014</w:t>
      </w:r>
      <w:r w:rsidR="0063760A">
        <w:t>,</w:t>
      </w:r>
      <w:r w:rsidR="00996066" w:rsidRPr="00351980">
        <w:t xml:space="preserve"> </w:t>
      </w:r>
      <w:r w:rsidR="00C635E4" w:rsidRPr="00351980">
        <w:rPr>
          <w:i/>
        </w:rPr>
        <w:t>Entry to vocations: b</w:t>
      </w:r>
      <w:r w:rsidR="00996066" w:rsidRPr="00351980">
        <w:rPr>
          <w:i/>
        </w:rPr>
        <w:t>uilding the foundations for successful transitions</w:t>
      </w:r>
      <w:r w:rsidR="00996066" w:rsidRPr="00351980">
        <w:t xml:space="preserve">, </w:t>
      </w:r>
      <w:r>
        <w:t>NCVER, Adelaide.</w:t>
      </w:r>
    </w:p>
    <w:p w:rsidR="00996066" w:rsidRPr="00044E13" w:rsidRDefault="00C635E4" w:rsidP="0009535B">
      <w:pPr>
        <w:pStyle w:val="References"/>
      </w:pPr>
      <w:r>
        <w:t>Clarke, K</w:t>
      </w:r>
      <w:r w:rsidR="00523926">
        <w:t xml:space="preserve"> &amp;</w:t>
      </w:r>
      <w:r w:rsidR="00996066" w:rsidRPr="00044E13">
        <w:t xml:space="preserve"> </w:t>
      </w:r>
      <w:proofErr w:type="spellStart"/>
      <w:r w:rsidR="00996066" w:rsidRPr="00044E13">
        <w:t>Polesel</w:t>
      </w:r>
      <w:proofErr w:type="spellEnd"/>
      <w:r w:rsidR="00996066" w:rsidRPr="00044E13">
        <w:t>, J 2013</w:t>
      </w:r>
      <w:r w:rsidR="0075603A">
        <w:t>,</w:t>
      </w:r>
      <w:r w:rsidR="00996066" w:rsidRPr="00044E13">
        <w:t xml:space="preserve"> </w:t>
      </w:r>
      <w:r w:rsidR="004C5471">
        <w:t>‘</w:t>
      </w:r>
      <w:r w:rsidR="00996066" w:rsidRPr="00044E13">
        <w:t>Strong on retention, weak on outcomes: the impact of vocational education and training in schools</w:t>
      </w:r>
      <w:r w:rsidR="004C5471">
        <w:t>’</w:t>
      </w:r>
      <w:r w:rsidR="00996066" w:rsidRPr="00044E13">
        <w:t xml:space="preserve">, </w:t>
      </w:r>
      <w:r w:rsidR="00996066" w:rsidRPr="00C635E4">
        <w:rPr>
          <w:i/>
        </w:rPr>
        <w:t>Discourse: Studies in the Cultural Politics of Education</w:t>
      </w:r>
      <w:r w:rsidR="0075603A">
        <w:t>, Special i</w:t>
      </w:r>
      <w:r w:rsidR="00996066" w:rsidRPr="00044E13">
        <w:t>s</w:t>
      </w:r>
      <w:r>
        <w:t xml:space="preserve">sue: Equity and </w:t>
      </w:r>
      <w:proofErr w:type="spellStart"/>
      <w:r>
        <w:t>marketisation</w:t>
      </w:r>
      <w:proofErr w:type="spellEnd"/>
      <w:r>
        <w:t>: e</w:t>
      </w:r>
      <w:r w:rsidR="00996066" w:rsidRPr="00044E13">
        <w:t xml:space="preserve">merging policies and practices </w:t>
      </w:r>
      <w:r>
        <w:t>in Australian education, vol.34</w:t>
      </w:r>
      <w:r w:rsidR="00996066" w:rsidRPr="00044E13">
        <w:t xml:space="preserve"> no.2, pp.259</w:t>
      </w:r>
      <w:r w:rsidR="00464AF4">
        <w:t>—</w:t>
      </w:r>
      <w:r w:rsidR="00996066" w:rsidRPr="00044E13">
        <w:t>73.</w:t>
      </w:r>
    </w:p>
    <w:p w:rsidR="007B6D51" w:rsidRPr="007B6D51" w:rsidRDefault="00D302A8" w:rsidP="0009535B">
      <w:pPr>
        <w:pStyle w:val="References"/>
      </w:pPr>
      <w:r w:rsidRPr="007B6D51">
        <w:t>Clarke, K</w:t>
      </w:r>
      <w:r w:rsidR="00523926">
        <w:t xml:space="preserve"> &amp;</w:t>
      </w:r>
      <w:r w:rsidR="00996066" w:rsidRPr="007B6D51">
        <w:t xml:space="preserve"> </w:t>
      </w:r>
      <w:proofErr w:type="spellStart"/>
      <w:r w:rsidR="00996066" w:rsidRPr="007B6D51">
        <w:t>Volkoff</w:t>
      </w:r>
      <w:proofErr w:type="spellEnd"/>
      <w:r w:rsidR="00996066" w:rsidRPr="007B6D51">
        <w:t xml:space="preserve">, V </w:t>
      </w:r>
      <w:r w:rsidRPr="007B6D51">
        <w:t>201</w:t>
      </w:r>
      <w:r w:rsidR="007B6D51">
        <w:t>2</w:t>
      </w:r>
      <w:r w:rsidR="0063760A">
        <w:t>,</w:t>
      </w:r>
      <w:r w:rsidR="00996066" w:rsidRPr="007B6D51">
        <w:t xml:space="preserve"> </w:t>
      </w:r>
      <w:r w:rsidR="00996066" w:rsidRPr="007B6D51">
        <w:rPr>
          <w:i/>
        </w:rPr>
        <w:t>Entry to vocations: a discussion paper on current policy structures of</w:t>
      </w:r>
      <w:r w:rsidRPr="007B6D51">
        <w:rPr>
          <w:i/>
        </w:rPr>
        <w:t xml:space="preserve"> VET in Schools</w:t>
      </w:r>
      <w:r w:rsidR="00FC012A">
        <w:t>, NCVER, Adelaide.</w:t>
      </w:r>
    </w:p>
    <w:p w:rsidR="00996066" w:rsidRPr="008103A5" w:rsidRDefault="00D302A8" w:rsidP="0009535B">
      <w:pPr>
        <w:pStyle w:val="References"/>
      </w:pPr>
      <w:r w:rsidRPr="00BA2946">
        <w:t>Clarke, K</w:t>
      </w:r>
      <w:r w:rsidR="00523926" w:rsidRPr="00BA2946">
        <w:t>,</w:t>
      </w:r>
      <w:r w:rsidRPr="00BA2946">
        <w:t xml:space="preserve"> Savage, G</w:t>
      </w:r>
      <w:r w:rsidR="00523926" w:rsidRPr="00BA2946">
        <w:t xml:space="preserve"> &amp;</w:t>
      </w:r>
      <w:r w:rsidR="00996066" w:rsidRPr="00BA2946">
        <w:t xml:space="preserve"> St Leger, P</w:t>
      </w:r>
      <w:r w:rsidR="0063760A" w:rsidRPr="00BA2946">
        <w:t xml:space="preserve"> </w:t>
      </w:r>
      <w:r w:rsidR="00996066" w:rsidRPr="00BA2946">
        <w:t>2011</w:t>
      </w:r>
      <w:r w:rsidR="0063760A" w:rsidRPr="00BA2946">
        <w:t>,</w:t>
      </w:r>
      <w:r w:rsidR="00996066" w:rsidRPr="00BA2946">
        <w:t xml:space="preserve"> </w:t>
      </w:r>
      <w:r w:rsidR="004C5471">
        <w:t>‘</w:t>
      </w:r>
      <w:r w:rsidR="00996066" w:rsidRPr="00FC012A">
        <w:t>La Trobe University</w:t>
      </w:r>
      <w:r w:rsidR="004C5471">
        <w:t>’</w:t>
      </w:r>
      <w:r w:rsidR="00996066" w:rsidRPr="00FC012A">
        <w:t>s School Partnerships Pilot Program</w:t>
      </w:r>
      <w:r w:rsidR="004C5471">
        <w:t>’</w:t>
      </w:r>
      <w:r w:rsidR="00996066" w:rsidRPr="00BA2946">
        <w:t>, report prepared by the Centre for Program Evaluation and the Education Policy and Leadersh</w:t>
      </w:r>
      <w:r w:rsidR="007B6D51" w:rsidRPr="00BA2946">
        <w:t>ip Unit, University of Melbourne</w:t>
      </w:r>
      <w:r w:rsidR="00996066" w:rsidRPr="00BA2946">
        <w:t xml:space="preserve">. </w:t>
      </w:r>
    </w:p>
    <w:p w:rsidR="00760816" w:rsidRDefault="00996066" w:rsidP="0009535B">
      <w:pPr>
        <w:pStyle w:val="References"/>
      </w:pPr>
      <w:r w:rsidRPr="00760816">
        <w:t>Council o</w:t>
      </w:r>
      <w:r w:rsidR="0063760A">
        <w:t xml:space="preserve">f Australian Governments </w:t>
      </w:r>
      <w:r w:rsidR="00FC012A">
        <w:t>Reform Council</w:t>
      </w:r>
      <w:r w:rsidR="0063760A">
        <w:t xml:space="preserve"> </w:t>
      </w:r>
      <w:r w:rsidR="008103A5" w:rsidRPr="00760816">
        <w:t>2011</w:t>
      </w:r>
      <w:r w:rsidR="0063760A">
        <w:t>,</w:t>
      </w:r>
      <w:r w:rsidR="008103A5" w:rsidRPr="00760816">
        <w:t xml:space="preserve"> </w:t>
      </w:r>
      <w:r w:rsidRPr="00760816">
        <w:rPr>
          <w:i/>
        </w:rPr>
        <w:t xml:space="preserve">National Partnership Agreement on Youth Attainment and Transitions: </w:t>
      </w:r>
      <w:r w:rsidR="00760816" w:rsidRPr="00760816">
        <w:rPr>
          <w:i/>
        </w:rPr>
        <w:t>participation target assessment report</w:t>
      </w:r>
      <w:r w:rsidR="00760816" w:rsidRPr="00760816">
        <w:t>,</w:t>
      </w:r>
      <w:r w:rsidRPr="00760816">
        <w:t xml:space="preserve"> </w:t>
      </w:r>
      <w:r w:rsidR="00760816" w:rsidRPr="00760816">
        <w:t>COAG Reform Council</w:t>
      </w:r>
      <w:r w:rsidR="00FC012A">
        <w:t>,</w:t>
      </w:r>
      <w:r w:rsidR="00523926" w:rsidRPr="00523926">
        <w:t xml:space="preserve"> </w:t>
      </w:r>
      <w:r w:rsidR="00523926" w:rsidRPr="00760816">
        <w:t>Canberra</w:t>
      </w:r>
      <w:r w:rsidR="00523926">
        <w:t>.</w:t>
      </w:r>
      <w:r w:rsidR="00760816">
        <w:t xml:space="preserve"> </w:t>
      </w:r>
    </w:p>
    <w:p w:rsidR="00996066" w:rsidRPr="00044E13" w:rsidRDefault="00D302A8" w:rsidP="0009535B">
      <w:pPr>
        <w:pStyle w:val="References"/>
      </w:pPr>
      <w:proofErr w:type="spellStart"/>
      <w:r>
        <w:t>Dalley</w:t>
      </w:r>
      <w:proofErr w:type="spellEnd"/>
      <w:r>
        <w:t>-Trim, L</w:t>
      </w:r>
      <w:r w:rsidR="00523926">
        <w:t>,</w:t>
      </w:r>
      <w:r>
        <w:t xml:space="preserve"> </w:t>
      </w:r>
      <w:proofErr w:type="spellStart"/>
      <w:r>
        <w:t>Alloway</w:t>
      </w:r>
      <w:proofErr w:type="spellEnd"/>
      <w:r>
        <w:t>, N</w:t>
      </w:r>
      <w:r w:rsidR="00523926">
        <w:t xml:space="preserve"> &amp;</w:t>
      </w:r>
      <w:r w:rsidR="00996066" w:rsidRPr="00044E13">
        <w:t xml:space="preserve"> Waller, K 2008</w:t>
      </w:r>
      <w:r w:rsidR="0063760A">
        <w:t>,</w:t>
      </w:r>
      <w:r w:rsidR="00996066" w:rsidRPr="00044E13">
        <w:t xml:space="preserve"> </w:t>
      </w:r>
      <w:r w:rsidR="004C5471">
        <w:t>‘</w:t>
      </w:r>
      <w:r w:rsidR="00996066" w:rsidRPr="00044E13">
        <w:t>Secondary school students</w:t>
      </w:r>
      <w:r w:rsidR="004C5471">
        <w:t>’</w:t>
      </w:r>
      <w:r w:rsidR="00996066" w:rsidRPr="00044E13">
        <w:t xml:space="preserve"> perceptions of and the factors influencing their decision making in relation to VET in Schools</w:t>
      </w:r>
      <w:r w:rsidR="004C5471">
        <w:t>’</w:t>
      </w:r>
      <w:r w:rsidR="00996066" w:rsidRPr="00044E13">
        <w:t xml:space="preserve">, </w:t>
      </w:r>
      <w:r w:rsidR="00996066" w:rsidRPr="00D302A8">
        <w:rPr>
          <w:i/>
        </w:rPr>
        <w:t>Australian Educational Researcher</w:t>
      </w:r>
      <w:r>
        <w:t>, vol.35</w:t>
      </w:r>
      <w:r w:rsidR="00A65204">
        <w:t>,</w:t>
      </w:r>
      <w:r w:rsidR="00887109">
        <w:t xml:space="preserve"> </w:t>
      </w:r>
      <w:r w:rsidR="00996066" w:rsidRPr="00044E13">
        <w:t>no.2, pp.55—69.</w:t>
      </w:r>
    </w:p>
    <w:p w:rsidR="00996066" w:rsidRPr="00044E13" w:rsidRDefault="00887109" w:rsidP="0009535B">
      <w:pPr>
        <w:pStyle w:val="References"/>
      </w:pPr>
      <w:proofErr w:type="spellStart"/>
      <w:r w:rsidRPr="000A1A5E">
        <w:t>Gallacher</w:t>
      </w:r>
      <w:proofErr w:type="spellEnd"/>
      <w:r w:rsidRPr="000A1A5E">
        <w:t>, J</w:t>
      </w:r>
      <w:r w:rsidR="00523926">
        <w:t>,</w:t>
      </w:r>
      <w:r w:rsidRPr="000A1A5E">
        <w:t xml:space="preserve"> Ingram, R</w:t>
      </w:r>
      <w:r w:rsidR="00523926">
        <w:t xml:space="preserve"> &amp;</w:t>
      </w:r>
      <w:r w:rsidR="00374EDB">
        <w:t xml:space="preserve"> Reeve, F</w:t>
      </w:r>
      <w:r w:rsidR="0063760A">
        <w:t xml:space="preserve"> </w:t>
      </w:r>
      <w:r w:rsidR="00996066" w:rsidRPr="000A1A5E">
        <w:t>2011</w:t>
      </w:r>
      <w:r w:rsidR="0063760A">
        <w:t>,</w:t>
      </w:r>
      <w:r w:rsidR="00996066" w:rsidRPr="000A1A5E">
        <w:t xml:space="preserve"> </w:t>
      </w:r>
      <w:r w:rsidR="0075603A">
        <w:t>‘</w:t>
      </w:r>
      <w:r w:rsidR="00996066" w:rsidRPr="0075603A">
        <w:t>Are vocational qualifications vocational? Draft</w:t>
      </w:r>
      <w:r w:rsidR="0075603A" w:rsidRPr="0075603A">
        <w:t>’</w:t>
      </w:r>
      <w:r w:rsidR="000A1A5E">
        <w:t>,</w:t>
      </w:r>
      <w:r w:rsidR="00996066" w:rsidRPr="008103A5">
        <w:t xml:space="preserve"> </w:t>
      </w:r>
      <w:r w:rsidR="000A1A5E" w:rsidRPr="008103A5">
        <w:t>Centre for the Research in Lifelong Learning</w:t>
      </w:r>
      <w:r w:rsidR="000A1A5E">
        <w:t xml:space="preserve">, </w:t>
      </w:r>
      <w:r w:rsidR="00996066" w:rsidRPr="008103A5">
        <w:t>Glasgo</w:t>
      </w:r>
      <w:r w:rsidR="000A1A5E">
        <w:t>w Caledonian University</w:t>
      </w:r>
      <w:r w:rsidR="00374EDB">
        <w:t>,</w:t>
      </w:r>
      <w:r w:rsidR="00523926" w:rsidRPr="00523926">
        <w:t xml:space="preserve"> </w:t>
      </w:r>
      <w:r w:rsidR="00374EDB">
        <w:t>Glasgow</w:t>
      </w:r>
      <w:r w:rsidR="00523926">
        <w:t>.</w:t>
      </w:r>
    </w:p>
    <w:p w:rsidR="00996066" w:rsidRPr="00044E13" w:rsidRDefault="00611BDD" w:rsidP="0009535B">
      <w:pPr>
        <w:pStyle w:val="References"/>
      </w:pPr>
      <w:proofErr w:type="spellStart"/>
      <w:r>
        <w:t>Majoribanks</w:t>
      </w:r>
      <w:proofErr w:type="spellEnd"/>
      <w:r w:rsidR="00374EDB">
        <w:t>, K</w:t>
      </w:r>
      <w:r w:rsidR="0063760A">
        <w:t xml:space="preserve"> </w:t>
      </w:r>
      <w:r w:rsidR="00996066" w:rsidRPr="00044E13">
        <w:t>2005</w:t>
      </w:r>
      <w:r w:rsidR="0063760A">
        <w:t>,</w:t>
      </w:r>
      <w:r w:rsidR="00996066" w:rsidRPr="00044E13">
        <w:t xml:space="preserve"> </w:t>
      </w:r>
      <w:r w:rsidR="004C5471">
        <w:t>‘</w:t>
      </w:r>
      <w:r w:rsidR="00996066" w:rsidRPr="00044E13">
        <w:t>Family background, adolescents</w:t>
      </w:r>
      <w:r w:rsidR="004C5471">
        <w:t>’</w:t>
      </w:r>
      <w:r w:rsidR="00996066" w:rsidRPr="00044E13">
        <w:t xml:space="preserve"> educational aspirations, and Australian young adults</w:t>
      </w:r>
      <w:r w:rsidR="004C5471">
        <w:t>’</w:t>
      </w:r>
      <w:r w:rsidR="00996066" w:rsidRPr="00044E13">
        <w:t xml:space="preserve"> educational attainment</w:t>
      </w:r>
      <w:r w:rsidR="004C5471">
        <w:t>’</w:t>
      </w:r>
      <w:r w:rsidR="00996066" w:rsidRPr="00044E13">
        <w:t xml:space="preserve">, </w:t>
      </w:r>
      <w:r w:rsidR="00996066" w:rsidRPr="00887109">
        <w:rPr>
          <w:i/>
        </w:rPr>
        <w:t>International Education Journal</w:t>
      </w:r>
      <w:r w:rsidR="00887109">
        <w:t>, vol.6</w:t>
      </w:r>
      <w:r w:rsidR="00A65204">
        <w:t>,</w:t>
      </w:r>
      <w:r w:rsidR="00887109">
        <w:t xml:space="preserve"> </w:t>
      </w:r>
      <w:r w:rsidR="00996066" w:rsidRPr="00044E13">
        <w:t>no.1, pp.</w:t>
      </w:r>
      <w:r w:rsidR="00374EDB">
        <w:t>104—</w:t>
      </w:r>
      <w:r w:rsidR="00996066" w:rsidRPr="00044E13">
        <w:t>12.</w:t>
      </w:r>
    </w:p>
    <w:p w:rsidR="00996066" w:rsidRPr="00044E13" w:rsidRDefault="00996066" w:rsidP="0009535B">
      <w:pPr>
        <w:pStyle w:val="References"/>
      </w:pPr>
      <w:r w:rsidRPr="0001476F">
        <w:t>Ministerial Council for Education, Employment, Traini</w:t>
      </w:r>
      <w:r w:rsidR="00374EDB">
        <w:t>ng and Youth Affairs (MCEETYA)</w:t>
      </w:r>
      <w:r w:rsidR="0063760A">
        <w:t xml:space="preserve"> </w:t>
      </w:r>
      <w:r w:rsidRPr="0001476F">
        <w:t>2008</w:t>
      </w:r>
      <w:r w:rsidR="0063760A">
        <w:t>,</w:t>
      </w:r>
      <w:r w:rsidRPr="0001476F">
        <w:t xml:space="preserve"> </w:t>
      </w:r>
      <w:r w:rsidRPr="0001476F">
        <w:rPr>
          <w:i/>
        </w:rPr>
        <w:t>Mel</w:t>
      </w:r>
      <w:r w:rsidR="0001476F" w:rsidRPr="0001476F">
        <w:rPr>
          <w:i/>
        </w:rPr>
        <w:t xml:space="preserve">bourne declaration on educational goals for young </w:t>
      </w:r>
      <w:r w:rsidR="0001476F">
        <w:rPr>
          <w:i/>
        </w:rPr>
        <w:t>A</w:t>
      </w:r>
      <w:r w:rsidRPr="0001476F">
        <w:rPr>
          <w:i/>
        </w:rPr>
        <w:t>ustralians</w:t>
      </w:r>
      <w:r w:rsidRPr="0001476F">
        <w:t xml:space="preserve">, </w:t>
      </w:r>
      <w:r w:rsidR="00374EDB">
        <w:t>MCEETYA,</w:t>
      </w:r>
      <w:r w:rsidR="00523926">
        <w:t xml:space="preserve"> </w:t>
      </w:r>
      <w:r w:rsidR="00374EDB">
        <w:t>Canberra</w:t>
      </w:r>
      <w:r w:rsidR="00523926">
        <w:t>.</w:t>
      </w:r>
    </w:p>
    <w:p w:rsidR="00887109" w:rsidRPr="005219E8" w:rsidRDefault="00374EDB" w:rsidP="0009535B">
      <w:pPr>
        <w:pStyle w:val="References"/>
      </w:pPr>
      <w:r w:rsidRPr="005219E8">
        <w:t xml:space="preserve">NCVER (National Centre for Vocational Education Research) </w:t>
      </w:r>
      <w:r w:rsidR="00A72B35" w:rsidRPr="005219E8">
        <w:t>2012a</w:t>
      </w:r>
      <w:r w:rsidR="0063760A" w:rsidRPr="005219E8">
        <w:t>,</w:t>
      </w:r>
      <w:r w:rsidR="00996066" w:rsidRPr="005219E8">
        <w:t xml:space="preserve"> </w:t>
      </w:r>
      <w:r w:rsidR="00A72B35" w:rsidRPr="005219E8">
        <w:t>Data from: VET in S</w:t>
      </w:r>
      <w:r w:rsidR="005219E8" w:rsidRPr="005219E8">
        <w:t xml:space="preserve">chools Collection 2012, </w:t>
      </w:r>
      <w:r w:rsidR="00A72B35" w:rsidRPr="005219E8">
        <w:t xml:space="preserve">VOCSTATS, </w:t>
      </w:r>
      <w:r w:rsidR="005219E8" w:rsidRPr="005219E8">
        <w:t>extracted on 3 June 2015</w:t>
      </w:r>
      <w:r w:rsidR="005219E8">
        <w:t xml:space="preserve">, </w:t>
      </w:r>
      <w:r w:rsidR="00A72B35" w:rsidRPr="005219E8">
        <w:t>&lt;http://www.ncver.edu.au/wps/portal/v</w:t>
      </w:r>
      <w:r w:rsidR="005219E8" w:rsidRPr="005219E8">
        <w:t>etdataportal/data/menu/vo</w:t>
      </w:r>
      <w:r w:rsidR="005219E8">
        <w:t>c</w:t>
      </w:r>
      <w:r w:rsidR="005219E8" w:rsidRPr="005219E8">
        <w:t>stats&gt;</w:t>
      </w:r>
      <w:r w:rsidR="00FC012A" w:rsidRPr="005219E8">
        <w:t>.</w:t>
      </w:r>
    </w:p>
    <w:p w:rsidR="00A72B35" w:rsidRPr="005219E8" w:rsidRDefault="00A72B35" w:rsidP="0009535B">
      <w:pPr>
        <w:pStyle w:val="References"/>
      </w:pPr>
      <w:r w:rsidRPr="005219E8">
        <w:t>——2012b, Data from: National VET Provider Collection 2012, VOCSTATS,</w:t>
      </w:r>
      <w:r w:rsidR="005219E8">
        <w:t xml:space="preserve"> </w:t>
      </w:r>
      <w:r w:rsidR="005219E8" w:rsidRPr="005219E8">
        <w:t>extracted on 3 June 2015</w:t>
      </w:r>
      <w:r w:rsidR="005219E8">
        <w:t>,</w:t>
      </w:r>
      <w:r w:rsidRPr="005219E8">
        <w:t xml:space="preserve"> &lt;http://www.ncver.edu.au/wps/portal/ve</w:t>
      </w:r>
      <w:r w:rsidR="005219E8">
        <w:t>tdataportal/data/menu/vocstats&gt;</w:t>
      </w:r>
      <w:r w:rsidRPr="005219E8">
        <w:t>.</w:t>
      </w:r>
    </w:p>
    <w:p w:rsidR="00A72B35" w:rsidRDefault="00A72B35" w:rsidP="00A72B35">
      <w:pPr>
        <w:pStyle w:val="References"/>
      </w:pPr>
      <w:r w:rsidRPr="005219E8">
        <w:t>——2013</w:t>
      </w:r>
      <w:r w:rsidRPr="005219E8">
        <w:rPr>
          <w:i/>
        </w:rPr>
        <w:t xml:space="preserve"> Australian vocational education and training statistics: students and courses 2012</w:t>
      </w:r>
      <w:r w:rsidRPr="005219E8">
        <w:t>, NCVER, Adelaide.</w:t>
      </w:r>
    </w:p>
    <w:p w:rsidR="00996066" w:rsidRPr="00044E13" w:rsidRDefault="00374EDB" w:rsidP="0009535B">
      <w:pPr>
        <w:pStyle w:val="References"/>
      </w:pPr>
      <w:r>
        <w:t>North, S,</w:t>
      </w:r>
      <w:r w:rsidR="00996066" w:rsidRPr="0001476F">
        <w:t xml:space="preserve"> Ferrier, F</w:t>
      </w:r>
      <w:r w:rsidR="00A65204">
        <w:t xml:space="preserve"> &amp;</w:t>
      </w:r>
      <w:r w:rsidR="00887109" w:rsidRPr="0001476F">
        <w:t xml:space="preserve"> </w:t>
      </w:r>
      <w:r w:rsidR="00996066" w:rsidRPr="0001476F">
        <w:t>Long, M 2010</w:t>
      </w:r>
      <w:r w:rsidR="0063760A">
        <w:t>,</w:t>
      </w:r>
      <w:r w:rsidR="00996066" w:rsidRPr="0001476F">
        <w:t xml:space="preserve"> </w:t>
      </w:r>
      <w:r w:rsidR="00996066" w:rsidRPr="0001476F">
        <w:rPr>
          <w:i/>
        </w:rPr>
        <w:t>Equitable and inclusive VET</w:t>
      </w:r>
      <w:r w:rsidR="0001476F" w:rsidRPr="0001476F">
        <w:rPr>
          <w:i/>
        </w:rPr>
        <w:t>: a discussion paper</w:t>
      </w:r>
      <w:r w:rsidR="00996066" w:rsidRPr="0001476F">
        <w:t xml:space="preserve">, </w:t>
      </w:r>
      <w:r w:rsidR="0001476F" w:rsidRPr="0001476F">
        <w:t>C</w:t>
      </w:r>
      <w:r>
        <w:t>entre for the Economics of Education, Melbourne</w:t>
      </w:r>
      <w:r w:rsidR="00523926">
        <w:t>.</w:t>
      </w:r>
    </w:p>
    <w:p w:rsidR="00996066" w:rsidRPr="00BA2946" w:rsidRDefault="00374EDB" w:rsidP="0009535B">
      <w:pPr>
        <w:pStyle w:val="References"/>
      </w:pPr>
      <w:r w:rsidRPr="00BA2946">
        <w:t xml:space="preserve">OECD </w:t>
      </w:r>
      <w:r>
        <w:t>(</w:t>
      </w:r>
      <w:r w:rsidR="00996066" w:rsidRPr="00BA2946">
        <w:t>Organisation for Economic a</w:t>
      </w:r>
      <w:r>
        <w:t>nd Cultural Development)</w:t>
      </w:r>
      <w:r w:rsidR="0063760A" w:rsidRPr="00BA2946">
        <w:t xml:space="preserve"> 1997,</w:t>
      </w:r>
      <w:r w:rsidR="00996066" w:rsidRPr="00BA2946">
        <w:t xml:space="preserve"> </w:t>
      </w:r>
      <w:r w:rsidR="00996066" w:rsidRPr="00374EDB">
        <w:rPr>
          <w:i/>
        </w:rPr>
        <w:t xml:space="preserve">Thematic </w:t>
      </w:r>
      <w:r w:rsidRPr="00374EDB">
        <w:rPr>
          <w:i/>
        </w:rPr>
        <w:t>review of the transition from initial education to working</w:t>
      </w:r>
      <w:r w:rsidR="00996066" w:rsidRPr="00BA2946">
        <w:t>, OECD, Paris.</w:t>
      </w:r>
      <w:r w:rsidR="00760816" w:rsidRPr="00BA2946">
        <w:t xml:space="preserve"> </w:t>
      </w:r>
    </w:p>
    <w:p w:rsidR="00A65204" w:rsidRPr="00BA2946" w:rsidRDefault="00A65204" w:rsidP="00A65204">
      <w:pPr>
        <w:pStyle w:val="References"/>
      </w:pPr>
      <w:proofErr w:type="spellStart"/>
      <w:r w:rsidRPr="00BA2946">
        <w:t>Polesel</w:t>
      </w:r>
      <w:proofErr w:type="spellEnd"/>
      <w:r w:rsidRPr="00BA2946">
        <w:t xml:space="preserve">, J 2008, </w:t>
      </w:r>
      <w:r>
        <w:t>‘</w:t>
      </w:r>
      <w:r w:rsidRPr="00BA2946">
        <w:t>Democratising the curriculum or training the children of the poor: school-based vocational training in Australia</w:t>
      </w:r>
      <w:r>
        <w:t>’</w:t>
      </w:r>
      <w:r w:rsidRPr="00BA2946">
        <w:t xml:space="preserve">, </w:t>
      </w:r>
      <w:r w:rsidRPr="00BA2946">
        <w:rPr>
          <w:i/>
        </w:rPr>
        <w:t>Journal of Education Policy</w:t>
      </w:r>
      <w:r w:rsidRPr="00BA2946">
        <w:t>, vol.23</w:t>
      </w:r>
      <w:r>
        <w:t>,</w:t>
      </w:r>
      <w:r w:rsidRPr="00BA2946">
        <w:t xml:space="preserve"> no.6, pp.615—32.</w:t>
      </w:r>
    </w:p>
    <w:p w:rsidR="00996066" w:rsidRPr="00BA2946" w:rsidRDefault="00996066" w:rsidP="0009535B">
      <w:pPr>
        <w:pStyle w:val="References"/>
      </w:pPr>
      <w:proofErr w:type="spellStart"/>
      <w:r w:rsidRPr="00BA2946">
        <w:t>Polesel</w:t>
      </w:r>
      <w:proofErr w:type="spellEnd"/>
      <w:r w:rsidRPr="00BA2946">
        <w:t>, J</w:t>
      </w:r>
      <w:r w:rsidR="00523926" w:rsidRPr="00BA2946">
        <w:t xml:space="preserve"> &amp; </w:t>
      </w:r>
      <w:proofErr w:type="spellStart"/>
      <w:r w:rsidRPr="00BA2946">
        <w:t>Volkoff</w:t>
      </w:r>
      <w:proofErr w:type="spellEnd"/>
      <w:r w:rsidRPr="00BA2946">
        <w:t>, V</w:t>
      </w:r>
      <w:r w:rsidR="0063760A" w:rsidRPr="00BA2946">
        <w:t xml:space="preserve"> </w:t>
      </w:r>
      <w:r w:rsidRPr="00BA2946">
        <w:t>2009</w:t>
      </w:r>
      <w:r w:rsidR="0063760A" w:rsidRPr="00BA2946">
        <w:t>,</w:t>
      </w:r>
      <w:r w:rsidR="0001476F" w:rsidRPr="00BA2946">
        <w:t xml:space="preserve"> </w:t>
      </w:r>
      <w:r w:rsidR="004C5471">
        <w:t>‘</w:t>
      </w:r>
      <w:r w:rsidRPr="00BA2946">
        <w:t xml:space="preserve">Vocational </w:t>
      </w:r>
      <w:r w:rsidR="0001476F" w:rsidRPr="00BA2946">
        <w:t xml:space="preserve">studies in school: </w:t>
      </w:r>
      <w:r w:rsidRPr="00BA2946">
        <w:t>does it matter if I</w:t>
      </w:r>
      <w:r w:rsidR="004C5471">
        <w:t>’</w:t>
      </w:r>
      <w:r w:rsidRPr="00BA2946">
        <w:t>m a girl and if I</w:t>
      </w:r>
      <w:r w:rsidR="004C5471">
        <w:t>’</w:t>
      </w:r>
      <w:r w:rsidRPr="00BA2946">
        <w:t>m poor?</w:t>
      </w:r>
      <w:proofErr w:type="gramStart"/>
      <w:r w:rsidR="004C5471">
        <w:t>’</w:t>
      </w:r>
      <w:r w:rsidR="00A65204">
        <w:t>,</w:t>
      </w:r>
      <w:proofErr w:type="gramEnd"/>
      <w:r w:rsidRPr="00BA2946">
        <w:t xml:space="preserve"> </w:t>
      </w:r>
      <w:r w:rsidRPr="00BA2946">
        <w:rPr>
          <w:i/>
        </w:rPr>
        <w:t>Educational Practice and Theory</w:t>
      </w:r>
      <w:r w:rsidR="00887109" w:rsidRPr="00BA2946">
        <w:t>, vol.31</w:t>
      </w:r>
      <w:r w:rsidR="00A65204">
        <w:t>,</w:t>
      </w:r>
      <w:r w:rsidRPr="00BA2946">
        <w:t xml:space="preserve"> </w:t>
      </w:r>
      <w:r w:rsidRPr="00863D73">
        <w:t>no</w:t>
      </w:r>
      <w:r w:rsidR="00863D73" w:rsidRPr="00863D73">
        <w:t>.1, pp.39</w:t>
      </w:r>
      <w:r w:rsidR="00863D73" w:rsidRPr="00BA2946">
        <w:t>—</w:t>
      </w:r>
      <w:r w:rsidR="00863D73">
        <w:t>56.</w:t>
      </w:r>
    </w:p>
    <w:p w:rsidR="00DB5BCA" w:rsidRPr="00A65204" w:rsidRDefault="00996066" w:rsidP="0009535B">
      <w:pPr>
        <w:pStyle w:val="References"/>
      </w:pPr>
      <w:r w:rsidRPr="00BA2946">
        <w:lastRenderedPageBreak/>
        <w:t xml:space="preserve">Queensland Department of Education and Training </w:t>
      </w:r>
      <w:r w:rsidR="00DB5BCA">
        <w:t>(DET)</w:t>
      </w:r>
      <w:r w:rsidR="0063760A" w:rsidRPr="00BA2946">
        <w:t xml:space="preserve"> </w:t>
      </w:r>
      <w:r w:rsidRPr="00BA2946">
        <w:t>2011</w:t>
      </w:r>
      <w:r w:rsidR="0063760A" w:rsidRPr="00BA2946">
        <w:t>,</w:t>
      </w:r>
      <w:r w:rsidRPr="00BA2946">
        <w:t xml:space="preserve"> </w:t>
      </w:r>
      <w:proofErr w:type="gramStart"/>
      <w:r w:rsidR="00DB5BCA">
        <w:rPr>
          <w:i/>
        </w:rPr>
        <w:t>Next</w:t>
      </w:r>
      <w:proofErr w:type="gramEnd"/>
      <w:r w:rsidR="00DB5BCA">
        <w:rPr>
          <w:i/>
        </w:rPr>
        <w:t xml:space="preserve"> s</w:t>
      </w:r>
      <w:r w:rsidR="00887109" w:rsidRPr="00BA2946">
        <w:rPr>
          <w:i/>
        </w:rPr>
        <w:t>tep 2010: a</w:t>
      </w:r>
      <w:r w:rsidRPr="00BA2946">
        <w:rPr>
          <w:i/>
        </w:rPr>
        <w:t xml:space="preserve"> report on the destinations of Year 12 completers from 2010 in Queensland, Brisbane</w:t>
      </w:r>
      <w:r w:rsidRPr="00BA2946">
        <w:t xml:space="preserve">, viewed 13 February 2012, </w:t>
      </w:r>
      <w:r w:rsidR="00A65204">
        <w:t>&lt;</w:t>
      </w:r>
      <w:hyperlink r:id="rId27" w:history="1">
        <w:r w:rsidR="00DB5BCA" w:rsidRPr="00A65204">
          <w:t>http://education.qld.gov.au/nextstep/2010report.html</w:t>
        </w:r>
      </w:hyperlink>
      <w:r w:rsidR="00A65204">
        <w:t>&gt;</w:t>
      </w:r>
      <w:r w:rsidR="00DB5BCA" w:rsidRPr="00A65204">
        <w:t>.</w:t>
      </w:r>
    </w:p>
    <w:p w:rsidR="00996066" w:rsidRPr="00044E13" w:rsidRDefault="00996066" w:rsidP="0009535B">
      <w:pPr>
        <w:pStyle w:val="References"/>
      </w:pPr>
      <w:r w:rsidRPr="00044E13">
        <w:t>Rothman, S</w:t>
      </w:r>
      <w:r w:rsidR="00523926">
        <w:t>,</w:t>
      </w:r>
      <w:r w:rsidRPr="00044E13">
        <w:t xml:space="preserve"> Brown, J</w:t>
      </w:r>
      <w:r w:rsidR="00523926">
        <w:t>,</w:t>
      </w:r>
      <w:r w:rsidRPr="00044E13">
        <w:t xml:space="preserve"> Hillman, K</w:t>
      </w:r>
      <w:r w:rsidR="00523926">
        <w:t>,</w:t>
      </w:r>
      <w:r w:rsidRPr="00044E13">
        <w:t xml:space="preserve"> Marks, G</w:t>
      </w:r>
      <w:r w:rsidR="00523926">
        <w:t>,</w:t>
      </w:r>
      <w:r w:rsidRPr="00044E13">
        <w:t xml:space="preserve"> McKenzie, P</w:t>
      </w:r>
      <w:r w:rsidR="00523926">
        <w:t xml:space="preserve"> &amp;</w:t>
      </w:r>
      <w:r w:rsidR="00887109">
        <w:t xml:space="preserve"> </w:t>
      </w:r>
      <w:r w:rsidRPr="00044E13">
        <w:t>Underwood, C</w:t>
      </w:r>
      <w:r w:rsidR="0063760A">
        <w:t xml:space="preserve"> </w:t>
      </w:r>
      <w:r w:rsidRPr="00044E13">
        <w:t>2011</w:t>
      </w:r>
      <w:r w:rsidR="0063760A">
        <w:t>,</w:t>
      </w:r>
      <w:r w:rsidRPr="00044E13">
        <w:t xml:space="preserve"> </w:t>
      </w:r>
      <w:r w:rsidR="00887109">
        <w:rPr>
          <w:i/>
        </w:rPr>
        <w:t>The On Track Survey 2010: destinations of school completers,</w:t>
      </w:r>
      <w:r w:rsidR="00887109" w:rsidRPr="00887109">
        <w:t xml:space="preserve"> Department of Education and Early Childhood Development</w:t>
      </w:r>
      <w:r w:rsidRPr="00044E13">
        <w:t xml:space="preserve">, </w:t>
      </w:r>
      <w:r w:rsidR="00DB5BCA" w:rsidRPr="00044E13">
        <w:t>Melbourne</w:t>
      </w:r>
      <w:r w:rsidR="00DB5BCA">
        <w:t xml:space="preserve">, </w:t>
      </w:r>
      <w:r w:rsidRPr="00044E13">
        <w:t>viewed 13 February 2012, &lt;http://research.ac</w:t>
      </w:r>
      <w:r w:rsidR="00887109">
        <w:t>er.edu.au/transitions_misc/10/&gt;</w:t>
      </w:r>
      <w:r w:rsidR="00DB5BCA">
        <w:t>.</w:t>
      </w:r>
    </w:p>
    <w:p w:rsidR="00996066" w:rsidRPr="00044E13" w:rsidRDefault="00996066" w:rsidP="0009535B">
      <w:pPr>
        <w:pStyle w:val="References"/>
      </w:pPr>
      <w:r w:rsidRPr="00044E13">
        <w:t>Smith, E</w:t>
      </w:r>
      <w:r w:rsidR="00523926">
        <w:t xml:space="preserve"> &amp;</w:t>
      </w:r>
      <w:r w:rsidRPr="00044E13">
        <w:t xml:space="preserve"> Green, A 2005</w:t>
      </w:r>
      <w:r w:rsidR="0063760A">
        <w:t>,</w:t>
      </w:r>
      <w:r w:rsidRPr="00044E13">
        <w:t xml:space="preserve"> </w:t>
      </w:r>
      <w:r w:rsidRPr="00887109">
        <w:rPr>
          <w:i/>
        </w:rPr>
        <w:t>How workplace experiences while at school affect career pathways</w:t>
      </w:r>
      <w:r w:rsidRPr="00044E13">
        <w:t xml:space="preserve">, </w:t>
      </w:r>
      <w:r w:rsidR="00DB5BCA">
        <w:t>NCVER,</w:t>
      </w:r>
      <w:r w:rsidR="00523926" w:rsidRPr="00523926">
        <w:t xml:space="preserve"> </w:t>
      </w:r>
      <w:r w:rsidR="00DB5BCA">
        <w:t>Adelaide</w:t>
      </w:r>
      <w:r w:rsidRPr="00044E13">
        <w:t>.</w:t>
      </w:r>
    </w:p>
    <w:p w:rsidR="00996066" w:rsidRPr="00996066" w:rsidRDefault="00996066" w:rsidP="0009535B">
      <w:pPr>
        <w:pStyle w:val="References"/>
      </w:pPr>
      <w:r w:rsidRPr="00044E13">
        <w:t>Stanwick, J 2005</w:t>
      </w:r>
      <w:r w:rsidR="0063760A">
        <w:t>,</w:t>
      </w:r>
      <w:r w:rsidRPr="00044E13">
        <w:t xml:space="preserve"> </w:t>
      </w:r>
      <w:r w:rsidRPr="00887109">
        <w:rPr>
          <w:i/>
        </w:rPr>
        <w:t>Australian Qualifications Framework lower-level qualifications: pathways to where for young people?</w:t>
      </w:r>
      <w:r w:rsidR="00FC012A">
        <w:t>, NCVER, Adelaide.</w:t>
      </w:r>
    </w:p>
    <w:bookmarkEnd w:id="28"/>
    <w:bookmarkEnd w:id="29"/>
    <w:p w:rsidR="00996066" w:rsidRPr="00996066" w:rsidRDefault="00996066" w:rsidP="00A67AB4">
      <w:pPr>
        <w:spacing w:before="120" w:after="120" w:line="240" w:lineRule="auto"/>
        <w:rPr>
          <w:rFonts w:ascii="Tahoma" w:hAnsi="Tahoma" w:cs="Tahoma"/>
          <w:b/>
          <w:color w:val="000000"/>
          <w:kern w:val="28"/>
          <w:sz w:val="56"/>
          <w:szCs w:val="56"/>
        </w:rPr>
      </w:pPr>
      <w:r w:rsidRPr="00996066">
        <w:rPr>
          <w:b/>
        </w:rPr>
        <w:br w:type="page"/>
      </w:r>
    </w:p>
    <w:p w:rsidR="00C15CB0" w:rsidRDefault="00C15CB0" w:rsidP="00C15CB0">
      <w:pPr>
        <w:pStyle w:val="Heading1"/>
        <w:ind w:right="-1"/>
      </w:pPr>
      <w:bookmarkStart w:id="48" w:name="_Toc416683019"/>
      <w:r w:rsidRPr="00D57940">
        <w:lastRenderedPageBreak/>
        <w:t>Comprehensive universities and the role of the national TAFE system: the CQUniversity context</w:t>
      </w:r>
      <w:bookmarkEnd w:id="48"/>
    </w:p>
    <w:p w:rsidR="00C15CB0" w:rsidRDefault="00C15CB0" w:rsidP="00F17BA9">
      <w:pPr>
        <w:pStyle w:val="StyleAuthorsLeft0cm"/>
      </w:pPr>
      <w:r w:rsidRPr="00D57940">
        <w:t>Greg McMillan</w:t>
      </w:r>
    </w:p>
    <w:p w:rsidR="00C15CB0" w:rsidRPr="00CF1841" w:rsidRDefault="00C15CB0" w:rsidP="00D44409">
      <w:pPr>
        <w:pStyle w:val="StyleAuthorsLeft0cmRight0cmBefore12pt"/>
        <w:spacing w:before="0"/>
      </w:pPr>
      <w:r w:rsidRPr="00CF1841">
        <w:t>Susan Kinnear</w:t>
      </w:r>
    </w:p>
    <w:p w:rsidR="00C15CB0" w:rsidRPr="00CF1841" w:rsidRDefault="00C15CB0" w:rsidP="00D44409">
      <w:pPr>
        <w:pStyle w:val="StyleAuthorsLeft0cmRight0cmBefore12pt"/>
        <w:spacing w:before="0"/>
      </w:pPr>
      <w:r w:rsidRPr="00CF1841">
        <w:t>Nik Babovic</w:t>
      </w:r>
    </w:p>
    <w:p w:rsidR="00C15CB0" w:rsidRDefault="00C15CB0" w:rsidP="00F17BA9">
      <w:pPr>
        <w:pStyle w:val="StyleOrganisationLeft0cmRight-0cm"/>
      </w:pPr>
      <w:r>
        <w:t xml:space="preserve">Division of </w:t>
      </w:r>
      <w:r w:rsidRPr="00CF1841">
        <w:t xml:space="preserve">Industry, Vocational Training and Access Education, </w:t>
      </w:r>
      <w:r w:rsidR="00D44409">
        <w:br/>
      </w:r>
      <w:r w:rsidRPr="00CF1841">
        <w:t>Central Queensland University</w:t>
      </w:r>
    </w:p>
    <w:p w:rsidR="00C15CB0" w:rsidRPr="00CD6B0C" w:rsidRDefault="00C15CB0" w:rsidP="006E23C9">
      <w:pPr>
        <w:pStyle w:val="Text"/>
        <w:spacing w:before="360"/>
        <w:ind w:right="0"/>
      </w:pPr>
      <w:r w:rsidRPr="00FD5F39">
        <w:t xml:space="preserve">The role and function of TAFE as </w:t>
      </w:r>
      <w:r w:rsidR="00325265">
        <w:t>the</w:t>
      </w:r>
      <w:r w:rsidRPr="00FD5F39">
        <w:t xml:space="preserve"> public provider of vocational education and training has continually changed since the 1970s</w:t>
      </w:r>
      <w:r>
        <w:t xml:space="preserve">: </w:t>
      </w:r>
      <w:r w:rsidRPr="00FD5F39">
        <w:t xml:space="preserve">this has included the introduction of national training packages, the </w:t>
      </w:r>
      <w:proofErr w:type="spellStart"/>
      <w:r w:rsidRPr="00FD5F39">
        <w:t>marketisation</w:t>
      </w:r>
      <w:proofErr w:type="spellEnd"/>
      <w:r w:rsidRPr="00FD5F39">
        <w:t xml:space="preserve"> of the sector, </w:t>
      </w:r>
      <w:proofErr w:type="gramStart"/>
      <w:r w:rsidRPr="00FD5F39">
        <w:t>increased</w:t>
      </w:r>
      <w:proofErr w:type="gramEnd"/>
      <w:r w:rsidRPr="00FD5F39">
        <w:t xml:space="preserve"> accessibility to contestable funds by private</w:t>
      </w:r>
      <w:r>
        <w:t xml:space="preserve"> regist</w:t>
      </w:r>
      <w:r w:rsidR="00737B77">
        <w:t>ered training organisations, the emergence of dual-</w:t>
      </w:r>
      <w:r w:rsidRPr="00FD5F39">
        <w:t xml:space="preserve">sector universities and </w:t>
      </w:r>
      <w:r>
        <w:t xml:space="preserve">a </w:t>
      </w:r>
      <w:r w:rsidRPr="00FD5F39">
        <w:t xml:space="preserve">plethora of enterprise </w:t>
      </w:r>
      <w:r w:rsidR="00737B77">
        <w:t xml:space="preserve">registered training organisations. </w:t>
      </w:r>
      <w:r w:rsidRPr="00FD5F39">
        <w:t xml:space="preserve">The 2013 </w:t>
      </w:r>
      <w:r w:rsidR="00325265">
        <w:t>Parliamentary Inquiry into the R</w:t>
      </w:r>
      <w:r w:rsidRPr="00FD5F39">
        <w:t xml:space="preserve">ole of the </w:t>
      </w:r>
      <w:r w:rsidR="00325265">
        <w:t>T</w:t>
      </w:r>
      <w:r w:rsidR="002A6936" w:rsidRPr="00FD5F39">
        <w:t xml:space="preserve">echnical and </w:t>
      </w:r>
      <w:r w:rsidR="00325265" w:rsidRPr="00FD5F39">
        <w:t xml:space="preserve">Further Education System </w:t>
      </w:r>
      <w:r w:rsidR="00325265">
        <w:t>and its O</w:t>
      </w:r>
      <w:r w:rsidRPr="00FD5F39">
        <w:t>perations provides an opportunity to review and reflect on the role of TAFE</w:t>
      </w:r>
      <w:r w:rsidR="00325265">
        <w:t xml:space="preserve"> institution</w:t>
      </w:r>
      <w:r w:rsidRPr="00FD5F39">
        <w:t xml:space="preserve">s. </w:t>
      </w:r>
      <w:r w:rsidR="002A6936">
        <w:t>The terms of reference for the i</w:t>
      </w:r>
      <w:r w:rsidRPr="00FD5F39">
        <w:t>nquiry include TAFE</w:t>
      </w:r>
      <w:r w:rsidR="004C5471">
        <w:t>’</w:t>
      </w:r>
      <w:r w:rsidR="002A6936">
        <w:t>s</w:t>
      </w:r>
      <w:r w:rsidR="00325265">
        <w:t xml:space="preserve"> contribution</w:t>
      </w:r>
      <w:r w:rsidRPr="00FD5F39">
        <w:t xml:space="preserve"> to skills development </w:t>
      </w:r>
      <w:r w:rsidR="0075603A">
        <w:t>in underpinning</w:t>
      </w:r>
      <w:r w:rsidRPr="00FD5F39">
        <w:t xml:space="preserve"> the Australian economy, as well as pathways for access to hi</w:t>
      </w:r>
      <w:r w:rsidR="002A6936">
        <w:t>gher education and employment.</w:t>
      </w:r>
      <w:r w:rsidRPr="00FD5F39">
        <w:t xml:space="preserve"> Both these domains are of fundamental interest to operations at CQUniversity</w:t>
      </w:r>
      <w:r>
        <w:t xml:space="preserve"> Australia</w:t>
      </w:r>
      <w:r w:rsidRPr="00FD5F39">
        <w:t>, which on 1 July 2014, will merge with Central Queensland Institute of TAFE to become Queensland</w:t>
      </w:r>
      <w:r w:rsidR="004C5471">
        <w:t>’</w:t>
      </w:r>
      <w:r w:rsidRPr="00FD5F39">
        <w:t>s</w:t>
      </w:r>
      <w:r w:rsidR="002A6936">
        <w:t xml:space="preserve"> first dual-sector university. </w:t>
      </w:r>
      <w:r w:rsidRPr="00FD5F39">
        <w:t>This paper will provide an overview of the key issue</w:t>
      </w:r>
      <w:r w:rsidR="002A6936">
        <w:t>s raised in submissions to the i</w:t>
      </w:r>
      <w:r w:rsidRPr="00FD5F39">
        <w:t>nquiry, and consider their implications</w:t>
      </w:r>
      <w:r w:rsidR="002A6936">
        <w:t xml:space="preserve"> for the CQUniversity context. </w:t>
      </w:r>
      <w:r w:rsidRPr="00FD5F39">
        <w:t>Specifically, the paper will identify how opportunities for the delivery of services and programs to support regions, communities and disadvantaged individuals</w:t>
      </w:r>
      <w:r w:rsidR="002A6936">
        <w:t xml:space="preserve"> </w:t>
      </w:r>
      <w:r w:rsidR="0085562E">
        <w:t>in</w:t>
      </w:r>
      <w:r w:rsidR="002A6936">
        <w:t xml:space="preserve"> access</w:t>
      </w:r>
      <w:r w:rsidR="0075603A">
        <w:t xml:space="preserve">ing training and skills — </w:t>
      </w:r>
      <w:r w:rsidR="0085562E">
        <w:t xml:space="preserve">and </w:t>
      </w:r>
      <w:r w:rsidRPr="00FD5F39">
        <w:t>thro</w:t>
      </w:r>
      <w:r>
        <w:t>ug</w:t>
      </w:r>
      <w:r w:rsidR="002A6936">
        <w:t>h them a pathway to employment —</w:t>
      </w:r>
      <w:r>
        <w:t xml:space="preserve"> </w:t>
      </w:r>
      <w:r w:rsidRPr="00FD5F39">
        <w:t>might</w:t>
      </w:r>
      <w:r>
        <w:t xml:space="preserve"> </w:t>
      </w:r>
      <w:r w:rsidRPr="00FD5F39">
        <w:t>be enhanced by the merger</w:t>
      </w:r>
      <w:r w:rsidR="0085562E">
        <w:t>.</w:t>
      </w:r>
      <w:r w:rsidRPr="00FD5F39">
        <w:t xml:space="preserve"> It will also consider the range of challenges facing CQUniversity </w:t>
      </w:r>
      <w:r w:rsidR="0085562E">
        <w:t>after</w:t>
      </w:r>
      <w:r w:rsidRPr="00FD5F39">
        <w:t xml:space="preserve"> </w:t>
      </w:r>
      <w:r w:rsidR="0085562E">
        <w:t>the merger</w:t>
      </w:r>
      <w:r w:rsidRPr="00FD5F39">
        <w:t>, as it attempts to dr</w:t>
      </w:r>
      <w:r w:rsidR="002A6936">
        <w:t xml:space="preserve">ive local, state and nationally </w:t>
      </w:r>
      <w:r w:rsidRPr="00FD5F39">
        <w:t>rele</w:t>
      </w:r>
      <w:r w:rsidR="002A6936">
        <w:t xml:space="preserve">vant outcomes from a regionally based and </w:t>
      </w:r>
      <w:r w:rsidR="004C5471">
        <w:t>‘</w:t>
      </w:r>
      <w:r w:rsidR="002A6936">
        <w:t>comprehensive</w:t>
      </w:r>
      <w:r w:rsidR="004C5471">
        <w:t>’</w:t>
      </w:r>
      <w:r w:rsidRPr="00FD5F39">
        <w:t xml:space="preserve"> </w:t>
      </w:r>
      <w:r w:rsidR="002A6936">
        <w:t>u</w:t>
      </w:r>
      <w:r w:rsidRPr="00FD5F39">
        <w:t>niversity base.</w:t>
      </w:r>
    </w:p>
    <w:p w:rsidR="00C15CB0" w:rsidRDefault="00C15CB0" w:rsidP="00C15CB0">
      <w:pPr>
        <w:pStyle w:val="Heading2"/>
      </w:pPr>
      <w:bookmarkStart w:id="49" w:name="_Toc412455601"/>
      <w:bookmarkStart w:id="50" w:name="_Toc416683020"/>
      <w:r w:rsidRPr="00CD6B0C">
        <w:t>Introduction</w:t>
      </w:r>
      <w:bookmarkEnd w:id="49"/>
      <w:bookmarkEnd w:id="50"/>
      <w:r w:rsidRPr="00CD6B0C">
        <w:t xml:space="preserve"> </w:t>
      </w:r>
    </w:p>
    <w:p w:rsidR="00C15CB0" w:rsidRPr="00E32E03" w:rsidRDefault="00C15CB0" w:rsidP="006E23C9">
      <w:pPr>
        <w:pStyle w:val="Heading3"/>
        <w:spacing w:before="120"/>
      </w:pPr>
      <w:r w:rsidRPr="00E32E03">
        <w:t>History of TAFE</w:t>
      </w:r>
      <w:r w:rsidR="002A6936">
        <w:t xml:space="preserve"> institution</w:t>
      </w:r>
      <w:r w:rsidRPr="00E32E03">
        <w:t>s: 1970s to current</w:t>
      </w:r>
    </w:p>
    <w:p w:rsidR="00C15CB0" w:rsidRDefault="00C15CB0" w:rsidP="006E23C9">
      <w:pPr>
        <w:pStyle w:val="Textlessbefore"/>
        <w:ind w:right="-143"/>
      </w:pPr>
      <w:r>
        <w:t xml:space="preserve">In 1974, the landmark </w:t>
      </w:r>
      <w:r w:rsidR="004C5471">
        <w:t>‘</w:t>
      </w:r>
      <w:proofErr w:type="spellStart"/>
      <w:r>
        <w:t>Kangan</w:t>
      </w:r>
      <w:proofErr w:type="spellEnd"/>
      <w:r>
        <w:t xml:space="preserve"> Report</w:t>
      </w:r>
      <w:r w:rsidR="004C5471">
        <w:t>’</w:t>
      </w:r>
      <w:r>
        <w:t xml:space="preserve"> provided the foundation for the Australian technic</w:t>
      </w:r>
      <w:r w:rsidR="00B031E1">
        <w:t>al and further education system —</w:t>
      </w:r>
      <w:r>
        <w:t xml:space="preserve"> the state</w:t>
      </w:r>
      <w:r w:rsidR="006E23C9">
        <w:t>-</w:t>
      </w:r>
      <w:r>
        <w:t>owned</w:t>
      </w:r>
      <w:r w:rsidR="006E23C9">
        <w:t xml:space="preserve"> </w:t>
      </w:r>
      <w:r>
        <w:t>and</w:t>
      </w:r>
      <w:r w:rsidR="006E23C9">
        <w:t xml:space="preserve"> </w:t>
      </w:r>
      <w:r>
        <w:t>-managed public provider, TAFE. However, the role and structure of TAFE</w:t>
      </w:r>
      <w:r w:rsidR="00EE1B67">
        <w:t xml:space="preserve"> institutions</w:t>
      </w:r>
      <w:r>
        <w:t xml:space="preserve"> has since changed considerably, most notably with respect to</w:t>
      </w:r>
      <w:r w:rsidR="00B031E1">
        <w:t>:</w:t>
      </w:r>
      <w:r>
        <w:t xml:space="preserve"> funding models; increased competition through contestable funding arrangements and significant growth in private register</w:t>
      </w:r>
      <w:r w:rsidR="00EE1B67">
        <w:t>ed training organisations</w:t>
      </w:r>
      <w:r>
        <w:t xml:space="preserve">; standardisation of qualifications and compliance requirements </w:t>
      </w:r>
      <w:r w:rsidR="00B031E1">
        <w:t>for</w:t>
      </w:r>
      <w:r>
        <w:t xml:space="preserve"> registered training organisations; and the emergence of a closer focus on quality (but with an accompanying auditing burden). Key milestones during the past four decades have included: </w:t>
      </w:r>
    </w:p>
    <w:p w:rsidR="00C15CB0" w:rsidRPr="006E23C9" w:rsidRDefault="00EE1B67" w:rsidP="006E23C9">
      <w:pPr>
        <w:pStyle w:val="Dotpoint1"/>
      </w:pPr>
      <w:r>
        <w:t>I</w:t>
      </w:r>
      <w:r w:rsidR="00C15CB0">
        <w:t xml:space="preserve">n 1992, the Australian National Training Authority (ANTA), the inaugural body for </w:t>
      </w:r>
      <w:r>
        <w:t>the VET</w:t>
      </w:r>
      <w:r w:rsidR="00C15CB0" w:rsidRPr="00FA2130">
        <w:t xml:space="preserve"> sector </w:t>
      </w:r>
      <w:r w:rsidR="00C15CB0">
        <w:t>including</w:t>
      </w:r>
      <w:r w:rsidR="00C15CB0" w:rsidRPr="00FA2130">
        <w:t xml:space="preserve"> TAFE </w:t>
      </w:r>
      <w:r>
        <w:t xml:space="preserve">institutions </w:t>
      </w:r>
      <w:r w:rsidR="00C15CB0" w:rsidRPr="00FA2130">
        <w:t xml:space="preserve">and </w:t>
      </w:r>
      <w:r w:rsidR="00C15CB0" w:rsidRPr="006E23C9">
        <w:t xml:space="preserve">private </w:t>
      </w:r>
      <w:r w:rsidRPr="006E23C9">
        <w:t>registered training organisations, was established.</w:t>
      </w:r>
    </w:p>
    <w:p w:rsidR="00C15CB0" w:rsidRPr="006E23C9" w:rsidRDefault="00EE1B67" w:rsidP="006E23C9">
      <w:pPr>
        <w:pStyle w:val="Dotpoint1"/>
      </w:pPr>
      <w:r w:rsidRPr="006E23C9">
        <w:t>I</w:t>
      </w:r>
      <w:r w:rsidR="00C15CB0" w:rsidRPr="006E23C9">
        <w:t xml:space="preserve">n the mid-1990s, the sector transitioned to the </w:t>
      </w:r>
      <w:r w:rsidR="004C5471" w:rsidRPr="006E23C9">
        <w:t>‘</w:t>
      </w:r>
      <w:r w:rsidR="00C15CB0" w:rsidRPr="006E23C9">
        <w:t>open training market</w:t>
      </w:r>
      <w:r w:rsidR="004C5471" w:rsidRPr="006E23C9">
        <w:t>’</w:t>
      </w:r>
      <w:r w:rsidR="00C15CB0" w:rsidRPr="006E23C9">
        <w:t xml:space="preserve"> with implementation varying by state;</w:t>
      </w:r>
      <w:r w:rsidR="00611BDD" w:rsidRPr="006E23C9">
        <w:t xml:space="preserve"> </w:t>
      </w:r>
      <w:r w:rsidR="00C15CB0" w:rsidRPr="006E23C9">
        <w:t>this resulted in TAFE</w:t>
      </w:r>
      <w:r w:rsidR="004B13D9" w:rsidRPr="006E23C9">
        <w:t xml:space="preserve"> institution</w:t>
      </w:r>
      <w:r w:rsidR="00C15CB0" w:rsidRPr="006E23C9">
        <w:t xml:space="preserve">s competing against increasingly aggressive </w:t>
      </w:r>
      <w:r w:rsidRPr="006E23C9">
        <w:lastRenderedPageBreak/>
        <w:t xml:space="preserve">registered training organisations </w:t>
      </w:r>
      <w:r w:rsidR="00C15CB0" w:rsidRPr="006E23C9">
        <w:t>with access to cont</w:t>
      </w:r>
      <w:r w:rsidRPr="006E23C9">
        <w:t>estable funding from state and the Commonwealth governments.</w:t>
      </w:r>
      <w:r w:rsidR="00C15CB0" w:rsidRPr="006E23C9">
        <w:t xml:space="preserve"> </w:t>
      </w:r>
    </w:p>
    <w:p w:rsidR="00C15CB0" w:rsidRDefault="00EE1B67" w:rsidP="006E23C9">
      <w:pPr>
        <w:pStyle w:val="Dotpoint1"/>
      </w:pPr>
      <w:r w:rsidRPr="006E23C9">
        <w:t>I</w:t>
      </w:r>
      <w:r w:rsidR="00C15CB0" w:rsidRPr="006E23C9">
        <w:t>n 2011, the Australian Skills Quality</w:t>
      </w:r>
      <w:r w:rsidR="00C15CB0">
        <w:t xml:space="preserve"> Authority (ASQA) became the central registration body for most state-based </w:t>
      </w:r>
      <w:r>
        <w:t xml:space="preserve">registered training organisations, </w:t>
      </w:r>
      <w:r w:rsidR="00C15CB0">
        <w:t xml:space="preserve">including TAFE </w:t>
      </w:r>
      <w:r>
        <w:t xml:space="preserve">institutions </w:t>
      </w:r>
      <w:r w:rsidR="00C15CB0">
        <w:t xml:space="preserve">and all </w:t>
      </w:r>
      <w:r>
        <w:t xml:space="preserve">registered training organisations </w:t>
      </w:r>
      <w:r w:rsidR="00C15CB0">
        <w:t>operating across multiple states.</w:t>
      </w:r>
    </w:p>
    <w:p w:rsidR="00C15CB0" w:rsidRDefault="00C15CB0" w:rsidP="00C15CB0">
      <w:pPr>
        <w:pStyle w:val="Text"/>
      </w:pPr>
      <w:r>
        <w:t>The most recent VET reform process is being driven through the Council of Australian Government</w:t>
      </w:r>
      <w:r w:rsidR="004B13D9">
        <w:t>s</w:t>
      </w:r>
      <w:r>
        <w:t xml:space="preserve"> (COAG) Standing Council on Tertiary Education, Skills and Employment. Currently, the Au</w:t>
      </w:r>
      <w:r w:rsidR="00EE1B67">
        <w:t>stralian VET system has over 5</w:t>
      </w:r>
      <w:r>
        <w:t xml:space="preserve">000 institutions, with the great majority represented by private providers and </w:t>
      </w:r>
      <w:r w:rsidR="009C5884">
        <w:t>fewer</w:t>
      </w:r>
      <w:r>
        <w:t xml:space="preserve"> than </w:t>
      </w:r>
      <w:r w:rsidR="004B13D9">
        <w:t>100</w:t>
      </w:r>
      <w:r>
        <w:t xml:space="preserve"> being T</w:t>
      </w:r>
      <w:r w:rsidR="00EE1B67">
        <w:t>AFE public providers (</w:t>
      </w:r>
      <w:proofErr w:type="spellStart"/>
      <w:r w:rsidR="00EE1B67">
        <w:t>Wheelahan</w:t>
      </w:r>
      <w:proofErr w:type="spellEnd"/>
      <w:r>
        <w:t xml:space="preserve"> 2012); however</w:t>
      </w:r>
      <w:r w:rsidR="00EE1B67">
        <w:t>,</w:t>
      </w:r>
      <w:r>
        <w:t xml:space="preserve"> the latter involves more than 400 campuses and centres throughout</w:t>
      </w:r>
      <w:r w:rsidR="009C5884">
        <w:t xml:space="preserve"> Australia (LH Martin Institute 2013</w:t>
      </w:r>
      <w:r>
        <w:t>).</w:t>
      </w:r>
      <w:r w:rsidR="00611BDD">
        <w:t xml:space="preserve"> </w:t>
      </w:r>
      <w:r>
        <w:t>The majority of Australia</w:t>
      </w:r>
      <w:r w:rsidR="004C5471">
        <w:t>’</w:t>
      </w:r>
      <w:r>
        <w:t>s 1.8 million VET students now study part-time, with strong over-representation of those from disad</w:t>
      </w:r>
      <w:r w:rsidR="00EE1B67">
        <w:t>vantaged backgrounds (</w:t>
      </w:r>
      <w:proofErr w:type="spellStart"/>
      <w:r w:rsidR="00EE1B67">
        <w:t>Wheelahan</w:t>
      </w:r>
      <w:proofErr w:type="spellEnd"/>
      <w:r w:rsidR="009C5884">
        <w:t xml:space="preserve"> 2012). While</w:t>
      </w:r>
      <w:r>
        <w:t xml:space="preserve"> TAFE remains the lar</w:t>
      </w:r>
      <w:r w:rsidR="009C5884">
        <w:t xml:space="preserve">gest VET provider nationally, </w:t>
      </w:r>
      <w:r w:rsidR="004C5471">
        <w:t>‘</w:t>
      </w:r>
      <w:r>
        <w:t>the par</w:t>
      </w:r>
      <w:r w:rsidR="009C5884">
        <w:t xml:space="preserve">adigm shift has been away from </w:t>
      </w:r>
      <w:r w:rsidR="004C5471">
        <w:t>“</w:t>
      </w:r>
      <w:r w:rsidR="009C5884">
        <w:t>command and control</w:t>
      </w:r>
      <w:r w:rsidR="004C5471">
        <w:t>”</w:t>
      </w:r>
      <w:r>
        <w:t xml:space="preserve"> organised training, and towards a system of individu</w:t>
      </w:r>
      <w:r w:rsidR="009C5884">
        <w:t>al choice and entitlement</w:t>
      </w:r>
      <w:r w:rsidR="004C5471">
        <w:t>’</w:t>
      </w:r>
      <w:r w:rsidR="009C5884">
        <w:t xml:space="preserve"> (A</w:t>
      </w:r>
      <w:r w:rsidR="004B13D9">
        <w:t>ustralian Council for Private Education and Training</w:t>
      </w:r>
      <w:r w:rsidR="009C5884">
        <w:t xml:space="preserve"> 2014,</w:t>
      </w:r>
      <w:r>
        <w:t xml:space="preserve"> </w:t>
      </w:r>
      <w:r w:rsidR="009C5884">
        <w:t>p.</w:t>
      </w:r>
      <w:r>
        <w:t>3).</w:t>
      </w:r>
      <w:r w:rsidRPr="00327E80">
        <w:t xml:space="preserve"> </w:t>
      </w:r>
      <w:r w:rsidRPr="003B0DFF">
        <w:t xml:space="preserve">Funding for VET </w:t>
      </w:r>
      <w:r>
        <w:t xml:space="preserve">continues to be </w:t>
      </w:r>
      <w:r w:rsidRPr="003B0DFF">
        <w:t>complex, not just because it varies by state, but also because there are multiple sources of government funding for different types of students and programs</w:t>
      </w:r>
      <w:r w:rsidR="009C5884">
        <w:t xml:space="preserve"> (</w:t>
      </w:r>
      <w:proofErr w:type="spellStart"/>
      <w:r w:rsidR="009C5884">
        <w:t>Wheelahan</w:t>
      </w:r>
      <w:proofErr w:type="spellEnd"/>
      <w:r w:rsidR="009C5884">
        <w:t xml:space="preserve"> 2014, p.</w:t>
      </w:r>
      <w:r>
        <w:t>3)</w:t>
      </w:r>
      <w:r w:rsidRPr="003B0DFF">
        <w:t>.</w:t>
      </w:r>
    </w:p>
    <w:p w:rsidR="00C15CB0" w:rsidRPr="0075449D" w:rsidRDefault="00C15CB0" w:rsidP="0075449D">
      <w:pPr>
        <w:pStyle w:val="Heading3"/>
      </w:pPr>
      <w:r w:rsidRPr="0075449D">
        <w:t>CQUniversity as Queensland</w:t>
      </w:r>
      <w:r w:rsidR="004C5471">
        <w:t>’</w:t>
      </w:r>
      <w:r w:rsidRPr="0075449D">
        <w:t>s first dual-sector institution</w:t>
      </w:r>
    </w:p>
    <w:p w:rsidR="00C15CB0" w:rsidRDefault="00C15CB0" w:rsidP="00C15CB0">
      <w:pPr>
        <w:pStyle w:val="Text"/>
      </w:pPr>
      <w:r>
        <w:t xml:space="preserve">On 1 July, </w:t>
      </w:r>
      <w:r w:rsidRPr="006B69FD">
        <w:t xml:space="preserve">CQUniversity </w:t>
      </w:r>
      <w:r w:rsidRPr="00834983">
        <w:t>Australia (CQU</w:t>
      </w:r>
      <w:r w:rsidR="0075449D" w:rsidRPr="00834983">
        <w:rPr>
          <w:rStyle w:val="FootnoteReference"/>
        </w:rPr>
        <w:footnoteReference w:id="1"/>
      </w:r>
      <w:r w:rsidRPr="00834983">
        <w:t>)</w:t>
      </w:r>
      <w:r>
        <w:t xml:space="preserve"> </w:t>
      </w:r>
      <w:r w:rsidRPr="006B69FD">
        <w:t>and the Central Queensland Institute of TAFE</w:t>
      </w:r>
      <w:r>
        <w:t xml:space="preserve"> (CQIT) will merge to form Queensland</w:t>
      </w:r>
      <w:r w:rsidR="004C5471">
        <w:t>’</w:t>
      </w:r>
      <w:r>
        <w:t xml:space="preserve">s first dual-sector institution. This change is </w:t>
      </w:r>
      <w:r w:rsidRPr="006B69FD">
        <w:t xml:space="preserve">made possible by </w:t>
      </w:r>
      <w:r w:rsidR="00251E6A">
        <w:t xml:space="preserve">the </w:t>
      </w:r>
      <w:r w:rsidRPr="006B69FD">
        <w:t xml:space="preserve">passage of the </w:t>
      </w:r>
      <w:r w:rsidRPr="009B5BA0">
        <w:t>TAFE Queensland (Dual Sector Entities) Amendment Bill 2014</w:t>
      </w:r>
      <w:r w:rsidRPr="0075449D">
        <w:t xml:space="preserve">, </w:t>
      </w:r>
      <w:r w:rsidRPr="00D115D4">
        <w:t>and</w:t>
      </w:r>
      <w:r w:rsidRPr="0075449D">
        <w:t xml:space="preserve"> </w:t>
      </w:r>
      <w:r>
        <w:t>$74 million in Commonwealth structural adjustment fundi</w:t>
      </w:r>
      <w:r w:rsidR="00251E6A">
        <w:t>ng as well as support from the s</w:t>
      </w:r>
      <w:r>
        <w:t>tate</w:t>
      </w:r>
      <w:r w:rsidRPr="006B69FD">
        <w:t>.</w:t>
      </w:r>
      <w:r>
        <w:t xml:space="preserve"> </w:t>
      </w:r>
      <w:r w:rsidRPr="00D115D4">
        <w:t xml:space="preserve">Under </w:t>
      </w:r>
      <w:r>
        <w:t xml:space="preserve">the </w:t>
      </w:r>
      <w:r w:rsidRPr="00D115D4">
        <w:t xml:space="preserve">merged model, </w:t>
      </w:r>
      <w:r w:rsidR="004B13D9" w:rsidRPr="006B69FD">
        <w:t>CQUniversity</w:t>
      </w:r>
      <w:r>
        <w:t xml:space="preserve"> intends to </w:t>
      </w:r>
      <w:r w:rsidRPr="00D115D4">
        <w:t xml:space="preserve">be a completely </w:t>
      </w:r>
      <w:r w:rsidR="004C5471">
        <w:t>‘</w:t>
      </w:r>
      <w:r w:rsidRPr="00D115D4">
        <w:t>comprehensive</w:t>
      </w:r>
      <w:r w:rsidR="004C5471">
        <w:t>’</w:t>
      </w:r>
      <w:r w:rsidRPr="00D115D4">
        <w:t xml:space="preserve"> </w:t>
      </w:r>
      <w:r w:rsidR="00251E6A">
        <w:t>u</w:t>
      </w:r>
      <w:r w:rsidRPr="00D115D4">
        <w:t>niversity, providing students from all backgrounds with access to better education and training pathwa</w:t>
      </w:r>
      <w:r w:rsidR="00251E6A">
        <w:t>ys, improved facilities and job-</w:t>
      </w:r>
      <w:r w:rsidRPr="00D115D4">
        <w:t>placement opportunities, more campus locations, more streamlined articulation into further study, and more study options</w:t>
      </w:r>
      <w:r>
        <w:t xml:space="preserve">. Integration of the CQU </w:t>
      </w:r>
      <w:r w:rsidR="00251E6A">
        <w:t>and CQIT entities will see the u</w:t>
      </w:r>
      <w:r>
        <w:t>niversity offering over 300 programs from certificate to post-doctoral to a</w:t>
      </w:r>
      <w:r w:rsidR="00251E6A">
        <w:t>n enrolment of approximately 40 000 students;</w:t>
      </w:r>
      <w:r>
        <w:t xml:space="preserve"> it will also allow </w:t>
      </w:r>
      <w:r w:rsidR="00641998">
        <w:t>the</w:t>
      </w:r>
      <w:r>
        <w:t xml:space="preserve"> opportunity to provide non-accredited, professional development courses as required by industry or individual organisations.</w:t>
      </w:r>
    </w:p>
    <w:p w:rsidR="00C15CB0" w:rsidRDefault="00C15CB0" w:rsidP="00C15CB0">
      <w:pPr>
        <w:pStyle w:val="Text"/>
      </w:pPr>
      <w:r w:rsidRPr="008C483C">
        <w:t>To provide guidance during the merger process, and to pursue growth of the combin</w:t>
      </w:r>
      <w:r>
        <w:t xml:space="preserve">ed institutions </w:t>
      </w:r>
      <w:r w:rsidR="004B13D9">
        <w:t>in the future</w:t>
      </w:r>
      <w:r>
        <w:t xml:space="preserve">, </w:t>
      </w:r>
      <w:r w:rsidR="004B13D9">
        <w:t>CQ</w:t>
      </w:r>
      <w:r w:rsidR="00641998">
        <w:t>University</w:t>
      </w:r>
      <w:r>
        <w:t xml:space="preserve"> </w:t>
      </w:r>
      <w:r w:rsidRPr="008C483C">
        <w:t xml:space="preserve">has developed a </w:t>
      </w:r>
      <w:r w:rsidR="00641998">
        <w:t>VET</w:t>
      </w:r>
      <w:r w:rsidRPr="008C483C">
        <w:t xml:space="preserve"> </w:t>
      </w:r>
      <w:r>
        <w:t>s</w:t>
      </w:r>
      <w:r w:rsidRPr="008C483C">
        <w:t xml:space="preserve">trategy </w:t>
      </w:r>
      <w:r>
        <w:t>with the goal of driving a c</w:t>
      </w:r>
      <w:r w:rsidRPr="00D115D4">
        <w:t>ohesive, agile and comprehensive vocational training environment</w:t>
      </w:r>
      <w:r w:rsidR="00641998">
        <w:t xml:space="preserve">, which </w:t>
      </w:r>
      <w:r>
        <w:t xml:space="preserve">is </w:t>
      </w:r>
      <w:r w:rsidRPr="008C483C">
        <w:t>unde</w:t>
      </w:r>
      <w:r>
        <w:t>rpinned by five core elements: v</w:t>
      </w:r>
      <w:r w:rsidRPr="008C483C">
        <w:t xml:space="preserve">ocational </w:t>
      </w:r>
      <w:r>
        <w:t>t</w:t>
      </w:r>
      <w:r w:rsidR="00641998">
        <w:t>raining growth;</w:t>
      </w:r>
      <w:r>
        <w:t xml:space="preserve"> v</w:t>
      </w:r>
      <w:r w:rsidR="00641998">
        <w:t>ocational internships;</w:t>
      </w:r>
      <w:r w:rsidRPr="008C483C">
        <w:t xml:space="preserve"> unique </w:t>
      </w:r>
      <w:r w:rsidR="00641998">
        <w:t>VET qualifications and pathways;</w:t>
      </w:r>
      <w:r w:rsidRPr="008C483C">
        <w:t xml:space="preserve"> a </w:t>
      </w:r>
      <w:r>
        <w:t>o</w:t>
      </w:r>
      <w:r w:rsidRPr="008C483C">
        <w:t xml:space="preserve">ne-stop-shop </w:t>
      </w:r>
      <w:r w:rsidR="00641998">
        <w:t>u</w:t>
      </w:r>
      <w:r w:rsidRPr="008C483C">
        <w:t>niver</w:t>
      </w:r>
      <w:r w:rsidR="00641998">
        <w:t>sity;</w:t>
      </w:r>
      <w:r>
        <w:t xml:space="preserve"> </w:t>
      </w:r>
      <w:r w:rsidRPr="008C483C">
        <w:t xml:space="preserve">and comprehensive </w:t>
      </w:r>
      <w:r w:rsidR="00641998">
        <w:t>u</w:t>
      </w:r>
      <w:r w:rsidRPr="008C483C">
        <w:t>niversity research</w:t>
      </w:r>
      <w:r>
        <w:t xml:space="preserve"> (</w:t>
      </w:r>
      <w:r w:rsidR="00807550">
        <w:t>CQ</w:t>
      </w:r>
      <w:r w:rsidR="00641998">
        <w:t xml:space="preserve">University </w:t>
      </w:r>
      <w:r>
        <w:t>2014a)</w:t>
      </w:r>
      <w:r w:rsidRPr="008C483C">
        <w:t>.</w:t>
      </w:r>
      <w:r>
        <w:t xml:space="preserve"> </w:t>
      </w:r>
    </w:p>
    <w:p w:rsidR="00C15CB0" w:rsidRPr="0075449D" w:rsidRDefault="00C15CB0" w:rsidP="0075449D">
      <w:pPr>
        <w:pStyle w:val="Heading3"/>
      </w:pPr>
      <w:r w:rsidRPr="0075449D">
        <w:t xml:space="preserve">Research question </w:t>
      </w:r>
    </w:p>
    <w:p w:rsidR="00C15CB0" w:rsidRDefault="00C15CB0" w:rsidP="006E23C9">
      <w:pPr>
        <w:pStyle w:val="Textlessbefore"/>
      </w:pPr>
      <w:r w:rsidRPr="0075449D">
        <w:t>Australian vocational</w:t>
      </w:r>
      <w:r w:rsidRPr="00F91B08">
        <w:t xml:space="preserve"> education and training has a long and complex history, and the current</w:t>
      </w:r>
      <w:r>
        <w:t xml:space="preserve"> </w:t>
      </w:r>
      <w:r w:rsidRPr="00F91B08">
        <w:t>raft of sectoral reform</w:t>
      </w:r>
      <w:r w:rsidR="00641998">
        <w:t>s</w:t>
      </w:r>
      <w:r w:rsidRPr="00F91B08">
        <w:t xml:space="preserve"> will undoubtedly bring new challenge</w:t>
      </w:r>
      <w:r w:rsidR="00641998">
        <w:t>s</w:t>
      </w:r>
      <w:r w:rsidR="00807550">
        <w:t>,</w:t>
      </w:r>
      <w:r w:rsidR="00641998">
        <w:t xml:space="preserve"> as well as new opportunities. </w:t>
      </w:r>
      <w:r>
        <w:t xml:space="preserve">This paper examines the current milieu, with the aim of identifying the important implications for </w:t>
      </w:r>
      <w:r w:rsidR="00807550">
        <w:t>CQ</w:t>
      </w:r>
      <w:r w:rsidR="00641998">
        <w:t>University</w:t>
      </w:r>
      <w:r w:rsidR="004C5471">
        <w:t>’</w:t>
      </w:r>
      <w:r>
        <w:t>s current and future role as a region</w:t>
      </w:r>
      <w:r w:rsidR="00807550">
        <w:t>al and comprehensive university</w:t>
      </w:r>
      <w:r>
        <w:t xml:space="preserve"> operating within the national and international landscape.</w:t>
      </w:r>
      <w:r w:rsidR="00611BDD">
        <w:t xml:space="preserve"> </w:t>
      </w:r>
    </w:p>
    <w:p w:rsidR="00C15CB0" w:rsidRDefault="00C15CB0" w:rsidP="0075449D">
      <w:pPr>
        <w:pStyle w:val="Heading2"/>
      </w:pPr>
      <w:bookmarkStart w:id="51" w:name="_Toc412455602"/>
      <w:bookmarkStart w:id="52" w:name="_Toc416683021"/>
      <w:r w:rsidRPr="00FD5F39">
        <w:lastRenderedPageBreak/>
        <w:t>Methodological approach</w:t>
      </w:r>
      <w:bookmarkEnd w:id="51"/>
      <w:bookmarkEnd w:id="52"/>
    </w:p>
    <w:p w:rsidR="00C15CB0" w:rsidRDefault="00C15CB0" w:rsidP="00C15CB0">
      <w:pPr>
        <w:pStyle w:val="Text"/>
      </w:pPr>
      <w:r>
        <w:t xml:space="preserve">This paper is based on a content analysis of submissions made to the 2014 Parliamentary Inquiry </w:t>
      </w:r>
      <w:r w:rsidR="00641998">
        <w:t>into the R</w:t>
      </w:r>
      <w:r w:rsidRPr="00D57940">
        <w:t>ole of T</w:t>
      </w:r>
      <w:r w:rsidR="00807550">
        <w:t>echnical and Further Education System and its O</w:t>
      </w:r>
      <w:r w:rsidRPr="00D57940">
        <w:t>peration</w:t>
      </w:r>
      <w:r>
        <w:t xml:space="preserve">, conducted by the </w:t>
      </w:r>
      <w:r w:rsidRPr="00D57940">
        <w:t>House</w:t>
      </w:r>
      <w:r w:rsidR="0075603A">
        <w:t xml:space="preserve"> of Representatives</w:t>
      </w:r>
      <w:r w:rsidRPr="00D57940">
        <w:t xml:space="preserve"> Standing Committee on Education and Employment</w:t>
      </w:r>
      <w:r>
        <w:t xml:space="preserve">. Each of the submissions was considered using thematic analysis, </w:t>
      </w:r>
      <w:r w:rsidRPr="00D57940">
        <w:t>a method for identifying, analysing and reporting patterns wi</w:t>
      </w:r>
      <w:r>
        <w:t xml:space="preserve">thin data </w:t>
      </w:r>
      <w:r w:rsidR="00641998">
        <w:t>(Braun &amp; Clark</w:t>
      </w:r>
      <w:r w:rsidRPr="00641998">
        <w:t xml:space="preserve"> 2006)</w:t>
      </w:r>
      <w:r>
        <w:t>. In considering the submissions, a series of macrothemes and microthemes were distilled, and each submission was then mapped by stakeholder type and by expression of various theme(s).</w:t>
      </w:r>
      <w:r w:rsidR="00611BDD">
        <w:t xml:space="preserve"> </w:t>
      </w:r>
      <w:r>
        <w:t>Periodically, adjustments to macrothemes were made to reflect emerging items or areas where exist</w:t>
      </w:r>
      <w:r w:rsidR="00D860C9">
        <w:t>ing themes appeared to coalesce. Where</w:t>
      </w:r>
      <w:r w:rsidR="00641998">
        <w:t xml:space="preserve"> necessary, this included the re</w:t>
      </w:r>
      <w:r>
        <w:t>assignment of codes for all submissions already analysed. The content analysis was time-constrained, and thus ne</w:t>
      </w:r>
      <w:r w:rsidR="00641998">
        <w:t>cessarily a high-level exercise. I</w:t>
      </w:r>
      <w:r>
        <w:t xml:space="preserve">n the case of very lengthy submissions (&gt;50pages), coding was completed largely based on the content of executive summaries. The insights obtained from this exercise were then considered against the current and future operating context for a comprehensive </w:t>
      </w:r>
      <w:r w:rsidR="00807550">
        <w:t>CQ</w:t>
      </w:r>
      <w:r w:rsidR="00641998">
        <w:t>University</w:t>
      </w:r>
      <w:r>
        <w:t xml:space="preserve">. </w:t>
      </w:r>
    </w:p>
    <w:p w:rsidR="00C15CB0" w:rsidRDefault="00C15CB0" w:rsidP="00C15CB0">
      <w:pPr>
        <w:pStyle w:val="Heading2"/>
      </w:pPr>
      <w:bookmarkStart w:id="53" w:name="_Toc412455603"/>
      <w:bookmarkStart w:id="54" w:name="_Toc416683022"/>
      <w:r>
        <w:t>Results</w:t>
      </w:r>
      <w:bookmarkEnd w:id="53"/>
      <w:bookmarkEnd w:id="54"/>
      <w:r>
        <w:t xml:space="preserve"> </w:t>
      </w:r>
    </w:p>
    <w:p w:rsidR="00C15CB0" w:rsidRDefault="00C15CB0" w:rsidP="006E23C9">
      <w:pPr>
        <w:pStyle w:val="Text"/>
        <w:ind w:right="-143"/>
      </w:pPr>
      <w:r>
        <w:t xml:space="preserve">At </w:t>
      </w:r>
      <w:r w:rsidR="00D860C9">
        <w:t xml:space="preserve">the </w:t>
      </w:r>
      <w:r>
        <w:t>time of writing</w:t>
      </w:r>
      <w:r w:rsidRPr="00834983">
        <w:t>, 170</w:t>
      </w:r>
      <w:r w:rsidRPr="00834983">
        <w:rPr>
          <w:rStyle w:val="FootnoteReference"/>
        </w:rPr>
        <w:footnoteReference w:id="2"/>
      </w:r>
      <w:r w:rsidR="00D860C9">
        <w:t xml:space="preserve"> unique submissions to the i</w:t>
      </w:r>
      <w:r>
        <w:t>nquiry had been lodged and made publicly available. A breakdown of stakeholder type indicated that almost half were received from individuals, with a further 20% submitted by profession</w:t>
      </w:r>
      <w:r w:rsidR="00D860C9">
        <w:t xml:space="preserve">al associations and/or unions (table 1). </w:t>
      </w:r>
      <w:r>
        <w:t xml:space="preserve">The </w:t>
      </w:r>
      <w:r w:rsidR="004C5471">
        <w:t>‘</w:t>
      </w:r>
      <w:r>
        <w:t>individual</w:t>
      </w:r>
      <w:r w:rsidR="004C5471">
        <w:t>’</w:t>
      </w:r>
      <w:r>
        <w:t xml:space="preserve"> coho</w:t>
      </w:r>
      <w:r w:rsidR="00D860C9">
        <w:t>rt was dominated by two groups — past or present TAFE staff</w:t>
      </w:r>
      <w:r>
        <w:t xml:space="preserve"> and past or present TAFE students. Of particular note, no submissions have yet been received by standalone </w:t>
      </w:r>
      <w:r w:rsidR="00D860C9">
        <w:t>registered training organisations</w:t>
      </w:r>
      <w:r>
        <w:t xml:space="preserve">. </w:t>
      </w:r>
    </w:p>
    <w:p w:rsidR="00C15CB0" w:rsidRDefault="00C15CB0" w:rsidP="00C15CB0">
      <w:pPr>
        <w:pStyle w:val="tabletitle"/>
      </w:pPr>
      <w:bookmarkStart w:id="55" w:name="_Toc296497393"/>
      <w:r>
        <w:t>Table 1</w:t>
      </w:r>
      <w:r>
        <w:tab/>
      </w:r>
      <w:bookmarkEnd w:id="55"/>
      <w:r>
        <w:t>Composition of stakeholder submissions received to the Parliamentary Inquiry</w:t>
      </w:r>
      <w:r w:rsidR="00D860C9">
        <w:t xml:space="preserve"> into the Role of TAFE and its O</w:t>
      </w:r>
      <w:r w:rsidR="00807550">
        <w:t>peration</w:t>
      </w:r>
      <w:r>
        <w:t xml:space="preserve"> </w:t>
      </w:r>
    </w:p>
    <w:tbl>
      <w:tblPr>
        <w:tblW w:w="8789" w:type="dxa"/>
        <w:tblInd w:w="108" w:type="dxa"/>
        <w:tblLayout w:type="fixed"/>
        <w:tblLook w:val="04A0" w:firstRow="1" w:lastRow="0" w:firstColumn="1" w:lastColumn="0" w:noHBand="0" w:noVBand="1"/>
      </w:tblPr>
      <w:tblGrid>
        <w:gridCol w:w="4866"/>
        <w:gridCol w:w="1961"/>
        <w:gridCol w:w="1962"/>
      </w:tblGrid>
      <w:tr w:rsidR="00C15CB0" w:rsidTr="00D80C81">
        <w:tc>
          <w:tcPr>
            <w:tcW w:w="4866" w:type="dxa"/>
            <w:tcBorders>
              <w:top w:val="single" w:sz="4" w:space="0" w:color="auto"/>
              <w:bottom w:val="single" w:sz="4" w:space="0" w:color="auto"/>
            </w:tcBorders>
          </w:tcPr>
          <w:p w:rsidR="00C15CB0" w:rsidRPr="004B6B73" w:rsidRDefault="00C15CB0" w:rsidP="00A058DF">
            <w:pPr>
              <w:pStyle w:val="Tablehead1"/>
            </w:pPr>
            <w:r w:rsidRPr="004B6B73">
              <w:t>Stakeholder type</w:t>
            </w:r>
          </w:p>
        </w:tc>
        <w:tc>
          <w:tcPr>
            <w:tcW w:w="1961" w:type="dxa"/>
            <w:tcBorders>
              <w:top w:val="single" w:sz="4" w:space="0" w:color="auto"/>
              <w:bottom w:val="single" w:sz="4" w:space="0" w:color="auto"/>
            </w:tcBorders>
          </w:tcPr>
          <w:p w:rsidR="00C15CB0" w:rsidRPr="004B6B73" w:rsidRDefault="00C15CB0" w:rsidP="00A058DF">
            <w:pPr>
              <w:pStyle w:val="Tablehead1"/>
              <w:jc w:val="center"/>
            </w:pPr>
            <w:r w:rsidRPr="004B6B73">
              <w:t>Number of submissions</w:t>
            </w:r>
          </w:p>
        </w:tc>
        <w:tc>
          <w:tcPr>
            <w:tcW w:w="1962" w:type="dxa"/>
            <w:tcBorders>
              <w:top w:val="single" w:sz="4" w:space="0" w:color="auto"/>
              <w:bottom w:val="single" w:sz="4" w:space="0" w:color="auto"/>
            </w:tcBorders>
          </w:tcPr>
          <w:p w:rsidR="00C15CB0" w:rsidRPr="004B6B73" w:rsidRDefault="00C15CB0" w:rsidP="00A058DF">
            <w:pPr>
              <w:pStyle w:val="Tablehead1"/>
              <w:jc w:val="center"/>
            </w:pPr>
            <w:r w:rsidRPr="004B6B73">
              <w:t>Proportion of total (%)</w:t>
            </w:r>
          </w:p>
        </w:tc>
      </w:tr>
      <w:tr w:rsidR="00C15CB0" w:rsidTr="00D80C81">
        <w:tc>
          <w:tcPr>
            <w:tcW w:w="4866" w:type="dxa"/>
            <w:tcBorders>
              <w:top w:val="single" w:sz="4" w:space="0" w:color="auto"/>
            </w:tcBorders>
            <w:vAlign w:val="bottom"/>
          </w:tcPr>
          <w:p w:rsidR="00C15CB0" w:rsidRPr="004B6B73" w:rsidRDefault="00C15CB0" w:rsidP="00D80C81">
            <w:pPr>
              <w:pStyle w:val="Tabletext"/>
            </w:pPr>
            <w:r w:rsidRPr="004B6B73">
              <w:t>Individuals or non-formal groups of individuals</w:t>
            </w:r>
          </w:p>
        </w:tc>
        <w:tc>
          <w:tcPr>
            <w:tcW w:w="1961" w:type="dxa"/>
            <w:tcBorders>
              <w:top w:val="single" w:sz="4" w:space="0" w:color="auto"/>
            </w:tcBorders>
            <w:vAlign w:val="bottom"/>
          </w:tcPr>
          <w:p w:rsidR="00C15CB0" w:rsidRPr="004B6B73" w:rsidRDefault="00C15CB0" w:rsidP="00D80C81">
            <w:pPr>
              <w:pStyle w:val="Tabletext"/>
              <w:tabs>
                <w:tab w:val="decimal" w:pos="992"/>
              </w:tabs>
            </w:pPr>
            <w:r w:rsidRPr="004B6B73">
              <w:t>89</w:t>
            </w:r>
          </w:p>
        </w:tc>
        <w:tc>
          <w:tcPr>
            <w:tcW w:w="1962" w:type="dxa"/>
            <w:tcBorders>
              <w:top w:val="single" w:sz="4" w:space="0" w:color="auto"/>
            </w:tcBorders>
            <w:vAlign w:val="bottom"/>
          </w:tcPr>
          <w:p w:rsidR="00C15CB0" w:rsidRPr="004B6B73" w:rsidRDefault="00C15CB0" w:rsidP="00D80C81">
            <w:pPr>
              <w:pStyle w:val="Tabletext"/>
              <w:tabs>
                <w:tab w:val="decimal" w:pos="879"/>
              </w:tabs>
            </w:pPr>
            <w:r w:rsidRPr="004B6B73">
              <w:t>52.4</w:t>
            </w:r>
          </w:p>
        </w:tc>
      </w:tr>
      <w:tr w:rsidR="00C15CB0" w:rsidTr="00D80C81">
        <w:tc>
          <w:tcPr>
            <w:tcW w:w="4866" w:type="dxa"/>
            <w:vAlign w:val="bottom"/>
          </w:tcPr>
          <w:p w:rsidR="00C15CB0" w:rsidRPr="004B6B73" w:rsidRDefault="00C15CB0" w:rsidP="00D80C81">
            <w:pPr>
              <w:pStyle w:val="Tabletext"/>
            </w:pPr>
            <w:r w:rsidRPr="004B6B73">
              <w:t xml:space="preserve">Industry or peak body; professional organisation; membership group or network </w:t>
            </w:r>
          </w:p>
        </w:tc>
        <w:tc>
          <w:tcPr>
            <w:tcW w:w="1961" w:type="dxa"/>
            <w:vAlign w:val="bottom"/>
          </w:tcPr>
          <w:p w:rsidR="00C15CB0" w:rsidRPr="004B6B73" w:rsidRDefault="00C15CB0" w:rsidP="00D80C81">
            <w:pPr>
              <w:pStyle w:val="Tabletext"/>
              <w:tabs>
                <w:tab w:val="decimal" w:pos="992"/>
              </w:tabs>
            </w:pPr>
            <w:r w:rsidRPr="004B6B73">
              <w:t>25</w:t>
            </w:r>
          </w:p>
        </w:tc>
        <w:tc>
          <w:tcPr>
            <w:tcW w:w="1962" w:type="dxa"/>
            <w:vAlign w:val="bottom"/>
          </w:tcPr>
          <w:p w:rsidR="00C15CB0" w:rsidRPr="004B6B73" w:rsidRDefault="00C15CB0" w:rsidP="00D80C81">
            <w:pPr>
              <w:pStyle w:val="Tabletext"/>
              <w:tabs>
                <w:tab w:val="decimal" w:pos="879"/>
              </w:tabs>
            </w:pPr>
            <w:r w:rsidRPr="004B6B73">
              <w:t>14.7</w:t>
            </w:r>
          </w:p>
        </w:tc>
      </w:tr>
      <w:tr w:rsidR="00C15CB0" w:rsidTr="00D80C81">
        <w:tc>
          <w:tcPr>
            <w:tcW w:w="4866" w:type="dxa"/>
            <w:vAlign w:val="bottom"/>
          </w:tcPr>
          <w:p w:rsidR="00C15CB0" w:rsidRPr="004B6B73" w:rsidRDefault="00C15CB0" w:rsidP="00D80C81">
            <w:pPr>
              <w:pStyle w:val="Tabletext"/>
            </w:pPr>
            <w:r w:rsidRPr="004B6B73">
              <w:t xml:space="preserve">Unions </w:t>
            </w:r>
            <w:r w:rsidR="00D860C9">
              <w:t>and</w:t>
            </w:r>
            <w:r w:rsidRPr="004B6B73">
              <w:t xml:space="preserve"> teacher associations</w:t>
            </w:r>
          </w:p>
        </w:tc>
        <w:tc>
          <w:tcPr>
            <w:tcW w:w="1961" w:type="dxa"/>
            <w:vAlign w:val="bottom"/>
          </w:tcPr>
          <w:p w:rsidR="00C15CB0" w:rsidRPr="004B6B73" w:rsidRDefault="00C15CB0" w:rsidP="00D80C81">
            <w:pPr>
              <w:pStyle w:val="Tabletext"/>
              <w:tabs>
                <w:tab w:val="decimal" w:pos="992"/>
              </w:tabs>
            </w:pPr>
            <w:r w:rsidRPr="004B6B73">
              <w:t>13</w:t>
            </w:r>
          </w:p>
        </w:tc>
        <w:tc>
          <w:tcPr>
            <w:tcW w:w="1962" w:type="dxa"/>
            <w:vAlign w:val="bottom"/>
          </w:tcPr>
          <w:p w:rsidR="00C15CB0" w:rsidRPr="004B6B73" w:rsidRDefault="00C15CB0" w:rsidP="00D80C81">
            <w:pPr>
              <w:pStyle w:val="Tabletext"/>
              <w:tabs>
                <w:tab w:val="decimal" w:pos="879"/>
              </w:tabs>
            </w:pPr>
            <w:r w:rsidRPr="004B6B73">
              <w:t>7.6</w:t>
            </w:r>
          </w:p>
        </w:tc>
      </w:tr>
      <w:tr w:rsidR="00C15CB0" w:rsidTr="00D80C81">
        <w:tc>
          <w:tcPr>
            <w:tcW w:w="4866" w:type="dxa"/>
            <w:vAlign w:val="bottom"/>
          </w:tcPr>
          <w:p w:rsidR="00C15CB0" w:rsidRPr="004B6B73" w:rsidRDefault="00C15CB0" w:rsidP="00D80C81">
            <w:pPr>
              <w:pStyle w:val="Tabletext"/>
            </w:pPr>
            <w:r w:rsidRPr="004B6B73">
              <w:t xml:space="preserve">Industry </w:t>
            </w:r>
            <w:r w:rsidR="00D860C9" w:rsidRPr="004B6B73">
              <w:t>skills council/skills body</w:t>
            </w:r>
          </w:p>
        </w:tc>
        <w:tc>
          <w:tcPr>
            <w:tcW w:w="1961" w:type="dxa"/>
            <w:vAlign w:val="bottom"/>
          </w:tcPr>
          <w:p w:rsidR="00C15CB0" w:rsidRPr="004B6B73" w:rsidRDefault="00C15CB0" w:rsidP="00D80C81">
            <w:pPr>
              <w:pStyle w:val="Tabletext"/>
              <w:tabs>
                <w:tab w:val="decimal" w:pos="992"/>
              </w:tabs>
            </w:pPr>
            <w:r w:rsidRPr="004B6B73">
              <w:t>10</w:t>
            </w:r>
          </w:p>
        </w:tc>
        <w:tc>
          <w:tcPr>
            <w:tcW w:w="1962" w:type="dxa"/>
            <w:vAlign w:val="bottom"/>
          </w:tcPr>
          <w:p w:rsidR="00C15CB0" w:rsidRPr="004B6B73" w:rsidRDefault="00C15CB0" w:rsidP="00D80C81">
            <w:pPr>
              <w:pStyle w:val="Tabletext"/>
              <w:tabs>
                <w:tab w:val="decimal" w:pos="879"/>
              </w:tabs>
            </w:pPr>
            <w:r w:rsidRPr="004B6B73">
              <w:t>5.9</w:t>
            </w:r>
          </w:p>
        </w:tc>
      </w:tr>
      <w:tr w:rsidR="00C15CB0" w:rsidTr="00D80C81">
        <w:tc>
          <w:tcPr>
            <w:tcW w:w="4866" w:type="dxa"/>
            <w:vAlign w:val="bottom"/>
          </w:tcPr>
          <w:p w:rsidR="00C15CB0" w:rsidRPr="004B6B73" w:rsidRDefault="00C15CB0" w:rsidP="00D80C81">
            <w:pPr>
              <w:pStyle w:val="Tabletext"/>
            </w:pPr>
            <w:r w:rsidRPr="004B6B73">
              <w:t>TAFE</w:t>
            </w:r>
          </w:p>
        </w:tc>
        <w:tc>
          <w:tcPr>
            <w:tcW w:w="1961" w:type="dxa"/>
            <w:vAlign w:val="bottom"/>
          </w:tcPr>
          <w:p w:rsidR="00C15CB0" w:rsidRPr="004B6B73" w:rsidRDefault="00C15CB0" w:rsidP="00D80C81">
            <w:pPr>
              <w:pStyle w:val="Tabletext"/>
              <w:tabs>
                <w:tab w:val="decimal" w:pos="992"/>
              </w:tabs>
            </w:pPr>
            <w:r w:rsidRPr="004B6B73">
              <w:t>10</w:t>
            </w:r>
          </w:p>
        </w:tc>
        <w:tc>
          <w:tcPr>
            <w:tcW w:w="1962" w:type="dxa"/>
            <w:vAlign w:val="bottom"/>
          </w:tcPr>
          <w:p w:rsidR="00C15CB0" w:rsidRPr="004B6B73" w:rsidRDefault="00C15CB0" w:rsidP="00D80C81">
            <w:pPr>
              <w:pStyle w:val="Tabletext"/>
              <w:tabs>
                <w:tab w:val="decimal" w:pos="879"/>
              </w:tabs>
            </w:pPr>
            <w:r w:rsidRPr="004B6B73">
              <w:t>5.9</w:t>
            </w:r>
          </w:p>
        </w:tc>
      </w:tr>
      <w:tr w:rsidR="00C15CB0" w:rsidTr="00D80C81">
        <w:tc>
          <w:tcPr>
            <w:tcW w:w="4866" w:type="dxa"/>
            <w:vAlign w:val="bottom"/>
          </w:tcPr>
          <w:p w:rsidR="00C15CB0" w:rsidRPr="004B6B73" w:rsidRDefault="00C15CB0" w:rsidP="00D80C81">
            <w:pPr>
              <w:pStyle w:val="Tabletext"/>
            </w:pPr>
            <w:r w:rsidRPr="004B6B73">
              <w:t xml:space="preserve">Government, </w:t>
            </w:r>
            <w:r w:rsidR="00D860C9" w:rsidRPr="004B6B73">
              <w:t>statutory organisation, board</w:t>
            </w:r>
          </w:p>
        </w:tc>
        <w:tc>
          <w:tcPr>
            <w:tcW w:w="1961" w:type="dxa"/>
            <w:vAlign w:val="bottom"/>
          </w:tcPr>
          <w:p w:rsidR="00C15CB0" w:rsidRPr="004B6B73" w:rsidRDefault="00C15CB0" w:rsidP="00D80C81">
            <w:pPr>
              <w:pStyle w:val="Tabletext"/>
              <w:tabs>
                <w:tab w:val="decimal" w:pos="992"/>
              </w:tabs>
            </w:pPr>
            <w:r w:rsidRPr="004B6B73">
              <w:t>8</w:t>
            </w:r>
          </w:p>
        </w:tc>
        <w:tc>
          <w:tcPr>
            <w:tcW w:w="1962" w:type="dxa"/>
            <w:vAlign w:val="bottom"/>
          </w:tcPr>
          <w:p w:rsidR="00C15CB0" w:rsidRPr="004B6B73" w:rsidRDefault="00C15CB0" w:rsidP="00D80C81">
            <w:pPr>
              <w:pStyle w:val="Tabletext"/>
              <w:tabs>
                <w:tab w:val="decimal" w:pos="879"/>
              </w:tabs>
            </w:pPr>
            <w:r w:rsidRPr="004B6B73">
              <w:t>4.7</w:t>
            </w:r>
          </w:p>
        </w:tc>
      </w:tr>
      <w:tr w:rsidR="00C15CB0" w:rsidTr="00D80C81">
        <w:tc>
          <w:tcPr>
            <w:tcW w:w="4866" w:type="dxa"/>
            <w:vAlign w:val="bottom"/>
          </w:tcPr>
          <w:p w:rsidR="00C15CB0" w:rsidRPr="004B6B73" w:rsidRDefault="0075603A" w:rsidP="00D80C81">
            <w:pPr>
              <w:pStyle w:val="Tabletext"/>
            </w:pPr>
            <w:r>
              <w:t>NFP/c</w:t>
            </w:r>
            <w:r w:rsidR="00C15CB0" w:rsidRPr="004B6B73">
              <w:t>haritable</w:t>
            </w:r>
          </w:p>
        </w:tc>
        <w:tc>
          <w:tcPr>
            <w:tcW w:w="1961" w:type="dxa"/>
            <w:vAlign w:val="bottom"/>
          </w:tcPr>
          <w:p w:rsidR="00C15CB0" w:rsidRPr="004B6B73" w:rsidRDefault="00C15CB0" w:rsidP="00D80C81">
            <w:pPr>
              <w:pStyle w:val="Tabletext"/>
              <w:tabs>
                <w:tab w:val="decimal" w:pos="992"/>
              </w:tabs>
            </w:pPr>
            <w:r w:rsidRPr="004B6B73">
              <w:t>5</w:t>
            </w:r>
          </w:p>
        </w:tc>
        <w:tc>
          <w:tcPr>
            <w:tcW w:w="1962" w:type="dxa"/>
            <w:vAlign w:val="bottom"/>
          </w:tcPr>
          <w:p w:rsidR="00C15CB0" w:rsidRPr="004B6B73" w:rsidRDefault="00C15CB0" w:rsidP="00D80C81">
            <w:pPr>
              <w:pStyle w:val="Tabletext"/>
              <w:tabs>
                <w:tab w:val="decimal" w:pos="879"/>
              </w:tabs>
            </w:pPr>
            <w:r w:rsidRPr="004B6B73">
              <w:t>2.9</w:t>
            </w:r>
          </w:p>
        </w:tc>
      </w:tr>
      <w:tr w:rsidR="00C15CB0" w:rsidTr="00D80C81">
        <w:tc>
          <w:tcPr>
            <w:tcW w:w="4866" w:type="dxa"/>
            <w:vAlign w:val="bottom"/>
          </w:tcPr>
          <w:p w:rsidR="00C15CB0" w:rsidRPr="004B6B73" w:rsidRDefault="00C15CB0" w:rsidP="00D80C81">
            <w:pPr>
              <w:pStyle w:val="Tabletext"/>
            </w:pPr>
            <w:r w:rsidRPr="004B6B73">
              <w:t>University</w:t>
            </w:r>
          </w:p>
        </w:tc>
        <w:tc>
          <w:tcPr>
            <w:tcW w:w="1961" w:type="dxa"/>
            <w:vAlign w:val="bottom"/>
          </w:tcPr>
          <w:p w:rsidR="00C15CB0" w:rsidRPr="004B6B73" w:rsidRDefault="00C15CB0" w:rsidP="00D80C81">
            <w:pPr>
              <w:pStyle w:val="Tabletext"/>
              <w:tabs>
                <w:tab w:val="decimal" w:pos="992"/>
              </w:tabs>
            </w:pPr>
            <w:r w:rsidRPr="004B6B73">
              <w:t>3</w:t>
            </w:r>
          </w:p>
        </w:tc>
        <w:tc>
          <w:tcPr>
            <w:tcW w:w="1962" w:type="dxa"/>
            <w:vAlign w:val="bottom"/>
          </w:tcPr>
          <w:p w:rsidR="00C15CB0" w:rsidRPr="004B6B73" w:rsidRDefault="00C15CB0" w:rsidP="00D80C81">
            <w:pPr>
              <w:pStyle w:val="Tabletext"/>
              <w:tabs>
                <w:tab w:val="decimal" w:pos="879"/>
              </w:tabs>
            </w:pPr>
            <w:r w:rsidRPr="004B6B73">
              <w:t>1.8</w:t>
            </w:r>
          </w:p>
        </w:tc>
      </w:tr>
      <w:tr w:rsidR="00C15CB0" w:rsidTr="00D80C81">
        <w:tc>
          <w:tcPr>
            <w:tcW w:w="4866" w:type="dxa"/>
            <w:vAlign w:val="bottom"/>
          </w:tcPr>
          <w:p w:rsidR="00C15CB0" w:rsidRPr="004B6B73" w:rsidRDefault="00C15CB0" w:rsidP="00D80C81">
            <w:pPr>
              <w:pStyle w:val="Tabletext"/>
            </w:pPr>
            <w:r w:rsidRPr="004B6B73">
              <w:t>Research company/consultants</w:t>
            </w:r>
          </w:p>
        </w:tc>
        <w:tc>
          <w:tcPr>
            <w:tcW w:w="1961" w:type="dxa"/>
            <w:vAlign w:val="bottom"/>
          </w:tcPr>
          <w:p w:rsidR="00C15CB0" w:rsidRPr="004B6B73" w:rsidRDefault="00C15CB0" w:rsidP="00D80C81">
            <w:pPr>
              <w:pStyle w:val="Tabletext"/>
              <w:tabs>
                <w:tab w:val="decimal" w:pos="992"/>
              </w:tabs>
            </w:pPr>
            <w:r w:rsidRPr="004B6B73">
              <w:t>3</w:t>
            </w:r>
          </w:p>
        </w:tc>
        <w:tc>
          <w:tcPr>
            <w:tcW w:w="1962" w:type="dxa"/>
            <w:vAlign w:val="bottom"/>
          </w:tcPr>
          <w:p w:rsidR="00C15CB0" w:rsidRPr="004B6B73" w:rsidRDefault="00C15CB0" w:rsidP="00D80C81">
            <w:pPr>
              <w:pStyle w:val="Tabletext"/>
              <w:tabs>
                <w:tab w:val="decimal" w:pos="879"/>
              </w:tabs>
            </w:pPr>
            <w:r w:rsidRPr="004B6B73">
              <w:t>1.8</w:t>
            </w:r>
          </w:p>
        </w:tc>
      </w:tr>
      <w:tr w:rsidR="00C15CB0" w:rsidTr="00D80C81">
        <w:tc>
          <w:tcPr>
            <w:tcW w:w="4866" w:type="dxa"/>
            <w:vAlign w:val="bottom"/>
          </w:tcPr>
          <w:p w:rsidR="00C15CB0" w:rsidRPr="004B6B73" w:rsidRDefault="00C15CB0" w:rsidP="00D80C81">
            <w:pPr>
              <w:pStyle w:val="Tabletext"/>
            </w:pPr>
            <w:r w:rsidRPr="004B6B73">
              <w:t>Planning body</w:t>
            </w:r>
          </w:p>
        </w:tc>
        <w:tc>
          <w:tcPr>
            <w:tcW w:w="1961" w:type="dxa"/>
            <w:vAlign w:val="bottom"/>
          </w:tcPr>
          <w:p w:rsidR="00C15CB0" w:rsidRPr="004B6B73" w:rsidRDefault="00C15CB0" w:rsidP="00D80C81">
            <w:pPr>
              <w:pStyle w:val="Tabletext"/>
              <w:tabs>
                <w:tab w:val="decimal" w:pos="992"/>
              </w:tabs>
            </w:pPr>
            <w:r w:rsidRPr="004B6B73">
              <w:t>1</w:t>
            </w:r>
          </w:p>
        </w:tc>
        <w:tc>
          <w:tcPr>
            <w:tcW w:w="1962" w:type="dxa"/>
            <w:vAlign w:val="bottom"/>
          </w:tcPr>
          <w:p w:rsidR="00C15CB0" w:rsidRPr="004B6B73" w:rsidRDefault="00C15CB0" w:rsidP="00D80C81">
            <w:pPr>
              <w:pStyle w:val="Tabletext"/>
              <w:tabs>
                <w:tab w:val="decimal" w:pos="879"/>
              </w:tabs>
            </w:pPr>
            <w:r w:rsidRPr="004B6B73">
              <w:t>0.6</w:t>
            </w:r>
          </w:p>
        </w:tc>
      </w:tr>
      <w:tr w:rsidR="00C15CB0" w:rsidTr="00D80C81">
        <w:tc>
          <w:tcPr>
            <w:tcW w:w="4866" w:type="dxa"/>
            <w:vAlign w:val="bottom"/>
          </w:tcPr>
          <w:p w:rsidR="00C15CB0" w:rsidRPr="004B6B73" w:rsidRDefault="00C15CB0" w:rsidP="00D80C81">
            <w:pPr>
              <w:pStyle w:val="Tabletext"/>
            </w:pPr>
            <w:r w:rsidRPr="004B6B73">
              <w:t xml:space="preserve">Advisory </w:t>
            </w:r>
            <w:r w:rsidR="00D80C81" w:rsidRPr="004B6B73">
              <w:t>b</w:t>
            </w:r>
            <w:r w:rsidRPr="004B6B73">
              <w:t>ody</w:t>
            </w:r>
          </w:p>
        </w:tc>
        <w:tc>
          <w:tcPr>
            <w:tcW w:w="1961" w:type="dxa"/>
            <w:vAlign w:val="bottom"/>
          </w:tcPr>
          <w:p w:rsidR="00C15CB0" w:rsidRPr="004B6B73" w:rsidRDefault="00C15CB0" w:rsidP="00D80C81">
            <w:pPr>
              <w:pStyle w:val="Tabletext"/>
              <w:tabs>
                <w:tab w:val="decimal" w:pos="992"/>
              </w:tabs>
            </w:pPr>
            <w:r w:rsidRPr="004B6B73">
              <w:t>1</w:t>
            </w:r>
          </w:p>
        </w:tc>
        <w:tc>
          <w:tcPr>
            <w:tcW w:w="1962" w:type="dxa"/>
            <w:vAlign w:val="bottom"/>
          </w:tcPr>
          <w:p w:rsidR="00C15CB0" w:rsidRPr="004B6B73" w:rsidRDefault="00C15CB0" w:rsidP="00D80C81">
            <w:pPr>
              <w:pStyle w:val="Tabletext"/>
              <w:tabs>
                <w:tab w:val="decimal" w:pos="879"/>
              </w:tabs>
            </w:pPr>
            <w:r w:rsidRPr="004B6B73">
              <w:t>0.6</w:t>
            </w:r>
          </w:p>
        </w:tc>
      </w:tr>
      <w:tr w:rsidR="00C15CB0" w:rsidTr="00D80C81">
        <w:tc>
          <w:tcPr>
            <w:tcW w:w="4866" w:type="dxa"/>
            <w:vAlign w:val="bottom"/>
          </w:tcPr>
          <w:p w:rsidR="00C15CB0" w:rsidRPr="004B6B73" w:rsidRDefault="00C15CB0" w:rsidP="00D80C81">
            <w:pPr>
              <w:pStyle w:val="Tabletext"/>
            </w:pPr>
            <w:r w:rsidRPr="004B6B73">
              <w:t>Political party</w:t>
            </w:r>
          </w:p>
        </w:tc>
        <w:tc>
          <w:tcPr>
            <w:tcW w:w="1961" w:type="dxa"/>
            <w:vAlign w:val="bottom"/>
          </w:tcPr>
          <w:p w:rsidR="00C15CB0" w:rsidRPr="004B6B73" w:rsidRDefault="00C15CB0" w:rsidP="00D80C81">
            <w:pPr>
              <w:pStyle w:val="Tabletext"/>
              <w:tabs>
                <w:tab w:val="decimal" w:pos="992"/>
              </w:tabs>
            </w:pPr>
            <w:r w:rsidRPr="004B6B73">
              <w:t>1</w:t>
            </w:r>
          </w:p>
        </w:tc>
        <w:tc>
          <w:tcPr>
            <w:tcW w:w="1962" w:type="dxa"/>
            <w:vAlign w:val="bottom"/>
          </w:tcPr>
          <w:p w:rsidR="00C15CB0" w:rsidRPr="004B6B73" w:rsidRDefault="00C15CB0" w:rsidP="00D80C81">
            <w:pPr>
              <w:pStyle w:val="Tabletext"/>
              <w:tabs>
                <w:tab w:val="decimal" w:pos="879"/>
              </w:tabs>
            </w:pPr>
            <w:r w:rsidRPr="004B6B73">
              <w:t>0.6</w:t>
            </w:r>
          </w:p>
        </w:tc>
      </w:tr>
      <w:tr w:rsidR="00C15CB0" w:rsidTr="00D80C81">
        <w:tc>
          <w:tcPr>
            <w:tcW w:w="4866" w:type="dxa"/>
            <w:vAlign w:val="bottom"/>
          </w:tcPr>
          <w:p w:rsidR="00C15CB0" w:rsidRPr="004B6B73" w:rsidRDefault="00C15CB0" w:rsidP="00D80C81">
            <w:pPr>
              <w:pStyle w:val="Tabletext"/>
            </w:pPr>
            <w:r w:rsidRPr="004B6B73">
              <w:t>RTO</w:t>
            </w:r>
          </w:p>
        </w:tc>
        <w:tc>
          <w:tcPr>
            <w:tcW w:w="1961" w:type="dxa"/>
            <w:vAlign w:val="bottom"/>
          </w:tcPr>
          <w:p w:rsidR="00C15CB0" w:rsidRPr="004B6B73" w:rsidRDefault="00C15CB0" w:rsidP="00D80C81">
            <w:pPr>
              <w:pStyle w:val="Tabletext"/>
              <w:tabs>
                <w:tab w:val="decimal" w:pos="992"/>
              </w:tabs>
            </w:pPr>
            <w:r w:rsidRPr="004B6B73">
              <w:t>0</w:t>
            </w:r>
          </w:p>
        </w:tc>
        <w:tc>
          <w:tcPr>
            <w:tcW w:w="1962" w:type="dxa"/>
            <w:vAlign w:val="bottom"/>
          </w:tcPr>
          <w:p w:rsidR="00C15CB0" w:rsidRPr="004B6B73" w:rsidRDefault="00C15CB0" w:rsidP="00D80C81">
            <w:pPr>
              <w:pStyle w:val="Tabletext"/>
              <w:tabs>
                <w:tab w:val="decimal" w:pos="879"/>
              </w:tabs>
            </w:pPr>
            <w:r w:rsidRPr="004B6B73">
              <w:t>0.0</w:t>
            </w:r>
          </w:p>
        </w:tc>
      </w:tr>
      <w:tr w:rsidR="00C15CB0" w:rsidTr="00D80C81">
        <w:tc>
          <w:tcPr>
            <w:tcW w:w="4866" w:type="dxa"/>
            <w:vAlign w:val="bottom"/>
          </w:tcPr>
          <w:p w:rsidR="00C15CB0" w:rsidRPr="004B6B73" w:rsidRDefault="00C15CB0" w:rsidP="00D80C81">
            <w:pPr>
              <w:pStyle w:val="Tabletext"/>
            </w:pPr>
            <w:r w:rsidRPr="004B6B73">
              <w:t>Anonymous</w:t>
            </w:r>
          </w:p>
        </w:tc>
        <w:tc>
          <w:tcPr>
            <w:tcW w:w="1961" w:type="dxa"/>
            <w:vAlign w:val="bottom"/>
          </w:tcPr>
          <w:p w:rsidR="00C15CB0" w:rsidRPr="004B6B73" w:rsidRDefault="00C15CB0" w:rsidP="00D80C81">
            <w:pPr>
              <w:pStyle w:val="Tabletext"/>
              <w:tabs>
                <w:tab w:val="decimal" w:pos="992"/>
              </w:tabs>
            </w:pPr>
            <w:r w:rsidRPr="004B6B73">
              <w:t>1</w:t>
            </w:r>
          </w:p>
        </w:tc>
        <w:tc>
          <w:tcPr>
            <w:tcW w:w="1962" w:type="dxa"/>
            <w:vAlign w:val="bottom"/>
          </w:tcPr>
          <w:p w:rsidR="00C15CB0" w:rsidRPr="004B6B73" w:rsidRDefault="00C15CB0" w:rsidP="00D80C81">
            <w:pPr>
              <w:pStyle w:val="Tabletext"/>
              <w:tabs>
                <w:tab w:val="decimal" w:pos="879"/>
              </w:tabs>
            </w:pPr>
            <w:r w:rsidRPr="004B6B73">
              <w:t>0.6</w:t>
            </w:r>
          </w:p>
        </w:tc>
      </w:tr>
      <w:tr w:rsidR="00C15CB0" w:rsidRPr="00D80C81" w:rsidTr="00D80C81">
        <w:tc>
          <w:tcPr>
            <w:tcW w:w="4866" w:type="dxa"/>
            <w:tcBorders>
              <w:bottom w:val="single" w:sz="4" w:space="0" w:color="auto"/>
            </w:tcBorders>
            <w:vAlign w:val="bottom"/>
          </w:tcPr>
          <w:p w:rsidR="00C15CB0" w:rsidRPr="00D80C81" w:rsidRDefault="00C15CB0" w:rsidP="00D80C81">
            <w:pPr>
              <w:pStyle w:val="Tabletext"/>
              <w:rPr>
                <w:b/>
              </w:rPr>
            </w:pPr>
            <w:r w:rsidRPr="00D80C81">
              <w:rPr>
                <w:b/>
              </w:rPr>
              <w:t xml:space="preserve">TOTAL </w:t>
            </w:r>
          </w:p>
        </w:tc>
        <w:tc>
          <w:tcPr>
            <w:tcW w:w="1961" w:type="dxa"/>
            <w:tcBorders>
              <w:bottom w:val="single" w:sz="4" w:space="0" w:color="auto"/>
            </w:tcBorders>
          </w:tcPr>
          <w:p w:rsidR="00C15CB0" w:rsidRPr="00D80C81" w:rsidRDefault="00C15CB0" w:rsidP="00D80C81">
            <w:pPr>
              <w:pStyle w:val="Tabletext"/>
              <w:tabs>
                <w:tab w:val="decimal" w:pos="992"/>
              </w:tabs>
              <w:rPr>
                <w:b/>
              </w:rPr>
            </w:pPr>
            <w:r w:rsidRPr="00D80C81">
              <w:rPr>
                <w:b/>
              </w:rPr>
              <w:t>170</w:t>
            </w:r>
          </w:p>
        </w:tc>
        <w:tc>
          <w:tcPr>
            <w:tcW w:w="1962" w:type="dxa"/>
            <w:tcBorders>
              <w:bottom w:val="single" w:sz="4" w:space="0" w:color="auto"/>
            </w:tcBorders>
            <w:vAlign w:val="bottom"/>
          </w:tcPr>
          <w:p w:rsidR="00C15CB0" w:rsidRPr="00D80C81" w:rsidRDefault="00C15CB0" w:rsidP="00D80C81">
            <w:pPr>
              <w:pStyle w:val="Tabletext"/>
              <w:tabs>
                <w:tab w:val="decimal" w:pos="879"/>
              </w:tabs>
              <w:rPr>
                <w:b/>
              </w:rPr>
            </w:pPr>
            <w:r w:rsidRPr="00D80C81">
              <w:rPr>
                <w:b/>
              </w:rPr>
              <w:t>100.0</w:t>
            </w:r>
          </w:p>
        </w:tc>
      </w:tr>
    </w:tbl>
    <w:p w:rsidR="00C15CB0" w:rsidRPr="004B6B73" w:rsidRDefault="00C15CB0" w:rsidP="00D80C81">
      <w:pPr>
        <w:pStyle w:val="Source"/>
      </w:pPr>
      <w:r w:rsidRPr="004B6B73">
        <w:t>Note:</w:t>
      </w:r>
      <w:r w:rsidR="00D80C81">
        <w:tab/>
      </w:r>
      <w:r w:rsidRPr="004B6B73">
        <w:t>Data reflect public submissions received to 30 April 2014.</w:t>
      </w:r>
    </w:p>
    <w:p w:rsidR="00D44409" w:rsidRDefault="00D44409">
      <w:pPr>
        <w:spacing w:before="0" w:line="240" w:lineRule="auto"/>
        <w:rPr>
          <w:rFonts w:ascii="Arial" w:hAnsi="Arial" w:cs="Tahoma"/>
          <w:color w:val="000000"/>
          <w:sz w:val="24"/>
        </w:rPr>
      </w:pPr>
      <w:r>
        <w:br w:type="page"/>
      </w:r>
    </w:p>
    <w:p w:rsidR="00C15CB0" w:rsidRPr="00342748" w:rsidRDefault="00C15CB0" w:rsidP="00342748">
      <w:pPr>
        <w:pStyle w:val="Heading3"/>
      </w:pPr>
      <w:r w:rsidRPr="00342748">
        <w:lastRenderedPageBreak/>
        <w:t>Key themes</w:t>
      </w:r>
    </w:p>
    <w:p w:rsidR="00C15CB0" w:rsidRDefault="0075603A" w:rsidP="00D80C81">
      <w:pPr>
        <w:pStyle w:val="Textlessbefore"/>
      </w:pPr>
      <w:r>
        <w:t>The terms of reference for the i</w:t>
      </w:r>
      <w:r w:rsidR="00C15CB0">
        <w:t>nquiry were arranged under four items:</w:t>
      </w:r>
    </w:p>
    <w:p w:rsidR="00C15CB0" w:rsidRPr="00006290" w:rsidRDefault="00C15CB0" w:rsidP="00D80C81">
      <w:pPr>
        <w:pStyle w:val="Dotpoint1"/>
      </w:pPr>
      <w:r w:rsidRPr="00006290">
        <w:t xml:space="preserve">the development of skills in the Australian economy </w:t>
      </w:r>
    </w:p>
    <w:p w:rsidR="00C15CB0" w:rsidRPr="00006290" w:rsidRDefault="00C15CB0" w:rsidP="00D80C81">
      <w:pPr>
        <w:pStyle w:val="Dotpoint1"/>
      </w:pPr>
      <w:r w:rsidRPr="00006290">
        <w:t xml:space="preserve">the provision of pathways for Australians to access employment </w:t>
      </w:r>
    </w:p>
    <w:p w:rsidR="00C15CB0" w:rsidRPr="00006290" w:rsidRDefault="00C15CB0" w:rsidP="00D80C81">
      <w:pPr>
        <w:pStyle w:val="Dotpoint1"/>
      </w:pPr>
      <w:r w:rsidRPr="00006290">
        <w:t xml:space="preserve">the provision of pathways for Australians to access </w:t>
      </w:r>
      <w:r>
        <w:t>u</w:t>
      </w:r>
      <w:r w:rsidRPr="00006290">
        <w:t xml:space="preserve">niversity education </w:t>
      </w:r>
    </w:p>
    <w:p w:rsidR="00C15CB0" w:rsidRPr="00006290" w:rsidRDefault="00C15CB0" w:rsidP="00D80C81">
      <w:pPr>
        <w:pStyle w:val="Dotpoint1"/>
      </w:pPr>
      <w:r w:rsidRPr="00006290">
        <w:t>the operation of a competitive training market</w:t>
      </w:r>
      <w:r w:rsidR="00D860C9">
        <w:t>.</w:t>
      </w:r>
    </w:p>
    <w:p w:rsidR="00C15CB0" w:rsidRDefault="00C15CB0" w:rsidP="00D80C81">
      <w:pPr>
        <w:pStyle w:val="Text"/>
      </w:pPr>
      <w:r>
        <w:t>Despite most submissions responding explicitly to these terms, these re</w:t>
      </w:r>
      <w:r w:rsidR="00807550">
        <w:t>ference items were not necessarily</w:t>
      </w:r>
      <w:r>
        <w:t xml:space="preserve"> aligned with the themes emerging</w:t>
      </w:r>
      <w:r w:rsidRPr="00DD65E9">
        <w:t xml:space="preserve"> from the </w:t>
      </w:r>
      <w:r w:rsidRPr="00D80C81">
        <w:t>dataset</w:t>
      </w:r>
      <w:r w:rsidRPr="00DD65E9">
        <w:t xml:space="preserve">. </w:t>
      </w:r>
      <w:r>
        <w:t>Rather, the content analysis revealed appr</w:t>
      </w:r>
      <w:r w:rsidR="00D860C9">
        <w:t>oximately a dozen macrothemes (t</w:t>
      </w:r>
      <w:r>
        <w:t>able 2), each being comprised of three to ten microthemes.</w:t>
      </w:r>
    </w:p>
    <w:p w:rsidR="00D80C81" w:rsidRDefault="00D80C81" w:rsidP="00D80C81">
      <w:pPr>
        <w:pStyle w:val="Text"/>
      </w:pPr>
      <w:r>
        <w:t>Not surprisingly, the issue central to most submissions was the overall value of TAFE providers within the broader Australian VET sector. More than half of the submissions containing this macrotheme referred to the significance of access education across the cohorts of adult/second-chance learners, Indigenous</w:t>
      </w:r>
      <w:r w:rsidRPr="00834983">
        <w:t>, CALD</w:t>
      </w:r>
      <w:r w:rsidRPr="00834983">
        <w:rPr>
          <w:rStyle w:val="FootnoteReference"/>
        </w:rPr>
        <w:footnoteReference w:id="3"/>
      </w:r>
      <w:r w:rsidRPr="00834983">
        <w:t>, people</w:t>
      </w:r>
      <w:r>
        <w:t xml:space="preserve"> with disability, women, individuals of low socioeconomic st</w:t>
      </w:r>
      <w:r w:rsidR="0075603A">
        <w:t xml:space="preserve">atus, youth, and individuals </w:t>
      </w:r>
      <w:r>
        <w:t>in correctional centres. The remainder were vocal about the value of TAFE in building community capacity, particularly the value of TAFE’s wide geographic footprint, given the importance of local delivery in regional, rural and remote Australia. Others stressed the need to recognise and articulate the intrinsic value of TAFE as ‘education’, with a focus on the socia</w:t>
      </w:r>
      <w:r w:rsidR="0075603A">
        <w:t>l dividend rather than solely on the</w:t>
      </w:r>
      <w:r>
        <w:t xml:space="preserve"> economic transaction. The characteristics of TAFE (macrotheme #7) also demonstrated strong support for these institutions, with respondents commenting on the strength of the engagement between TAFE and industry and employers, and its value in providing customised and/or niche education. This was echoed in submissions relating to operations and infrastructure (macrotheme #10), which drew attention to the educational as well as social value of TAFE infrastructure, notably libraries and computing facilities. </w:t>
      </w:r>
    </w:p>
    <w:p w:rsidR="00C15CB0" w:rsidRDefault="00C15CB0" w:rsidP="00C15CB0">
      <w:pPr>
        <w:pStyle w:val="tabletitle"/>
      </w:pPr>
      <w:r>
        <w:t>Table 2</w:t>
      </w:r>
      <w:r>
        <w:tab/>
        <w:t>Macrothemes expressed in the stakeholder submissions received to the Parliamentary Inquiry into the Role of TAFE</w:t>
      </w:r>
      <w:r w:rsidR="00D860C9">
        <w:t xml:space="preserve"> and its Operation</w:t>
      </w:r>
      <w:r w:rsidR="00611BDD">
        <w:t xml:space="preserve"> </w:t>
      </w:r>
    </w:p>
    <w:tbl>
      <w:tblPr>
        <w:tblW w:w="8789" w:type="dxa"/>
        <w:tblInd w:w="108" w:type="dxa"/>
        <w:tblLayout w:type="fixed"/>
        <w:tblLook w:val="04A0" w:firstRow="1" w:lastRow="0" w:firstColumn="1" w:lastColumn="0" w:noHBand="0" w:noVBand="1"/>
      </w:tblPr>
      <w:tblGrid>
        <w:gridCol w:w="6265"/>
        <w:gridCol w:w="2524"/>
      </w:tblGrid>
      <w:tr w:rsidR="00C15CB0" w:rsidRPr="004B6B73" w:rsidTr="00D80C81">
        <w:tc>
          <w:tcPr>
            <w:tcW w:w="6343" w:type="dxa"/>
            <w:tcBorders>
              <w:top w:val="single" w:sz="4" w:space="0" w:color="auto"/>
              <w:bottom w:val="single" w:sz="4" w:space="0" w:color="auto"/>
            </w:tcBorders>
          </w:tcPr>
          <w:p w:rsidR="00C15CB0" w:rsidRPr="004B6B73" w:rsidRDefault="00C15CB0" w:rsidP="00A058DF">
            <w:pPr>
              <w:pStyle w:val="Tablehead1"/>
            </w:pPr>
            <w:r>
              <w:t xml:space="preserve">Macrotheme </w:t>
            </w:r>
          </w:p>
        </w:tc>
        <w:tc>
          <w:tcPr>
            <w:tcW w:w="2554" w:type="dxa"/>
            <w:tcBorders>
              <w:top w:val="single" w:sz="4" w:space="0" w:color="auto"/>
              <w:bottom w:val="single" w:sz="4" w:space="0" w:color="auto"/>
            </w:tcBorders>
          </w:tcPr>
          <w:p w:rsidR="00C15CB0" w:rsidRPr="004B6B73" w:rsidRDefault="00C15CB0" w:rsidP="00D80C81">
            <w:pPr>
              <w:pStyle w:val="Tablehead1"/>
              <w:jc w:val="center"/>
            </w:pPr>
            <w:r>
              <w:t>Number of appearances per</w:t>
            </w:r>
            <w:r w:rsidR="00D80C81">
              <w:t> </w:t>
            </w:r>
            <w:r>
              <w:t>macrotheme</w:t>
            </w:r>
          </w:p>
        </w:tc>
      </w:tr>
      <w:tr w:rsidR="00C15CB0" w:rsidRPr="004B6B73" w:rsidTr="00D80C81">
        <w:tc>
          <w:tcPr>
            <w:tcW w:w="6343" w:type="dxa"/>
            <w:tcBorders>
              <w:top w:val="single" w:sz="4" w:space="0" w:color="auto"/>
            </w:tcBorders>
          </w:tcPr>
          <w:p w:rsidR="00C15CB0" w:rsidRPr="00CF7D78" w:rsidRDefault="00D860C9" w:rsidP="00AC25BD">
            <w:pPr>
              <w:pStyle w:val="Tabletext"/>
              <w:numPr>
                <w:ilvl w:val="0"/>
                <w:numId w:val="5"/>
              </w:numPr>
            </w:pPr>
            <w:r>
              <w:t>Value of TAFE p</w:t>
            </w:r>
            <w:r w:rsidR="00C15CB0" w:rsidRPr="00CF7D78">
              <w:t>roviders</w:t>
            </w:r>
          </w:p>
        </w:tc>
        <w:tc>
          <w:tcPr>
            <w:tcW w:w="2554" w:type="dxa"/>
            <w:tcBorders>
              <w:top w:val="single" w:sz="4" w:space="0" w:color="auto"/>
            </w:tcBorders>
          </w:tcPr>
          <w:p w:rsidR="00C15CB0" w:rsidRPr="00D43518" w:rsidRDefault="00C15CB0" w:rsidP="00D80C81">
            <w:pPr>
              <w:pStyle w:val="Tabletext"/>
              <w:tabs>
                <w:tab w:val="decimal" w:pos="1304"/>
              </w:tabs>
            </w:pPr>
            <w:r w:rsidRPr="00D43518">
              <w:t>214</w:t>
            </w:r>
          </w:p>
        </w:tc>
      </w:tr>
      <w:tr w:rsidR="00C15CB0" w:rsidRPr="004B6B73" w:rsidTr="00D80C81">
        <w:tc>
          <w:tcPr>
            <w:tcW w:w="6343" w:type="dxa"/>
          </w:tcPr>
          <w:p w:rsidR="00C15CB0" w:rsidRPr="00CF7D78" w:rsidRDefault="00C15CB0" w:rsidP="00AC25BD">
            <w:pPr>
              <w:pStyle w:val="Tabletext"/>
              <w:numPr>
                <w:ilvl w:val="0"/>
                <w:numId w:val="5"/>
              </w:numPr>
            </w:pPr>
            <w:r>
              <w:t>Funding and</w:t>
            </w:r>
            <w:r w:rsidRPr="00CF7D78">
              <w:t xml:space="preserve"> funding models</w:t>
            </w:r>
          </w:p>
        </w:tc>
        <w:tc>
          <w:tcPr>
            <w:tcW w:w="2554" w:type="dxa"/>
          </w:tcPr>
          <w:p w:rsidR="00C15CB0" w:rsidRPr="00D43518" w:rsidRDefault="00C15CB0" w:rsidP="00D80C81">
            <w:pPr>
              <w:pStyle w:val="Tabletext"/>
              <w:tabs>
                <w:tab w:val="decimal" w:pos="1304"/>
              </w:tabs>
            </w:pPr>
            <w:r w:rsidRPr="00D43518">
              <w:t>209</w:t>
            </w:r>
          </w:p>
        </w:tc>
      </w:tr>
      <w:tr w:rsidR="00C15CB0" w:rsidRPr="004B6B73" w:rsidTr="00D80C81">
        <w:tc>
          <w:tcPr>
            <w:tcW w:w="6343" w:type="dxa"/>
          </w:tcPr>
          <w:p w:rsidR="00C15CB0" w:rsidRPr="00CF7D78" w:rsidRDefault="00C15CB0" w:rsidP="00AC25BD">
            <w:pPr>
              <w:pStyle w:val="Tabletext"/>
              <w:numPr>
                <w:ilvl w:val="0"/>
                <w:numId w:val="5"/>
              </w:numPr>
            </w:pPr>
            <w:r w:rsidRPr="00CF7D78">
              <w:t>Value of VET Skills</w:t>
            </w:r>
          </w:p>
        </w:tc>
        <w:tc>
          <w:tcPr>
            <w:tcW w:w="2554" w:type="dxa"/>
          </w:tcPr>
          <w:p w:rsidR="00C15CB0" w:rsidRPr="00D43518" w:rsidRDefault="00C15CB0" w:rsidP="00D80C81">
            <w:pPr>
              <w:pStyle w:val="Tabletext"/>
              <w:tabs>
                <w:tab w:val="decimal" w:pos="1304"/>
              </w:tabs>
            </w:pPr>
            <w:r w:rsidRPr="00D43518">
              <w:t>106</w:t>
            </w:r>
          </w:p>
        </w:tc>
      </w:tr>
      <w:tr w:rsidR="00C15CB0" w:rsidRPr="004B6B73" w:rsidTr="00D80C81">
        <w:tc>
          <w:tcPr>
            <w:tcW w:w="6343" w:type="dxa"/>
          </w:tcPr>
          <w:p w:rsidR="00C15CB0" w:rsidRPr="00CF7D78" w:rsidRDefault="00C15CB0" w:rsidP="00AC25BD">
            <w:pPr>
              <w:pStyle w:val="Tabletext"/>
              <w:numPr>
                <w:ilvl w:val="0"/>
                <w:numId w:val="5"/>
              </w:numPr>
            </w:pPr>
            <w:r w:rsidRPr="00CF7D78">
              <w:t xml:space="preserve">Competitive training markets and delivery via RTOs </w:t>
            </w:r>
          </w:p>
        </w:tc>
        <w:tc>
          <w:tcPr>
            <w:tcW w:w="2554" w:type="dxa"/>
          </w:tcPr>
          <w:p w:rsidR="00C15CB0" w:rsidRPr="00D43518" w:rsidRDefault="00C15CB0" w:rsidP="00D80C81">
            <w:pPr>
              <w:pStyle w:val="Tabletext"/>
              <w:tabs>
                <w:tab w:val="decimal" w:pos="1304"/>
              </w:tabs>
            </w:pPr>
            <w:r w:rsidRPr="00D43518">
              <w:t>90</w:t>
            </w:r>
          </w:p>
        </w:tc>
      </w:tr>
      <w:tr w:rsidR="00C15CB0" w:rsidRPr="004B6B73" w:rsidTr="00D80C81">
        <w:tc>
          <w:tcPr>
            <w:tcW w:w="6343" w:type="dxa"/>
          </w:tcPr>
          <w:p w:rsidR="00C15CB0" w:rsidRPr="00CF7D78" w:rsidRDefault="00C15CB0" w:rsidP="00AC25BD">
            <w:pPr>
              <w:pStyle w:val="Tabletext"/>
              <w:numPr>
                <w:ilvl w:val="0"/>
                <w:numId w:val="5"/>
              </w:numPr>
            </w:pPr>
            <w:r w:rsidRPr="00CF7D78">
              <w:t xml:space="preserve">Staffing </w:t>
            </w:r>
            <w:r>
              <w:t>at</w:t>
            </w:r>
            <w:r w:rsidRPr="00CF7D78">
              <w:t xml:space="preserve"> TAFE </w:t>
            </w:r>
          </w:p>
        </w:tc>
        <w:tc>
          <w:tcPr>
            <w:tcW w:w="2554" w:type="dxa"/>
          </w:tcPr>
          <w:p w:rsidR="00C15CB0" w:rsidRPr="00D43518" w:rsidRDefault="00C15CB0" w:rsidP="00D80C81">
            <w:pPr>
              <w:pStyle w:val="Tabletext"/>
              <w:tabs>
                <w:tab w:val="decimal" w:pos="1304"/>
              </w:tabs>
            </w:pPr>
            <w:r w:rsidRPr="00D43518">
              <w:t>88</w:t>
            </w:r>
          </w:p>
        </w:tc>
      </w:tr>
      <w:tr w:rsidR="00C15CB0" w:rsidRPr="004B6B73" w:rsidTr="00D80C81">
        <w:tc>
          <w:tcPr>
            <w:tcW w:w="6343" w:type="dxa"/>
          </w:tcPr>
          <w:p w:rsidR="00C15CB0" w:rsidRPr="00CF7D78" w:rsidRDefault="00D860C9" w:rsidP="00AC25BD">
            <w:pPr>
              <w:pStyle w:val="Tabletext"/>
              <w:numPr>
                <w:ilvl w:val="0"/>
                <w:numId w:val="5"/>
              </w:numPr>
            </w:pPr>
            <w:r>
              <w:t>Regulatory f</w:t>
            </w:r>
            <w:r w:rsidR="00C15CB0" w:rsidRPr="00CF7D78">
              <w:t>ramework</w:t>
            </w:r>
          </w:p>
        </w:tc>
        <w:tc>
          <w:tcPr>
            <w:tcW w:w="2554" w:type="dxa"/>
          </w:tcPr>
          <w:p w:rsidR="00C15CB0" w:rsidRPr="00D43518" w:rsidRDefault="00C15CB0" w:rsidP="00D80C81">
            <w:pPr>
              <w:pStyle w:val="Tabletext"/>
              <w:tabs>
                <w:tab w:val="decimal" w:pos="1304"/>
              </w:tabs>
            </w:pPr>
            <w:r w:rsidRPr="00D43518">
              <w:t>54</w:t>
            </w:r>
          </w:p>
        </w:tc>
      </w:tr>
      <w:tr w:rsidR="00C15CB0" w:rsidRPr="004B6B73" w:rsidTr="00D80C81">
        <w:tc>
          <w:tcPr>
            <w:tcW w:w="6343" w:type="dxa"/>
          </w:tcPr>
          <w:p w:rsidR="00C15CB0" w:rsidRPr="00CF7D78" w:rsidRDefault="00C15CB0" w:rsidP="00AC25BD">
            <w:pPr>
              <w:pStyle w:val="Tabletext"/>
              <w:numPr>
                <w:ilvl w:val="0"/>
                <w:numId w:val="5"/>
              </w:numPr>
            </w:pPr>
            <w:r w:rsidRPr="00CF7D78">
              <w:t>Characteristics of TAFE</w:t>
            </w:r>
          </w:p>
        </w:tc>
        <w:tc>
          <w:tcPr>
            <w:tcW w:w="2554" w:type="dxa"/>
          </w:tcPr>
          <w:p w:rsidR="00C15CB0" w:rsidRPr="00D43518" w:rsidRDefault="00C15CB0" w:rsidP="00D80C81">
            <w:pPr>
              <w:pStyle w:val="Tabletext"/>
              <w:tabs>
                <w:tab w:val="decimal" w:pos="1304"/>
              </w:tabs>
            </w:pPr>
            <w:r w:rsidRPr="00D43518">
              <w:t>48</w:t>
            </w:r>
          </w:p>
        </w:tc>
      </w:tr>
      <w:tr w:rsidR="00C15CB0" w:rsidRPr="004B6B73" w:rsidTr="00D80C81">
        <w:tc>
          <w:tcPr>
            <w:tcW w:w="6343" w:type="dxa"/>
          </w:tcPr>
          <w:p w:rsidR="00C15CB0" w:rsidRPr="00CF7D78" w:rsidRDefault="00C15CB0" w:rsidP="00AC25BD">
            <w:pPr>
              <w:pStyle w:val="Tabletext"/>
              <w:numPr>
                <w:ilvl w:val="0"/>
                <w:numId w:val="5"/>
              </w:numPr>
            </w:pPr>
            <w:r w:rsidRPr="00CF7D78">
              <w:t>Student-centred concerns</w:t>
            </w:r>
          </w:p>
        </w:tc>
        <w:tc>
          <w:tcPr>
            <w:tcW w:w="2554" w:type="dxa"/>
          </w:tcPr>
          <w:p w:rsidR="00C15CB0" w:rsidRPr="00D43518" w:rsidRDefault="00C15CB0" w:rsidP="00D80C81">
            <w:pPr>
              <w:pStyle w:val="Tabletext"/>
              <w:tabs>
                <w:tab w:val="decimal" w:pos="1304"/>
              </w:tabs>
            </w:pPr>
            <w:r w:rsidRPr="00D43518">
              <w:t>45</w:t>
            </w:r>
          </w:p>
        </w:tc>
      </w:tr>
      <w:tr w:rsidR="00C15CB0" w:rsidRPr="004B6B73" w:rsidTr="00D80C81">
        <w:tc>
          <w:tcPr>
            <w:tcW w:w="6343" w:type="dxa"/>
          </w:tcPr>
          <w:p w:rsidR="00C15CB0" w:rsidRPr="00CF7D78" w:rsidRDefault="00C15CB0" w:rsidP="00AC25BD">
            <w:pPr>
              <w:pStyle w:val="Tabletext"/>
              <w:numPr>
                <w:ilvl w:val="0"/>
                <w:numId w:val="5"/>
              </w:numPr>
            </w:pPr>
            <w:r w:rsidRPr="00CF7D78">
              <w:t>Other concerns</w:t>
            </w:r>
            <w:r>
              <w:t xml:space="preserve"> and issues</w:t>
            </w:r>
          </w:p>
        </w:tc>
        <w:tc>
          <w:tcPr>
            <w:tcW w:w="2554" w:type="dxa"/>
          </w:tcPr>
          <w:p w:rsidR="00C15CB0" w:rsidRPr="00D43518" w:rsidRDefault="00C15CB0" w:rsidP="00D80C81">
            <w:pPr>
              <w:pStyle w:val="Tabletext"/>
              <w:tabs>
                <w:tab w:val="decimal" w:pos="1304"/>
              </w:tabs>
            </w:pPr>
            <w:r w:rsidRPr="00D43518">
              <w:t>16</w:t>
            </w:r>
          </w:p>
        </w:tc>
      </w:tr>
      <w:tr w:rsidR="00C15CB0" w:rsidRPr="004B6B73" w:rsidTr="00D80C81">
        <w:tc>
          <w:tcPr>
            <w:tcW w:w="6343" w:type="dxa"/>
          </w:tcPr>
          <w:p w:rsidR="00C15CB0" w:rsidRPr="00CF7D78" w:rsidRDefault="00C15CB0" w:rsidP="00AC25BD">
            <w:pPr>
              <w:pStyle w:val="Tabletext"/>
              <w:numPr>
                <w:ilvl w:val="0"/>
                <w:numId w:val="5"/>
              </w:numPr>
            </w:pPr>
            <w:r w:rsidRPr="00CF7D78">
              <w:t>TAFE operations &amp; infrastructure</w:t>
            </w:r>
          </w:p>
        </w:tc>
        <w:tc>
          <w:tcPr>
            <w:tcW w:w="2554" w:type="dxa"/>
          </w:tcPr>
          <w:p w:rsidR="00C15CB0" w:rsidRPr="00D43518" w:rsidRDefault="00C15CB0" w:rsidP="00D80C81">
            <w:pPr>
              <w:pStyle w:val="Tabletext"/>
              <w:tabs>
                <w:tab w:val="decimal" w:pos="1304"/>
              </w:tabs>
            </w:pPr>
            <w:r w:rsidRPr="00D43518">
              <w:t>14</w:t>
            </w:r>
          </w:p>
        </w:tc>
      </w:tr>
      <w:tr w:rsidR="00C15CB0" w:rsidRPr="004B6B73" w:rsidTr="00D80C81">
        <w:tc>
          <w:tcPr>
            <w:tcW w:w="6343" w:type="dxa"/>
          </w:tcPr>
          <w:p w:rsidR="00C15CB0" w:rsidRPr="00CF7D78" w:rsidRDefault="00C15CB0" w:rsidP="00AC25BD">
            <w:pPr>
              <w:pStyle w:val="Tabletext"/>
              <w:numPr>
                <w:ilvl w:val="0"/>
                <w:numId w:val="5"/>
              </w:numPr>
            </w:pPr>
            <w:r w:rsidRPr="00CF7D78">
              <w:t xml:space="preserve">Linkages between TAFEs and </w:t>
            </w:r>
            <w:r w:rsidR="00D860C9" w:rsidRPr="00CF7D78">
              <w:t>higher education</w:t>
            </w:r>
          </w:p>
        </w:tc>
        <w:tc>
          <w:tcPr>
            <w:tcW w:w="2554" w:type="dxa"/>
          </w:tcPr>
          <w:p w:rsidR="00C15CB0" w:rsidRPr="00D43518" w:rsidRDefault="00C15CB0" w:rsidP="00D80C81">
            <w:pPr>
              <w:pStyle w:val="Tabletext"/>
              <w:tabs>
                <w:tab w:val="decimal" w:pos="1304"/>
              </w:tabs>
            </w:pPr>
            <w:r w:rsidRPr="00D43518">
              <w:t>14</w:t>
            </w:r>
          </w:p>
        </w:tc>
      </w:tr>
      <w:tr w:rsidR="00C15CB0" w:rsidRPr="004B6B73" w:rsidTr="00D80C81">
        <w:tc>
          <w:tcPr>
            <w:tcW w:w="6343" w:type="dxa"/>
          </w:tcPr>
          <w:p w:rsidR="00C15CB0" w:rsidRPr="00CF7D78" w:rsidRDefault="00D860C9" w:rsidP="00AC25BD">
            <w:pPr>
              <w:pStyle w:val="Tabletext"/>
              <w:numPr>
                <w:ilvl w:val="0"/>
                <w:numId w:val="5"/>
              </w:numPr>
            </w:pPr>
            <w:r>
              <w:t>Partnerships and c</w:t>
            </w:r>
            <w:r w:rsidR="00C15CB0" w:rsidRPr="00CF7D78">
              <w:t>ollaboration</w:t>
            </w:r>
          </w:p>
        </w:tc>
        <w:tc>
          <w:tcPr>
            <w:tcW w:w="2554" w:type="dxa"/>
          </w:tcPr>
          <w:p w:rsidR="00C15CB0" w:rsidRPr="00D43518" w:rsidRDefault="00C15CB0" w:rsidP="00D80C81">
            <w:pPr>
              <w:pStyle w:val="Tabletext"/>
              <w:tabs>
                <w:tab w:val="decimal" w:pos="1304"/>
              </w:tabs>
            </w:pPr>
            <w:r w:rsidRPr="00D43518">
              <w:t>13</w:t>
            </w:r>
          </w:p>
        </w:tc>
      </w:tr>
      <w:tr w:rsidR="00C15CB0" w:rsidRPr="004B6B73" w:rsidTr="00D80C81">
        <w:tc>
          <w:tcPr>
            <w:tcW w:w="6343" w:type="dxa"/>
            <w:tcBorders>
              <w:bottom w:val="single" w:sz="4" w:space="0" w:color="auto"/>
            </w:tcBorders>
          </w:tcPr>
          <w:p w:rsidR="00C15CB0" w:rsidRDefault="00C15CB0" w:rsidP="00AC25BD">
            <w:pPr>
              <w:pStyle w:val="Tabletext"/>
              <w:numPr>
                <w:ilvl w:val="0"/>
                <w:numId w:val="5"/>
              </w:numPr>
            </w:pPr>
            <w:r w:rsidRPr="00CF7D78">
              <w:t>International</w:t>
            </w:r>
          </w:p>
        </w:tc>
        <w:tc>
          <w:tcPr>
            <w:tcW w:w="2554" w:type="dxa"/>
            <w:tcBorders>
              <w:bottom w:val="single" w:sz="4" w:space="0" w:color="auto"/>
            </w:tcBorders>
          </w:tcPr>
          <w:p w:rsidR="00C15CB0" w:rsidRPr="00D43518" w:rsidRDefault="00C15CB0" w:rsidP="00D80C81">
            <w:pPr>
              <w:pStyle w:val="Tabletext"/>
              <w:tabs>
                <w:tab w:val="decimal" w:pos="1304"/>
              </w:tabs>
            </w:pPr>
            <w:r w:rsidRPr="00D43518">
              <w:t>5</w:t>
            </w:r>
          </w:p>
        </w:tc>
      </w:tr>
    </w:tbl>
    <w:p w:rsidR="00C15CB0" w:rsidRPr="00D43518" w:rsidRDefault="00C15CB0" w:rsidP="00D80C81">
      <w:pPr>
        <w:pStyle w:val="Source"/>
      </w:pPr>
      <w:r w:rsidRPr="00D43518">
        <w:t>Note:</w:t>
      </w:r>
      <w:r w:rsidR="00D80C81">
        <w:tab/>
      </w:r>
      <w:r w:rsidR="00D80C81" w:rsidRPr="00D43518">
        <w:t xml:space="preserve">Themes </w:t>
      </w:r>
      <w:r w:rsidRPr="00D43518">
        <w:t>are listed in broader order of importance, based on the number of times recorded across the dataset.</w:t>
      </w:r>
      <w:r>
        <w:t xml:space="preserve"> A given submission may have included re</w:t>
      </w:r>
      <w:r w:rsidR="00D860C9">
        <w:t>ference to multiple microthemes within a macrotheme;</w:t>
      </w:r>
      <w:r>
        <w:t xml:space="preserve"> hence</w:t>
      </w:r>
      <w:r w:rsidR="00D860C9">
        <w:t>,</w:t>
      </w:r>
      <w:r>
        <w:t xml:space="preserve"> the total number of appearances for some themes exceed</w:t>
      </w:r>
      <w:r w:rsidR="00D860C9">
        <w:t>s</w:t>
      </w:r>
      <w:r>
        <w:t xml:space="preserve"> the total number of submissions (170).</w:t>
      </w:r>
    </w:p>
    <w:p w:rsidR="00C15CB0" w:rsidRPr="00DD65E9" w:rsidRDefault="00C15CB0" w:rsidP="00D80C81">
      <w:pPr>
        <w:pStyle w:val="Text"/>
        <w:spacing w:before="360"/>
        <w:ind w:right="0"/>
      </w:pPr>
      <w:r>
        <w:lastRenderedPageBreak/>
        <w:t xml:space="preserve">Submissions that referred to the value of </w:t>
      </w:r>
      <w:r w:rsidR="004C5471">
        <w:t>‘</w:t>
      </w:r>
      <w:r>
        <w:t>VET skills</w:t>
      </w:r>
      <w:r w:rsidR="004C5471">
        <w:t>’</w:t>
      </w:r>
      <w:r>
        <w:t xml:space="preserve"> were interpreted as being as qualitatively different from those specifically supporting TAFE-based delivery. Around 50 submissions made mention of the value of vocational training </w:t>
      </w:r>
      <w:r w:rsidR="00B93128">
        <w:t>in</w:t>
      </w:r>
      <w:r>
        <w:t xml:space="preserve"> underpin</w:t>
      </w:r>
      <w:r w:rsidR="00B93128">
        <w:t>ning</w:t>
      </w:r>
      <w:r>
        <w:t xml:space="preserve"> economic and industry growth, sustainability and/or productivity, with a further 18 noting the role of VET pathways in the overall education system. However, almost an equal number identified the value of skills in building social capital, community resilience, culture and wellbeing</w:t>
      </w:r>
      <w:r w:rsidR="00B93128">
        <w:t>, with jobs being not the only — or even the most important —</w:t>
      </w:r>
      <w:r>
        <w:t xml:space="preserve"> outcome. </w:t>
      </w:r>
    </w:p>
    <w:p w:rsidR="00C15CB0" w:rsidRDefault="00C15CB0" w:rsidP="00C15CB0">
      <w:pPr>
        <w:pStyle w:val="Text"/>
      </w:pPr>
      <w:r>
        <w:t>Contention around funding and funding models was a particularly strong macrotheme. Participants called for the restoration of (and/or increase to) TAFE funding, including the need to review base funding arrangements, retain full-service provider funding and provide adequate indexation arrangements.</w:t>
      </w:r>
      <w:r w:rsidR="00611BDD">
        <w:t xml:space="preserve"> </w:t>
      </w:r>
      <w:r>
        <w:t xml:space="preserve">There were strong calls (some 57 submissions) that funding for community access and outreach programs should match their broader community benefit, with many respondents claiming that these services could not (or would not) be adequately provided by </w:t>
      </w:r>
      <w:r w:rsidR="00B93128">
        <w:t>registered training organisations</w:t>
      </w:r>
      <w:r>
        <w:t xml:space="preserve">. Relatedly, there </w:t>
      </w:r>
      <w:r w:rsidR="00B93128">
        <w:t xml:space="preserve">were concerns that commercially </w:t>
      </w:r>
      <w:r>
        <w:t>driven c</w:t>
      </w:r>
      <w:r w:rsidR="00B93128">
        <w:t>ost-</w:t>
      </w:r>
      <w:r>
        <w:t>reduction strategies would undermine TAFE</w:t>
      </w:r>
      <w:r w:rsidR="004C5471">
        <w:t>’</w:t>
      </w:r>
      <w:r>
        <w:t>s social role, resulting in declining quality and service, particula</w:t>
      </w:r>
      <w:r w:rsidR="00564121">
        <w:t xml:space="preserve">rly for pastoral case aspects. </w:t>
      </w:r>
      <w:r>
        <w:t>Almost 30 submissions referred to the high costs of training in thin markets, accompanied by concerns that boutique courses, or those not valued by the market, would be discontinued: visual arts courses were repeatedly mentioned in this content. These concerns were often compounded by the perception that the metro</w:t>
      </w:r>
      <w:r w:rsidR="00564121">
        <w:t xml:space="preserve"> versus </w:t>
      </w:r>
      <w:r>
        <w:t xml:space="preserve">regional cost differential would result in a reduced scope of registration for TAFEs and </w:t>
      </w:r>
      <w:r w:rsidR="00B93128">
        <w:t>registered training organisations</w:t>
      </w:r>
      <w:r>
        <w:t xml:space="preserve"> and less commitment to local delivery</w:t>
      </w:r>
      <w:r w:rsidR="00B93128">
        <w:t>. Elsewhere, concerns were focu</w:t>
      </w:r>
      <w:r>
        <w:t xml:space="preserve">sed on the inconsistencies between </w:t>
      </w:r>
      <w:r w:rsidR="00B93128">
        <w:t xml:space="preserve">the </w:t>
      </w:r>
      <w:r>
        <w:t xml:space="preserve">TAFE and </w:t>
      </w:r>
      <w:r w:rsidR="00B93128">
        <w:t>higher education</w:t>
      </w:r>
      <w:r>
        <w:t xml:space="preserve"> funding models, including the absence of Commonwealth Supported Places, student loans and the Youth Allowance Relocation scheme. </w:t>
      </w:r>
    </w:p>
    <w:p w:rsidR="00C15CB0" w:rsidRPr="00247395" w:rsidRDefault="00C15CB0" w:rsidP="00C15CB0">
      <w:pPr>
        <w:pStyle w:val="Text"/>
      </w:pPr>
      <w:r w:rsidRPr="00247395">
        <w:t xml:space="preserve">The macrotheme of competitive training markets largely </w:t>
      </w:r>
      <w:r w:rsidR="00B93128">
        <w:t>focu</w:t>
      </w:r>
      <w:r>
        <w:t xml:space="preserve">sed on </w:t>
      </w:r>
      <w:r w:rsidRPr="00247395">
        <w:t xml:space="preserve">delivery via </w:t>
      </w:r>
      <w:r w:rsidR="00B93128">
        <w:t>registered training organisations</w:t>
      </w:r>
      <w:r w:rsidRPr="00247395">
        <w:t xml:space="preserve">. Here, </w:t>
      </w:r>
      <w:r>
        <w:t xml:space="preserve">a third of the submissions voiced unease about </w:t>
      </w:r>
      <w:r w:rsidRPr="00247395">
        <w:t xml:space="preserve">the variable and/or questionable quality of RTO delivery, especially with the proliferation of </w:t>
      </w:r>
      <w:r w:rsidR="004C5471">
        <w:t>‘</w:t>
      </w:r>
      <w:r>
        <w:t>fast</w:t>
      </w:r>
      <w:r w:rsidRPr="00247395">
        <w:t>-track</w:t>
      </w:r>
      <w:r w:rsidR="004C5471">
        <w:t>’</w:t>
      </w:r>
      <w:r w:rsidRPr="00247395">
        <w:t xml:space="preserve"> training. </w:t>
      </w:r>
      <w:r>
        <w:t>This was closely fo</w:t>
      </w:r>
      <w:r w:rsidR="00564121">
        <w:t xml:space="preserve">llowed by concern about </w:t>
      </w:r>
      <w:r w:rsidR="004C5471">
        <w:t>‘</w:t>
      </w:r>
      <w:r w:rsidR="00564121">
        <w:t xml:space="preserve">cherry </w:t>
      </w:r>
      <w:r>
        <w:t>picking</w:t>
      </w:r>
      <w:r w:rsidR="004C5471">
        <w:t>’</w:t>
      </w:r>
      <w:r>
        <w:t xml:space="preserve">, with </w:t>
      </w:r>
      <w:r w:rsidR="00B93128">
        <w:t>registered training organisations</w:t>
      </w:r>
      <w:r>
        <w:t xml:space="preserve"> rapidly expanding into areas of low-cost delivery. This was perceived as accentuating the problems of </w:t>
      </w:r>
      <w:r w:rsidRPr="00247395">
        <w:t>thin markets</w:t>
      </w:r>
      <w:r>
        <w:t xml:space="preserve">, the absence of the </w:t>
      </w:r>
      <w:r w:rsidRPr="00247395">
        <w:t>trades training required by industry</w:t>
      </w:r>
      <w:r>
        <w:t xml:space="preserve"> and </w:t>
      </w:r>
      <w:r w:rsidRPr="00247395">
        <w:t>avoidance of regional delivery</w:t>
      </w:r>
      <w:r w:rsidR="00B93128">
        <w:t>,</w:t>
      </w:r>
      <w:r>
        <w:t xml:space="preserve"> with TAFEs l</w:t>
      </w:r>
      <w:r w:rsidRPr="00247395">
        <w:t xml:space="preserve">eft to deliver </w:t>
      </w:r>
      <w:r>
        <w:t xml:space="preserve">courses requiring </w:t>
      </w:r>
      <w:r w:rsidRPr="00247395">
        <w:t xml:space="preserve">expensive facilities and equipment or longer course duration, </w:t>
      </w:r>
      <w:r>
        <w:t xml:space="preserve">despite already struggling </w:t>
      </w:r>
      <w:r w:rsidRPr="00247395">
        <w:t>to deli</w:t>
      </w:r>
      <w:r>
        <w:t>v</w:t>
      </w:r>
      <w:r w:rsidRPr="00247395">
        <w:t>er on social obligation</w:t>
      </w:r>
      <w:r>
        <w:t>s.</w:t>
      </w:r>
    </w:p>
    <w:p w:rsidR="00C15CB0" w:rsidRDefault="00C15CB0" w:rsidP="00C15CB0">
      <w:pPr>
        <w:pStyle w:val="Text"/>
      </w:pPr>
      <w:r w:rsidRPr="00247395">
        <w:t xml:space="preserve">Issues of TAFE staffing were typically, </w:t>
      </w:r>
      <w:r>
        <w:t xml:space="preserve">although not exclusively, raised in </w:t>
      </w:r>
      <w:r w:rsidRPr="00247395">
        <w:t xml:space="preserve">submissions from professional associations and unions. </w:t>
      </w:r>
      <w:r>
        <w:t>The key microthemes included job losses, employment un</w:t>
      </w:r>
      <w:r w:rsidR="0075603A">
        <w:t>certainty,</w:t>
      </w:r>
      <w:r w:rsidR="00B93128">
        <w:t xml:space="preserve"> increased </w:t>
      </w:r>
      <w:proofErr w:type="spellStart"/>
      <w:r w:rsidR="00B93128">
        <w:t>casualis</w:t>
      </w:r>
      <w:r>
        <w:t>ation</w:t>
      </w:r>
      <w:proofErr w:type="spellEnd"/>
      <w:r>
        <w:t xml:space="preserve"> of the workforce and examples of unhealthy workplace culture. There were also calls for a greater commitment to professional development, particularly lifting expectations beyond the Cert</w:t>
      </w:r>
      <w:r w:rsidR="00B93128">
        <w:t>ificate</w:t>
      </w:r>
      <w:r>
        <w:t xml:space="preserve"> IV </w:t>
      </w:r>
      <w:r w:rsidR="00B93128">
        <w:t>in Training and Assessment</w:t>
      </w:r>
      <w:r>
        <w:t xml:space="preserve"> as a base requirement to enter TAFE teaching.</w:t>
      </w:r>
      <w:r w:rsidR="00611BDD">
        <w:t xml:space="preserve"> </w:t>
      </w:r>
      <w:r>
        <w:t xml:space="preserve">However, this was against a backdrop of some 20 submissions commenting on the highly capable and dedicated nature of many TAFE staff. </w:t>
      </w:r>
    </w:p>
    <w:p w:rsidR="00C15CB0" w:rsidRDefault="00C15CB0" w:rsidP="00C15CB0">
      <w:pPr>
        <w:pStyle w:val="Text"/>
      </w:pPr>
      <w:r>
        <w:t>In the area of regulatory frameworks, the two strongest microthemes were a</w:t>
      </w:r>
      <w:r w:rsidR="00B93128">
        <w:t>ssociated with</w:t>
      </w:r>
      <w:r>
        <w:t xml:space="preserve"> </w:t>
      </w:r>
      <w:r w:rsidR="004C5471">
        <w:t>‘</w:t>
      </w:r>
      <w:r>
        <w:t>quality</w:t>
      </w:r>
      <w:r w:rsidR="004C5471">
        <w:t>’</w:t>
      </w:r>
      <w:r>
        <w:t xml:space="preserve"> and </w:t>
      </w:r>
      <w:r w:rsidR="004C5471">
        <w:t>‘</w:t>
      </w:r>
      <w:r>
        <w:t>flexibility and innovation</w:t>
      </w:r>
      <w:r w:rsidR="004C5471">
        <w:t>’</w:t>
      </w:r>
      <w:r>
        <w:t>. Over 20 submissions referred to difficulties in defin</w:t>
      </w:r>
      <w:r w:rsidR="005B59A1">
        <w:t>ing and measuring quality</w:t>
      </w:r>
      <w:r>
        <w:t xml:space="preserve"> and </w:t>
      </w:r>
      <w:r w:rsidR="005B59A1">
        <w:t xml:space="preserve">the </w:t>
      </w:r>
      <w:r>
        <w:t>worrying trends towards compliance and efficiency at the expense of quality.</w:t>
      </w:r>
      <w:r w:rsidR="00611BDD">
        <w:t xml:space="preserve"> </w:t>
      </w:r>
      <w:r w:rsidR="0075603A">
        <w:t>The uncertainty linked to</w:t>
      </w:r>
      <w:r>
        <w:t xml:space="preserve"> rolling reform in the sector and misalignment between </w:t>
      </w:r>
      <w:r w:rsidR="005B59A1">
        <w:t xml:space="preserve">state and federal </w:t>
      </w:r>
      <w:r>
        <w:t xml:space="preserve">priorities were also raised as issues. </w:t>
      </w:r>
    </w:p>
    <w:p w:rsidR="00C15CB0" w:rsidRDefault="00C15CB0" w:rsidP="00C15CB0">
      <w:pPr>
        <w:pStyle w:val="Text"/>
      </w:pPr>
      <w:r>
        <w:lastRenderedPageBreak/>
        <w:t xml:space="preserve">Student-centred concerns were heavily concentrated on the potential for cost-shifting to individuals, higher fees and student debt arrangements, and the implications that these might have </w:t>
      </w:r>
      <w:r w:rsidR="00564121">
        <w:t>for</w:t>
      </w:r>
      <w:r>
        <w:t xml:space="preserve"> accessibility to training, partic</w:t>
      </w:r>
      <w:r w:rsidR="005B59A1">
        <w:t>ularly for disadvantaged groups,</w:t>
      </w:r>
      <w:r>
        <w:t xml:space="preserve"> with travel costs and declining support services also noted. </w:t>
      </w:r>
    </w:p>
    <w:p w:rsidR="00C15CB0" w:rsidRPr="00236012" w:rsidRDefault="00C15CB0" w:rsidP="00C15CB0">
      <w:pPr>
        <w:pStyle w:val="Text"/>
      </w:pPr>
      <w:r>
        <w:t>Linkages between TAFE</w:t>
      </w:r>
      <w:r w:rsidR="005B59A1">
        <w:t xml:space="preserve"> institution</w:t>
      </w:r>
      <w:r>
        <w:t xml:space="preserve">s and universities were mentioned in </w:t>
      </w:r>
      <w:r w:rsidR="005B59A1">
        <w:t>fewer</w:t>
      </w:r>
      <w:r>
        <w:t xml:space="preserve"> than 10% of</w:t>
      </w:r>
      <w:r w:rsidR="0075603A">
        <w:t xml:space="preserve"> the</w:t>
      </w:r>
      <w:r>
        <w:t xml:space="preserve"> submissions; these comprised case st</w:t>
      </w:r>
      <w:r w:rsidR="005B59A1">
        <w:t>udy examples of successful TAFE—</w:t>
      </w:r>
      <w:r>
        <w:t>university partnerships, calls for greater integration of the VET and higher education sector</w:t>
      </w:r>
      <w:r w:rsidR="005B59A1">
        <w:t>s</w:t>
      </w:r>
      <w:r>
        <w:t>, and an increase in articulation arrangements. Two submissions specifically</w:t>
      </w:r>
      <w:r w:rsidR="005B59A1">
        <w:t xml:space="preserve"> identified concerns about TAFE—</w:t>
      </w:r>
      <w:r>
        <w:t>university competition; yet</w:t>
      </w:r>
      <w:r w:rsidR="00564121">
        <w:t>,</w:t>
      </w:r>
      <w:r>
        <w:t xml:space="preserve"> three others called for the introduction of polytechnic universities as a new category </w:t>
      </w:r>
      <w:r w:rsidR="005B59A1">
        <w:t>with</w:t>
      </w:r>
      <w:r>
        <w:t xml:space="preserve">in the </w:t>
      </w:r>
      <w:r w:rsidRPr="00236012">
        <w:t xml:space="preserve">Higher Education Provider Standards, including the potential for a national </w:t>
      </w:r>
      <w:r w:rsidR="005B59A1" w:rsidRPr="00236012">
        <w:t>polytechnic network</w:t>
      </w:r>
      <w:r w:rsidRPr="00236012">
        <w:t xml:space="preserve">. </w:t>
      </w:r>
    </w:p>
    <w:p w:rsidR="00C15CB0" w:rsidRDefault="00C15CB0" w:rsidP="00C15CB0">
      <w:pPr>
        <w:pStyle w:val="Text"/>
      </w:pPr>
      <w:r>
        <w:t xml:space="preserve">The remaining macrothemes included partnerships and collaboration; international opportunities; and an </w:t>
      </w:r>
      <w:r w:rsidR="004C5471">
        <w:t>‘</w:t>
      </w:r>
      <w:r>
        <w:t>other</w:t>
      </w:r>
      <w:r w:rsidR="004C5471">
        <w:t>’</w:t>
      </w:r>
      <w:r>
        <w:t xml:space="preserve"> grouping, with each appearing in only a small number of submissions. The partnerships theme touched on interactions between TAFE, universities, and </w:t>
      </w:r>
      <w:r w:rsidR="005B59A1">
        <w:t>registered training organisations</w:t>
      </w:r>
      <w:r>
        <w:t>, as well as Centrelink and Job Service Providers</w:t>
      </w:r>
      <w:r w:rsidR="00375496">
        <w:t>,</w:t>
      </w:r>
      <w:r>
        <w:t xml:space="preserve"> </w:t>
      </w:r>
      <w:r w:rsidR="005B59A1">
        <w:t>in</w:t>
      </w:r>
      <w:r>
        <w:t xml:space="preserve"> address</w:t>
      </w:r>
      <w:r w:rsidR="005B59A1">
        <w:t>ing</w:t>
      </w:r>
      <w:r>
        <w:t xml:space="preserve"> problems of </w:t>
      </w:r>
      <w:r w:rsidR="004C5471">
        <w:t>‘</w:t>
      </w:r>
      <w:r>
        <w:t>wasted</w:t>
      </w:r>
      <w:r w:rsidR="004C5471">
        <w:t>’</w:t>
      </w:r>
      <w:r>
        <w:t xml:space="preserve"> student entitlements or mismatched student training and employment needs. The international theme included the</w:t>
      </w:r>
      <w:r w:rsidR="005B59A1">
        <w:t xml:space="preserve"> opportunity for growth of TAFE,</w:t>
      </w:r>
      <w:r>
        <w:t xml:space="preserve"> but also </w:t>
      </w:r>
      <w:r w:rsidR="005B59A1">
        <w:t>the streamlining of</w:t>
      </w:r>
      <w:r>
        <w:t xml:space="preserve"> visa processing and post-study work rights for international TAFE students. The most common </w:t>
      </w:r>
      <w:proofErr w:type="spellStart"/>
      <w:r>
        <w:t>microtheme</w:t>
      </w:r>
      <w:proofErr w:type="spellEnd"/>
      <w:r>
        <w:t xml:space="preserve"> in the </w:t>
      </w:r>
      <w:r w:rsidR="004C5471">
        <w:t>‘</w:t>
      </w:r>
      <w:r>
        <w:t>other</w:t>
      </w:r>
      <w:r w:rsidR="004C5471">
        <w:t>’</w:t>
      </w:r>
      <w:r>
        <w:t xml:space="preserve"> category was the need for more data and </w:t>
      </w:r>
      <w:r w:rsidRPr="00236012">
        <w:t xml:space="preserve">modelling </w:t>
      </w:r>
      <w:r w:rsidR="005B59A1">
        <w:t>of</w:t>
      </w:r>
      <w:r>
        <w:t xml:space="preserve"> </w:t>
      </w:r>
      <w:r w:rsidRPr="00236012">
        <w:t>labour markets and training outcomes</w:t>
      </w:r>
      <w:r>
        <w:t xml:space="preserve"> to underpin </w:t>
      </w:r>
      <w:r w:rsidRPr="00236012">
        <w:t>evidence</w:t>
      </w:r>
      <w:r w:rsidR="005B59A1">
        <w:t>-based decision-</w:t>
      </w:r>
      <w:r>
        <w:t>making across the s</w:t>
      </w:r>
      <w:r w:rsidRPr="00236012">
        <w:t>ector</w:t>
      </w:r>
      <w:r>
        <w:t>.</w:t>
      </w:r>
    </w:p>
    <w:p w:rsidR="00C15CB0" w:rsidRPr="00342748" w:rsidRDefault="00C15CB0" w:rsidP="00342748">
      <w:pPr>
        <w:pStyle w:val="Heading2"/>
      </w:pPr>
      <w:bookmarkStart w:id="56" w:name="_Toc412455604"/>
      <w:bookmarkStart w:id="57" w:name="_Toc416683023"/>
      <w:r w:rsidRPr="00342748">
        <w:t>Discussion</w:t>
      </w:r>
      <w:bookmarkEnd w:id="56"/>
      <w:bookmarkEnd w:id="57"/>
    </w:p>
    <w:p w:rsidR="00C15CB0" w:rsidRDefault="00375496" w:rsidP="00D80C81">
      <w:pPr>
        <w:pStyle w:val="Heading3"/>
        <w:spacing w:before="120"/>
        <w:rPr>
          <w:b/>
        </w:rPr>
      </w:pPr>
      <w:r>
        <w:t>Implications of the i</w:t>
      </w:r>
      <w:r w:rsidR="00C15CB0" w:rsidRPr="00342748">
        <w:t xml:space="preserve">nquiry for CQUniversity Australia: tackling issues of </w:t>
      </w:r>
      <w:r w:rsidR="004C5471">
        <w:t>‘</w:t>
      </w:r>
      <w:r w:rsidR="00C15CB0" w:rsidRPr="00342748">
        <w:t>mission and provision</w:t>
      </w:r>
      <w:r w:rsidR="004C5471">
        <w:t>’</w:t>
      </w:r>
    </w:p>
    <w:p w:rsidR="00C15CB0" w:rsidRDefault="00564121" w:rsidP="00D80C81">
      <w:pPr>
        <w:pStyle w:val="Textlessbefore"/>
      </w:pPr>
      <w:proofErr w:type="spellStart"/>
      <w:r>
        <w:rPr>
          <w:rFonts w:eastAsia="Arial"/>
          <w:lang w:val="en-US"/>
        </w:rPr>
        <w:t>CQ</w:t>
      </w:r>
      <w:r w:rsidR="00C15CB0" w:rsidRPr="000F7EC2">
        <w:rPr>
          <w:rFonts w:eastAsia="Arial"/>
          <w:lang w:val="en-US"/>
        </w:rPr>
        <w:t>University</w:t>
      </w:r>
      <w:proofErr w:type="spellEnd"/>
      <w:r w:rsidR="00C15CB0" w:rsidRPr="000F7EC2">
        <w:rPr>
          <w:rFonts w:eastAsia="Arial"/>
          <w:lang w:val="en-US"/>
        </w:rPr>
        <w:t xml:space="preserve"> aspires to</w:t>
      </w:r>
      <w:r w:rsidR="00C15CB0" w:rsidRPr="000F7EC2">
        <w:rPr>
          <w:rFonts w:eastAsia="Arial"/>
          <w:spacing w:val="-2"/>
          <w:lang w:val="en-US"/>
        </w:rPr>
        <w:t xml:space="preserve"> </w:t>
      </w:r>
      <w:r w:rsidR="00C15CB0" w:rsidRPr="000F7EC2">
        <w:rPr>
          <w:rFonts w:eastAsia="Arial"/>
          <w:lang w:val="en-US"/>
        </w:rPr>
        <w:t>be the most</w:t>
      </w:r>
      <w:r w:rsidR="00C15CB0" w:rsidRPr="000F7EC2">
        <w:rPr>
          <w:rFonts w:eastAsia="Arial"/>
          <w:spacing w:val="-5"/>
          <w:lang w:val="en-US"/>
        </w:rPr>
        <w:t xml:space="preserve"> </w:t>
      </w:r>
      <w:r w:rsidR="00C15CB0" w:rsidRPr="000F7EC2">
        <w:rPr>
          <w:rFonts w:eastAsia="Arial"/>
          <w:lang w:val="en-US"/>
        </w:rPr>
        <w:t>engaged and connected university in</w:t>
      </w:r>
      <w:r w:rsidR="00C15CB0" w:rsidRPr="000F7EC2">
        <w:rPr>
          <w:rFonts w:eastAsia="Arial"/>
          <w:spacing w:val="-12"/>
          <w:lang w:val="en-US"/>
        </w:rPr>
        <w:t xml:space="preserve"> </w:t>
      </w:r>
      <w:r w:rsidR="00C15CB0" w:rsidRPr="000F7EC2">
        <w:rPr>
          <w:rFonts w:eastAsia="Arial"/>
          <w:lang w:val="en-US"/>
        </w:rPr>
        <w:t>Australia and a leader in supporting the development of</w:t>
      </w:r>
      <w:r w:rsidR="00C15CB0" w:rsidRPr="000F7EC2">
        <w:rPr>
          <w:rFonts w:eastAsia="Arial"/>
          <w:spacing w:val="-2"/>
          <w:lang w:val="en-US"/>
        </w:rPr>
        <w:t xml:space="preserve"> </w:t>
      </w:r>
      <w:r w:rsidR="00C15CB0" w:rsidRPr="000F7EC2">
        <w:rPr>
          <w:rFonts w:eastAsia="Arial"/>
          <w:lang w:val="en-US"/>
        </w:rPr>
        <w:t>sustainable communities.</w:t>
      </w:r>
      <w:r w:rsidR="00C15CB0">
        <w:rPr>
          <w:rFonts w:eastAsia="Arial"/>
          <w:lang w:val="en-US"/>
        </w:rPr>
        <w:t xml:space="preserve"> </w:t>
      </w:r>
      <w:r w:rsidR="005B59A1">
        <w:t>The u</w:t>
      </w:r>
      <w:r w:rsidR="00C15CB0">
        <w:t xml:space="preserve">niversity is closely considering </w:t>
      </w:r>
      <w:r w:rsidR="00C15CB0" w:rsidRPr="00FD5F39">
        <w:t xml:space="preserve">how opportunities for the delivery of services and programs to support regions, communities and disadvantaged individuals </w:t>
      </w:r>
      <w:r w:rsidR="0016586A">
        <w:t>in</w:t>
      </w:r>
      <w:r w:rsidR="00C15CB0" w:rsidRPr="00FD5F39">
        <w:t xml:space="preserve"> ac</w:t>
      </w:r>
      <w:r w:rsidR="005B59A1">
        <w:t>cess</w:t>
      </w:r>
      <w:r w:rsidR="00375496">
        <w:t xml:space="preserve">ing training and skills — </w:t>
      </w:r>
      <w:r w:rsidR="00C15CB0">
        <w:t xml:space="preserve">and </w:t>
      </w:r>
      <w:r w:rsidR="00C15CB0" w:rsidRPr="00FD5F39">
        <w:t>throug</w:t>
      </w:r>
      <w:r w:rsidR="005B59A1">
        <w:t>h them a pathway to employment —</w:t>
      </w:r>
      <w:r w:rsidR="00C15CB0" w:rsidRPr="00FD5F39">
        <w:t xml:space="preserve"> might be enha</w:t>
      </w:r>
      <w:r w:rsidR="00C15CB0">
        <w:t>nced by the merger</w:t>
      </w:r>
      <w:r w:rsidR="00375496">
        <w:t xml:space="preserve">. </w:t>
      </w:r>
      <w:r w:rsidR="00375496" w:rsidRPr="00F73D1B">
        <w:t xml:space="preserve">The aim of the merger was to create </w:t>
      </w:r>
      <w:r w:rsidR="00F73D1B" w:rsidRPr="00F73D1B">
        <w:t xml:space="preserve">a comprehensive university with </w:t>
      </w:r>
      <w:r w:rsidR="0016586A" w:rsidRPr="00F73D1B">
        <w:t>CQUniversity</w:t>
      </w:r>
      <w:r w:rsidR="00C15CB0" w:rsidRPr="00F73D1B">
        <w:t>. In</w:t>
      </w:r>
      <w:r w:rsidR="00C15CB0">
        <w:t xml:space="preserve"> this context, the key themes emerging from the </w:t>
      </w:r>
      <w:r w:rsidR="005B59A1">
        <w:t xml:space="preserve">parliamentary inquiry </w:t>
      </w:r>
      <w:r w:rsidR="00C15CB0">
        <w:t xml:space="preserve">provide much food for thought. </w:t>
      </w:r>
    </w:p>
    <w:p w:rsidR="00C15CB0" w:rsidRDefault="00C15CB0" w:rsidP="00C15CB0">
      <w:pPr>
        <w:pStyle w:val="Text"/>
      </w:pPr>
      <w:r>
        <w:t>T</w:t>
      </w:r>
      <w:r w:rsidRPr="001D55D4">
        <w:t xml:space="preserve">he </w:t>
      </w:r>
      <w:r>
        <w:t xml:space="preserve">strong concerns </w:t>
      </w:r>
      <w:r w:rsidRPr="001D55D4">
        <w:t xml:space="preserve">about </w:t>
      </w:r>
      <w:r>
        <w:t xml:space="preserve">the social dividend of TAFE, particularly the value of local delivery at regional institutions, and the role of full-cost pricing to (a) enable fulfilment of </w:t>
      </w:r>
      <w:r w:rsidRPr="001D55D4">
        <w:t>community service obligations</w:t>
      </w:r>
      <w:r>
        <w:t xml:space="preserve"> and (b) allow </w:t>
      </w:r>
      <w:r w:rsidRPr="001D55D4">
        <w:t>TAFEs to compete with private providers on an even playing field</w:t>
      </w:r>
      <w:r>
        <w:t xml:space="preserve"> (macrothemes #1, #2)</w:t>
      </w:r>
      <w:r w:rsidRPr="001D55D4">
        <w:t xml:space="preserve"> </w:t>
      </w:r>
      <w:r>
        <w:t>have strong parallels with debates in the higher education sector. For example, the Regional Universities Network (</w:t>
      </w:r>
      <w:r w:rsidRPr="001D55D4">
        <w:t>RUN</w:t>
      </w:r>
      <w:r>
        <w:t xml:space="preserve">) has recently compiled evidence on the overall value of regional </w:t>
      </w:r>
      <w:r w:rsidRPr="001D55D4">
        <w:t>universities</w:t>
      </w:r>
      <w:r>
        <w:t xml:space="preserve"> to their communities, including their often intangible contribution to </w:t>
      </w:r>
      <w:r w:rsidRPr="001D55D4">
        <w:t xml:space="preserve">broader regional development, leadership </w:t>
      </w:r>
      <w:r>
        <w:t>and community outcomes, using an adaptation of the PASCAL framework. This had led to lobbying for policy that explicitly funds the regional development and innovation activities of regional universities (</w:t>
      </w:r>
      <w:r w:rsidR="006A4757" w:rsidRPr="00EC1082">
        <w:t xml:space="preserve">Regional Universities Network </w:t>
      </w:r>
      <w:r w:rsidRPr="00EC1082">
        <w:t>2013</w:t>
      </w:r>
      <w:r w:rsidR="00EC1082" w:rsidRPr="00EC1082">
        <w:t>a</w:t>
      </w:r>
      <w:r w:rsidRPr="00EC1082">
        <w:t>).</w:t>
      </w:r>
      <w:r>
        <w:t xml:space="preserve"> </w:t>
      </w:r>
    </w:p>
    <w:p w:rsidR="00C15CB0" w:rsidRDefault="00C15CB0" w:rsidP="00C15CB0">
      <w:pPr>
        <w:pStyle w:val="Text"/>
      </w:pPr>
      <w:r>
        <w:t xml:space="preserve">Several submissions highlighted that adequate training was not available in their regions, which presents </w:t>
      </w:r>
      <w:r w:rsidR="0016586A">
        <w:rPr>
          <w:rFonts w:eastAsia="Arial" w:cs="Calibri"/>
          <w:lang w:val="en-US"/>
        </w:rPr>
        <w:t>CQU</w:t>
      </w:r>
      <w:r>
        <w:t xml:space="preserve"> (and other institutions) with decisions about target locations for expansion. On what criteria might such decisions rest? </w:t>
      </w:r>
      <w:r w:rsidRPr="00CA7630">
        <w:t>CQU</w:t>
      </w:r>
      <w:r>
        <w:t xml:space="preserve"> </w:t>
      </w:r>
      <w:r w:rsidRPr="00CA7630">
        <w:t>is already rolling out study hubs to provide a local contact point to compleme</w:t>
      </w:r>
      <w:r w:rsidR="006A4757">
        <w:t>nt its distance learning agenda. T</w:t>
      </w:r>
      <w:r w:rsidRPr="00CA7630">
        <w:t xml:space="preserve">hese facilities </w:t>
      </w:r>
      <w:r w:rsidR="0016586A">
        <w:t>encompass</w:t>
      </w:r>
      <w:r w:rsidRPr="00CA7630">
        <w:t xml:space="preserve"> infrastructure access</w:t>
      </w:r>
      <w:r w:rsidR="0016586A">
        <w:t>,</w:t>
      </w:r>
      <w:r w:rsidRPr="00CA7630">
        <w:t xml:space="preserve"> including</w:t>
      </w:r>
      <w:r w:rsidR="0016586A">
        <w:t xml:space="preserve"> a</w:t>
      </w:r>
      <w:r w:rsidRPr="00CA7630">
        <w:t xml:space="preserve"> student contact officer, computing facilities and access to library resources.</w:t>
      </w:r>
      <w:r>
        <w:t xml:space="preserve"> A related </w:t>
      </w:r>
      <w:r>
        <w:lastRenderedPageBreak/>
        <w:t xml:space="preserve">question is that of where to concentrate course offerings and course development. Here, it </w:t>
      </w:r>
      <w:r w:rsidR="006A4757">
        <w:t xml:space="preserve">is interesting to reflect that </w:t>
      </w:r>
      <w:r w:rsidR="004C5471">
        <w:t>‘</w:t>
      </w:r>
      <w:r>
        <w:t>some 80% of the activity of TAFE institutes is in areas other than trades training, such as business, com</w:t>
      </w:r>
      <w:r w:rsidR="006A4757">
        <w:t>munity services and hospitality</w:t>
      </w:r>
      <w:r w:rsidR="004C5471">
        <w:t>’</w:t>
      </w:r>
      <w:r w:rsidR="007F111F">
        <w:t xml:space="preserve"> (LH Martin Institute 2013, p.8). </w:t>
      </w:r>
      <w:r>
        <w:t xml:space="preserve">In the comprehensive university context, it is necessary to consider not only market trends in VET training, but also those disciplines </w:t>
      </w:r>
      <w:r w:rsidR="007F111F">
        <w:t>with</w:t>
      </w:r>
      <w:r>
        <w:t xml:space="preserve"> a strong higher education component and </w:t>
      </w:r>
      <w:r w:rsidR="007F111F">
        <w:t xml:space="preserve">which </w:t>
      </w:r>
      <w:r>
        <w:t xml:space="preserve">can provide integration with research niche areas, such that forward and reverse pathways as well as research-led teaching can be developed to their full advantage. </w:t>
      </w:r>
    </w:p>
    <w:p w:rsidR="00C15CB0" w:rsidRDefault="00C15CB0" w:rsidP="00C15CB0">
      <w:pPr>
        <w:pStyle w:val="Text"/>
      </w:pPr>
      <w:r w:rsidRPr="00A80071">
        <w:t xml:space="preserve">Responding to the area of </w:t>
      </w:r>
      <w:r w:rsidR="004C5471">
        <w:t>‘</w:t>
      </w:r>
      <w:r w:rsidRPr="00A80071">
        <w:t>quality</w:t>
      </w:r>
      <w:r w:rsidR="004C5471">
        <w:t>’</w:t>
      </w:r>
      <w:r w:rsidRPr="00A80071">
        <w:t xml:space="preserve"> (macrothemes #6 and 4), </w:t>
      </w:r>
      <w:r>
        <w:t>t</w:t>
      </w:r>
      <w:r w:rsidRPr="009B4C01">
        <w:t xml:space="preserve">he key interests for teaching and learning </w:t>
      </w:r>
      <w:r>
        <w:t xml:space="preserve">development at </w:t>
      </w:r>
      <w:r w:rsidR="0016586A">
        <w:t>CQUniversity</w:t>
      </w:r>
      <w:r>
        <w:t xml:space="preserve"> already </w:t>
      </w:r>
      <w:r w:rsidR="007F111F">
        <w:t>include best practice approaches</w:t>
      </w:r>
      <w:r w:rsidRPr="009B4C01">
        <w:t xml:space="preserve"> for</w:t>
      </w:r>
      <w:r w:rsidR="0016586A">
        <w:t>:</w:t>
      </w:r>
      <w:r w:rsidRPr="009B4C01">
        <w:t xml:space="preserve"> distance learning, reducing student attrition, integrating mobile devices and other classroom technologies, inclusivity and authentic assessment. </w:t>
      </w:r>
    </w:p>
    <w:p w:rsidR="00C15CB0" w:rsidRDefault="00C15CB0" w:rsidP="00C15CB0">
      <w:pPr>
        <w:pStyle w:val="Text"/>
      </w:pPr>
      <w:r>
        <w:t>With respect to the nee</w:t>
      </w:r>
      <w:r w:rsidR="007F111F">
        <w:t>d for more data (macrotheme #9),</w:t>
      </w:r>
      <w:r>
        <w:t xml:space="preserve"> CQ</w:t>
      </w:r>
      <w:r w:rsidRPr="009B4E01">
        <w:t>U</w:t>
      </w:r>
      <w:r>
        <w:t xml:space="preserve"> has lodged its own submission </w:t>
      </w:r>
      <w:r w:rsidR="00C9724C">
        <w:t xml:space="preserve">(CQUniversity Australia 2014b) </w:t>
      </w:r>
      <w:r>
        <w:t xml:space="preserve">to the </w:t>
      </w:r>
      <w:r w:rsidR="007F111F">
        <w:t>i</w:t>
      </w:r>
      <w:r w:rsidRPr="00834983">
        <w:t>nquiry</w:t>
      </w:r>
      <w:r w:rsidR="007F111F">
        <w:t>,</w:t>
      </w:r>
      <w:r w:rsidRPr="00834983">
        <w:rPr>
          <w:rStyle w:val="FootnoteReference"/>
        </w:rPr>
        <w:footnoteReference w:id="4"/>
      </w:r>
      <w:r>
        <w:t xml:space="preserve"> which </w:t>
      </w:r>
      <w:r w:rsidRPr="009B4E01">
        <w:t>strongly recommend</w:t>
      </w:r>
      <w:r>
        <w:t>ed</w:t>
      </w:r>
      <w:r w:rsidRPr="009B4E01">
        <w:t xml:space="preserve"> building a research agenda in</w:t>
      </w:r>
      <w:r>
        <w:t>to the contemporary TAFE system t</w:t>
      </w:r>
      <w:r w:rsidRPr="009B4E01">
        <w:t xml:space="preserve">o ensure that the </w:t>
      </w:r>
      <w:r w:rsidR="007F111F">
        <w:t>Council for Australian Governments</w:t>
      </w:r>
      <w:r w:rsidRPr="009B4E01">
        <w:t xml:space="preserve"> initiatives are realised</w:t>
      </w:r>
      <w:r w:rsidR="0016586A">
        <w:t xml:space="preserve"> across the sector. The submission</w:t>
      </w:r>
      <w:r>
        <w:t xml:space="preserve"> noted the need to respect TAFE</w:t>
      </w:r>
      <w:r w:rsidR="0016586A">
        <w:t xml:space="preserve"> </w:t>
      </w:r>
      <w:r w:rsidR="00611BDD">
        <w:t>institutions</w:t>
      </w:r>
      <w:r>
        <w:t xml:space="preserve"> for their potential </w:t>
      </w:r>
      <w:r w:rsidR="00375496">
        <w:t>to conduct</w:t>
      </w:r>
      <w:r w:rsidRPr="000F7EC2">
        <w:rPr>
          <w:rFonts w:eastAsia="Calibri" w:cs="Calibri"/>
        </w:rPr>
        <w:t xml:space="preserve"> research </w:t>
      </w:r>
      <w:r>
        <w:rPr>
          <w:rFonts w:eastAsia="Calibri" w:cs="Calibri"/>
        </w:rPr>
        <w:t xml:space="preserve">in partnership with </w:t>
      </w:r>
      <w:r w:rsidRPr="000F7EC2">
        <w:rPr>
          <w:rFonts w:eastAsia="Calibri" w:cs="Calibri"/>
        </w:rPr>
        <w:t>business and industry</w:t>
      </w:r>
      <w:r>
        <w:rPr>
          <w:rFonts w:eastAsia="Calibri" w:cs="Calibri"/>
        </w:rPr>
        <w:t xml:space="preserve">, given their strong track record in engagement. It also acknowledged </w:t>
      </w:r>
      <w:r>
        <w:t xml:space="preserve">the need for VET policy to be enhanced and/or substantiated by quality VET research. As the first integration of a TAFE and university for some significant time, the </w:t>
      </w:r>
      <w:r w:rsidR="00E47C50">
        <w:t xml:space="preserve">merger of </w:t>
      </w:r>
      <w:r>
        <w:t>C</w:t>
      </w:r>
      <w:r w:rsidR="00E47C50">
        <w:t xml:space="preserve">entral Queensland University and the Central Queensland Institute of TAFE </w:t>
      </w:r>
      <w:r>
        <w:t xml:space="preserve">provides a </w:t>
      </w:r>
      <w:r w:rsidR="004C5471">
        <w:t>‘</w:t>
      </w:r>
      <w:r>
        <w:t>living</w:t>
      </w:r>
      <w:r w:rsidR="004C5471">
        <w:t>’</w:t>
      </w:r>
      <w:r>
        <w:t xml:space="preserve"> case study for </w:t>
      </w:r>
      <w:r w:rsidR="00B6375B">
        <w:t>an</w:t>
      </w:r>
      <w:r w:rsidR="00E47C50">
        <w:t xml:space="preserve"> </w:t>
      </w:r>
      <w:r>
        <w:t>analysis o</w:t>
      </w:r>
      <w:r w:rsidR="00B6375B">
        <w:t>f</w:t>
      </w:r>
      <w:r>
        <w:t xml:space="preserve"> many of the key issues raised in submissions to the </w:t>
      </w:r>
      <w:r w:rsidR="00E47C50">
        <w:t>parliamentary enquiry</w:t>
      </w:r>
      <w:r>
        <w:t xml:space="preserve">. </w:t>
      </w:r>
      <w:r w:rsidR="00E47C50">
        <w:rPr>
          <w:rFonts w:eastAsia="Calibri" w:cs="Calibri"/>
        </w:rPr>
        <w:t>The u</w:t>
      </w:r>
      <w:r>
        <w:rPr>
          <w:rFonts w:eastAsia="Calibri" w:cs="Calibri"/>
        </w:rPr>
        <w:t xml:space="preserve">niversity is also driving a research agenda through the VET strategy, including </w:t>
      </w:r>
      <w:r w:rsidR="00B6375B">
        <w:rPr>
          <w:rFonts w:eastAsia="Calibri" w:cs="Calibri"/>
        </w:rPr>
        <w:t xml:space="preserve">the </w:t>
      </w:r>
      <w:r>
        <w:rPr>
          <w:rFonts w:eastAsia="Calibri" w:cs="Calibri"/>
        </w:rPr>
        <w:t>appoi</w:t>
      </w:r>
      <w:r w:rsidR="00F10FA5">
        <w:rPr>
          <w:rFonts w:eastAsia="Calibri" w:cs="Calibri"/>
        </w:rPr>
        <w:t xml:space="preserve">ntment of a research leader </w:t>
      </w:r>
      <w:r>
        <w:rPr>
          <w:rFonts w:eastAsia="Calibri" w:cs="Calibri"/>
        </w:rPr>
        <w:t>in the Industry and VET division.</w:t>
      </w:r>
      <w:r>
        <w:t xml:space="preserve"> </w:t>
      </w:r>
    </w:p>
    <w:p w:rsidR="00C15CB0" w:rsidRPr="00342748" w:rsidRDefault="00B6375B" w:rsidP="00342748">
      <w:pPr>
        <w:pStyle w:val="Heading3"/>
      </w:pPr>
      <w:r>
        <w:t>CQ</w:t>
      </w:r>
      <w:r w:rsidR="00C15CB0" w:rsidRPr="00342748">
        <w:t>University</w:t>
      </w:r>
      <w:r w:rsidR="004C5471">
        <w:t>’</w:t>
      </w:r>
      <w:r>
        <w:t>s</w:t>
      </w:r>
      <w:r w:rsidR="00C15CB0" w:rsidRPr="00342748">
        <w:t xml:space="preserve"> opportunities and challenges post 1 July 2014</w:t>
      </w:r>
    </w:p>
    <w:p w:rsidR="00C15CB0" w:rsidRDefault="00C15CB0" w:rsidP="00560CAF">
      <w:pPr>
        <w:pStyle w:val="Textlessbefore"/>
      </w:pPr>
      <w:r>
        <w:t xml:space="preserve">Many of the opportunities and challenges facing CQU </w:t>
      </w:r>
      <w:r w:rsidR="00F10FA5">
        <w:t xml:space="preserve">after the </w:t>
      </w:r>
      <w:r>
        <w:t xml:space="preserve">merger are analogous to those identified for the broader VET sector in </w:t>
      </w:r>
      <w:r w:rsidR="00F10FA5">
        <w:t>the submission</w:t>
      </w:r>
      <w:r w:rsidR="00375496">
        <w:t>s to the i</w:t>
      </w:r>
      <w:r w:rsidR="00F10FA5">
        <w:t>nquiry. The k</w:t>
      </w:r>
      <w:r>
        <w:t xml:space="preserve">ey items include: </w:t>
      </w:r>
    </w:p>
    <w:p w:rsidR="00C15CB0" w:rsidRPr="00560CAF" w:rsidRDefault="00F10FA5" w:rsidP="00560CAF">
      <w:pPr>
        <w:pStyle w:val="Dotpoint1"/>
      </w:pPr>
      <w:r>
        <w:t>C</w:t>
      </w:r>
      <w:r w:rsidR="00C15CB0">
        <w:t xml:space="preserve">onsidering the architecture of existing dual-sector institutions, how might CQU develop beyond the notion of a 1+1 model, taking into account both its regional obligations and its national </w:t>
      </w:r>
      <w:r w:rsidR="00B6375B">
        <w:t>footprint? CQ</w:t>
      </w:r>
      <w:r>
        <w:t>University</w:t>
      </w:r>
      <w:r w:rsidR="004C5471">
        <w:t>’</w:t>
      </w:r>
      <w:r w:rsidR="00C15CB0">
        <w:t xml:space="preserve">s post-merger structure has a TAFE Directorate as the </w:t>
      </w:r>
      <w:r w:rsidR="00274D68">
        <w:t xml:space="preserve">regional </w:t>
      </w:r>
      <w:r w:rsidR="004C5471">
        <w:t>‘</w:t>
      </w:r>
      <w:r w:rsidR="00274D68">
        <w:t>public</w:t>
      </w:r>
      <w:r w:rsidR="00C15CB0">
        <w:t xml:space="preserve"> provider</w:t>
      </w:r>
      <w:r w:rsidR="004C5471">
        <w:t>’</w:t>
      </w:r>
      <w:r w:rsidR="00C15CB0">
        <w:t xml:space="preserve"> of VET, situated within the Industry and Vocational Training and Access Education (IVTAE) Division</w:t>
      </w:r>
      <w:r>
        <w:t>, which</w:t>
      </w:r>
      <w:r w:rsidR="00C15CB0">
        <w:t xml:space="preserve"> has a national VET role: each are key structural approaches to d</w:t>
      </w:r>
      <w:r>
        <w:t xml:space="preserve">efining CQU as a </w:t>
      </w:r>
      <w:r w:rsidRPr="00560CAF">
        <w:t>comprehensive u</w:t>
      </w:r>
      <w:r w:rsidR="00C15CB0" w:rsidRPr="00560CAF">
        <w:t xml:space="preserve">niversity. </w:t>
      </w:r>
    </w:p>
    <w:p w:rsidR="00C15CB0" w:rsidRPr="00560CAF" w:rsidRDefault="00F10FA5" w:rsidP="00560CAF">
      <w:pPr>
        <w:pStyle w:val="Dotpoint1"/>
      </w:pPr>
      <w:r w:rsidRPr="00560CAF">
        <w:t>H</w:t>
      </w:r>
      <w:r w:rsidR="00C15CB0" w:rsidRPr="00560CAF">
        <w:t xml:space="preserve">ow can the best aspects of TAFE policy and practice, and the positive regard in which </w:t>
      </w:r>
      <w:r w:rsidRPr="00560CAF">
        <w:t>they are</w:t>
      </w:r>
      <w:r w:rsidR="00C15CB0" w:rsidRPr="00560CAF">
        <w:t xml:space="preserve"> held by the community, be put to best advantage under the comprehensive university model? </w:t>
      </w:r>
      <w:r w:rsidR="00B6375B" w:rsidRPr="00560CAF">
        <w:t>CQU</w:t>
      </w:r>
      <w:r w:rsidR="00C15CB0" w:rsidRPr="00560CAF">
        <w:t xml:space="preserve"> is current</w:t>
      </w:r>
      <w:r w:rsidR="00375496">
        <w:t>ly a leading institution for its</w:t>
      </w:r>
      <w:r w:rsidR="00C15CB0" w:rsidRPr="00560CAF">
        <w:t xml:space="preserve"> number of </w:t>
      </w:r>
      <w:r w:rsidR="004C5471" w:rsidRPr="00560CAF">
        <w:t>‘</w:t>
      </w:r>
      <w:r w:rsidR="00C15CB0" w:rsidRPr="00560CAF">
        <w:t>first-in-family</w:t>
      </w:r>
      <w:r w:rsidR="004C5471" w:rsidRPr="00560CAF">
        <w:t>’</w:t>
      </w:r>
      <w:r w:rsidR="00C15CB0" w:rsidRPr="00560CAF">
        <w:t xml:space="preserve"> enrolments in higher education; the merger will provide even greater capacity for individuals to attend </w:t>
      </w:r>
      <w:r w:rsidR="004C5471" w:rsidRPr="00560CAF">
        <w:t>‘</w:t>
      </w:r>
      <w:r w:rsidR="00C15CB0" w:rsidRPr="00560CAF">
        <w:t>university</w:t>
      </w:r>
      <w:r w:rsidR="004C5471" w:rsidRPr="00560CAF">
        <w:t>’</w:t>
      </w:r>
      <w:r w:rsidR="00C15CB0" w:rsidRPr="00560CAF">
        <w:t xml:space="preserve"> for the first time. The dynamics and impact of this on the broader regional community will be an interesting variable for </w:t>
      </w:r>
      <w:r w:rsidRPr="00560CAF">
        <w:t>the university</w:t>
      </w:r>
      <w:r w:rsidR="00C15CB0" w:rsidRPr="00560CAF">
        <w:t xml:space="preserve"> to understand and manage.</w:t>
      </w:r>
      <w:r w:rsidR="00611BDD" w:rsidRPr="00560CAF">
        <w:t xml:space="preserve"> </w:t>
      </w:r>
      <w:r w:rsidR="00C15CB0" w:rsidRPr="00560CAF">
        <w:t xml:space="preserve">The merger also provides an opportunity to leverage the expertise and success of CQIT and CQU to provide a broader range of entry opportunities for disadvantaged individuals, particularly with respect to local Indigenous communities and remote and rural </w:t>
      </w:r>
      <w:r w:rsidR="00942FB7" w:rsidRPr="00560CAF">
        <w:t>communities</w:t>
      </w:r>
      <w:r w:rsidR="00C15CB0" w:rsidRPr="00560CAF">
        <w:t xml:space="preserve">. </w:t>
      </w:r>
    </w:p>
    <w:p w:rsidR="00C15CB0" w:rsidRDefault="00F10FA5" w:rsidP="00560CAF">
      <w:pPr>
        <w:pStyle w:val="Dotpoint1"/>
      </w:pPr>
      <w:r w:rsidRPr="00560CAF">
        <w:lastRenderedPageBreak/>
        <w:t>T</w:t>
      </w:r>
      <w:r w:rsidR="00C15CB0" w:rsidRPr="00560CAF">
        <w:t xml:space="preserve">he </w:t>
      </w:r>
      <w:r w:rsidRPr="00560CAF">
        <w:t>Central Queensland University</w:t>
      </w:r>
      <w:r w:rsidR="00C15CB0" w:rsidRPr="00560CAF">
        <w:t xml:space="preserve"> VET Strategy provides a broad framework for the future of VET within a comprehensive</w:t>
      </w:r>
      <w:r w:rsidR="00C15CB0">
        <w:t xml:space="preserve"> institution, but does not specifically address a range of post-merger</w:t>
      </w:r>
      <w:r>
        <w:t xml:space="preserve"> challenges and opportunities. </w:t>
      </w:r>
      <w:r w:rsidR="00C15CB0">
        <w:t>Items of particular consideration include the merits of merging VET qualifications with higher educ</w:t>
      </w:r>
      <w:r>
        <w:t xml:space="preserve">ation via an integrated </w:t>
      </w:r>
      <w:r w:rsidR="004C5471">
        <w:t>‘</w:t>
      </w:r>
      <w:r>
        <w:t>School</w:t>
      </w:r>
      <w:r w:rsidR="004C5471">
        <w:t>’</w:t>
      </w:r>
      <w:r w:rsidR="00C15CB0">
        <w:t xml:space="preserve"> model; blending the relevant strategies and cultures for industry engagement, research and business development; creating genuine career pathways for current TAFE teachers; and ways to enhance the student experience. There is also a need to identify the balance between delivery efficiency and meeting community expectations, beyond that of pathways and articulations. Significant effort should also be directed to an awareness campaign, both internally and externally, to promote the benefits of the merger.</w:t>
      </w:r>
      <w:r w:rsidR="00611BDD">
        <w:t xml:space="preserve"> </w:t>
      </w:r>
    </w:p>
    <w:p w:rsidR="00C15CB0" w:rsidRPr="00560CAF" w:rsidRDefault="00F10FA5" w:rsidP="00560CAF">
      <w:pPr>
        <w:pStyle w:val="Dotpoint1"/>
      </w:pPr>
      <w:r>
        <w:t>M</w:t>
      </w:r>
      <w:r w:rsidR="00C15CB0">
        <w:t xml:space="preserve">ore than ever before, return on investment is receiving greater emphasis with respect to government-funded training. </w:t>
      </w:r>
      <w:r w:rsidR="00B6375B">
        <w:t>CQ</w:t>
      </w:r>
      <w:r>
        <w:t>University</w:t>
      </w:r>
      <w:r w:rsidR="00C15CB0">
        <w:t xml:space="preserve"> has a strong commitment to graduate employment outcomes as a key success indicator,</w:t>
      </w:r>
      <w:r>
        <w:t xml:space="preserve"> yet the strategic plan of the u</w:t>
      </w:r>
      <w:r w:rsidR="00C15CB0">
        <w:t xml:space="preserve">niversity is also heavily anchored in industry engagement and benefits to the </w:t>
      </w:r>
      <w:r w:rsidR="004C5471">
        <w:t>‘</w:t>
      </w:r>
      <w:r w:rsidR="00C15CB0">
        <w:t>community chest</w:t>
      </w:r>
      <w:r w:rsidR="004C5471">
        <w:t>’</w:t>
      </w:r>
      <w:r w:rsidR="00C15CB0">
        <w:t xml:space="preserve">, thus offering strong and diverse dividends on investment from the perspective of </w:t>
      </w:r>
      <w:r w:rsidR="00C15CB0" w:rsidRPr="00560CAF">
        <w:t xml:space="preserve">the student as well as the government. </w:t>
      </w:r>
    </w:p>
    <w:p w:rsidR="00C15CB0" w:rsidRDefault="00B6375B" w:rsidP="00560CAF">
      <w:pPr>
        <w:pStyle w:val="Dotpoint1"/>
      </w:pPr>
      <w:r w:rsidRPr="00560CAF">
        <w:t>CQU is e</w:t>
      </w:r>
      <w:r w:rsidR="00C15CB0" w:rsidRPr="00560CAF">
        <w:t>xamining ways to provide a more efficient means o</w:t>
      </w:r>
      <w:r w:rsidR="00375496">
        <w:t xml:space="preserve">f supporting </w:t>
      </w:r>
      <w:r w:rsidR="00C15CB0">
        <w:t>e</w:t>
      </w:r>
      <w:r w:rsidR="00375496">
        <w:t>conomic and industry growth in the</w:t>
      </w:r>
      <w:r w:rsidR="00C15CB0">
        <w:t xml:space="preserve"> region by developing cross-sectoral use of facilities and resources, as well as by providing more effective means of industry engagement</w:t>
      </w:r>
      <w:r w:rsidR="00375496">
        <w:t>.</w:t>
      </w:r>
      <w:r w:rsidR="00C15CB0">
        <w:t xml:space="preserve"> </w:t>
      </w:r>
      <w:r w:rsidR="00375496">
        <w:t>The aim is for CQU to be</w:t>
      </w:r>
      <w:r w:rsidR="00C15CB0">
        <w:t xml:space="preserve"> seen as a one-stop-solution for the education, training, research and professional development needs of industry.</w:t>
      </w:r>
    </w:p>
    <w:p w:rsidR="00C15CB0" w:rsidRPr="00342748" w:rsidRDefault="00C15CB0" w:rsidP="00342748">
      <w:pPr>
        <w:pStyle w:val="Heading3"/>
      </w:pPr>
      <w:r w:rsidRPr="00342748">
        <w:t>Broader applications across the education sector</w:t>
      </w:r>
    </w:p>
    <w:p w:rsidR="00C15CB0" w:rsidRDefault="00C15CB0" w:rsidP="00560CAF">
      <w:pPr>
        <w:pStyle w:val="Textlessbefore"/>
      </w:pPr>
      <w:r>
        <w:t xml:space="preserve">Already, </w:t>
      </w:r>
      <w:r w:rsidR="00F10FA5">
        <w:t>the Council of Australian Governments</w:t>
      </w:r>
      <w:r w:rsidRPr="00ED7711">
        <w:t xml:space="preserve"> has affirmed that more Australians need to contribute to, and benefit from, the prosperity of t</w:t>
      </w:r>
      <w:r w:rsidR="00B6375B">
        <w:t>he nation</w:t>
      </w:r>
      <w:r w:rsidR="003F6C6A">
        <w:t>:</w:t>
      </w:r>
      <w:r w:rsidR="00B6375B">
        <w:t xml:space="preserve"> </w:t>
      </w:r>
      <w:r w:rsidR="003F6C6A">
        <w:t>the</w:t>
      </w:r>
      <w:r w:rsidR="00B6375B">
        <w:t xml:space="preserve"> increased</w:t>
      </w:r>
      <w:r w:rsidRPr="00ED7711">
        <w:t xml:space="preserve"> skills and qualifications </w:t>
      </w:r>
      <w:r w:rsidR="00B6375B">
        <w:t xml:space="preserve">levels </w:t>
      </w:r>
      <w:r w:rsidRPr="00ED7711">
        <w:t xml:space="preserve">of individual workers </w:t>
      </w:r>
      <w:r w:rsidR="003F6C6A">
        <w:t>will</w:t>
      </w:r>
      <w:r w:rsidRPr="00ED7711">
        <w:t xml:space="preserve"> support Australian businesses and drive improvements in the productivity of the economy while fostering greater leve</w:t>
      </w:r>
      <w:r w:rsidR="00F10FA5">
        <w:t>ls of workforce participation. The CQIT—</w:t>
      </w:r>
      <w:r>
        <w:t xml:space="preserve">CQU merger is not a </w:t>
      </w:r>
      <w:r w:rsidR="003F6C6A">
        <w:t>unique</w:t>
      </w:r>
      <w:r>
        <w:t xml:space="preserve"> phenomenon: a number of regional dual-sectors already exist in Victor</w:t>
      </w:r>
      <w:r w:rsidR="003F6C6A">
        <w:t>ia and the Northern Territory.</w:t>
      </w:r>
      <w:r>
        <w:t xml:space="preserve"> Notwithstanding this, the analysis </w:t>
      </w:r>
      <w:r w:rsidR="00375496">
        <w:t xml:space="preserve">of the </w:t>
      </w:r>
      <w:r>
        <w:t xml:space="preserve">material from the </w:t>
      </w:r>
      <w:r w:rsidR="00C9724C">
        <w:t xml:space="preserve">parliamentary inquiry </w:t>
      </w:r>
      <w:r>
        <w:t xml:space="preserve">indicates that the advantage and combined benefits of merging higher education and vocational training institutions </w:t>
      </w:r>
      <w:r w:rsidR="003F6C6A">
        <w:t>are</w:t>
      </w:r>
      <w:r>
        <w:t xml:space="preserve"> yet to be recognised by many stakeholders. </w:t>
      </w:r>
    </w:p>
    <w:p w:rsidR="00C15CB0" w:rsidRDefault="00C9724C" w:rsidP="00942FB7">
      <w:pPr>
        <w:pStyle w:val="Text"/>
      </w:pPr>
      <w:r>
        <w:t>The inquiry</w:t>
      </w:r>
      <w:r w:rsidR="00C15CB0">
        <w:t xml:space="preserve"> and the struc</w:t>
      </w:r>
      <w:r w:rsidR="00375496">
        <w:t xml:space="preserve">tural change occurring </w:t>
      </w:r>
      <w:r w:rsidR="00C15CB0">
        <w:t>in the ski</w:t>
      </w:r>
      <w:r>
        <w:t>lls and training sector provide</w:t>
      </w:r>
      <w:r w:rsidR="00C15CB0">
        <w:t xml:space="preserve"> an opportunity for </w:t>
      </w:r>
      <w:r w:rsidR="00375496">
        <w:t>CQ</w:t>
      </w:r>
      <w:r>
        <w:t>University</w:t>
      </w:r>
      <w:r w:rsidR="00C15CB0">
        <w:t xml:space="preserve"> to engage with and influence the broader debate, including issues of: </w:t>
      </w:r>
    </w:p>
    <w:p w:rsidR="00C15CB0" w:rsidRPr="00560CAF" w:rsidRDefault="00C15CB0" w:rsidP="00560CAF">
      <w:pPr>
        <w:pStyle w:val="Dotpoint1"/>
      </w:pPr>
      <w:r>
        <w:t>the future role</w:t>
      </w:r>
      <w:r w:rsidR="003F6C6A">
        <w:t xml:space="preserve"> and purpose of the TAFE public </w:t>
      </w:r>
      <w:r>
        <w:t xml:space="preserve">provider model, with respect to consistency of delivery (especially across regions); acting as a </w:t>
      </w:r>
      <w:r w:rsidR="004C5471">
        <w:t>‘</w:t>
      </w:r>
      <w:r>
        <w:t>sa</w:t>
      </w:r>
      <w:r w:rsidR="003F6C6A">
        <w:t xml:space="preserve">fety </w:t>
      </w:r>
      <w:r>
        <w:t>net</w:t>
      </w:r>
      <w:r w:rsidR="004C5471">
        <w:t>’</w:t>
      </w:r>
      <w:r>
        <w:t xml:space="preserve"> for marginalised product delivery areas; and being the agent by which governme</w:t>
      </w:r>
      <w:r w:rsidR="00C9724C">
        <w:t xml:space="preserve">nt can </w:t>
      </w:r>
      <w:r w:rsidR="00C9724C" w:rsidRPr="00560CAF">
        <w:t>facilitate policy change</w:t>
      </w:r>
    </w:p>
    <w:p w:rsidR="00C15CB0" w:rsidRPr="00560CAF" w:rsidRDefault="00C15CB0" w:rsidP="00560CAF">
      <w:pPr>
        <w:pStyle w:val="Dotpoint1"/>
      </w:pPr>
      <w:r w:rsidRPr="00560CAF">
        <w:t>new models for Australi</w:t>
      </w:r>
      <w:r w:rsidR="00C9724C" w:rsidRPr="00560CAF">
        <w:t xml:space="preserve">an dual-sector institutions, </w:t>
      </w:r>
      <w:r w:rsidR="00375496">
        <w:t>models that</w:t>
      </w:r>
      <w:r w:rsidRPr="00560CAF">
        <w:t xml:space="preserve"> define and redefine the concept of a</w:t>
      </w:r>
      <w:r w:rsidR="00C9724C" w:rsidRPr="00560CAF">
        <w:t xml:space="preserve"> </w:t>
      </w:r>
      <w:r w:rsidR="004C5471" w:rsidRPr="00560CAF">
        <w:t>‘</w:t>
      </w:r>
      <w:r w:rsidR="00C9724C" w:rsidRPr="00560CAF">
        <w:t>comprehensive university</w:t>
      </w:r>
      <w:r w:rsidR="004C5471" w:rsidRPr="00560CAF">
        <w:t>’</w:t>
      </w:r>
    </w:p>
    <w:p w:rsidR="00C15CB0" w:rsidRDefault="00C15CB0" w:rsidP="00560CAF">
      <w:pPr>
        <w:pStyle w:val="Dotpoint1"/>
      </w:pPr>
      <w:r w:rsidRPr="00560CAF">
        <w:t>the contribution of integrated educational providers to overall</w:t>
      </w:r>
      <w:r>
        <w:t xml:space="preserve"> regional growth and wellbeing.</w:t>
      </w:r>
      <w:r w:rsidR="00611BDD">
        <w:t xml:space="preserve"> </w:t>
      </w:r>
    </w:p>
    <w:p w:rsidR="00C15CB0" w:rsidRDefault="00C9724C" w:rsidP="00942FB7">
      <w:pPr>
        <w:pStyle w:val="Text"/>
      </w:pPr>
      <w:r>
        <w:t>The LH Martin Institute (2013, p.</w:t>
      </w:r>
      <w:r w:rsidR="00C15CB0">
        <w:t xml:space="preserve">5) refers to the need for a system of </w:t>
      </w:r>
      <w:r w:rsidR="004C5471">
        <w:t>‘</w:t>
      </w:r>
      <w:r w:rsidR="00C15CB0">
        <w:t>diversity, innovation and choice</w:t>
      </w:r>
      <w:r w:rsidR="004C5471">
        <w:t>’</w:t>
      </w:r>
      <w:r w:rsidR="00C15CB0">
        <w:t xml:space="preserve">: </w:t>
      </w:r>
      <w:r>
        <w:t>Central Queensland University</w:t>
      </w:r>
      <w:r w:rsidR="004C5471">
        <w:t>’</w:t>
      </w:r>
      <w:r>
        <w:t xml:space="preserve">s experiences in the near </w:t>
      </w:r>
      <w:r w:rsidR="00C15CB0">
        <w:t xml:space="preserve">term </w:t>
      </w:r>
      <w:r w:rsidR="003F6C6A">
        <w:t>will</w:t>
      </w:r>
      <w:r w:rsidR="00C15CB0">
        <w:t xml:space="preserve"> be important in signalling ways to achieve increased diversity, innovation and enhanced individual, employer and industry choice across the sector.</w:t>
      </w:r>
    </w:p>
    <w:p w:rsidR="00D44409" w:rsidRDefault="00D44409">
      <w:pPr>
        <w:spacing w:before="0" w:line="240" w:lineRule="auto"/>
        <w:rPr>
          <w:rFonts w:ascii="Arial" w:hAnsi="Arial" w:cs="Tahoma"/>
          <w:sz w:val="28"/>
        </w:rPr>
      </w:pPr>
      <w:bookmarkStart w:id="58" w:name="_Toc412455605"/>
      <w:bookmarkStart w:id="59" w:name="_Toc416683024"/>
      <w:r>
        <w:br w:type="page"/>
      </w:r>
    </w:p>
    <w:p w:rsidR="00C15CB0" w:rsidRDefault="00C15CB0" w:rsidP="00942FB7">
      <w:pPr>
        <w:pStyle w:val="Heading2"/>
      </w:pPr>
      <w:r w:rsidRPr="00CD6B0C">
        <w:lastRenderedPageBreak/>
        <w:t>Conclusions</w:t>
      </w:r>
      <w:bookmarkEnd w:id="58"/>
      <w:bookmarkEnd w:id="59"/>
    </w:p>
    <w:p w:rsidR="00C15CB0" w:rsidRDefault="00C15CB0" w:rsidP="00C15CB0">
      <w:pPr>
        <w:pStyle w:val="Text"/>
      </w:pPr>
      <w:r>
        <w:t>The Australian VET sector has arguably been in a state of turmoil since its inception, with the role of TAFE</w:t>
      </w:r>
      <w:r w:rsidR="00C9724C">
        <w:t xml:space="preserve"> institution</w:t>
      </w:r>
      <w:r>
        <w:t>s u</w:t>
      </w:r>
      <w:r w:rsidR="003F6C6A">
        <w:t>nder constant review and analysi</w:t>
      </w:r>
      <w:r>
        <w:t>s, driven by criticisms of unresponsiveness to industry needs. U</w:t>
      </w:r>
      <w:r w:rsidR="00375496">
        <w:t>ncertainty prevails over policy and</w:t>
      </w:r>
      <w:r>
        <w:t xml:space="preserve"> structural and </w:t>
      </w:r>
      <w:r w:rsidR="00C9724C">
        <w:t>funding arrangements,</w:t>
      </w:r>
      <w:r>
        <w:t xml:space="preserve"> but against this backdrop, the merger of CQIT and CQU provides an opportunity to address the issue of responsiveness in the context of regional VET as well as higher education delivery. T</w:t>
      </w:r>
      <w:r w:rsidRPr="00927900">
        <w:t>he VET strategy developed to guide the</w:t>
      </w:r>
      <w:r>
        <w:t>se</w:t>
      </w:r>
      <w:r w:rsidRPr="00927900">
        <w:t xml:space="preserve"> two institutions could be regarded as an example o</w:t>
      </w:r>
      <w:r w:rsidR="00C9724C">
        <w:t>f TAFE and VET reform in action</w:t>
      </w:r>
      <w:r w:rsidRPr="00927900">
        <w:t xml:space="preserve"> and provides a basis from which other institutions might look to take the same journey.</w:t>
      </w:r>
    </w:p>
    <w:p w:rsidR="00C15CB0" w:rsidRDefault="00C15CB0" w:rsidP="00560CAF">
      <w:pPr>
        <w:pStyle w:val="Heading2"/>
      </w:pPr>
      <w:bookmarkStart w:id="60" w:name="_Toc412455606"/>
      <w:bookmarkStart w:id="61" w:name="_Toc416683025"/>
      <w:r w:rsidRPr="00CD6B0C">
        <w:t>References</w:t>
      </w:r>
      <w:bookmarkEnd w:id="60"/>
      <w:bookmarkEnd w:id="61"/>
    </w:p>
    <w:p w:rsidR="009C5884" w:rsidRDefault="00F21135" w:rsidP="00560CAF">
      <w:pPr>
        <w:pStyle w:val="References"/>
      </w:pPr>
      <w:r w:rsidRPr="00F21135">
        <w:t>Australian Council for Private Education and Training</w:t>
      </w:r>
      <w:r>
        <w:t xml:space="preserve"> (</w:t>
      </w:r>
      <w:r w:rsidR="009C5884">
        <w:t>ACPET</w:t>
      </w:r>
      <w:r>
        <w:t>)</w:t>
      </w:r>
      <w:r w:rsidR="009C5884">
        <w:t xml:space="preserve"> 2014, </w:t>
      </w:r>
      <w:r w:rsidR="004C5471">
        <w:t>‘</w:t>
      </w:r>
      <w:r>
        <w:t>Submission to House of Representatives Committee of Inquiry into the Role of the Technical and Further Education System and its Operations</w:t>
      </w:r>
      <w:r w:rsidR="004C5471">
        <w:t>’</w:t>
      </w:r>
      <w:r w:rsidR="009C5884" w:rsidRPr="008C2967">
        <w:rPr>
          <w:i/>
        </w:rPr>
        <w:t>,</w:t>
      </w:r>
      <w:r w:rsidR="009C5884">
        <w:t xml:space="preserve"> </w:t>
      </w:r>
      <w:r>
        <w:t>viewed 18 April 2015, &lt;</w:t>
      </w:r>
      <w:hyperlink r:id="rId28" w:history="1">
        <w:r w:rsidR="00560CAF" w:rsidRPr="001523DB">
          <w:rPr>
            <w:rStyle w:val="Hyperlink"/>
            <w:sz w:val="18"/>
          </w:rPr>
          <w:t xml:space="preserve">http://www.aph.gov.au/Parliamentary_Business/Committees/ </w:t>
        </w:r>
        <w:proofErr w:type="spellStart"/>
        <w:r w:rsidR="00560CAF" w:rsidRPr="001523DB">
          <w:rPr>
            <w:rStyle w:val="Hyperlink"/>
            <w:sz w:val="18"/>
          </w:rPr>
          <w:t>House_of_Representatives_Committees?url</w:t>
        </w:r>
        <w:proofErr w:type="spellEnd"/>
        <w:r w:rsidR="00560CAF" w:rsidRPr="001523DB">
          <w:rPr>
            <w:rStyle w:val="Hyperlink"/>
            <w:sz w:val="18"/>
          </w:rPr>
          <w:t>=</w:t>
        </w:r>
        <w:proofErr w:type="spellStart"/>
        <w:r w:rsidR="00560CAF" w:rsidRPr="001523DB">
          <w:rPr>
            <w:rStyle w:val="Hyperlink"/>
            <w:sz w:val="18"/>
          </w:rPr>
          <w:t>ee</w:t>
        </w:r>
        <w:proofErr w:type="spellEnd"/>
        <w:r w:rsidR="00560CAF" w:rsidRPr="001523DB">
          <w:rPr>
            <w:rStyle w:val="Hyperlink"/>
            <w:sz w:val="18"/>
          </w:rPr>
          <w:t>/tafe44/subs.htm</w:t>
        </w:r>
      </w:hyperlink>
      <w:r>
        <w:t>&gt;.</w:t>
      </w:r>
    </w:p>
    <w:p w:rsidR="00C15CB0" w:rsidRPr="001405E4" w:rsidRDefault="00C15CB0" w:rsidP="00560CAF">
      <w:pPr>
        <w:pStyle w:val="References"/>
      </w:pPr>
      <w:r w:rsidRPr="001405E4">
        <w:t>Braun</w:t>
      </w:r>
      <w:r w:rsidR="00C9724C">
        <w:t>, V &amp;</w:t>
      </w:r>
      <w:r w:rsidRPr="001405E4">
        <w:t xml:space="preserve"> Clark</w:t>
      </w:r>
      <w:r w:rsidR="00C9724C">
        <w:t>,</w:t>
      </w:r>
      <w:r w:rsidRPr="001405E4">
        <w:t xml:space="preserve"> V 2006</w:t>
      </w:r>
      <w:r>
        <w:t>,</w:t>
      </w:r>
      <w:r w:rsidRPr="001405E4">
        <w:t xml:space="preserve"> </w:t>
      </w:r>
      <w:r w:rsidR="004C5471">
        <w:t>‘</w:t>
      </w:r>
      <w:r w:rsidRPr="001405E4">
        <w:t>Using thematic analysis in psychology</w:t>
      </w:r>
      <w:r w:rsidR="004C5471">
        <w:t>’</w:t>
      </w:r>
      <w:r>
        <w:t xml:space="preserve">, </w:t>
      </w:r>
      <w:r w:rsidRPr="00942FB7">
        <w:rPr>
          <w:i/>
        </w:rPr>
        <w:t>Qualitative research in Psychology</w:t>
      </w:r>
      <w:r w:rsidR="00560CAF">
        <w:t xml:space="preserve">, </w:t>
      </w:r>
      <w:r w:rsidR="00C9724C">
        <w:t>vol.</w:t>
      </w:r>
      <w:r w:rsidRPr="001405E4">
        <w:t>3</w:t>
      </w:r>
      <w:r w:rsidR="00C9724C">
        <w:t>, no.</w:t>
      </w:r>
      <w:r w:rsidR="00942FB7">
        <w:t>2, pp.</w:t>
      </w:r>
      <w:r w:rsidR="00C9724C">
        <w:t>77—</w:t>
      </w:r>
      <w:r w:rsidRPr="001405E4">
        <w:t>101.</w:t>
      </w:r>
    </w:p>
    <w:p w:rsidR="00C15CB0" w:rsidRPr="001405E4" w:rsidRDefault="00C15CB0" w:rsidP="00560CAF">
      <w:pPr>
        <w:pStyle w:val="References"/>
      </w:pPr>
      <w:r w:rsidRPr="001405E4">
        <w:t xml:space="preserve">CQUniversity Australia 2014a, </w:t>
      </w:r>
      <w:r w:rsidR="008C2967" w:rsidRPr="008C2967">
        <w:rPr>
          <w:i/>
        </w:rPr>
        <w:t>Vocational training s</w:t>
      </w:r>
      <w:r w:rsidRPr="008C2967">
        <w:rPr>
          <w:i/>
        </w:rPr>
        <w:t>trategy</w:t>
      </w:r>
      <w:r w:rsidR="008C2967">
        <w:t>, D</w:t>
      </w:r>
      <w:r w:rsidRPr="001405E4">
        <w:t>ivision of Industry, Vocational Training and Access Education</w:t>
      </w:r>
      <w:r w:rsidR="009C5884">
        <w:t>, CQUniversity,</w:t>
      </w:r>
      <w:r w:rsidR="008C2967">
        <w:t xml:space="preserve"> North</w:t>
      </w:r>
      <w:r w:rsidR="009C5884">
        <w:t xml:space="preserve"> R</w:t>
      </w:r>
      <w:r w:rsidR="008C2967">
        <w:t>ockhampton, Queensland</w:t>
      </w:r>
      <w:r w:rsidRPr="001405E4">
        <w:t>.</w:t>
      </w:r>
    </w:p>
    <w:p w:rsidR="008C2967" w:rsidRPr="001405E4" w:rsidRDefault="00C9724C" w:rsidP="00560CAF">
      <w:pPr>
        <w:pStyle w:val="References"/>
      </w:pPr>
      <w:r>
        <w:t>——</w:t>
      </w:r>
      <w:r w:rsidR="00C15CB0" w:rsidRPr="001405E4">
        <w:t xml:space="preserve">2014b, </w:t>
      </w:r>
      <w:r w:rsidR="004C5471">
        <w:t>‘</w:t>
      </w:r>
      <w:r w:rsidR="009C5884">
        <w:t>Submission to House of Representatives Committee of Inquiry into the Role of the Technical and Further Education System and its Operations</w:t>
      </w:r>
      <w:r w:rsidR="004C5471">
        <w:t>’</w:t>
      </w:r>
      <w:r w:rsidR="009C5884">
        <w:t>, CQUniversity,</w:t>
      </w:r>
      <w:r w:rsidR="008C2967">
        <w:t xml:space="preserve"> North</w:t>
      </w:r>
      <w:r w:rsidR="009C5884">
        <w:t xml:space="preserve"> R</w:t>
      </w:r>
      <w:r w:rsidR="008C2967">
        <w:t>ockhampton, Queensland</w:t>
      </w:r>
      <w:r w:rsidR="008C2967" w:rsidRPr="001405E4">
        <w:t>.</w:t>
      </w:r>
    </w:p>
    <w:p w:rsidR="00C15CB0" w:rsidRPr="00942FB7" w:rsidRDefault="006A4757" w:rsidP="00560CAF">
      <w:pPr>
        <w:pStyle w:val="References"/>
      </w:pPr>
      <w:r>
        <w:t xml:space="preserve">LH Martin Institute 2013, </w:t>
      </w:r>
      <w:r w:rsidR="004C5471">
        <w:t>‘</w:t>
      </w:r>
      <w:r>
        <w:t xml:space="preserve">Submission to </w:t>
      </w:r>
      <w:r w:rsidR="00251E6A">
        <w:t>House of Representatives Committee of Inquiry into the Role of the Technical and Further Education System and its Operations</w:t>
      </w:r>
      <w:r w:rsidR="004C5471">
        <w:t>’</w:t>
      </w:r>
      <w:r w:rsidR="00C15CB0">
        <w:t xml:space="preserve">, </w:t>
      </w:r>
      <w:r w:rsidR="00EE1B67">
        <w:t>viewed 18 April 2015, &lt;</w:t>
      </w:r>
      <w:hyperlink r:id="rId29" w:history="1">
        <w:r w:rsidR="00560CAF" w:rsidRPr="001523DB">
          <w:rPr>
            <w:rStyle w:val="Hyperlink"/>
            <w:sz w:val="18"/>
          </w:rPr>
          <w:t>http://www.aph.gov.au/Parliamentary_Business/Committees/House_of_Representatives_Committees?url=ee/tafe44/subs.htm</w:t>
        </w:r>
      </w:hyperlink>
      <w:r w:rsidR="00EE1B67">
        <w:t>&gt;.</w:t>
      </w:r>
    </w:p>
    <w:p w:rsidR="00C15CB0" w:rsidRPr="00942FB7" w:rsidRDefault="006A4757" w:rsidP="00560CAF">
      <w:pPr>
        <w:pStyle w:val="References"/>
      </w:pPr>
      <w:r>
        <w:t>Regional Universities Network</w:t>
      </w:r>
      <w:r w:rsidR="00C15CB0" w:rsidRPr="00942FB7">
        <w:t xml:space="preserve"> 2013a, </w:t>
      </w:r>
      <w:r w:rsidR="00C15CB0" w:rsidRPr="008C2967">
        <w:rPr>
          <w:i/>
        </w:rPr>
        <w:t xml:space="preserve">Smarter </w:t>
      </w:r>
      <w:r w:rsidR="008C2967">
        <w:rPr>
          <w:i/>
        </w:rPr>
        <w:t>r</w:t>
      </w:r>
      <w:r w:rsidR="00C15CB0" w:rsidRPr="008C2967">
        <w:rPr>
          <w:i/>
        </w:rPr>
        <w:t xml:space="preserve">egions, </w:t>
      </w:r>
      <w:r w:rsidR="008C2967">
        <w:rPr>
          <w:i/>
        </w:rPr>
        <w:t>s</w:t>
      </w:r>
      <w:r w:rsidR="00C15CB0" w:rsidRPr="008C2967">
        <w:rPr>
          <w:i/>
        </w:rPr>
        <w:t xml:space="preserve">marter Australia </w:t>
      </w:r>
      <w:r w:rsidR="008C2967">
        <w:rPr>
          <w:i/>
        </w:rPr>
        <w:t>p</w:t>
      </w:r>
      <w:r w:rsidR="00C15CB0" w:rsidRPr="008C2967">
        <w:rPr>
          <w:i/>
        </w:rPr>
        <w:t>olic</w:t>
      </w:r>
      <w:r w:rsidR="008C2967">
        <w:rPr>
          <w:i/>
        </w:rPr>
        <w:t>y advice for an incoming g</w:t>
      </w:r>
      <w:r w:rsidR="00C15CB0" w:rsidRPr="008C2967">
        <w:rPr>
          <w:i/>
        </w:rPr>
        <w:t>overnment</w:t>
      </w:r>
      <w:r w:rsidR="00C15CB0" w:rsidRPr="00942FB7">
        <w:t>, Regional Universities Network</w:t>
      </w:r>
      <w:r w:rsidR="00F21135">
        <w:t>,</w:t>
      </w:r>
      <w:r w:rsidR="008C2967">
        <w:t xml:space="preserve"> Canber</w:t>
      </w:r>
      <w:r w:rsidR="00F21135">
        <w:t>ra</w:t>
      </w:r>
      <w:r w:rsidR="00C15CB0" w:rsidRPr="00942FB7">
        <w:t xml:space="preserve">. </w:t>
      </w:r>
    </w:p>
    <w:p w:rsidR="008C2967" w:rsidRPr="00942FB7" w:rsidRDefault="006A4757" w:rsidP="00560CAF">
      <w:pPr>
        <w:pStyle w:val="References"/>
      </w:pPr>
      <w:r>
        <w:t>——</w:t>
      </w:r>
      <w:r w:rsidR="00C15CB0" w:rsidRPr="00942FB7">
        <w:t xml:space="preserve">2013b, </w:t>
      </w:r>
      <w:r w:rsidR="008C2967" w:rsidRPr="00560CAF">
        <w:rPr>
          <w:i/>
        </w:rPr>
        <w:t>Regional Universities Network: e</w:t>
      </w:r>
      <w:r w:rsidR="00C15CB0" w:rsidRPr="00560CAF">
        <w:rPr>
          <w:i/>
        </w:rPr>
        <w:t>ngaging with regions, building a stronger nation</w:t>
      </w:r>
      <w:r w:rsidR="00C15CB0" w:rsidRPr="00942FB7">
        <w:t>,</w:t>
      </w:r>
      <w:r w:rsidR="008C2967">
        <w:t xml:space="preserve"> Regional Universities Network,</w:t>
      </w:r>
      <w:r w:rsidR="008C2967" w:rsidRPr="008C2967">
        <w:t xml:space="preserve"> </w:t>
      </w:r>
      <w:r w:rsidR="00F21135">
        <w:t>Canberra</w:t>
      </w:r>
      <w:r w:rsidR="008C2967" w:rsidRPr="00942FB7">
        <w:t xml:space="preserve">. </w:t>
      </w:r>
    </w:p>
    <w:p w:rsidR="00C15CB0" w:rsidRDefault="00C15CB0" w:rsidP="00560CAF">
      <w:pPr>
        <w:pStyle w:val="References"/>
      </w:pPr>
      <w:proofErr w:type="spellStart"/>
      <w:r>
        <w:t>Wheelahan</w:t>
      </w:r>
      <w:proofErr w:type="spellEnd"/>
      <w:r>
        <w:t xml:space="preserve">, L 2014, </w:t>
      </w:r>
      <w:r w:rsidR="004C5471">
        <w:t>‘</w:t>
      </w:r>
      <w:r w:rsidRPr="00942FB7">
        <w:t>The race to the bottom in the VET market &amp; why TAFE cannot win: House of Representatives Standing Committee on Education and Employment Inquiry into TAFE</w:t>
      </w:r>
      <w:r w:rsidR="004C5471">
        <w:t>’</w:t>
      </w:r>
      <w:r>
        <w:t xml:space="preserve">, LH Martin Institute for </w:t>
      </w:r>
      <w:r w:rsidRPr="003B0DFF">
        <w:t>Tertiary Educ</w:t>
      </w:r>
      <w:r w:rsidR="00F21135">
        <w:t>ation Leadership and Management</w:t>
      </w:r>
      <w:r w:rsidRPr="003B0DFF">
        <w:t xml:space="preserve"> and the Melbourne Graduate School of Education, University of Melbourne</w:t>
      </w:r>
      <w:r>
        <w:t xml:space="preserve">, accessed online at: </w:t>
      </w:r>
      <w:r w:rsidR="00F21135">
        <w:t>&lt;</w:t>
      </w:r>
      <w:hyperlink r:id="rId30" w:history="1">
        <w:r w:rsidR="00560CAF" w:rsidRPr="001523DB">
          <w:rPr>
            <w:rStyle w:val="Hyperlink"/>
            <w:sz w:val="18"/>
          </w:rPr>
          <w:t>http://www.aph.gov.au/Parliamentary_ Business/Committees/House_of_Representatives_Committees?url=ee/tafe44/subs.htm</w:t>
        </w:r>
      </w:hyperlink>
      <w:r w:rsidR="00F21135">
        <w:t>&gt;.</w:t>
      </w:r>
      <w:r>
        <w:t xml:space="preserve"> </w:t>
      </w:r>
    </w:p>
    <w:p w:rsidR="00C15CB0" w:rsidRPr="00FF41C9" w:rsidRDefault="00C15CB0" w:rsidP="00560CAF">
      <w:pPr>
        <w:pStyle w:val="References"/>
      </w:pPr>
      <w:proofErr w:type="spellStart"/>
      <w:r>
        <w:t>Wheelahan</w:t>
      </w:r>
      <w:proofErr w:type="spellEnd"/>
      <w:r>
        <w:t xml:space="preserve">, L 2012, </w:t>
      </w:r>
      <w:r w:rsidR="004C5471">
        <w:t>‘</w:t>
      </w:r>
      <w:r w:rsidRPr="00942FB7">
        <w:t>The differing dynamics underpinning markets in tertiary education in Australia and the impact on equity and social inclusion</w:t>
      </w:r>
      <w:r w:rsidR="004C5471">
        <w:t>’</w:t>
      </w:r>
      <w:r>
        <w:t xml:space="preserve">, </w:t>
      </w:r>
      <w:r w:rsidR="006A7AE2">
        <w:t xml:space="preserve">paper presented to </w:t>
      </w:r>
      <w:r w:rsidRPr="006A7AE2">
        <w:t>World Education Research Association Forum</w:t>
      </w:r>
      <w:r w:rsidR="008C2967">
        <w:rPr>
          <w:i/>
        </w:rPr>
        <w:t>,</w:t>
      </w:r>
      <w:r w:rsidRPr="008C2967">
        <w:rPr>
          <w:i/>
        </w:rPr>
        <w:t xml:space="preserve"> </w:t>
      </w:r>
      <w:r w:rsidRPr="006653E4">
        <w:t>Sydney</w:t>
      </w:r>
      <w:r w:rsidR="008C2967">
        <w:t xml:space="preserve">, </w:t>
      </w:r>
      <w:r w:rsidRPr="006653E4">
        <w:t>6 December 2012</w:t>
      </w:r>
      <w:r>
        <w:t>.</w:t>
      </w:r>
    </w:p>
    <w:p w:rsidR="008730B2" w:rsidRDefault="008730B2" w:rsidP="00A058DF">
      <w:pPr>
        <w:pStyle w:val="Heading1"/>
        <w:ind w:right="-1"/>
      </w:pPr>
    </w:p>
    <w:p w:rsidR="00933F51" w:rsidRDefault="00933F51">
      <w:pPr>
        <w:spacing w:before="0" w:line="240" w:lineRule="auto"/>
        <w:rPr>
          <w:rFonts w:ascii="Tahoma" w:hAnsi="Tahoma" w:cs="Tahoma"/>
          <w:color w:val="000000"/>
          <w:kern w:val="28"/>
          <w:sz w:val="56"/>
          <w:szCs w:val="56"/>
        </w:rPr>
      </w:pPr>
      <w:r>
        <w:rPr>
          <w:rFonts w:ascii="Tahoma" w:hAnsi="Tahoma" w:cs="Tahoma"/>
          <w:color w:val="000000"/>
          <w:kern w:val="28"/>
          <w:sz w:val="56"/>
          <w:szCs w:val="56"/>
        </w:rPr>
        <w:br w:type="page"/>
      </w:r>
    </w:p>
    <w:p w:rsidR="00A058DF" w:rsidRPr="00A058DF" w:rsidRDefault="004C5471" w:rsidP="00A058DF">
      <w:pPr>
        <w:pStyle w:val="Heading1"/>
        <w:ind w:right="-1"/>
      </w:pPr>
      <w:bookmarkStart w:id="62" w:name="_Toc416683026"/>
      <w:r>
        <w:lastRenderedPageBreak/>
        <w:t>‘</w:t>
      </w:r>
      <w:r w:rsidR="00A058DF" w:rsidRPr="00A058DF">
        <w:t>That</w:t>
      </w:r>
      <w:r>
        <w:t>’</w:t>
      </w:r>
      <w:r w:rsidR="00A058DF" w:rsidRPr="00A058DF">
        <w:t>s not a job for a lady</w:t>
      </w:r>
      <w:r>
        <w:t>’</w:t>
      </w:r>
      <w:r w:rsidR="00A058DF" w:rsidRPr="00A058DF">
        <w:t>: understanding the impact of gender on career exploration activities in schools</w:t>
      </w:r>
      <w:bookmarkEnd w:id="62"/>
    </w:p>
    <w:p w:rsidR="00A058DF" w:rsidRDefault="00A058DF" w:rsidP="00F17BA9">
      <w:pPr>
        <w:pStyle w:val="StyleAuthorsLeft0cm"/>
      </w:pPr>
      <w:r>
        <w:t>Kira Clarke</w:t>
      </w:r>
    </w:p>
    <w:p w:rsidR="00A058DF" w:rsidRDefault="00A058DF" w:rsidP="00F17BA9">
      <w:pPr>
        <w:pStyle w:val="StyleOrganisationLeft0cmRight-0cm"/>
      </w:pPr>
      <w:r>
        <w:t>University of Melbourne</w:t>
      </w:r>
    </w:p>
    <w:p w:rsidR="00950881" w:rsidRDefault="00950881" w:rsidP="00F17BA9">
      <w:pPr>
        <w:pStyle w:val="StyleAuthorsLeft0cm"/>
      </w:pPr>
    </w:p>
    <w:p w:rsidR="00950881" w:rsidRDefault="00950881" w:rsidP="00F17BA9">
      <w:pPr>
        <w:pStyle w:val="StyleAuthorsLeft0cm"/>
      </w:pPr>
      <w:r>
        <w:t>Linda Simon</w:t>
      </w:r>
    </w:p>
    <w:p w:rsidR="00950881" w:rsidRPr="00A058DF" w:rsidRDefault="00950881" w:rsidP="00F17BA9">
      <w:pPr>
        <w:pStyle w:val="StyleOrganisationLeft0cmRight-0cm"/>
      </w:pPr>
      <w:r>
        <w:t>Women in Adult and Vocational Education (WAVE)</w:t>
      </w:r>
    </w:p>
    <w:p w:rsidR="00A058DF" w:rsidRPr="00A058DF" w:rsidRDefault="00A058DF" w:rsidP="00D1337E">
      <w:pPr>
        <w:pStyle w:val="Text"/>
        <w:spacing w:before="360"/>
        <w:ind w:right="0"/>
      </w:pPr>
      <w:r w:rsidRPr="00A058DF">
        <w:t>This paper draws on a project commissioned by economic Security 4 Women (eS4W) and conducted by Women in Adult and Vocati</w:t>
      </w:r>
      <w:r w:rsidR="006A7AE2">
        <w:t>onal Education (WAVE)</w:t>
      </w:r>
      <w:r w:rsidR="003F6C6A">
        <w:t>. E</w:t>
      </w:r>
      <w:r w:rsidR="006A7AE2">
        <w:t xml:space="preserve">ntitled </w:t>
      </w:r>
      <w:r w:rsidR="004C5471">
        <w:t>‘</w:t>
      </w:r>
      <w:r w:rsidRPr="00A058DF">
        <w:t>Women and girls into non-traditional occupations and industries: career exploration</w:t>
      </w:r>
      <w:r w:rsidR="008040F5">
        <w:t xml:space="preserve"> —</w:t>
      </w:r>
      <w:r w:rsidRPr="00A058DF">
        <w:t xml:space="preserve"> option</w:t>
      </w:r>
      <w:r w:rsidR="006A7AE2">
        <w:t>s for secondary school students</w:t>
      </w:r>
      <w:r w:rsidR="004C5471">
        <w:t>’</w:t>
      </w:r>
      <w:r w:rsidR="003F6C6A">
        <w:t>, t</w:t>
      </w:r>
      <w:r w:rsidR="00375496">
        <w:t>his research seeks to identify</w:t>
      </w:r>
      <w:r w:rsidRPr="00A058DF">
        <w:t xml:space="preserve"> new and effective approaches to encouraging and supporting young women </w:t>
      </w:r>
      <w:r w:rsidR="00375496">
        <w:t>to pursue</w:t>
      </w:r>
      <w:r w:rsidR="00273835">
        <w:t xml:space="preserve"> </w:t>
      </w:r>
      <w:r w:rsidRPr="00A058DF">
        <w:t xml:space="preserve">careers in </w:t>
      </w:r>
      <w:r w:rsidR="006A7AE2" w:rsidRPr="00A058DF">
        <w:t xml:space="preserve">science, technology, engineering and mathematics </w:t>
      </w:r>
      <w:r w:rsidRPr="00A058DF">
        <w:t xml:space="preserve">(STEM) and non-traditional occupations. </w:t>
      </w:r>
    </w:p>
    <w:p w:rsidR="00A058DF" w:rsidRPr="00A058DF" w:rsidRDefault="00375496" w:rsidP="00A058DF">
      <w:pPr>
        <w:pStyle w:val="Text"/>
      </w:pPr>
      <w:r>
        <w:t>The p</w:t>
      </w:r>
      <w:r w:rsidR="00A058DF" w:rsidRPr="00A058DF">
        <w:t>atterns of p</w:t>
      </w:r>
      <w:r w:rsidR="006A7AE2">
        <w:t>articipation in STEM and trades-</w:t>
      </w:r>
      <w:r w:rsidR="00A058DF" w:rsidRPr="00A058DF">
        <w:t xml:space="preserve">based fields of education and training during school mirror </w:t>
      </w:r>
      <w:r w:rsidR="006A7AE2">
        <w:t>and reinforce the highly gender-</w:t>
      </w:r>
      <w:r w:rsidR="00A058DF" w:rsidRPr="00A058DF">
        <w:t xml:space="preserve">segregated nature of the Australian labour force. The foundation for transition from education and training to employment is established during school. It is during these formative years of schooling that young men and women </w:t>
      </w:r>
      <w:r>
        <w:t>are made aware</w:t>
      </w:r>
      <w:r w:rsidR="006A7AE2">
        <w:t xml:space="preserve"> of what is possible for them</w:t>
      </w:r>
      <w:r w:rsidR="00A058DF" w:rsidRPr="00A058DF">
        <w:t xml:space="preserve"> and what is not. </w:t>
      </w:r>
    </w:p>
    <w:p w:rsidR="00A058DF" w:rsidRPr="00A058DF" w:rsidRDefault="00A058DF" w:rsidP="00A058DF">
      <w:pPr>
        <w:pStyle w:val="Text"/>
      </w:pPr>
      <w:r w:rsidRPr="00A058DF">
        <w:t>This paper draws on a national survey of career exploration</w:t>
      </w:r>
      <w:r w:rsidR="00375496">
        <w:t xml:space="preserve"> practitioners and</w:t>
      </w:r>
      <w:r w:rsidRPr="00A058DF">
        <w:t xml:space="preserve"> industry and VET stakeholders to highlight some of the challenges facing approaches to career exploration for young women and ways </w:t>
      </w:r>
      <w:r w:rsidR="006A7AE2">
        <w:t>by</w:t>
      </w:r>
      <w:r w:rsidRPr="00A058DF">
        <w:t xml:space="preserve"> which models of career exploration for youn</w:t>
      </w:r>
      <w:r w:rsidR="006A7AE2">
        <w:t>g women could be strengthened. The k</w:t>
      </w:r>
      <w:r w:rsidRPr="00A058DF">
        <w:t xml:space="preserve">ey challenges for strengthening career exploration identified by stakeholders include: a lack of access of young women to mentors and successful role models within STEM </w:t>
      </w:r>
      <w:r w:rsidR="006A7AE2">
        <w:t>and non-traditional occupations;</w:t>
      </w:r>
      <w:r w:rsidRPr="00A058DF">
        <w:t xml:space="preserve"> training </w:t>
      </w:r>
      <w:r w:rsidR="00274D68" w:rsidRPr="00A058DF">
        <w:t>and resources</w:t>
      </w:r>
      <w:r w:rsidRPr="00A058DF">
        <w:t xml:space="preserve"> to support the work of career education practitioners in schools</w:t>
      </w:r>
      <w:r w:rsidR="006A7AE2">
        <w:t>;</w:t>
      </w:r>
      <w:r w:rsidRPr="00A058DF">
        <w:t xml:space="preserve"> and the complex nature of school</w:t>
      </w:r>
      <w:r w:rsidR="00375496">
        <w:t>—</w:t>
      </w:r>
      <w:r w:rsidRPr="00A058DF">
        <w:t>industry relationships.</w:t>
      </w:r>
    </w:p>
    <w:p w:rsidR="00A058DF" w:rsidRPr="00A058DF" w:rsidRDefault="00A058DF" w:rsidP="00A058DF">
      <w:pPr>
        <w:pStyle w:val="Heading2"/>
      </w:pPr>
      <w:bookmarkStart w:id="63" w:name="_Toc412455608"/>
      <w:bookmarkStart w:id="64" w:name="_Toc416683027"/>
      <w:r w:rsidRPr="00A058DF">
        <w:t>Introduction</w:t>
      </w:r>
      <w:bookmarkEnd w:id="63"/>
      <w:bookmarkEnd w:id="64"/>
      <w:r w:rsidRPr="00A058DF">
        <w:t xml:space="preserve"> </w:t>
      </w:r>
    </w:p>
    <w:p w:rsidR="00A058DF" w:rsidRPr="00A058DF" w:rsidRDefault="00A058DF" w:rsidP="00A058DF">
      <w:pPr>
        <w:pStyle w:val="Text"/>
      </w:pPr>
      <w:r w:rsidRPr="00A058DF">
        <w:t xml:space="preserve">Despite young </w:t>
      </w:r>
      <w:r w:rsidR="006A7AE2">
        <w:t>Australian women out-</w:t>
      </w:r>
      <w:r w:rsidRPr="00A058DF">
        <w:t xml:space="preserve">performing their male peers in many of the key achievement indicators in secondary school, there are far fewer young women than young men entering post-school education and post-school employment in many of the in-demand and high-income fields of </w:t>
      </w:r>
      <w:r w:rsidR="006A7AE2" w:rsidRPr="00A058DF">
        <w:t>science, technolo</w:t>
      </w:r>
      <w:r w:rsidR="006A7AE2">
        <w:t>gy, engineering and mathematics</w:t>
      </w:r>
      <w:r w:rsidRPr="00A058DF">
        <w:t xml:space="preserve"> (Rothman et al</w:t>
      </w:r>
      <w:r w:rsidR="006A7AE2">
        <w:t>. 2011;</w:t>
      </w:r>
      <w:r w:rsidRPr="00A058DF">
        <w:t xml:space="preserve"> Queensland D</w:t>
      </w:r>
      <w:r w:rsidR="006A7AE2">
        <w:t>epartment of Education and Training 2011;</w:t>
      </w:r>
      <w:r w:rsidRPr="00A058DF">
        <w:t xml:space="preserve"> OECD 2012). Young women are also much less likely than their male peers to enter employment-based training opportunities in traditional trades (Rothman et al</w:t>
      </w:r>
      <w:r w:rsidR="000B1744">
        <w:t>.</w:t>
      </w:r>
      <w:r w:rsidR="00375496">
        <w:t xml:space="preserve"> 2011): w</w:t>
      </w:r>
      <w:r w:rsidRPr="00A058DF">
        <w:t>omen compri</w:t>
      </w:r>
      <w:r w:rsidR="000B1744">
        <w:t>se 31% of those with university-</w:t>
      </w:r>
      <w:r w:rsidRPr="00A058DF">
        <w:t>level STEM qualifications, compared wi</w:t>
      </w:r>
      <w:r w:rsidR="000B1744">
        <w:t>th 12% of those with vocational-</w:t>
      </w:r>
      <w:r w:rsidRPr="00A058DF">
        <w:t xml:space="preserve">level STEM qualifications (ABS 2014a). These anomalies indicate the need for a range of interventions, including in the critical area of career exploration for girls and young women while engaged in </w:t>
      </w:r>
      <w:r w:rsidRPr="00A058DF">
        <w:lastRenderedPageBreak/>
        <w:t xml:space="preserve">compulsory education. Unfortunately, </w:t>
      </w:r>
      <w:r w:rsidR="003C4457">
        <w:t xml:space="preserve">the </w:t>
      </w:r>
      <w:r w:rsidRPr="00A058DF">
        <w:t>gendered stereotypes and perceptions a</w:t>
      </w:r>
      <w:r w:rsidR="003C4457">
        <w:t>ssociated with</w:t>
      </w:r>
      <w:r w:rsidRPr="00A058DF">
        <w:t xml:space="preserve"> certain career options for young</w:t>
      </w:r>
      <w:r w:rsidR="000B1744">
        <w:t xml:space="preserve"> women are still reinforced </w:t>
      </w:r>
      <w:r w:rsidRPr="00A058DF">
        <w:t>in schools and create barriers to widening young women</w:t>
      </w:r>
      <w:r w:rsidR="004C5471">
        <w:t>’</w:t>
      </w:r>
      <w:r w:rsidRPr="00A058DF">
        <w:t>s participation in non-traditional areas. Negative experiences and/or perceptions of workplace cultures in industries and occupations with low female participation can discourage young women</w:t>
      </w:r>
      <w:r w:rsidR="004C5471">
        <w:t>’</w:t>
      </w:r>
      <w:r w:rsidRPr="00A058DF">
        <w:t xml:space="preserve">s participation in associated study pathways in non-traditional careers. </w:t>
      </w:r>
    </w:p>
    <w:p w:rsidR="00A058DF" w:rsidRPr="00A058DF" w:rsidRDefault="00A058DF" w:rsidP="00A058DF">
      <w:pPr>
        <w:pStyle w:val="Text"/>
      </w:pPr>
      <w:r w:rsidRPr="00A058DF">
        <w:t>Many of th</w:t>
      </w:r>
      <w:r w:rsidR="000B1744">
        <w:t xml:space="preserve">e gendered patterns evident </w:t>
      </w:r>
      <w:r w:rsidRPr="00A058DF">
        <w:t xml:space="preserve">in post-compulsory education and training programs are replicated in the Australian labour force. While women represent almost 46% of Australian employees (ABS 2014b), </w:t>
      </w:r>
      <w:r w:rsidR="000B1744">
        <w:t>they</w:t>
      </w:r>
      <w:r w:rsidRPr="00A058DF">
        <w:t xml:space="preserve"> account for a far smaller proportion of the labour force in the growth industries of construction (12%), mining </w:t>
      </w:r>
      <w:r w:rsidR="000B1744">
        <w:t>(15%) and utilities (23%). I</w:t>
      </w:r>
      <w:r w:rsidRPr="00A058DF">
        <w:t xml:space="preserve">n the context of </w:t>
      </w:r>
      <w:r w:rsidR="00375496">
        <w:t xml:space="preserve">the </w:t>
      </w:r>
      <w:r w:rsidRPr="00A058DF">
        <w:t>current skills shortages in Australia, this under</w:t>
      </w:r>
      <w:r w:rsidR="000B1744">
        <w:t>-</w:t>
      </w:r>
      <w:r w:rsidRPr="00A058DF">
        <w:t>representation of women in these industries is not only bad for gender equality, it also</w:t>
      </w:r>
      <w:r w:rsidR="003C4457">
        <w:t xml:space="preserve"> undermines Australia</w:t>
      </w:r>
      <w:r w:rsidR="004C5471">
        <w:t>’</w:t>
      </w:r>
      <w:r w:rsidR="003C4457">
        <w:t>s economy</w:t>
      </w:r>
      <w:r w:rsidRPr="00A058DF">
        <w:t xml:space="preserve"> and makes attracting and retaining underutilised sources of talent, including women, essential to economic gr</w:t>
      </w:r>
      <w:r w:rsidR="000B1744">
        <w:t xml:space="preserve">owth and prosperity (Daley, </w:t>
      </w:r>
      <w:proofErr w:type="spellStart"/>
      <w:r w:rsidR="000B1744">
        <w:t>McGannon</w:t>
      </w:r>
      <w:proofErr w:type="spellEnd"/>
      <w:r w:rsidR="000B1744">
        <w:t xml:space="preserve"> &amp; </w:t>
      </w:r>
      <w:proofErr w:type="spellStart"/>
      <w:r w:rsidR="000B1744">
        <w:t>Ginnivan</w:t>
      </w:r>
      <w:proofErr w:type="spellEnd"/>
      <w:r w:rsidRPr="00A058DF">
        <w:t xml:space="preserve"> 2012). Recent figures suggest that increasing women</w:t>
      </w:r>
      <w:r w:rsidR="004C5471">
        <w:t>’</w:t>
      </w:r>
      <w:r w:rsidRPr="00A058DF">
        <w:t>s employment rates could boost Au</w:t>
      </w:r>
      <w:r w:rsidR="000B1744">
        <w:t>stralia</w:t>
      </w:r>
      <w:r w:rsidR="004C5471">
        <w:t>’</w:t>
      </w:r>
      <w:r w:rsidR="000B1744">
        <w:t>s GDP by 11% (Broderick</w:t>
      </w:r>
      <w:r w:rsidRPr="00A058DF">
        <w:t xml:space="preserve"> 2013). </w:t>
      </w:r>
    </w:p>
    <w:p w:rsidR="00A058DF" w:rsidRPr="00A058DF" w:rsidRDefault="00A058DF" w:rsidP="00A058DF">
      <w:pPr>
        <w:pStyle w:val="Text"/>
      </w:pPr>
      <w:r w:rsidRPr="00A058DF">
        <w:t>This paper draws on a recent study conducted by Women in Adult and Vocational Education Inc. (WAVE)</w:t>
      </w:r>
      <w:r w:rsidR="00375496">
        <w:t>,</w:t>
      </w:r>
      <w:r w:rsidRPr="00A058DF">
        <w:t xml:space="preserve"> which explored current models of career exploration and how they impacted on the related post-school outcomes for women and girls. The research also sought to identify the ways </w:t>
      </w:r>
      <w:r w:rsidR="000B1744">
        <w:t>by</w:t>
      </w:r>
      <w:r w:rsidRPr="00A058DF">
        <w:t xml:space="preserve"> which new models might be developed t</w:t>
      </w:r>
      <w:r w:rsidR="000B1744">
        <w:t>o</w:t>
      </w:r>
      <w:r w:rsidRPr="00A058DF">
        <w:t xml:space="preserve"> encourage women into these subjects and careers, and in doing so drew on a survey conducted with significant stakeholders across Australia. This study contains case studies of supportive organisations working with young women, and effective </w:t>
      </w:r>
      <w:r w:rsidR="00375496">
        <w:t>models operating in the schools</w:t>
      </w:r>
      <w:r w:rsidRPr="00A058DF">
        <w:t xml:space="preserve"> in STEM subjects and courses, and non-traditional occupations and industries.</w:t>
      </w:r>
    </w:p>
    <w:p w:rsidR="00A058DF" w:rsidRPr="00A058DF" w:rsidRDefault="00A058DF" w:rsidP="00A058DF">
      <w:pPr>
        <w:pStyle w:val="Heading2"/>
      </w:pPr>
      <w:bookmarkStart w:id="65" w:name="_Toc412455609"/>
      <w:bookmarkStart w:id="66" w:name="_Toc416683028"/>
      <w:r w:rsidRPr="00A058DF">
        <w:t>What is career exploration?</w:t>
      </w:r>
      <w:bookmarkEnd w:id="65"/>
      <w:bookmarkEnd w:id="66"/>
    </w:p>
    <w:p w:rsidR="00A058DF" w:rsidRPr="00A058DF" w:rsidRDefault="00A058DF" w:rsidP="00A058DF">
      <w:pPr>
        <w:pStyle w:val="Text"/>
      </w:pPr>
      <w:r w:rsidRPr="00A058DF">
        <w:t>Career exploration is one aspect of a rapidly growing and complex field of practice, increasing in significance globally as w</w:t>
      </w:r>
      <w:r w:rsidR="003C4457">
        <w:t>ell as in Australia (OECD 2004a;</w:t>
      </w:r>
      <w:r w:rsidRPr="00A058DF">
        <w:t xml:space="preserve"> Sultana 2008</w:t>
      </w:r>
      <w:r w:rsidR="000935C3">
        <w:t>; Hansen 2006, McMahan &amp; Haines</w:t>
      </w:r>
      <w:r w:rsidRPr="00A058DF">
        <w:t xml:space="preserve"> 2006). The language used throughout career exploration policy and research varies significantly and is often contested (NZ Ministry of Education 2012; Watts 2002; Hughes et al</w:t>
      </w:r>
      <w:r w:rsidR="000935C3">
        <w:t>.</w:t>
      </w:r>
      <w:r w:rsidRPr="00A058DF">
        <w:t xml:space="preserve"> 2005). </w:t>
      </w:r>
      <w:r w:rsidR="000935C3">
        <w:t xml:space="preserve">The </w:t>
      </w:r>
      <w:r w:rsidRPr="00A058DF">
        <w:t xml:space="preserve">Australian research literature and policy use the terms </w:t>
      </w:r>
      <w:r w:rsidR="004C5471">
        <w:t>‘</w:t>
      </w:r>
      <w:r w:rsidRPr="00A058DF">
        <w:t>career advice</w:t>
      </w:r>
      <w:r w:rsidR="004C5471">
        <w:t>’</w:t>
      </w:r>
      <w:r w:rsidRPr="00A058DF">
        <w:t xml:space="preserve">, </w:t>
      </w:r>
      <w:r w:rsidR="004C5471">
        <w:t>‘</w:t>
      </w:r>
      <w:r w:rsidRPr="00A058DF">
        <w:t>career guidance</w:t>
      </w:r>
      <w:r w:rsidR="004C5471">
        <w:t>’</w:t>
      </w:r>
      <w:r w:rsidRPr="00A058DF">
        <w:t xml:space="preserve">, </w:t>
      </w:r>
      <w:r w:rsidR="004C5471">
        <w:t>‘</w:t>
      </w:r>
      <w:r w:rsidRPr="00A058DF">
        <w:t>career exploration</w:t>
      </w:r>
      <w:r w:rsidR="004C5471">
        <w:t>’</w:t>
      </w:r>
      <w:r w:rsidRPr="00A058DF">
        <w:t xml:space="preserve">, </w:t>
      </w:r>
      <w:r w:rsidR="004C5471">
        <w:t>‘</w:t>
      </w:r>
      <w:r w:rsidRPr="00A058DF">
        <w:t>career information</w:t>
      </w:r>
      <w:r w:rsidR="004C5471">
        <w:t>’</w:t>
      </w:r>
      <w:r w:rsidRPr="00A058DF">
        <w:t xml:space="preserve"> and </w:t>
      </w:r>
      <w:r w:rsidR="004C5471">
        <w:t>‘</w:t>
      </w:r>
      <w:r w:rsidRPr="00A058DF">
        <w:t>career development</w:t>
      </w:r>
      <w:r w:rsidR="004C5471">
        <w:t>’</w:t>
      </w:r>
      <w:r w:rsidR="003C4457">
        <w:t>,</w:t>
      </w:r>
      <w:r w:rsidRPr="00A058DF">
        <w:t xml:space="preserve"> often synonymously. Varied advice, guidance, exploration and information activities are all considered necessary to support and inform effective career development. This conceptualisation sees </w:t>
      </w:r>
      <w:r w:rsidR="004C5471">
        <w:t>‘</w:t>
      </w:r>
      <w:r w:rsidRPr="00A058DF">
        <w:t>career development</w:t>
      </w:r>
      <w:r w:rsidR="004C5471">
        <w:t>’</w:t>
      </w:r>
      <w:r w:rsidRPr="00A058DF">
        <w:t xml:space="preserve"> as the complex process of managing life, learning and work over the lifespan (Miles Morgan 2007).</w:t>
      </w:r>
    </w:p>
    <w:p w:rsidR="00A058DF" w:rsidRPr="00A058DF" w:rsidRDefault="00A058DF" w:rsidP="00A058DF">
      <w:pPr>
        <w:pStyle w:val="Text"/>
      </w:pPr>
      <w:r w:rsidRPr="00A058DF">
        <w:t xml:space="preserve">In this paper, the term </w:t>
      </w:r>
      <w:r w:rsidR="004C5471">
        <w:t>‘</w:t>
      </w:r>
      <w:r w:rsidRPr="00A058DF">
        <w:t>career exploration</w:t>
      </w:r>
      <w:r w:rsidR="004C5471">
        <w:t>’</w:t>
      </w:r>
      <w:r w:rsidRPr="00A058DF">
        <w:t xml:space="preserve"> was taken to encompass those strategies and approaches used to promote an active engagement with and exploration of career options. The researchers acknowledge that career exploration often includes career advice and/or career information elements, which </w:t>
      </w:r>
      <w:r w:rsidR="000935C3">
        <w:t xml:space="preserve">are more passive approaches </w:t>
      </w:r>
      <w:r w:rsidRPr="00A058DF">
        <w:t>in the broader context of career development. For the purpose of this paper, the def</w:t>
      </w:r>
      <w:r w:rsidR="00375496">
        <w:t>inition of career exploration is</w:t>
      </w:r>
      <w:r w:rsidRPr="00A058DF">
        <w:t xml:space="preserve"> the process of: </w:t>
      </w:r>
    </w:p>
    <w:p w:rsidR="00A058DF" w:rsidRPr="00BA2946" w:rsidRDefault="00A058DF" w:rsidP="008040F5">
      <w:pPr>
        <w:pStyle w:val="Dotpoint1"/>
      </w:pPr>
      <w:r w:rsidRPr="00BA2946">
        <w:t>learning about</w:t>
      </w:r>
      <w:r w:rsidR="000935C3">
        <w:t xml:space="preserve"> yourself and the world of work</w:t>
      </w:r>
      <w:r w:rsidRPr="00BA2946">
        <w:t xml:space="preserve"> </w:t>
      </w:r>
    </w:p>
    <w:p w:rsidR="00A058DF" w:rsidRPr="00BA2946" w:rsidRDefault="00A058DF" w:rsidP="008040F5">
      <w:pPr>
        <w:pStyle w:val="Dotpoint1"/>
      </w:pPr>
      <w:r w:rsidRPr="00BA2946">
        <w:t>identifying and exploring potenti</w:t>
      </w:r>
      <w:r w:rsidR="000935C3">
        <w:t>ally satisfying occupations</w:t>
      </w:r>
      <w:r w:rsidRPr="00BA2946">
        <w:t xml:space="preserve"> </w:t>
      </w:r>
    </w:p>
    <w:p w:rsidR="00A058DF" w:rsidRPr="00BA2946" w:rsidRDefault="00A058DF" w:rsidP="008040F5">
      <w:pPr>
        <w:pStyle w:val="Dotpoint1"/>
      </w:pPr>
      <w:r w:rsidRPr="00BA2946">
        <w:t>developing an effective str</w:t>
      </w:r>
      <w:r w:rsidR="000935C3">
        <w:t xml:space="preserve">ategy to realise your goals (University of California, </w:t>
      </w:r>
      <w:r w:rsidRPr="00BA2946">
        <w:t xml:space="preserve">Berkeley 2014). </w:t>
      </w:r>
    </w:p>
    <w:p w:rsidR="00A058DF" w:rsidRPr="00A058DF" w:rsidRDefault="004C5471" w:rsidP="00A058DF">
      <w:pPr>
        <w:pStyle w:val="Text"/>
      </w:pPr>
      <w:r>
        <w:t>‘</w:t>
      </w:r>
      <w:r w:rsidR="00A058DF" w:rsidRPr="00A058DF">
        <w:t>Career exploration</w:t>
      </w:r>
      <w:r>
        <w:t>’</w:t>
      </w:r>
      <w:r w:rsidR="00A058DF" w:rsidRPr="00A058DF">
        <w:t xml:space="preserve"> and all its elements make up an important</w:t>
      </w:r>
      <w:r w:rsidR="000935C3">
        <w:t xml:space="preserve"> part of career development </w:t>
      </w:r>
      <w:r w:rsidR="00A058DF" w:rsidRPr="00A058DF">
        <w:t xml:space="preserve">in schools, but are not always effective in enabling young women </w:t>
      </w:r>
      <w:r w:rsidR="000935C3">
        <w:t xml:space="preserve">to </w:t>
      </w:r>
      <w:r w:rsidR="00A058DF" w:rsidRPr="00A058DF">
        <w:t>access the variety of career options possible. This leads to the risks of a too narrow focus on initial</w:t>
      </w:r>
      <w:r w:rsidR="003C4457">
        <w:t xml:space="preserve"> school-to-</w:t>
      </w:r>
      <w:r w:rsidR="00A058DF" w:rsidRPr="00A058DF">
        <w:t>work transitions</w:t>
      </w:r>
      <w:r w:rsidR="000935C3">
        <w:t>,</w:t>
      </w:r>
      <w:r w:rsidR="00A058DF" w:rsidRPr="00A058DF">
        <w:t xml:space="preserve"> which can </w:t>
      </w:r>
      <w:r w:rsidR="00A058DF" w:rsidRPr="00A058DF">
        <w:lastRenderedPageBreak/>
        <w:t xml:space="preserve">be at the expense of the development of skills and knowledge to support effective lifelong transitions (OECD 2004a, 2004b). </w:t>
      </w:r>
    </w:p>
    <w:p w:rsidR="00A058DF" w:rsidRPr="00A058DF" w:rsidRDefault="00A058DF" w:rsidP="00A058DF">
      <w:pPr>
        <w:pStyle w:val="Text"/>
      </w:pPr>
      <w:r w:rsidRPr="00A058DF">
        <w:t xml:space="preserve">Career exploration can provide benefits at an individual, organisational and societal level. Effective approaches to careers exploration can help people </w:t>
      </w:r>
      <w:r w:rsidR="000935C3">
        <w:t xml:space="preserve">to </w:t>
      </w:r>
      <w:r w:rsidRPr="00A058DF">
        <w:t>avoid social exclusion (</w:t>
      </w:r>
      <w:proofErr w:type="spellStart"/>
      <w:r w:rsidRPr="00A058DF">
        <w:t>Ced</w:t>
      </w:r>
      <w:r w:rsidR="000935C3">
        <w:t>efop</w:t>
      </w:r>
      <w:proofErr w:type="spellEnd"/>
      <w:r w:rsidR="000935C3">
        <w:t xml:space="preserve"> 2010; Hutchinson &amp; Jackson</w:t>
      </w:r>
      <w:r w:rsidRPr="00A058DF">
        <w:t xml:space="preserve"> 2007). Strategies and approaches for career exploration can alternatively increase educational engagement and attainment, strengthen pathways for </w:t>
      </w:r>
      <w:r w:rsidR="004C5471">
        <w:t>‘</w:t>
      </w:r>
      <w:r w:rsidRPr="00A058DF">
        <w:t>at risk</w:t>
      </w:r>
      <w:r w:rsidR="004C5471">
        <w:t>’</w:t>
      </w:r>
      <w:r w:rsidRPr="00A058DF">
        <w:t xml:space="preserve"> young people, increase self-confidence, improve future awareness and goal orientation, promote greater awareness of the labour market, enhance employment outcomes for school completers, and enable greater labour market flexibility and mobility (OECD </w:t>
      </w:r>
      <w:r w:rsidRPr="00485724">
        <w:t xml:space="preserve">2004a; Miles Morgan </w:t>
      </w:r>
      <w:r w:rsidR="00485724" w:rsidRPr="00485724">
        <w:t>2007</w:t>
      </w:r>
      <w:r w:rsidRPr="00485724">
        <w:t>).</w:t>
      </w:r>
      <w:r w:rsidRPr="00A058DF">
        <w:t xml:space="preserve"> </w:t>
      </w:r>
    </w:p>
    <w:p w:rsidR="00A058DF" w:rsidRPr="00A058DF" w:rsidRDefault="00A058DF" w:rsidP="00A058DF">
      <w:pPr>
        <w:pStyle w:val="Text"/>
      </w:pPr>
      <w:r w:rsidRPr="00A058DF">
        <w:t>The Australian Workforce and Productivity Agency (AWPA) in its 2013 National Workforce Development Strategy acknowledged the need for increased</w:t>
      </w:r>
      <w:r w:rsidR="00375496">
        <w:t xml:space="preserve"> career advice for young people</w:t>
      </w:r>
      <w:r w:rsidRPr="00A058DF">
        <w:t xml:space="preserve"> conducted </w:t>
      </w:r>
      <w:r w:rsidR="003C4457">
        <w:t>by government and schools. The a</w:t>
      </w:r>
      <w:r w:rsidRPr="00A058DF">
        <w:t>g</w:t>
      </w:r>
      <w:r w:rsidR="000935C3">
        <w:t xml:space="preserve">ency highlights the need for a </w:t>
      </w:r>
      <w:r w:rsidR="004C5471">
        <w:t>‘</w:t>
      </w:r>
      <w:r w:rsidRPr="00A058DF">
        <w:t>national brand for career</w:t>
      </w:r>
      <w:r w:rsidR="000935C3">
        <w:t xml:space="preserve"> development advice</w:t>
      </w:r>
      <w:r w:rsidR="004C5471">
        <w:t>’</w:t>
      </w:r>
      <w:r w:rsidR="000935C3">
        <w:t xml:space="preserve"> (</w:t>
      </w:r>
      <w:r w:rsidRPr="00A058DF">
        <w:t>p</w:t>
      </w:r>
      <w:r w:rsidR="000935C3">
        <w:t>.</w:t>
      </w:r>
      <w:r w:rsidRPr="00A058DF">
        <w:t xml:space="preserve">13). The </w:t>
      </w:r>
      <w:r w:rsidR="000935C3">
        <w:t>Australian</w:t>
      </w:r>
      <w:r w:rsidRPr="00A058DF">
        <w:t xml:space="preserve"> Government undertook significant research into </w:t>
      </w:r>
      <w:r w:rsidR="00C56ED6" w:rsidRPr="00A058DF">
        <w:t xml:space="preserve">career development </w:t>
      </w:r>
      <w:r w:rsidR="003C4457">
        <w:t>in the mid-</w:t>
      </w:r>
      <w:r w:rsidRPr="00A058DF">
        <w:t xml:space="preserve">2000s, leading to the publication </w:t>
      </w:r>
      <w:r w:rsidRPr="00485724">
        <w:t xml:space="preserve">of the 2008 </w:t>
      </w:r>
      <w:r w:rsidRPr="00485724">
        <w:rPr>
          <w:i/>
        </w:rPr>
        <w:t xml:space="preserve">Australian </w:t>
      </w:r>
      <w:r w:rsidR="00C56ED6" w:rsidRPr="00485724">
        <w:rPr>
          <w:i/>
        </w:rPr>
        <w:t>blueprint for career development</w:t>
      </w:r>
      <w:r w:rsidR="00375496">
        <w:rPr>
          <w:i/>
        </w:rPr>
        <w:t xml:space="preserve"> </w:t>
      </w:r>
      <w:r w:rsidR="00375496" w:rsidRPr="007F5132">
        <w:t>(Ministerial Council on</w:t>
      </w:r>
      <w:r w:rsidR="00273835">
        <w:t xml:space="preserve"> Education, Employment, </w:t>
      </w:r>
      <w:r w:rsidR="007F5132" w:rsidRPr="007F5132">
        <w:t>Training and Youth Affairs 2008)</w:t>
      </w:r>
      <w:r w:rsidRPr="007F5132">
        <w:t>.</w:t>
      </w:r>
      <w:r w:rsidRPr="00A058DF">
        <w:t xml:space="preserve"> This </w:t>
      </w:r>
      <w:r w:rsidR="00375496">
        <w:t>report identified 11</w:t>
      </w:r>
      <w:r w:rsidR="003C4457">
        <w:t xml:space="preserve"> career </w:t>
      </w:r>
      <w:r w:rsidRPr="00A058DF">
        <w:t xml:space="preserve">management competencies that individuals need to manage their life, learning and work roles, with learning resources to support them. These include: </w:t>
      </w:r>
    </w:p>
    <w:p w:rsidR="00A058DF" w:rsidRPr="008040F5" w:rsidRDefault="00A058DF" w:rsidP="008040F5">
      <w:pPr>
        <w:pStyle w:val="Dotpoint1"/>
      </w:pPr>
      <w:r w:rsidRPr="00A058DF">
        <w:t>personal management roles in building a positive self-image, interacting with oth</w:t>
      </w:r>
      <w:r w:rsidR="00C56ED6">
        <w:t xml:space="preserve">ers and growing </w:t>
      </w:r>
      <w:r w:rsidR="00C56ED6" w:rsidRPr="008040F5">
        <w:t>throughout life</w:t>
      </w:r>
      <w:r w:rsidRPr="008040F5">
        <w:t xml:space="preserve"> </w:t>
      </w:r>
    </w:p>
    <w:p w:rsidR="00A058DF" w:rsidRPr="008040F5" w:rsidRDefault="00A058DF" w:rsidP="008040F5">
      <w:pPr>
        <w:pStyle w:val="Dotpoint1"/>
      </w:pPr>
      <w:r w:rsidRPr="008040F5">
        <w:t>learning and work exploration, which include</w:t>
      </w:r>
      <w:r w:rsidR="00C56ED6" w:rsidRPr="008040F5">
        <w:t>s</w:t>
      </w:r>
      <w:r w:rsidRPr="008040F5">
        <w:t xml:space="preserve"> lifelong learning to support career goals, using information and understanding the relationship between wor</w:t>
      </w:r>
      <w:r w:rsidR="00C56ED6" w:rsidRPr="008040F5">
        <w:t>k, society and the economy</w:t>
      </w:r>
    </w:p>
    <w:p w:rsidR="00A058DF" w:rsidRPr="00A058DF" w:rsidRDefault="00A058DF" w:rsidP="008040F5">
      <w:pPr>
        <w:pStyle w:val="Dotpoint1"/>
      </w:pPr>
      <w:r w:rsidRPr="008040F5">
        <w:t>car</w:t>
      </w:r>
      <w:r w:rsidR="00C56ED6" w:rsidRPr="008040F5">
        <w:t>eer building</w:t>
      </w:r>
      <w:r w:rsidR="00C56ED6">
        <w:t xml:space="preserve"> for work, career-</w:t>
      </w:r>
      <w:r w:rsidRPr="00A058DF">
        <w:t xml:space="preserve">enhancing decisions, balancing life and work roles, and managing the career building process. </w:t>
      </w:r>
    </w:p>
    <w:p w:rsidR="00A058DF" w:rsidRPr="00A058DF" w:rsidRDefault="00A058DF" w:rsidP="00A058DF">
      <w:pPr>
        <w:pStyle w:val="Text"/>
      </w:pPr>
      <w:r w:rsidRPr="00A058DF">
        <w:t>Despite the articulation of these competencies within the national blueprint, feedback from schools and stakeholders suggest</w:t>
      </w:r>
      <w:r w:rsidR="007F5132">
        <w:t>s</w:t>
      </w:r>
      <w:r w:rsidRPr="00A058DF">
        <w:t xml:space="preserve"> that the extent to which this policy</w:t>
      </w:r>
      <w:r w:rsidR="00C56ED6">
        <w:t xml:space="preserve"> framework has been adopted </w:t>
      </w:r>
      <w:r w:rsidRPr="00A058DF">
        <w:t>in schools is limited (Clarke 2013). The research undertaken by WAVE acknowledges this complex area of career exploration and career development generally</w:t>
      </w:r>
      <w:r w:rsidR="00C56ED6">
        <w:t xml:space="preserve"> and the funding pressures </w:t>
      </w:r>
      <w:r w:rsidRPr="00A058DF">
        <w:t>in schools, but focuses particularly on gender and the need to expand the career options of young women.</w:t>
      </w:r>
    </w:p>
    <w:p w:rsidR="00A058DF" w:rsidRPr="00A058DF" w:rsidRDefault="00A058DF" w:rsidP="00A058DF">
      <w:pPr>
        <w:pStyle w:val="Text"/>
      </w:pPr>
      <w:r w:rsidRPr="00A058DF">
        <w:t xml:space="preserve">The challenges facing Australian schools in supporting the career exploration and pathways of young women are not unique to Australia. Despite broader ranges of curriculum and training opportunities in many </w:t>
      </w:r>
      <w:r w:rsidR="00C56ED6">
        <w:t>Organisation for Economic Co-operation and Development (</w:t>
      </w:r>
      <w:r w:rsidRPr="00A058DF">
        <w:t>OECD</w:t>
      </w:r>
      <w:r w:rsidR="00C56ED6">
        <w:t>)</w:t>
      </w:r>
      <w:r w:rsidRPr="00A058DF">
        <w:t xml:space="preserve"> countries, young women continue to make education and employment choices along traditional and gendered lines (Ofsted 2011a, 2011b; Hutchinson &amp; Jackson 2007). International research shows that across OECD counties, young women are far less likely to pursue post-school study in scientific and technological fields of education (OECD 2012). Some of the key approaches being adopted by governments and education policy</w:t>
      </w:r>
      <w:r w:rsidR="007F5132">
        <w:t>—</w:t>
      </w:r>
      <w:r w:rsidRPr="00A058DF">
        <w:t xml:space="preserve">makers across the European Union and the OECD include: </w:t>
      </w:r>
    </w:p>
    <w:p w:rsidR="00A058DF" w:rsidRPr="008040F5" w:rsidRDefault="00C56ED6" w:rsidP="008040F5">
      <w:pPr>
        <w:pStyle w:val="Dotpoint1"/>
      </w:pPr>
      <w:r>
        <w:t>e</w:t>
      </w:r>
      <w:r w:rsidR="00A058DF" w:rsidRPr="00A058DF">
        <w:t>mbedding career guidance within the curriculum (</w:t>
      </w:r>
      <w:proofErr w:type="spellStart"/>
      <w:r w:rsidR="00A058DF" w:rsidRPr="00A058DF">
        <w:t>C</w:t>
      </w:r>
      <w:r w:rsidR="00EF22B8" w:rsidRPr="00A058DF">
        <w:t>edefop</w:t>
      </w:r>
      <w:proofErr w:type="spellEnd"/>
      <w:r w:rsidR="00A058DF" w:rsidRPr="00A058DF">
        <w:t xml:space="preserve"> 2014). Davies and Cox (2014) recommend a staged embedding of career advice in the curriculum, from a general career exploration module at the </w:t>
      </w:r>
      <w:r w:rsidR="00A058DF" w:rsidRPr="008040F5">
        <w:t>start of secondary school</w:t>
      </w:r>
      <w:r w:rsidRPr="008040F5">
        <w:t>,</w:t>
      </w:r>
      <w:r w:rsidR="00A058DF" w:rsidRPr="008040F5">
        <w:t xml:space="preserve"> to individualised career support </w:t>
      </w:r>
      <w:r w:rsidRPr="008040F5">
        <w:t>tailored to a pupil</w:t>
      </w:r>
      <w:r w:rsidR="004C5471" w:rsidRPr="008040F5">
        <w:t>’</w:t>
      </w:r>
      <w:r w:rsidRPr="008040F5">
        <w:t>s needs in Years 10 and 11</w:t>
      </w:r>
      <w:r w:rsidR="00A058DF" w:rsidRPr="008040F5">
        <w:t xml:space="preserve"> </w:t>
      </w:r>
    </w:p>
    <w:p w:rsidR="00A058DF" w:rsidRPr="008040F5" w:rsidRDefault="00C56ED6" w:rsidP="008040F5">
      <w:pPr>
        <w:pStyle w:val="Dotpoint1"/>
      </w:pPr>
      <w:r w:rsidRPr="008040F5">
        <w:t>i</w:t>
      </w:r>
      <w:r w:rsidR="00A058DF" w:rsidRPr="008040F5">
        <w:t>ncreasing the use of intermediary organisations in the development and delivery of career explor</w:t>
      </w:r>
      <w:r w:rsidRPr="008040F5">
        <w:t>ation activities (</w:t>
      </w:r>
      <w:proofErr w:type="spellStart"/>
      <w:r w:rsidRPr="008040F5">
        <w:t>C</w:t>
      </w:r>
      <w:r w:rsidR="00EF22B8" w:rsidRPr="008040F5">
        <w:t>edefop</w:t>
      </w:r>
      <w:proofErr w:type="spellEnd"/>
      <w:r w:rsidRPr="008040F5">
        <w:t xml:space="preserve"> 2008)</w:t>
      </w:r>
      <w:r w:rsidR="00A058DF" w:rsidRPr="008040F5">
        <w:t xml:space="preserve"> </w:t>
      </w:r>
    </w:p>
    <w:p w:rsidR="00A058DF" w:rsidRPr="008040F5" w:rsidRDefault="00C56ED6" w:rsidP="008040F5">
      <w:pPr>
        <w:pStyle w:val="Dotpoint1"/>
      </w:pPr>
      <w:r w:rsidRPr="008040F5">
        <w:lastRenderedPageBreak/>
        <w:t>focu</w:t>
      </w:r>
      <w:r w:rsidR="00A058DF" w:rsidRPr="008040F5">
        <w:t>sing on the training, skills, qualifications and experience of the practitioners responsible for counselling, guidance and advice</w:t>
      </w:r>
      <w:r w:rsidRPr="008040F5">
        <w:t xml:space="preserve"> to students (</w:t>
      </w:r>
      <w:proofErr w:type="spellStart"/>
      <w:r w:rsidRPr="008040F5">
        <w:t>C</w:t>
      </w:r>
      <w:r w:rsidR="00EF22B8" w:rsidRPr="008040F5">
        <w:t>edefop</w:t>
      </w:r>
      <w:proofErr w:type="spellEnd"/>
      <w:r w:rsidRPr="008040F5">
        <w:t xml:space="preserve"> 2008)</w:t>
      </w:r>
      <w:r w:rsidR="00A058DF" w:rsidRPr="008040F5">
        <w:t xml:space="preserve"> </w:t>
      </w:r>
    </w:p>
    <w:p w:rsidR="00A058DF" w:rsidRPr="00A058DF" w:rsidRDefault="00C56ED6" w:rsidP="008040F5">
      <w:pPr>
        <w:pStyle w:val="Dotpoint1"/>
      </w:pPr>
      <w:r w:rsidRPr="008040F5">
        <w:t>s</w:t>
      </w:r>
      <w:r w:rsidR="00A058DF" w:rsidRPr="008040F5">
        <w:t>hifting from a focus on supporting</w:t>
      </w:r>
      <w:r w:rsidR="00A058DF" w:rsidRPr="00A058DF">
        <w:t xml:space="preserve"> pathways at entry to the labour force to supporting skills for effective navigation of education and employment options over a lifetime (Hansen 2006). </w:t>
      </w:r>
    </w:p>
    <w:p w:rsidR="00A058DF" w:rsidRPr="00A058DF" w:rsidRDefault="00A058DF" w:rsidP="00A058DF">
      <w:pPr>
        <w:pStyle w:val="Text"/>
      </w:pPr>
      <w:r w:rsidRPr="00A058DF">
        <w:t>These key approaches are reflective of the outcomes of WAVE</w:t>
      </w:r>
      <w:r w:rsidR="004C5471">
        <w:t>’</w:t>
      </w:r>
      <w:r w:rsidRPr="00A058DF">
        <w:t xml:space="preserve">s survey and the advice from stakeholders </w:t>
      </w:r>
      <w:r w:rsidR="00C56ED6">
        <w:t>in relation</w:t>
      </w:r>
      <w:r w:rsidRPr="00A058DF">
        <w:t xml:space="preserve"> to the crafting of effecti</w:t>
      </w:r>
      <w:r w:rsidR="007F5132">
        <w:t>ve models of career exploration</w:t>
      </w:r>
      <w:r w:rsidRPr="00A058DF">
        <w:t xml:space="preserve"> and </w:t>
      </w:r>
      <w:r w:rsidR="007F5132">
        <w:t xml:space="preserve">the integration of such options </w:t>
      </w:r>
      <w:r w:rsidRPr="00A058DF">
        <w:t xml:space="preserve">in school curriculum, with support and advice from career professionals. </w:t>
      </w:r>
    </w:p>
    <w:p w:rsidR="00A058DF" w:rsidRPr="00A058DF" w:rsidRDefault="00A058DF" w:rsidP="00A058DF">
      <w:pPr>
        <w:pStyle w:val="Heading2"/>
      </w:pPr>
      <w:bookmarkStart w:id="67" w:name="_Toc412455610"/>
      <w:bookmarkStart w:id="68" w:name="_Toc416683029"/>
      <w:r w:rsidRPr="00A058DF">
        <w:t>Career exploration and the Australian senior secondary landscape</w:t>
      </w:r>
      <w:bookmarkEnd w:id="67"/>
      <w:bookmarkEnd w:id="68"/>
      <w:r w:rsidRPr="00A058DF">
        <w:t xml:space="preserve"> </w:t>
      </w:r>
    </w:p>
    <w:p w:rsidR="00A058DF" w:rsidRPr="00A058DF" w:rsidRDefault="00A058DF" w:rsidP="00A058DF">
      <w:pPr>
        <w:pStyle w:val="Text"/>
      </w:pPr>
      <w:r w:rsidRPr="00A058DF">
        <w:t xml:space="preserve">Evidence from recent research on senior secondary schooling (Clarke </w:t>
      </w:r>
      <w:r w:rsidR="00D375D7">
        <w:t>&amp;</w:t>
      </w:r>
      <w:r w:rsidRPr="00A058DF">
        <w:t xml:space="preserve"> </w:t>
      </w:r>
      <w:proofErr w:type="spellStart"/>
      <w:r w:rsidRPr="00A058DF">
        <w:t>Polesel</w:t>
      </w:r>
      <w:proofErr w:type="spellEnd"/>
      <w:r w:rsidRPr="00A058DF">
        <w:t xml:space="preserve"> 2013; Clarke 2013) suggests that university pathways, perceived as the gold standard and used as a key measure of a school</w:t>
      </w:r>
      <w:r w:rsidR="004C5471">
        <w:t>’</w:t>
      </w:r>
      <w:r w:rsidRPr="00A058DF">
        <w:t xml:space="preserve">s success, </w:t>
      </w:r>
      <w:r w:rsidRPr="009812F6">
        <w:t xml:space="preserve">receive </w:t>
      </w:r>
      <w:r w:rsidR="009812F6" w:rsidRPr="009812F6">
        <w:t xml:space="preserve">the most attention in relation to </w:t>
      </w:r>
      <w:r w:rsidRPr="009812F6">
        <w:t>career</w:t>
      </w:r>
      <w:r w:rsidRPr="00A058DF">
        <w:t xml:space="preserve"> explorat</w:t>
      </w:r>
      <w:r w:rsidR="00D375D7">
        <w:t xml:space="preserve">ion and guidance activities </w:t>
      </w:r>
      <w:r w:rsidRPr="00A058DF">
        <w:t>in schools. This is representative of the worldwide trend encouraging young women to focus their aspirations on professional occupations</w:t>
      </w:r>
      <w:r w:rsidR="00D375D7">
        <w:t>,</w:t>
      </w:r>
      <w:r w:rsidRPr="00A058DF">
        <w:t xml:space="preserve"> which require university degrees. The increasingly complex senior secondary environment has implications for the nature, effectiveness and quality of career exploration for Australian young people. </w:t>
      </w:r>
    </w:p>
    <w:p w:rsidR="00A058DF" w:rsidRPr="00A058DF" w:rsidRDefault="00D375D7" w:rsidP="00A058DF">
      <w:pPr>
        <w:pStyle w:val="Text"/>
      </w:pPr>
      <w:r>
        <w:t>VET in Schools</w:t>
      </w:r>
      <w:r w:rsidR="00A058DF" w:rsidRPr="00A058DF">
        <w:t xml:space="preserve"> is one curriculum approach </w:t>
      </w:r>
      <w:r>
        <w:t>by</w:t>
      </w:r>
      <w:r w:rsidR="00A058DF" w:rsidRPr="00A058DF">
        <w:t xml:space="preserve"> which young women in secondary school</w:t>
      </w:r>
      <w:r w:rsidR="006A429E">
        <w:t>s</w:t>
      </w:r>
      <w:r w:rsidR="00A058DF" w:rsidRPr="00A058DF">
        <w:t xml:space="preserve"> might explore different career pathways. But young women make up a small proportion of overall VET in Schools students in STEM and traditiona</w:t>
      </w:r>
      <w:r>
        <w:t>l trade areas (see figure 1</w:t>
      </w:r>
      <w:r w:rsidR="00A058DF" w:rsidRPr="00A058DF">
        <w:t xml:space="preserve">), particularly in architecture and building (3%), engineering and related technologies (11%) and information technology (30%). </w:t>
      </w:r>
    </w:p>
    <w:p w:rsidR="00A058DF" w:rsidRPr="00A058DF" w:rsidRDefault="00A058DF" w:rsidP="00A058DF">
      <w:pPr>
        <w:pStyle w:val="Text"/>
      </w:pPr>
      <w:r w:rsidRPr="00A058DF">
        <w:t xml:space="preserve">The gendered patterns of participation evident in VET in </w:t>
      </w:r>
      <w:r w:rsidR="00274D68" w:rsidRPr="00A058DF">
        <w:t>Schools</w:t>
      </w:r>
      <w:r w:rsidRPr="00A058DF">
        <w:t xml:space="preserve"> continue in post-school VET, apprenticeship and higher education c</w:t>
      </w:r>
      <w:r w:rsidR="00D375D7">
        <w:t xml:space="preserve">ourses. Despite a strong policy </w:t>
      </w:r>
      <w:r w:rsidRPr="00A058DF">
        <w:t>focus on traditional tr</w:t>
      </w:r>
      <w:r w:rsidR="00D375D7">
        <w:t xml:space="preserve">ade VET and apprenticeships </w:t>
      </w:r>
      <w:r w:rsidRPr="00A058DF">
        <w:t>in current approaches to VET in Schools (Clarke 201</w:t>
      </w:r>
      <w:r w:rsidR="00D375D7">
        <w:t>3), participation data indicate</w:t>
      </w:r>
      <w:r w:rsidRPr="00A058DF">
        <w:t xml:space="preserve"> that apprenticeship pathways continue to be relatively weak for young women (Rothman et al</w:t>
      </w:r>
      <w:r w:rsidR="00D375D7">
        <w:t>.</w:t>
      </w:r>
      <w:r w:rsidRPr="00A058DF">
        <w:t xml:space="preserve"> 2011), with only 5% of Victorian young </w:t>
      </w:r>
      <w:r w:rsidRPr="00733FAB">
        <w:t>women entering</w:t>
      </w:r>
      <w:r w:rsidRPr="00A058DF">
        <w:t xml:space="preserve"> employment-based training pathways, compared with 16.7% of Victorian young men.</w:t>
      </w:r>
      <w:r w:rsidR="00D375D7" w:rsidRPr="00733FAB">
        <w:rPr>
          <w:rStyle w:val="FootnoteReference"/>
        </w:rPr>
        <w:footnoteReference w:id="5"/>
      </w:r>
      <w:r w:rsidRPr="00A058DF">
        <w:t xml:space="preserve"> Female school leaver</w:t>
      </w:r>
      <w:r w:rsidR="00D375D7">
        <w:t>s and school completers aged 15—</w:t>
      </w:r>
      <w:r w:rsidRPr="00A058DF">
        <w:t xml:space="preserve">19 </w:t>
      </w:r>
      <w:r w:rsidR="00D375D7">
        <w:t xml:space="preserve">years </w:t>
      </w:r>
      <w:r w:rsidRPr="00A058DF">
        <w:t xml:space="preserve">are less likely to enrol in VET study in the fields of </w:t>
      </w:r>
      <w:r w:rsidR="00D375D7" w:rsidRPr="00A058DF">
        <w:t>engineering and related studies (7%) and architecture and building</w:t>
      </w:r>
      <w:r w:rsidR="00D375D7">
        <w:t xml:space="preserve"> (4%) (see figure 2</w:t>
      </w:r>
      <w:r w:rsidRPr="00A058DF">
        <w:t xml:space="preserve">). Female students also make up only a small proportion of Victorian schools </w:t>
      </w:r>
      <w:r w:rsidR="00D375D7">
        <w:t>completers enrolled in bachelor-</w:t>
      </w:r>
      <w:r w:rsidRPr="00A058DF">
        <w:t xml:space="preserve">level study in </w:t>
      </w:r>
      <w:r w:rsidR="00D375D7" w:rsidRPr="00A058DF">
        <w:t xml:space="preserve">electrical and electronic engineering (7.8%), mechanical and industrial engineering (8.6%) and building </w:t>
      </w:r>
      <w:r w:rsidRPr="00A058DF">
        <w:t>(8.5</w:t>
      </w:r>
      <w:r w:rsidRPr="00485724">
        <w:t>%) (</w:t>
      </w:r>
      <w:r w:rsidR="006A429E">
        <w:t>Department of Education and Early Childhood Development</w:t>
      </w:r>
      <w:r w:rsidRPr="00485724">
        <w:t xml:space="preserve"> On Track survey 2013).</w:t>
      </w:r>
    </w:p>
    <w:p w:rsidR="008040F5" w:rsidRPr="00A058DF" w:rsidRDefault="008040F5" w:rsidP="008040F5">
      <w:pPr>
        <w:pStyle w:val="Text"/>
      </w:pPr>
      <w:r w:rsidRPr="00A058DF">
        <w:t xml:space="preserve">What the data </w:t>
      </w:r>
      <w:r>
        <w:t>in the two figures suggest is that there is an on</w:t>
      </w:r>
      <w:r w:rsidRPr="00A058DF">
        <w:t xml:space="preserve">going pattern of gendered educational participation that reinforces gendered occupational outcomes. Earlier </w:t>
      </w:r>
      <w:r w:rsidR="006A429E">
        <w:t>work</w:t>
      </w:r>
      <w:r>
        <w:t xml:space="preserve"> undertaken by WAVE in 2004—0</w:t>
      </w:r>
      <w:r w:rsidRPr="00A058DF">
        <w:t xml:space="preserve">5 noted that entrenched social conditioning affects the way girls and young women approach their future career and life choices. </w:t>
      </w:r>
    </w:p>
    <w:p w:rsidR="008040F5" w:rsidRPr="00A058DF" w:rsidRDefault="008040F5" w:rsidP="008040F5">
      <w:pPr>
        <w:pStyle w:val="Text"/>
        <w:ind w:right="-143"/>
      </w:pPr>
      <w:r w:rsidRPr="00A058DF">
        <w:t>Respondents to this research survey also recognised the need fo</w:t>
      </w:r>
      <w:r>
        <w:t>r early interventions at school</w:t>
      </w:r>
      <w:r w:rsidRPr="00A058DF">
        <w:t xml:space="preserve"> and specific programs focused on young women </w:t>
      </w:r>
      <w:r>
        <w:t>to help</w:t>
      </w:r>
      <w:r w:rsidRPr="00A058DF">
        <w:t xml:space="preserve"> address the effects of social conditioning. A gender gap has emerged</w:t>
      </w:r>
      <w:r>
        <w:t>,</w:t>
      </w:r>
      <w:r w:rsidRPr="00A058DF">
        <w:t xml:space="preserve"> whereby women with low school achievement obtain casual, part-time and often low-skilled jobs and experience a highly competitive job market, with precarious and/or </w:t>
      </w:r>
      <w:r w:rsidR="009812F6" w:rsidRPr="009812F6">
        <w:t>under</w:t>
      </w:r>
      <w:r w:rsidRPr="009812F6">
        <w:t>employment</w:t>
      </w:r>
      <w:r w:rsidRPr="00A058DF">
        <w:t xml:space="preserve"> (McMillan </w:t>
      </w:r>
      <w:r>
        <w:t>&amp;</w:t>
      </w:r>
      <w:r w:rsidRPr="00A058DF">
        <w:t xml:space="preserve"> Cur</w:t>
      </w:r>
      <w:r>
        <w:t>tis 2008). I</w:t>
      </w:r>
      <w:r w:rsidRPr="00A058DF">
        <w:t xml:space="preserve">n this context, effective and coherent approaches to career exploration that </w:t>
      </w:r>
      <w:r w:rsidRPr="00A058DF">
        <w:lastRenderedPageBreak/>
        <w:t xml:space="preserve">support pathways to secure and skilled occupations for young women are important, along with the need to focus on a change of culture in perspectives about what is </w:t>
      </w:r>
      <w:r>
        <w:t>‘</w:t>
      </w:r>
      <w:r w:rsidRPr="00A058DF">
        <w:t>women</w:t>
      </w:r>
      <w:r>
        <w:t>’</w:t>
      </w:r>
      <w:r w:rsidRPr="00A058DF">
        <w:t>s work</w:t>
      </w:r>
      <w:r>
        <w:t>’</w:t>
      </w:r>
      <w:r w:rsidRPr="00A058DF">
        <w:t xml:space="preserve"> and what is </w:t>
      </w:r>
      <w:r>
        <w:t>‘</w:t>
      </w:r>
      <w:r w:rsidRPr="00A058DF">
        <w:t>men</w:t>
      </w:r>
      <w:r>
        <w:t>’</w:t>
      </w:r>
      <w:r w:rsidRPr="00A058DF">
        <w:t>s work</w:t>
      </w:r>
      <w:r>
        <w:t>’</w:t>
      </w:r>
      <w:r w:rsidRPr="00A058DF">
        <w:t>. The impact of career exploration and career development in schools highlights that ex</w:t>
      </w:r>
      <w:r>
        <w:t>panding options for young women</w:t>
      </w:r>
      <w:r w:rsidRPr="00A058DF">
        <w:t xml:space="preserve"> is only one part of a </w:t>
      </w:r>
      <w:r>
        <w:t>‘</w:t>
      </w:r>
      <w:r w:rsidRPr="00A058DF">
        <w:t>scenario</w:t>
      </w:r>
      <w:r>
        <w:t>’</w:t>
      </w:r>
      <w:r w:rsidRPr="00A058DF">
        <w:t xml:space="preserve"> for changing these perspectives. </w:t>
      </w:r>
    </w:p>
    <w:p w:rsidR="00A058DF" w:rsidRDefault="00A058DF" w:rsidP="00B631C3">
      <w:pPr>
        <w:pStyle w:val="Figuretitle"/>
        <w:spacing w:before="200" w:after="40"/>
      </w:pPr>
      <w:r w:rsidRPr="00A058DF">
        <w:t>Figu</w:t>
      </w:r>
      <w:r w:rsidR="00D375D7">
        <w:t>re 1</w:t>
      </w:r>
      <w:r w:rsidR="00D375D7">
        <w:tab/>
        <w:t>Number of students 15–19 years of age, enrolled in VET</w:t>
      </w:r>
      <w:r w:rsidRPr="00A058DF">
        <w:t xml:space="preserve"> in School</w:t>
      </w:r>
      <w:r w:rsidR="00D375D7">
        <w:t>s</w:t>
      </w:r>
      <w:r w:rsidRPr="00A058DF">
        <w:t xml:space="preserve"> courses, by field of study and gender, 2012</w:t>
      </w:r>
    </w:p>
    <w:p w:rsidR="00FC3C86" w:rsidRDefault="00B631C3" w:rsidP="0065637A">
      <w:pPr>
        <w:pStyle w:val="Source"/>
        <w:spacing w:before="80"/>
      </w:pPr>
      <w:r>
        <w:rPr>
          <w:noProof/>
          <w:lang w:eastAsia="en-AU"/>
        </w:rPr>
        <w:drawing>
          <wp:inline distT="0" distB="0" distL="0" distR="0" wp14:anchorId="6194718B">
            <wp:extent cx="5410200" cy="353951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874" cy="3543878"/>
                    </a:xfrm>
                    <a:prstGeom prst="rect">
                      <a:avLst/>
                    </a:prstGeom>
                    <a:noFill/>
                  </pic:spPr>
                </pic:pic>
              </a:graphicData>
            </a:graphic>
          </wp:inline>
        </w:drawing>
      </w:r>
    </w:p>
    <w:p w:rsidR="00733FAB" w:rsidRDefault="008040F5" w:rsidP="006B4E7B">
      <w:pPr>
        <w:pStyle w:val="Source"/>
        <w:spacing w:before="60"/>
      </w:pPr>
      <w:r>
        <w:t>Source:</w:t>
      </w:r>
      <w:r>
        <w:tab/>
      </w:r>
      <w:r w:rsidR="00A058DF" w:rsidRPr="00A058DF">
        <w:t>Vocstats</w:t>
      </w:r>
      <w:r w:rsidR="00D375D7">
        <w:t>:</w:t>
      </w:r>
      <w:r w:rsidR="00A058DF" w:rsidRPr="00A058DF">
        <w:t xml:space="preserve"> VET</w:t>
      </w:r>
      <w:r w:rsidR="006A429E">
        <w:t xml:space="preserve"> in Schools </w:t>
      </w:r>
      <w:r w:rsidR="00A058DF" w:rsidRPr="00A058DF">
        <w:t>Students, 2012</w:t>
      </w:r>
      <w:r w:rsidR="00D375D7">
        <w:t>.</w:t>
      </w:r>
    </w:p>
    <w:p w:rsidR="00A058DF" w:rsidRDefault="00A058DF" w:rsidP="00B631C3">
      <w:pPr>
        <w:pStyle w:val="Figuretitle"/>
        <w:spacing w:before="200" w:after="40"/>
      </w:pPr>
      <w:r w:rsidRPr="00A058DF">
        <w:t>Fig</w:t>
      </w:r>
      <w:r w:rsidR="00C85DDE">
        <w:t>ure 2</w:t>
      </w:r>
      <w:r w:rsidR="00D375D7">
        <w:tab/>
        <w:t>Number of students 15–</w:t>
      </w:r>
      <w:r w:rsidRPr="00A058DF">
        <w:t xml:space="preserve">19 years of age, enrolled in </w:t>
      </w:r>
      <w:r w:rsidR="00D375D7">
        <w:t>VET</w:t>
      </w:r>
      <w:r w:rsidRPr="00A058DF">
        <w:t xml:space="preserve"> courses, by field of study and gender, 2012</w:t>
      </w:r>
    </w:p>
    <w:p w:rsidR="00FC3C86" w:rsidRDefault="00B631C3" w:rsidP="0065637A">
      <w:pPr>
        <w:pStyle w:val="Source"/>
        <w:spacing w:before="80"/>
        <w:ind w:left="0" w:firstLine="0"/>
      </w:pPr>
      <w:r>
        <w:rPr>
          <w:noProof/>
          <w:lang w:eastAsia="en-AU"/>
        </w:rPr>
        <w:drawing>
          <wp:inline distT="0" distB="0" distL="0" distR="0" wp14:anchorId="5B34CE63">
            <wp:extent cx="5413179" cy="354032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3179" cy="3540323"/>
                    </a:xfrm>
                    <a:prstGeom prst="rect">
                      <a:avLst/>
                    </a:prstGeom>
                    <a:noFill/>
                  </pic:spPr>
                </pic:pic>
              </a:graphicData>
            </a:graphic>
          </wp:inline>
        </w:drawing>
      </w:r>
    </w:p>
    <w:p w:rsidR="00A058DF" w:rsidRPr="00A058DF" w:rsidRDefault="00A058DF" w:rsidP="006B4E7B">
      <w:pPr>
        <w:pStyle w:val="Source"/>
        <w:spacing w:before="60"/>
      </w:pPr>
      <w:r w:rsidRPr="00A058DF">
        <w:t>Source:</w:t>
      </w:r>
      <w:r w:rsidR="00C85DDE">
        <w:tab/>
      </w:r>
      <w:r w:rsidRPr="00A058DF">
        <w:t>Vocstats</w:t>
      </w:r>
      <w:r w:rsidR="00D375D7">
        <w:t>:</w:t>
      </w:r>
      <w:r w:rsidRPr="00A058DF">
        <w:t xml:space="preserve"> Students and Courses, 2012</w:t>
      </w:r>
      <w:r w:rsidR="00D375D7">
        <w:t>.</w:t>
      </w:r>
    </w:p>
    <w:p w:rsidR="00A058DF" w:rsidRPr="00A058DF" w:rsidRDefault="00A058DF" w:rsidP="00C85DDE">
      <w:pPr>
        <w:pStyle w:val="Text"/>
        <w:spacing w:before="360"/>
        <w:ind w:right="0"/>
      </w:pPr>
      <w:r w:rsidRPr="00A058DF">
        <w:lastRenderedPageBreak/>
        <w:t>Parents and families are rec</w:t>
      </w:r>
      <w:r w:rsidR="00F17E40">
        <w:t>ognis</w:t>
      </w:r>
      <w:r w:rsidRPr="00A058DF">
        <w:t>ed as playing an important role in shaping and informing the career decisions of young</w:t>
      </w:r>
      <w:r w:rsidR="00F17E40">
        <w:t xml:space="preserve"> women. Parents with entrenched</w:t>
      </w:r>
      <w:r w:rsidRPr="00A058DF">
        <w:t xml:space="preserve"> gendered perspectives of occupations themselve</w:t>
      </w:r>
      <w:r w:rsidR="00F17E40">
        <w:t>s were described by respondents</w:t>
      </w:r>
      <w:r w:rsidRPr="00A058DF">
        <w:t xml:space="preserve"> as hindering school-based strategies to broaden the interests and pathways of young women. Alternatively, where </w:t>
      </w:r>
      <w:r w:rsidRPr="00C85DDE">
        <w:t>parents</w:t>
      </w:r>
      <w:r w:rsidRPr="00A058DF">
        <w:t xml:space="preserve"> were aware of potential pathways in STEM and traditional trades areas, they were described as being an important and enabling stakeholder in effective strategies. </w:t>
      </w:r>
    </w:p>
    <w:p w:rsidR="00A058DF" w:rsidRPr="00A058DF" w:rsidRDefault="00A058DF" w:rsidP="00A058DF">
      <w:pPr>
        <w:pStyle w:val="Text"/>
      </w:pPr>
      <w:r w:rsidRPr="00A058DF">
        <w:t>Respondents to the survey</w:t>
      </w:r>
      <w:r w:rsidR="00EF22B8">
        <w:t xml:space="preserve"> described a need for career </w:t>
      </w:r>
      <w:r w:rsidRPr="00A058DF">
        <w:t xml:space="preserve">exploration approaches to </w:t>
      </w:r>
      <w:r w:rsidR="006A429E">
        <w:t xml:space="preserve">involve parents and families and </w:t>
      </w:r>
      <w:r w:rsidRPr="00A058DF">
        <w:t xml:space="preserve">provide them with opportunities to engage meaningfully with the school. </w:t>
      </w:r>
    </w:p>
    <w:p w:rsidR="00A058DF" w:rsidRPr="00A058DF" w:rsidRDefault="00A058DF" w:rsidP="00A058DF">
      <w:pPr>
        <w:pStyle w:val="Heading2"/>
      </w:pPr>
      <w:bookmarkStart w:id="69" w:name="_Toc412455611"/>
      <w:bookmarkStart w:id="70" w:name="_Toc416683030"/>
      <w:r w:rsidRPr="00A058DF">
        <w:t>Methodology</w:t>
      </w:r>
      <w:bookmarkEnd w:id="69"/>
      <w:bookmarkEnd w:id="70"/>
      <w:r w:rsidRPr="00A058DF">
        <w:t xml:space="preserve"> </w:t>
      </w:r>
    </w:p>
    <w:p w:rsidR="00A058DF" w:rsidRPr="00A058DF" w:rsidRDefault="00A058DF" w:rsidP="00A058DF">
      <w:pPr>
        <w:pStyle w:val="Text"/>
      </w:pPr>
      <w:r w:rsidRPr="00A058DF">
        <w:t xml:space="preserve">This paper draws from a mixed method study. An electronic literature search and review of international and national sources formed the background to an online survey of </w:t>
      </w:r>
      <w:r w:rsidR="004E164F">
        <w:t xml:space="preserve">stakeholders concerned with </w:t>
      </w:r>
      <w:r w:rsidRPr="00A058DF">
        <w:t xml:space="preserve">career exploration </w:t>
      </w:r>
      <w:r w:rsidR="004E164F">
        <w:t>issues</w:t>
      </w:r>
      <w:r w:rsidRPr="00A058DF">
        <w:t xml:space="preserve">. An online survey instrument was circulated nationally to </w:t>
      </w:r>
      <w:r w:rsidR="00274D68" w:rsidRPr="00A058DF">
        <w:t>identify</w:t>
      </w:r>
      <w:r w:rsidRPr="00A058DF">
        <w:t xml:space="preserve"> key stakeholders and networks. </w:t>
      </w:r>
    </w:p>
    <w:p w:rsidR="00A058DF" w:rsidRPr="00A058DF" w:rsidRDefault="00A058DF" w:rsidP="00A058DF">
      <w:pPr>
        <w:pStyle w:val="Text"/>
      </w:pPr>
      <w:r w:rsidRPr="00A058DF">
        <w:t>Feedback through the online survey came from 217 respondents, who represented a broad r</w:t>
      </w:r>
      <w:r w:rsidR="00F17E40">
        <w:t>ange of stakeholder types (see figure 3</w:t>
      </w:r>
      <w:r w:rsidRPr="00A058DF">
        <w:t>) from across Australia.</w:t>
      </w:r>
    </w:p>
    <w:p w:rsidR="00A058DF" w:rsidRPr="00A058DF" w:rsidRDefault="00A058DF" w:rsidP="00C85DDE">
      <w:pPr>
        <w:pStyle w:val="Figuretitle"/>
        <w:rPr>
          <w:rFonts w:cs="Trebuchet MS"/>
          <w:color w:val="000000"/>
          <w:szCs w:val="19"/>
        </w:rPr>
      </w:pPr>
      <w:r w:rsidRPr="00A058DF">
        <w:t>Figure 3</w:t>
      </w:r>
      <w:r w:rsidR="00C85DDE">
        <w:tab/>
      </w:r>
      <w:r w:rsidRPr="00A058DF">
        <w:t>Survey respondents, by stakeholder type (%)</w:t>
      </w:r>
    </w:p>
    <w:p w:rsidR="00A058DF" w:rsidRPr="00577E35" w:rsidRDefault="00A058DF" w:rsidP="00C85DDE">
      <w:pPr>
        <w:pStyle w:val="Text"/>
        <w:spacing w:before="360"/>
        <w:ind w:right="0"/>
      </w:pPr>
      <w:r w:rsidRPr="00A058DF">
        <w:rPr>
          <w:noProof/>
          <w:lang w:eastAsia="en-AU"/>
        </w:rPr>
        <w:drawing>
          <wp:anchor distT="0" distB="0" distL="114300" distR="114300" simplePos="0" relativeHeight="251746304" behindDoc="0" locked="0" layoutInCell="1" allowOverlap="1" wp14:anchorId="36F69AAC" wp14:editId="2D989C24">
            <wp:simplePos x="0" y="0"/>
            <wp:positionH relativeFrom="column">
              <wp:posOffset>4445</wp:posOffset>
            </wp:positionH>
            <wp:positionV relativeFrom="paragraph">
              <wp:posOffset>48260</wp:posOffset>
            </wp:positionV>
            <wp:extent cx="5056505" cy="245745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0762" t="20731" r="18857" b="19986"/>
                    <a:stretch/>
                  </pic:blipFill>
                  <pic:spPr bwMode="auto">
                    <a:xfrm>
                      <a:off x="0" y="0"/>
                      <a:ext cx="505650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E35">
        <w:t>Stakeholder perspectives were gathered from a range of different organisations and stakeholder types. Respondents included career education and career guidance practitioners (n</w:t>
      </w:r>
      <w:r w:rsidR="00F17E40">
        <w:t xml:space="preserve"> </w:t>
      </w:r>
      <w:r w:rsidRPr="00577E35">
        <w:t>=</w:t>
      </w:r>
      <w:r w:rsidR="00F17E40">
        <w:t xml:space="preserve"> </w:t>
      </w:r>
      <w:r w:rsidR="004E164F">
        <w:t>56);</w:t>
      </w:r>
      <w:r w:rsidRPr="00577E35">
        <w:t xml:space="preserve"> practitioners and researchers within the higher education and VET sector</w:t>
      </w:r>
      <w:r w:rsidR="00F17E40">
        <w:t>s</w:t>
      </w:r>
      <w:r w:rsidRPr="00577E35">
        <w:t xml:space="preserve"> (n</w:t>
      </w:r>
      <w:r w:rsidR="00F17E40">
        <w:t xml:space="preserve"> </w:t>
      </w:r>
      <w:r w:rsidRPr="00577E35">
        <w:t>=</w:t>
      </w:r>
      <w:r w:rsidR="00F17E40">
        <w:t xml:space="preserve"> </w:t>
      </w:r>
      <w:r w:rsidR="004E164F">
        <w:t>26);</w:t>
      </w:r>
      <w:r w:rsidRPr="00577E35">
        <w:t xml:space="preserve"> VET in Schools and/or </w:t>
      </w:r>
      <w:r w:rsidR="004E164F" w:rsidRPr="00577E35">
        <w:t xml:space="preserve">pathways coordinators </w:t>
      </w:r>
      <w:r w:rsidRPr="00577E35">
        <w:t>(n</w:t>
      </w:r>
      <w:r w:rsidR="00F17E40">
        <w:t xml:space="preserve"> </w:t>
      </w:r>
      <w:r w:rsidRPr="00577E35">
        <w:t>=</w:t>
      </w:r>
      <w:r w:rsidR="00F17E40">
        <w:t xml:space="preserve"> </w:t>
      </w:r>
      <w:r w:rsidR="004E164F">
        <w:t>21);</w:t>
      </w:r>
      <w:r w:rsidRPr="00577E35">
        <w:t xml:space="preserve"> industry representatives (n</w:t>
      </w:r>
      <w:r w:rsidR="00F17E40">
        <w:t xml:space="preserve"> </w:t>
      </w:r>
      <w:r w:rsidRPr="00577E35">
        <w:t>=</w:t>
      </w:r>
      <w:r w:rsidR="00F17E40">
        <w:t xml:space="preserve"> </w:t>
      </w:r>
      <w:r w:rsidR="004E164F">
        <w:t>21);</w:t>
      </w:r>
      <w:r w:rsidRPr="00577E35">
        <w:t xml:space="preserve"> representatives from go</w:t>
      </w:r>
      <w:r w:rsidR="00F17E40">
        <w:t>vernment departments and policy-</w:t>
      </w:r>
      <w:r w:rsidRPr="00577E35">
        <w:t>making authorities (n</w:t>
      </w:r>
      <w:r w:rsidR="00F17E40">
        <w:t xml:space="preserve"> </w:t>
      </w:r>
      <w:r w:rsidRPr="00577E35">
        <w:t>=</w:t>
      </w:r>
      <w:r w:rsidR="00F17E40">
        <w:t xml:space="preserve"> </w:t>
      </w:r>
      <w:r w:rsidR="004E164F">
        <w:t>17);</w:t>
      </w:r>
      <w:r w:rsidRPr="00577E35">
        <w:t xml:space="preserve"> school principals and teachers (n</w:t>
      </w:r>
      <w:r w:rsidR="00F17E40">
        <w:t xml:space="preserve"> </w:t>
      </w:r>
      <w:r w:rsidRPr="00577E35">
        <w:t>=</w:t>
      </w:r>
      <w:r w:rsidR="00F17E40">
        <w:t xml:space="preserve"> </w:t>
      </w:r>
      <w:r w:rsidRPr="00577E35">
        <w:t>10)</w:t>
      </w:r>
      <w:r w:rsidR="004E164F">
        <w:t>;</w:t>
      </w:r>
      <w:r w:rsidRPr="00577E35">
        <w:t xml:space="preserve"> and respondents who were playing a mentoring role </w:t>
      </w:r>
      <w:r w:rsidR="00F17E40">
        <w:t>for</w:t>
      </w:r>
      <w:r w:rsidRPr="00577E35">
        <w:t xml:space="preserve"> young women in industry (n</w:t>
      </w:r>
      <w:r w:rsidR="00F17E40">
        <w:t xml:space="preserve"> </w:t>
      </w:r>
      <w:r w:rsidRPr="00577E35">
        <w:t>=</w:t>
      </w:r>
      <w:r w:rsidR="00F17E40">
        <w:t xml:space="preserve"> </w:t>
      </w:r>
      <w:r w:rsidRPr="00577E35">
        <w:t>6). This was a fairly representative sample of key stakeholder groups. As is the case with online survey</w:t>
      </w:r>
      <w:r w:rsidR="004E164F">
        <w:t>s</w:t>
      </w:r>
      <w:r w:rsidRPr="00577E35">
        <w:t xml:space="preserve">, individuals and groups forwarded the survey to others, so that an actual response rate is difficult to gauge. The breadth of respondents to the online survey provided insights </w:t>
      </w:r>
      <w:r w:rsidR="004E164F">
        <w:t>into</w:t>
      </w:r>
      <w:r w:rsidRPr="00577E35">
        <w:t xml:space="preserve"> the current strengths and weaknesses of career exploration in secondary schools and identified ways </w:t>
      </w:r>
      <w:r w:rsidR="00F17E40">
        <w:t>by</w:t>
      </w:r>
      <w:r w:rsidRPr="00577E35">
        <w:t xml:space="preserve"> which current approac</w:t>
      </w:r>
      <w:r w:rsidR="00F17E40">
        <w:t>hes could be strengthened. R</w:t>
      </w:r>
      <w:r w:rsidRPr="00577E35">
        <w:t xml:space="preserve">esponses that detailed new and emerging models of career exploration for young women in STEM and non-traditional areas were followed up with telephone or face-to-face interviews. </w:t>
      </w:r>
    </w:p>
    <w:p w:rsidR="00A058DF" w:rsidRPr="00A058DF" w:rsidRDefault="00A058DF" w:rsidP="00C85DDE">
      <w:pPr>
        <w:pStyle w:val="Text"/>
        <w:rPr>
          <w:lang w:val="en-US"/>
        </w:rPr>
      </w:pPr>
      <w:r w:rsidRPr="00A058DF">
        <w:rPr>
          <w:lang w:val="en-US"/>
        </w:rPr>
        <w:lastRenderedPageBreak/>
        <w:t>The survey focused on the following questions</w:t>
      </w:r>
      <w:r w:rsidR="006F37EE">
        <w:rPr>
          <w:lang w:val="en-US"/>
        </w:rPr>
        <w:t xml:space="preserve"> and considerations</w:t>
      </w:r>
      <w:r w:rsidRPr="00A058DF">
        <w:rPr>
          <w:lang w:val="en-US"/>
        </w:rPr>
        <w:t xml:space="preserve">: </w:t>
      </w:r>
    </w:p>
    <w:p w:rsidR="00A058DF" w:rsidRPr="00C85DDE" w:rsidRDefault="00A058DF" w:rsidP="00C85DDE">
      <w:pPr>
        <w:pStyle w:val="Dotpoint1"/>
      </w:pPr>
      <w:r w:rsidRPr="006F37EE">
        <w:t xml:space="preserve">the key strengths of </w:t>
      </w:r>
      <w:r w:rsidRPr="00C85DDE">
        <w:t>current approaches t</w:t>
      </w:r>
      <w:r w:rsidR="006F37EE" w:rsidRPr="00C85DDE">
        <w:t>o career exploration in schools</w:t>
      </w:r>
    </w:p>
    <w:p w:rsidR="00A058DF" w:rsidRPr="00C85DDE" w:rsidRDefault="00A058DF" w:rsidP="00C85DDE">
      <w:pPr>
        <w:pStyle w:val="Dotpoint1"/>
      </w:pPr>
      <w:r w:rsidRPr="00C85DDE">
        <w:t xml:space="preserve">what is needed to strengthen these current approaches </w:t>
      </w:r>
    </w:p>
    <w:p w:rsidR="00A058DF" w:rsidRPr="00C85DDE" w:rsidRDefault="00A058DF" w:rsidP="00C85DDE">
      <w:pPr>
        <w:pStyle w:val="Dotpoint1"/>
      </w:pPr>
      <w:r w:rsidRPr="00C85DDE">
        <w:t>the particular weaknesses in career exploration in relation to young women, including those that may result in gendered outcom</w:t>
      </w:r>
      <w:r w:rsidR="006A429E">
        <w:t>es</w:t>
      </w:r>
      <w:r w:rsidRPr="00C85DDE">
        <w:t xml:space="preserve"> and in relation to their exposure to </w:t>
      </w:r>
      <w:r w:rsidR="00F17E40" w:rsidRPr="00C85DDE">
        <w:t>STEM</w:t>
      </w:r>
      <w:r w:rsidRPr="00C85DDE">
        <w:t xml:space="preserve"> pathways, including those leading to jobs in non-traditional occupations and industries </w:t>
      </w:r>
    </w:p>
    <w:p w:rsidR="00A058DF" w:rsidRPr="00C85DDE" w:rsidRDefault="00A058DF" w:rsidP="00C85DDE">
      <w:pPr>
        <w:pStyle w:val="Dotpoint1"/>
      </w:pPr>
      <w:r w:rsidRPr="00C85DDE">
        <w:t>the enablers of successful/effective models of car</w:t>
      </w:r>
      <w:r w:rsidR="006F37EE" w:rsidRPr="00C85DDE">
        <w:t>eer exploration for young women</w:t>
      </w:r>
    </w:p>
    <w:p w:rsidR="00A058DF" w:rsidRPr="00C85DDE" w:rsidRDefault="00A058DF" w:rsidP="00C85DDE">
      <w:pPr>
        <w:pStyle w:val="Dotpoint1"/>
      </w:pPr>
      <w:r w:rsidRPr="00C85DDE">
        <w:t>what needs to happen at a policy lev</w:t>
      </w:r>
      <w:r w:rsidR="003B609C" w:rsidRPr="00C85DDE">
        <w:t>el to further strengthen school-</w:t>
      </w:r>
      <w:r w:rsidRPr="00C85DDE">
        <w:t xml:space="preserve">based models of career exploration for young women </w:t>
      </w:r>
    </w:p>
    <w:p w:rsidR="00A058DF" w:rsidRPr="006F37EE" w:rsidRDefault="00A058DF" w:rsidP="00C85DDE">
      <w:pPr>
        <w:pStyle w:val="Dotpoint1"/>
      </w:pPr>
      <w:r w:rsidRPr="00C85DDE">
        <w:t>the enablers of effective partnerships</w:t>
      </w:r>
      <w:r w:rsidRPr="006F37EE">
        <w:t xml:space="preserve"> between schools and industry, how they might be strengthened, and in what </w:t>
      </w:r>
      <w:r w:rsidR="006A429E">
        <w:t>ways are/can community and non-</w:t>
      </w:r>
      <w:r w:rsidRPr="006F37EE">
        <w:t>profit organisations play a role in career exploration programs and services for young women in schools</w:t>
      </w:r>
      <w:r w:rsidR="006F37EE">
        <w:t>?</w:t>
      </w:r>
    </w:p>
    <w:p w:rsidR="00A058DF" w:rsidRPr="00A058DF" w:rsidRDefault="00A058DF" w:rsidP="00A058DF">
      <w:pPr>
        <w:pStyle w:val="Heading2"/>
      </w:pPr>
      <w:bookmarkStart w:id="71" w:name="_Toc412455612"/>
      <w:bookmarkStart w:id="72" w:name="_Toc416683031"/>
      <w:r w:rsidRPr="00A058DF">
        <w:t>Key themes identified by stakeholders</w:t>
      </w:r>
      <w:bookmarkEnd w:id="71"/>
      <w:bookmarkEnd w:id="72"/>
      <w:r w:rsidRPr="00A058DF">
        <w:t xml:space="preserve"> </w:t>
      </w:r>
    </w:p>
    <w:p w:rsidR="00A058DF" w:rsidRPr="00577E35" w:rsidRDefault="00A058DF" w:rsidP="00577E35">
      <w:pPr>
        <w:pStyle w:val="Text"/>
      </w:pPr>
      <w:r w:rsidRPr="00577E35">
        <w:t xml:space="preserve">Stakeholders responding to the online survey identified a range of existing </w:t>
      </w:r>
      <w:r w:rsidR="004E164F">
        <w:t xml:space="preserve">constraints to effective career </w:t>
      </w:r>
      <w:r w:rsidRPr="00577E35">
        <w:t>exploration activities for young women and a number of implications for policy</w:t>
      </w:r>
      <w:r w:rsidR="003B609C">
        <w:t>-</w:t>
      </w:r>
      <w:r w:rsidRPr="00577E35">
        <w:t xml:space="preserve">makers hoping to enable and support effective practice in this area. Respondents also identified strategies and approaches effective in widening the participation of young women in STEM and non-traditional areas. The following are the key themes identified. </w:t>
      </w:r>
    </w:p>
    <w:p w:rsidR="00A058DF" w:rsidRPr="00A058DF" w:rsidRDefault="00A058DF" w:rsidP="00A058DF">
      <w:pPr>
        <w:pStyle w:val="Heading2"/>
      </w:pPr>
      <w:bookmarkStart w:id="73" w:name="_Toc412455613"/>
      <w:bookmarkStart w:id="74" w:name="_Toc416683032"/>
      <w:r w:rsidRPr="00A058DF">
        <w:t>Constraints to effective career exploration</w:t>
      </w:r>
      <w:bookmarkEnd w:id="73"/>
      <w:bookmarkEnd w:id="74"/>
      <w:r w:rsidRPr="00A058DF">
        <w:t xml:space="preserve"> </w:t>
      </w:r>
    </w:p>
    <w:p w:rsidR="00A058DF" w:rsidRPr="00577E35" w:rsidRDefault="00A058DF" w:rsidP="00577E35">
      <w:pPr>
        <w:pStyle w:val="Text"/>
      </w:pPr>
      <w:r w:rsidRPr="00577E35">
        <w:t>Gender stereotypes were described by respondents as having a significant impact on the aspirations, pathway choices and career exploration of young women. This gender stereotyping was described as common in ad</w:t>
      </w:r>
      <w:r w:rsidR="004E164F">
        <w:t xml:space="preserve">vice provided as part of career </w:t>
      </w:r>
      <w:r w:rsidRPr="00577E35">
        <w:t>exploration and development programs. Respondents emphasised the need for careers practitioners to modify advice and information to address any inadvertent reinforcement o</w:t>
      </w:r>
      <w:r w:rsidR="003B609C">
        <w:t xml:space="preserve">f social gender stereotypes </w:t>
      </w:r>
      <w:r w:rsidRPr="00577E35">
        <w:t xml:space="preserve">in schools, particularly those related to specific industries and occupations. Gender stereotyping was described as starting early in childhood, making career exploration that counters this stereotyping an important part of education in primary and secondary schools. Programs that seek to overcome gendered stereotypes of particular industries and occupations were described by respondents as necessary. </w:t>
      </w:r>
    </w:p>
    <w:p w:rsidR="00A058DF" w:rsidRPr="00577E35" w:rsidRDefault="00A058DF" w:rsidP="00577E35">
      <w:pPr>
        <w:pStyle w:val="Text"/>
      </w:pPr>
      <w:r w:rsidRPr="00577E35">
        <w:t>In addition to concerns about gender stereotypes, respondents also described existing practices as not effectively responding to and reflecting the interests and needs of young women, but often rather those of the school. This was described as being particularly problematic for young women in regional, rural and remote areas</w:t>
      </w:r>
      <w:r w:rsidR="003B609C">
        <w:t>,</w:t>
      </w:r>
      <w:r w:rsidRPr="00577E35">
        <w:t xml:space="preserve"> who often have limited exposure to career exploration opportunities. </w:t>
      </w:r>
      <w:r w:rsidR="003B609C">
        <w:t>E</w:t>
      </w:r>
      <w:r w:rsidRPr="00577E35">
        <w:t xml:space="preserve">ffective approaches </w:t>
      </w:r>
      <w:r w:rsidR="003B609C">
        <w:t>to ameliorate this issue</w:t>
      </w:r>
      <w:r w:rsidR="003B609C" w:rsidRPr="00577E35">
        <w:t xml:space="preserve"> </w:t>
      </w:r>
      <w:r w:rsidRPr="00577E35">
        <w:t xml:space="preserve">were those described as focused on </w:t>
      </w:r>
      <w:r w:rsidR="006A429E">
        <w:t>being relevant</w:t>
      </w:r>
      <w:r w:rsidRPr="00577E35">
        <w:t xml:space="preserve"> to the self-perceived competencies and aspirations of young women. Respondents commonly endorsed programs that included a self-assessment element</w:t>
      </w:r>
      <w:r w:rsidR="006A429E">
        <w:t>,</w:t>
      </w:r>
      <w:r w:rsidRPr="00577E35">
        <w:t xml:space="preserve"> </w:t>
      </w:r>
      <w:r w:rsidR="003B609C">
        <w:t>by</w:t>
      </w:r>
      <w:r w:rsidRPr="00577E35">
        <w:t xml:space="preserve"> which young women had an opportunity to reflect on their skills and interests, and match these with career opportunities. </w:t>
      </w:r>
    </w:p>
    <w:p w:rsidR="00A058DF" w:rsidRPr="00577E35" w:rsidRDefault="00A058DF" w:rsidP="00577E35">
      <w:pPr>
        <w:pStyle w:val="Text"/>
      </w:pPr>
      <w:r w:rsidRPr="00577E35">
        <w:t>Some of these constraints in relation to student choices of STEM subjec</w:t>
      </w:r>
      <w:r w:rsidR="003B609C">
        <w:t>ts and careers are outlined in f</w:t>
      </w:r>
      <w:r w:rsidR="006A429E">
        <w:t>igure 4</w:t>
      </w:r>
      <w:r w:rsidRPr="00577E35">
        <w:t>.</w:t>
      </w:r>
    </w:p>
    <w:p w:rsidR="00C85DDE" w:rsidRDefault="00C85DDE">
      <w:pPr>
        <w:spacing w:before="0" w:line="240" w:lineRule="auto"/>
        <w:rPr>
          <w:rFonts w:ascii="Tahoma" w:hAnsi="Tahoma"/>
          <w:b/>
          <w:sz w:val="17"/>
        </w:rPr>
      </w:pPr>
      <w:r>
        <w:br w:type="page"/>
      </w:r>
    </w:p>
    <w:p w:rsidR="00A058DF" w:rsidRPr="00A058DF" w:rsidRDefault="00A058DF" w:rsidP="00C85DDE">
      <w:pPr>
        <w:pStyle w:val="Figuretitle"/>
        <w:rPr>
          <w:rFonts w:cs="Trebuchet MS"/>
          <w:color w:val="000000"/>
          <w:szCs w:val="19"/>
        </w:rPr>
      </w:pPr>
      <w:r w:rsidRPr="00A058DF">
        <w:lastRenderedPageBreak/>
        <w:t>Figure 4</w:t>
      </w:r>
      <w:r w:rsidR="00C85DDE">
        <w:tab/>
      </w:r>
      <w:r w:rsidRPr="00A058DF">
        <w:t>Major factors impacting student choice of STEM subjects and careers</w:t>
      </w:r>
    </w:p>
    <w:p w:rsidR="00A058DF" w:rsidRPr="00A058DF" w:rsidRDefault="00A058DF" w:rsidP="00A058DF">
      <w:pPr>
        <w:spacing w:line="240" w:lineRule="auto"/>
        <w:ind w:right="-1"/>
        <w:rPr>
          <w:rFonts w:cs="Trebuchet MS"/>
          <w:color w:val="000000"/>
          <w:szCs w:val="19"/>
        </w:rPr>
      </w:pPr>
      <w:r w:rsidRPr="00A058DF">
        <w:rPr>
          <w:rFonts w:cs="Trebuchet MS"/>
          <w:noProof/>
          <w:color w:val="000000"/>
          <w:szCs w:val="19"/>
          <w:lang w:eastAsia="en-AU"/>
        </w:rPr>
        <w:drawing>
          <wp:inline distT="0" distB="0" distL="0" distR="0" wp14:anchorId="18B00C22" wp14:editId="34CE2821">
            <wp:extent cx="5580380" cy="2523689"/>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80380" cy="2523689"/>
                    </a:xfrm>
                    <a:prstGeom prst="rect">
                      <a:avLst/>
                    </a:prstGeom>
                    <a:noFill/>
                    <a:ln>
                      <a:noFill/>
                    </a:ln>
                  </pic:spPr>
                </pic:pic>
              </a:graphicData>
            </a:graphic>
          </wp:inline>
        </w:drawing>
      </w:r>
      <w:r w:rsidRPr="00A058DF">
        <w:rPr>
          <w:rFonts w:cs="Trebuchet MS"/>
          <w:noProof/>
          <w:color w:val="000000"/>
          <w:sz w:val="2"/>
          <w:szCs w:val="2"/>
          <w:lang w:eastAsia="en-AU"/>
        </w:rPr>
        <w:drawing>
          <wp:inline distT="0" distB="0" distL="0" distR="0" wp14:anchorId="63E6412B" wp14:editId="135EFDE5">
            <wp:extent cx="5580380" cy="2544111"/>
            <wp:effectExtent l="0" t="0" r="127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0380" cy="2544111"/>
                    </a:xfrm>
                    <a:prstGeom prst="rect">
                      <a:avLst/>
                    </a:prstGeom>
                    <a:noFill/>
                    <a:ln>
                      <a:noFill/>
                    </a:ln>
                  </pic:spPr>
                </pic:pic>
              </a:graphicData>
            </a:graphic>
          </wp:inline>
        </w:drawing>
      </w:r>
    </w:p>
    <w:p w:rsidR="00A058DF" w:rsidRPr="00A058DF" w:rsidRDefault="00A058DF" w:rsidP="00C85DDE">
      <w:pPr>
        <w:pStyle w:val="Source"/>
      </w:pPr>
      <w:r w:rsidRPr="00A058DF">
        <w:t>Source:</w:t>
      </w:r>
      <w:r w:rsidR="00C85DDE">
        <w:tab/>
      </w:r>
      <w:proofErr w:type="spellStart"/>
      <w:r w:rsidRPr="00A058DF">
        <w:t>Panizzon</w:t>
      </w:r>
      <w:proofErr w:type="spellEnd"/>
      <w:r w:rsidRPr="00A058DF">
        <w:t xml:space="preserve"> &amp; Westfield </w:t>
      </w:r>
      <w:r w:rsidR="004E164F">
        <w:t>(</w:t>
      </w:r>
      <w:r w:rsidRPr="00A058DF">
        <w:t>2009</w:t>
      </w:r>
      <w:r w:rsidR="004E164F">
        <w:t>).</w:t>
      </w:r>
    </w:p>
    <w:p w:rsidR="00A058DF" w:rsidRPr="00A058DF" w:rsidRDefault="00A058DF" w:rsidP="00577E35">
      <w:pPr>
        <w:pStyle w:val="Heading2"/>
        <w:rPr>
          <w:lang w:val="en-US"/>
        </w:rPr>
      </w:pPr>
      <w:bookmarkStart w:id="75" w:name="_Toc412455614"/>
      <w:bookmarkStart w:id="76" w:name="_Toc416683033"/>
      <w:r w:rsidRPr="00577E35">
        <w:t>Career exploration strategies that work</w:t>
      </w:r>
      <w:bookmarkEnd w:id="75"/>
      <w:bookmarkEnd w:id="76"/>
      <w:r w:rsidRPr="00A058DF">
        <w:rPr>
          <w:lang w:val="en-US"/>
        </w:rPr>
        <w:t xml:space="preserve"> </w:t>
      </w:r>
    </w:p>
    <w:p w:rsidR="00A058DF" w:rsidRPr="00577E35" w:rsidRDefault="00A058DF" w:rsidP="00577E35">
      <w:pPr>
        <w:pStyle w:val="Text"/>
      </w:pPr>
      <w:r w:rsidRPr="00577E35">
        <w:t>In response to the online survey, stakeholders provided detailed information about a range of different strategies and approaches</w:t>
      </w:r>
      <w:r w:rsidR="003B609C">
        <w:t>,</w:t>
      </w:r>
      <w:r w:rsidRPr="00577E35">
        <w:t xml:space="preserve"> including identif</w:t>
      </w:r>
      <w:r w:rsidR="003B609C">
        <w:t>ying</w:t>
      </w:r>
      <w:r w:rsidRPr="00577E35">
        <w:t xml:space="preserve"> role models and mentors as effective enablers of career exploration for young women. Respondents strongly endorsed the benefits of bringing in successful women from STEM and traditional trades to speak to classes and careers days, videos of successful women in resource kits and on websites, and providing a</w:t>
      </w:r>
      <w:r w:rsidR="003B609C">
        <w:t>ccess for young women to female-led and female-</w:t>
      </w:r>
      <w:r w:rsidRPr="00577E35">
        <w:t>friendly STEM and traditional trade w</w:t>
      </w:r>
      <w:r w:rsidR="00383DAF">
        <w:t xml:space="preserve">orkplaces. Providing access to </w:t>
      </w:r>
      <w:r w:rsidR="004C5471">
        <w:t>‘</w:t>
      </w:r>
      <w:r w:rsidRPr="00577E35">
        <w:t>successful women in non-traditional occupations and allowing t</w:t>
      </w:r>
      <w:r w:rsidR="00383DAF">
        <w:t>hem to speak to our young women</w:t>
      </w:r>
      <w:r w:rsidR="004C5471">
        <w:t>’</w:t>
      </w:r>
      <w:r w:rsidRPr="00577E35">
        <w:t xml:space="preserve"> was frequently described as a simple yet highly effective approach to breaking down gender</w:t>
      </w:r>
      <w:r w:rsidR="004E164F">
        <w:t xml:space="preserve"> stereotypes in career decision-</w:t>
      </w:r>
      <w:r w:rsidRPr="00577E35">
        <w:t xml:space="preserve">making. </w:t>
      </w:r>
    </w:p>
    <w:p w:rsidR="00C85DDE" w:rsidRDefault="00C85DDE">
      <w:pPr>
        <w:spacing w:before="0" w:line="240" w:lineRule="auto"/>
      </w:pPr>
      <w:r>
        <w:br w:type="page"/>
      </w:r>
    </w:p>
    <w:p w:rsidR="00A058DF" w:rsidRPr="00577E35" w:rsidRDefault="00A058DF" w:rsidP="00577E35">
      <w:pPr>
        <w:pStyle w:val="Text"/>
      </w:pPr>
      <w:r w:rsidRPr="00577E35">
        <w:lastRenderedPageBreak/>
        <w:t xml:space="preserve">Many of the case studies also highlighted successful programs or examples of where industry could partner with schools to provide opportunities for young women. These included </w:t>
      </w:r>
      <w:r w:rsidRPr="00733FAB">
        <w:t>Industry Women Central</w:t>
      </w:r>
      <w:r w:rsidR="00383DAF">
        <w:t>,</w:t>
      </w:r>
      <w:r w:rsidR="00577E35" w:rsidRPr="00733FAB">
        <w:rPr>
          <w:rStyle w:val="FootnoteReference"/>
        </w:rPr>
        <w:footnoteReference w:id="6"/>
      </w:r>
      <w:r w:rsidRPr="00733FAB">
        <w:t xml:space="preserve"> </w:t>
      </w:r>
      <w:proofErr w:type="spellStart"/>
      <w:r w:rsidRPr="00733FAB">
        <w:t>Fanelle</w:t>
      </w:r>
      <w:proofErr w:type="spellEnd"/>
      <w:r w:rsidR="00577E35" w:rsidRPr="00733FAB">
        <w:rPr>
          <w:rStyle w:val="FootnoteReference"/>
        </w:rPr>
        <w:footnoteReference w:id="7"/>
      </w:r>
      <w:r w:rsidRPr="00733FAB">
        <w:t xml:space="preserve"> and SALT</w:t>
      </w:r>
      <w:r w:rsidR="00383DAF">
        <w:t>,</w:t>
      </w:r>
      <w:r w:rsidR="00577E35" w:rsidRPr="00733FAB">
        <w:rPr>
          <w:rStyle w:val="FootnoteReference"/>
        </w:rPr>
        <w:footnoteReference w:id="8"/>
      </w:r>
      <w:r w:rsidRPr="00577E35">
        <w:t xml:space="preserve"> where</w:t>
      </w:r>
      <w:r w:rsidR="006A429E">
        <w:t>by</w:t>
      </w:r>
      <w:r w:rsidRPr="00577E35">
        <w:t xml:space="preserve"> young women could engage with successful female role models. </w:t>
      </w:r>
    </w:p>
    <w:p w:rsidR="00A058DF" w:rsidRPr="00577E35" w:rsidRDefault="00A058DF" w:rsidP="00577E35">
      <w:pPr>
        <w:pStyle w:val="Text"/>
      </w:pPr>
      <w:r w:rsidRPr="00577E35">
        <w:t>T</w:t>
      </w:r>
      <w:r w:rsidR="00383DAF">
        <w:t>aster, work experience and work-</w:t>
      </w:r>
      <w:r w:rsidRPr="00577E35">
        <w:t>placement opportunities were also described as key to supporting young women</w:t>
      </w:r>
      <w:r w:rsidR="004C5471">
        <w:t>’</w:t>
      </w:r>
      <w:r w:rsidRPr="00577E35">
        <w:t>s active exploration of career options (n</w:t>
      </w:r>
      <w:r w:rsidR="00383DAF">
        <w:t xml:space="preserve"> </w:t>
      </w:r>
      <w:r w:rsidRPr="00577E35">
        <w:t>=</w:t>
      </w:r>
      <w:r w:rsidR="00383DAF">
        <w:t xml:space="preserve"> </w:t>
      </w:r>
      <w:r w:rsidRPr="00577E35">
        <w:t>26). Respondents described a lack of access to learning and work experience opportunities as one of the barriers for young women. Taster opportunities were perceived by respondents as an impor</w:t>
      </w:r>
      <w:r w:rsidR="00383DAF">
        <w:t xml:space="preserve">tant chance for young women to </w:t>
      </w:r>
      <w:r w:rsidR="004C5471">
        <w:t>‘</w:t>
      </w:r>
      <w:r w:rsidR="00383DAF">
        <w:t>try before you buy</w:t>
      </w:r>
      <w:r w:rsidR="004C5471">
        <w:t>’</w:t>
      </w:r>
      <w:r w:rsidR="00383DAF">
        <w:t xml:space="preserve"> and were seen as crucial to </w:t>
      </w:r>
      <w:r w:rsidR="004C5471">
        <w:t>‘</w:t>
      </w:r>
      <w:r w:rsidR="00383DAF">
        <w:t>demystifying</w:t>
      </w:r>
      <w:r w:rsidR="004C5471">
        <w:t>’</w:t>
      </w:r>
      <w:r w:rsidRPr="00577E35">
        <w:t xml:space="preserve"> some of the gendered perceptions of STEM and traditional trades careers. While work experience and placements were commonly supported by respondents, there was also an emphasis on careful choice of work experience and work placement sites. </w:t>
      </w:r>
      <w:r w:rsidR="00274D68" w:rsidRPr="00577E35">
        <w:t>Re</w:t>
      </w:r>
      <w:r w:rsidR="00383DAF">
        <w:t xml:space="preserve">spondents described a need for </w:t>
      </w:r>
      <w:r w:rsidR="004C5471">
        <w:t>‘</w:t>
      </w:r>
      <w:r w:rsidR="00383DAF">
        <w:t>female friendly opportunities</w:t>
      </w:r>
      <w:r w:rsidR="004C5471">
        <w:t>’</w:t>
      </w:r>
      <w:r w:rsidR="00274D68" w:rsidRPr="00577E35">
        <w:t xml:space="preserve"> to support exploratio</w:t>
      </w:r>
      <w:r w:rsidR="00274D68">
        <w:t>n of STEM and traditional trade</w:t>
      </w:r>
      <w:r w:rsidR="00274D68" w:rsidRPr="00577E35">
        <w:t xml:space="preserve"> roles and occupations. </w:t>
      </w:r>
      <w:r w:rsidR="00383DAF">
        <w:t>Active</w:t>
      </w:r>
      <w:r w:rsidRPr="00577E35">
        <w:t xml:space="preserve"> experiential learning opportunities, enabled through work placement and through school-based strategies, were identified by respondents as a very importan</w:t>
      </w:r>
      <w:r w:rsidR="0044136A">
        <w:t xml:space="preserve">t component of effective career </w:t>
      </w:r>
      <w:r w:rsidRPr="00577E35">
        <w:t>development approaches. Prior research has highlighted how students want a variety of experiential o</w:t>
      </w:r>
      <w:r w:rsidR="00383DAF">
        <w:t xml:space="preserve">pportunities to give them hands-on practical experience </w:t>
      </w:r>
      <w:r w:rsidRPr="00577E35">
        <w:t xml:space="preserve">and allow them to test different careers ideas (Urbis </w:t>
      </w:r>
      <w:r w:rsidR="00383DAF">
        <w:t xml:space="preserve">Pty Ltd </w:t>
      </w:r>
      <w:r w:rsidRPr="00577E35">
        <w:t xml:space="preserve">2011). </w:t>
      </w:r>
    </w:p>
    <w:p w:rsidR="00A058DF" w:rsidRPr="00577E35" w:rsidRDefault="00A058DF" w:rsidP="00577E35">
      <w:pPr>
        <w:pStyle w:val="Text"/>
      </w:pPr>
      <w:r w:rsidRPr="00577E35">
        <w:t xml:space="preserve">Survey respondents, particularly those from industry and non-government organisations, emphasised the role that intermediary and community organisations can play in developing and delivering career development in schools. </w:t>
      </w:r>
      <w:r w:rsidR="00383DAF">
        <w:t>These</w:t>
      </w:r>
      <w:r w:rsidRPr="00577E35">
        <w:t xml:space="preserve"> organisations were seen as particularly relevant to </w:t>
      </w:r>
      <w:r w:rsidR="0044136A">
        <w:t xml:space="preserve">the </w:t>
      </w:r>
      <w:r w:rsidRPr="00577E35">
        <w:t>provision of programs targeted to young women. Outside school organisations were described as effective in providing third-party expertise to support and enhance school knowledge and understanding of different pathways. Davies and Cox (2014) have suggested there are benefits to using existing skills hubs to act as intermediaries for businesses and industries that want to develop relationships with secondary schools.</w:t>
      </w:r>
    </w:p>
    <w:p w:rsidR="00A058DF" w:rsidRPr="00577E35" w:rsidRDefault="00274D68" w:rsidP="00577E35">
      <w:pPr>
        <w:pStyle w:val="Text"/>
      </w:pPr>
      <w:r w:rsidRPr="00577E35">
        <w:t xml:space="preserve">Respondents </w:t>
      </w:r>
      <w:r w:rsidR="00585372" w:rsidRPr="00577E35">
        <w:t xml:space="preserve">to the online survey </w:t>
      </w:r>
      <w:r w:rsidRPr="00577E35">
        <w:t xml:space="preserve">expressed concern about the accessibility of relevant information to young women and </w:t>
      </w:r>
      <w:r w:rsidR="0044136A">
        <w:t xml:space="preserve">the </w:t>
      </w:r>
      <w:r w:rsidRPr="00577E35">
        <w:t>accessibility of relevant and appropriate information for career guidance practitioners seeking to build and support pathway</w:t>
      </w:r>
      <w:r>
        <w:t>s to STEM and traditional trade</w:t>
      </w:r>
      <w:r w:rsidRPr="00577E35">
        <w:t xml:space="preserve"> occupations for the young women they work with. </w:t>
      </w:r>
      <w:r w:rsidR="00A058DF" w:rsidRPr="00577E35">
        <w:t>Partnerships arrangements between schools and community, business and industry stakeholders were identified by respondents as an effective way of promoting and enabling access to the information necessary to inform and support effective career exploration. These types of partnership arrangements were also described as enabling m</w:t>
      </w:r>
      <w:r w:rsidR="0044136A">
        <w:t xml:space="preserve">ore focused and targeted career </w:t>
      </w:r>
      <w:r w:rsidR="00A058DF" w:rsidRPr="00577E35">
        <w:t xml:space="preserve">planning activities in response to skill shortage needs in local economies. </w:t>
      </w:r>
    </w:p>
    <w:p w:rsidR="00A058DF" w:rsidRPr="00577E35" w:rsidRDefault="00A058DF" w:rsidP="00577E35">
      <w:pPr>
        <w:pStyle w:val="Heading2"/>
      </w:pPr>
      <w:bookmarkStart w:id="77" w:name="_Toc412455615"/>
      <w:bookmarkStart w:id="78" w:name="_Toc416683034"/>
      <w:r w:rsidRPr="00577E35">
        <w:t>Implications for policy on career exploration</w:t>
      </w:r>
      <w:bookmarkEnd w:id="77"/>
      <w:bookmarkEnd w:id="78"/>
      <w:r w:rsidRPr="00577E35">
        <w:t xml:space="preserve"> </w:t>
      </w:r>
    </w:p>
    <w:p w:rsidR="00A058DF" w:rsidRPr="0062673A" w:rsidRDefault="00A058DF" w:rsidP="0062673A">
      <w:pPr>
        <w:pStyle w:val="Text"/>
      </w:pPr>
      <w:r w:rsidRPr="0062673A">
        <w:t xml:space="preserve">At a policy level, respondents described </w:t>
      </w:r>
      <w:r w:rsidR="00585372">
        <w:t xml:space="preserve">the necessity </w:t>
      </w:r>
      <w:r w:rsidRPr="0062673A">
        <w:t xml:space="preserve">for greater leadership to integrate and embed career exploration curriculum in schools. </w:t>
      </w:r>
      <w:r w:rsidR="00585372">
        <w:t>Explicit</w:t>
      </w:r>
      <w:r w:rsidRPr="0062673A">
        <w:t xml:space="preserve"> integrat</w:t>
      </w:r>
      <w:r w:rsidR="00585372">
        <w:t>ion with</w:t>
      </w:r>
      <w:r w:rsidRPr="0062673A">
        <w:t xml:space="preserve"> what schools teach</w:t>
      </w:r>
      <w:r w:rsidR="00585372">
        <w:t xml:space="preserve"> was required, not just a loose connection, with</w:t>
      </w:r>
      <w:r w:rsidRPr="0062673A">
        <w:t xml:space="preserve"> </w:t>
      </w:r>
      <w:r w:rsidR="00585372">
        <w:t>many expressing</w:t>
      </w:r>
      <w:r w:rsidRPr="0062673A">
        <w:t xml:space="preserve"> the se</w:t>
      </w:r>
      <w:r w:rsidR="00585372">
        <w:t xml:space="preserve">ntiment that there should be a </w:t>
      </w:r>
      <w:r w:rsidR="004C5471">
        <w:t>‘</w:t>
      </w:r>
      <w:r w:rsidRPr="0062673A">
        <w:t>highly visible and mandat</w:t>
      </w:r>
      <w:r w:rsidR="00585372">
        <w:t>ory career education curriculum</w:t>
      </w:r>
      <w:r w:rsidR="004C5471">
        <w:t>’</w:t>
      </w:r>
      <w:r w:rsidRPr="0062673A">
        <w:t xml:space="preserve">. </w:t>
      </w:r>
    </w:p>
    <w:p w:rsidR="00A058DF" w:rsidRPr="0062673A" w:rsidRDefault="00A058DF" w:rsidP="0062673A">
      <w:pPr>
        <w:pStyle w:val="Text"/>
      </w:pPr>
      <w:r w:rsidRPr="0062673A">
        <w:t>The school-wide adoption of personal learning plans for all students and not just t</w:t>
      </w:r>
      <w:r w:rsidR="006A429E">
        <w:t>hose perceived to be struggling</w:t>
      </w:r>
      <w:r w:rsidRPr="0062673A">
        <w:t xml:space="preserve"> was one possible strategy for coherently embedding career exploration in secondary education. This was reflected in one of the successful school case studies. </w:t>
      </w:r>
    </w:p>
    <w:p w:rsidR="00A058DF" w:rsidRPr="0062673A" w:rsidRDefault="00A058DF" w:rsidP="0062673A">
      <w:pPr>
        <w:pStyle w:val="Text"/>
      </w:pPr>
      <w:r w:rsidRPr="0062673A">
        <w:lastRenderedPageBreak/>
        <w:t xml:space="preserve">The diversity in approaches to career exploration across Australian states and territories was described by stakeholders as complicating the </w:t>
      </w:r>
      <w:r w:rsidR="0044136A">
        <w:t xml:space="preserve">role of schools, and the career development workforce </w:t>
      </w:r>
      <w:r w:rsidRPr="0062673A">
        <w:t xml:space="preserve">in schools, in addressing the needs of all young people. To address this complex context, respondents called for greater clarity and guidance </w:t>
      </w:r>
      <w:r w:rsidR="003C31AA">
        <w:t xml:space="preserve">in relation </w:t>
      </w:r>
      <w:r w:rsidRPr="0062673A">
        <w:t xml:space="preserve">to school priorities and allocation of funding. Respondents emphasised the need for greater clarity on the best practice approaches and strategies </w:t>
      </w:r>
      <w:r w:rsidR="003C31AA">
        <w:t>to</w:t>
      </w:r>
      <w:r w:rsidRPr="0062673A">
        <w:t xml:space="preserve"> ameliorate </w:t>
      </w:r>
      <w:r w:rsidR="003C31AA">
        <w:t xml:space="preserve">the </w:t>
      </w:r>
      <w:r w:rsidRPr="0062673A">
        <w:t xml:space="preserve">current gendered post-school study and employment patterns. A </w:t>
      </w:r>
      <w:r w:rsidRPr="00485724">
        <w:t>number of these have been outlined in this report</w:t>
      </w:r>
      <w:r w:rsidRPr="0062673A">
        <w:t xml:space="preserve"> </w:t>
      </w:r>
      <w:r w:rsidR="00485724">
        <w:t xml:space="preserve">(school/industry/community partnerships, </w:t>
      </w:r>
      <w:proofErr w:type="spellStart"/>
      <w:r w:rsidR="00485724">
        <w:t>professional</w:t>
      </w:r>
      <w:r w:rsidR="006A429E">
        <w:t>is</w:t>
      </w:r>
      <w:r w:rsidR="00485724">
        <w:t>ation</w:t>
      </w:r>
      <w:proofErr w:type="spellEnd"/>
      <w:r w:rsidR="00485724">
        <w:t xml:space="preserve"> of career guidance, sustainable resourcing, visible role models, and chance to taste careers) </w:t>
      </w:r>
      <w:r w:rsidRPr="0062673A">
        <w:t>and in other relevant research, but appear to not always be accessible to careers advisers. When</w:t>
      </w:r>
      <w:r w:rsidR="003C31AA">
        <w:t xml:space="preserve"> asked about the type of policy-</w:t>
      </w:r>
      <w:r w:rsidRPr="0062673A">
        <w:t xml:space="preserve">level changes </w:t>
      </w:r>
      <w:r w:rsidR="003C31AA">
        <w:t>required</w:t>
      </w:r>
      <w:r w:rsidRPr="0062673A">
        <w:t xml:space="preserve"> to strengthen career exploration for young women, respondents suggested that the coherent and mand</w:t>
      </w:r>
      <w:r w:rsidR="006A429E">
        <w:t>ated adoption of the Australian blueprint for career d</w:t>
      </w:r>
      <w:r w:rsidRPr="0062673A">
        <w:t>evelopment was a possible step that policy</w:t>
      </w:r>
      <w:r w:rsidR="003C31AA">
        <w:t>-</w:t>
      </w:r>
      <w:r w:rsidRPr="0062673A">
        <w:t>makers could take</w:t>
      </w:r>
      <w:r w:rsidR="006A429E">
        <w:t xml:space="preserve"> (Ministerial Council on Education, Employment, Training and Youth Affairs 2008)</w:t>
      </w:r>
      <w:r w:rsidRPr="0062673A">
        <w:t xml:space="preserve">. </w:t>
      </w:r>
    </w:p>
    <w:p w:rsidR="00A058DF" w:rsidRPr="0062673A" w:rsidRDefault="00A058DF" w:rsidP="0062673A">
      <w:pPr>
        <w:pStyle w:val="Text"/>
      </w:pPr>
      <w:r w:rsidRPr="0062673A">
        <w:t>Respondents</w:t>
      </w:r>
      <w:r w:rsidR="0044136A">
        <w:t xml:space="preserve"> emphasised that career </w:t>
      </w:r>
      <w:r w:rsidRPr="0062673A">
        <w:t xml:space="preserve">exploration experiences for students </w:t>
      </w:r>
      <w:r w:rsidR="003C31AA">
        <w:t>should</w:t>
      </w:r>
      <w:r w:rsidRPr="0062673A">
        <w:t xml:space="preserve"> cover a wide range of activities to increase curiosity and awareness</w:t>
      </w:r>
      <w:r w:rsidR="006A429E">
        <w:t xml:space="preserve"> of careers</w:t>
      </w:r>
      <w:r w:rsidRPr="0062673A">
        <w:t>, including school</w:t>
      </w:r>
      <w:r w:rsidR="0044136A" w:rsidRPr="0044136A">
        <w:t xml:space="preserve"> </w:t>
      </w:r>
      <w:r w:rsidR="0044136A">
        <w:t>talks</w:t>
      </w:r>
      <w:r w:rsidRPr="0062673A">
        <w:t xml:space="preserve">, </w:t>
      </w:r>
      <w:proofErr w:type="spellStart"/>
      <w:r w:rsidRPr="0062673A">
        <w:t>WorldSkills</w:t>
      </w:r>
      <w:proofErr w:type="spellEnd"/>
      <w:r w:rsidRPr="0062673A">
        <w:t>, tasters, conference attendance, work experience, visits to local industries and work with local volunteer/community groups. Respondents acknowledged that some schools were offer</w:t>
      </w:r>
      <w:r w:rsidR="003C31AA">
        <w:t>ing some of these opportunities;</w:t>
      </w:r>
      <w:r w:rsidRPr="0062673A">
        <w:t xml:space="preserve"> however</w:t>
      </w:r>
      <w:r w:rsidR="003C31AA">
        <w:t>,</w:t>
      </w:r>
      <w:r w:rsidRPr="0062673A">
        <w:t xml:space="preserve"> there needed to be </w:t>
      </w:r>
      <w:r w:rsidR="006A429E">
        <w:t xml:space="preserve">a </w:t>
      </w:r>
      <w:r w:rsidRPr="0062673A">
        <w:t>prioritising of th</w:t>
      </w:r>
      <w:r w:rsidR="0044136A">
        <w:t xml:space="preserve">e provision of effective career </w:t>
      </w:r>
      <w:r w:rsidRPr="0062673A">
        <w:t xml:space="preserve">exploration opportunities in all schools. </w:t>
      </w:r>
    </w:p>
    <w:p w:rsidR="00A058DF" w:rsidRPr="0062673A" w:rsidRDefault="00A058DF" w:rsidP="0062673A">
      <w:pPr>
        <w:pStyle w:val="Text"/>
      </w:pPr>
      <w:r w:rsidRPr="0062673A">
        <w:t xml:space="preserve">A </w:t>
      </w:r>
      <w:r w:rsidR="0044136A">
        <w:t xml:space="preserve">key criticism of current career </w:t>
      </w:r>
      <w:r w:rsidRPr="0062673A">
        <w:t xml:space="preserve">development approaches, </w:t>
      </w:r>
      <w:r w:rsidR="003C31AA">
        <w:t xml:space="preserve">as </w:t>
      </w:r>
      <w:r w:rsidRPr="0062673A">
        <w:t xml:space="preserve">identified by respondents, was </w:t>
      </w:r>
      <w:r w:rsidR="003C31AA">
        <w:t xml:space="preserve">what many described as the </w:t>
      </w:r>
      <w:r w:rsidR="004C5471">
        <w:t>‘</w:t>
      </w:r>
      <w:r w:rsidR="003C31AA">
        <w:t xml:space="preserve">add </w:t>
      </w:r>
      <w:r w:rsidRPr="0062673A">
        <w:t>on</w:t>
      </w:r>
      <w:r w:rsidR="004C5471">
        <w:t>’</w:t>
      </w:r>
      <w:r w:rsidRPr="0062673A">
        <w:t xml:space="preserve"> nature of strategies</w:t>
      </w:r>
      <w:r w:rsidR="003C31AA">
        <w:t>, strategies</w:t>
      </w:r>
      <w:r w:rsidRPr="0062673A">
        <w:t xml:space="preserve"> that are separate or abstracted from curriculum. Respondents commonly called for </w:t>
      </w:r>
      <w:r w:rsidR="003C31AA">
        <w:t xml:space="preserve">an </w:t>
      </w:r>
      <w:r w:rsidRPr="0062673A">
        <w:t xml:space="preserve">explicit </w:t>
      </w:r>
      <w:r w:rsidR="003C31AA">
        <w:t>relationship</w:t>
      </w:r>
      <w:r w:rsidRPr="0062673A">
        <w:t xml:space="preserve"> between career exploration and the mainstream curriculum. One of the challenges was a lack of access to exploration activities that were connected or related to</w:t>
      </w:r>
      <w:r w:rsidR="003C31AA">
        <w:t xml:space="preserve"> learning and curriculum </w:t>
      </w:r>
      <w:r w:rsidRPr="0062673A">
        <w:t>in the school environment. Respondents described a need for university and industry engagement with sc</w:t>
      </w:r>
      <w:r w:rsidR="0044136A">
        <w:t xml:space="preserve">hools to widen access to career </w:t>
      </w:r>
      <w:r w:rsidRPr="0062673A">
        <w:t xml:space="preserve">exploration opportunities and to support effective links. </w:t>
      </w:r>
    </w:p>
    <w:p w:rsidR="00A058DF" w:rsidRPr="0062673A" w:rsidRDefault="00A058DF" w:rsidP="0062673A">
      <w:pPr>
        <w:pStyle w:val="Text"/>
      </w:pPr>
      <w:r w:rsidRPr="0062673A">
        <w:t xml:space="preserve">In facilitating greater links between career exploration and the curriculum, respondents frequently spoke about the need for activities and strategies to be introduced as early as possible in secondary school. Some respondents also suggested a need for a coherent and coordinated approach in the latter years of primary school. This is in line with previous research (Davies </w:t>
      </w:r>
      <w:r w:rsidR="003C31AA">
        <w:t>&amp;</w:t>
      </w:r>
      <w:r w:rsidRPr="0062673A">
        <w:t xml:space="preserve"> Cox 2014; </w:t>
      </w:r>
      <w:proofErr w:type="spellStart"/>
      <w:r w:rsidRPr="0062673A">
        <w:t>Cedefop</w:t>
      </w:r>
      <w:proofErr w:type="spellEnd"/>
      <w:r w:rsidRPr="0062673A">
        <w:t xml:space="preserve"> 2014), which has highlighted the importance of early and coherently staged career exploration and development approaches. Staged career </w:t>
      </w:r>
      <w:r w:rsidR="00274D68" w:rsidRPr="0062673A">
        <w:t>exploration, which adopts</w:t>
      </w:r>
      <w:r w:rsidRPr="0062673A">
        <w:t xml:space="preserve"> a cycle of activities that promote </w:t>
      </w:r>
      <w:r w:rsidR="006A429E">
        <w:t xml:space="preserve">an </w:t>
      </w:r>
      <w:r w:rsidRPr="0062673A">
        <w:t xml:space="preserve">increasing depth and focus of exploration across the secondary school years, was also described by respondents as important </w:t>
      </w:r>
      <w:r w:rsidR="000F677C">
        <w:t>in</w:t>
      </w:r>
      <w:r w:rsidRPr="0062673A">
        <w:t xml:space="preserve"> the effective engagement of young women. A staged approach may include initial broad personal reflection on interests and capabilities in primary and early secondary school before progressing to research </w:t>
      </w:r>
      <w:r w:rsidR="00FB6539">
        <w:t xml:space="preserve">on </w:t>
      </w:r>
      <w:r w:rsidRPr="0062673A">
        <w:t>related industries and finally taster opportunities in</w:t>
      </w:r>
      <w:r w:rsidR="00FB6539">
        <w:t xml:space="preserve"> roles and workplaces </w:t>
      </w:r>
      <w:r w:rsidRPr="0062673A">
        <w:t>in a chose</w:t>
      </w:r>
      <w:r w:rsidR="006A429E">
        <w:t>n industry in senior secondary school.</w:t>
      </w:r>
    </w:p>
    <w:p w:rsidR="00A058DF" w:rsidRPr="0062673A" w:rsidRDefault="000F677C" w:rsidP="0062673A">
      <w:pPr>
        <w:pStyle w:val="Text"/>
      </w:pPr>
      <w:r>
        <w:t>A l</w:t>
      </w:r>
      <w:r w:rsidR="00A058DF" w:rsidRPr="0062673A">
        <w:t xml:space="preserve">ack of time and resources </w:t>
      </w:r>
      <w:r w:rsidR="00FB6539">
        <w:t xml:space="preserve">for career </w:t>
      </w:r>
      <w:r w:rsidR="00A058DF" w:rsidRPr="0062673A">
        <w:t xml:space="preserve">development staff in schools was a further strong and consistent theme identified by respondents. This </w:t>
      </w:r>
      <w:r w:rsidR="00FB6539">
        <w:t>again</w:t>
      </w:r>
      <w:r w:rsidR="00A058DF" w:rsidRPr="0062673A">
        <w:t xml:space="preserve"> reflected the need for greater commitment to funding and leadership. Respondents expressed concerns </w:t>
      </w:r>
      <w:r>
        <w:t>about</w:t>
      </w:r>
      <w:r w:rsidR="00A058DF" w:rsidRPr="0062673A">
        <w:t xml:space="preserve"> the training and qualifications of the career practitioner workforce in schools. </w:t>
      </w:r>
      <w:r>
        <w:t>The Australian Workplace Productivity Agency</w:t>
      </w:r>
      <w:r w:rsidR="00A058DF" w:rsidRPr="0062673A">
        <w:t xml:space="preserve"> (2</w:t>
      </w:r>
      <w:r w:rsidR="00FB6539">
        <w:t xml:space="preserve">013) has also noted that career </w:t>
      </w:r>
      <w:r w:rsidR="00A058DF" w:rsidRPr="0062673A">
        <w:t>development advice should be delivered by qualified and wel</w:t>
      </w:r>
      <w:r w:rsidR="00FB6539">
        <w:t>l-informed career practitioners who are</w:t>
      </w:r>
      <w:r w:rsidR="00A058DF" w:rsidRPr="0062673A">
        <w:t xml:space="preserve"> not </w:t>
      </w:r>
      <w:r w:rsidR="006A429E">
        <w:t>associated with</w:t>
      </w:r>
      <w:r w:rsidR="00A058DF" w:rsidRPr="0062673A">
        <w:t xml:space="preserve"> any particular educational institution. The traini</w:t>
      </w:r>
      <w:r w:rsidR="00FB6539">
        <w:t xml:space="preserve">ng and qualifications of career </w:t>
      </w:r>
      <w:r w:rsidR="00A058DF" w:rsidRPr="0062673A">
        <w:t xml:space="preserve">advice practitioners was </w:t>
      </w:r>
      <w:r>
        <w:t>linked</w:t>
      </w:r>
      <w:r w:rsidR="00A058DF" w:rsidRPr="0062673A">
        <w:t xml:space="preserve"> by respondents to the accessibility issue</w:t>
      </w:r>
      <w:r w:rsidRPr="000F677C">
        <w:t xml:space="preserve"> </w:t>
      </w:r>
      <w:r w:rsidRPr="0062673A">
        <w:t>previously mentioned</w:t>
      </w:r>
      <w:r w:rsidR="00A058DF" w:rsidRPr="0062673A">
        <w:t xml:space="preserve">. Again, mandated adoption of the Australian </w:t>
      </w:r>
      <w:r w:rsidR="006A429E">
        <w:t>b</w:t>
      </w:r>
      <w:r w:rsidR="00A058DF" w:rsidRPr="0062673A">
        <w:t xml:space="preserve">lueprint was considered </w:t>
      </w:r>
      <w:r w:rsidR="00A058DF" w:rsidRPr="0062673A">
        <w:lastRenderedPageBreak/>
        <w:t>important in addressing this issue, with its recognition of the need for specific qual</w:t>
      </w:r>
      <w:r>
        <w:t>ifications for careers advisers</w:t>
      </w:r>
      <w:r w:rsidR="00A058DF" w:rsidRPr="0062673A">
        <w:t xml:space="preserve"> and the establishment and maintenance of ongoing </w:t>
      </w:r>
      <w:r>
        <w:t>professional development. While</w:t>
      </w:r>
      <w:r w:rsidR="00A058DF" w:rsidRPr="0062673A">
        <w:t xml:space="preserve"> general career information was seen as useful for young women, it was described by respondents as being insufficient to enable and promote e</w:t>
      </w:r>
      <w:r>
        <w:t>ngagement in traditionally male-</w:t>
      </w:r>
      <w:r w:rsidR="00A058DF" w:rsidRPr="0062673A">
        <w:t>dominated occupations. Respondents emphasised that effective career information needed to target young women</w:t>
      </w:r>
      <w:r w:rsidR="004C5471">
        <w:t>’</w:t>
      </w:r>
      <w:r w:rsidR="00A058DF" w:rsidRPr="0062673A">
        <w:t xml:space="preserve">s personal needs and interests. </w:t>
      </w:r>
    </w:p>
    <w:p w:rsidR="00A058DF" w:rsidRPr="00577E35" w:rsidRDefault="00A058DF" w:rsidP="00577E35">
      <w:pPr>
        <w:pStyle w:val="Heading2"/>
      </w:pPr>
      <w:bookmarkStart w:id="79" w:name="_Toc412455616"/>
      <w:bookmarkStart w:id="80" w:name="_Toc416683035"/>
      <w:r w:rsidRPr="00577E35">
        <w:t>Conclusions</w:t>
      </w:r>
      <w:bookmarkEnd w:id="79"/>
      <w:bookmarkEnd w:id="80"/>
      <w:r w:rsidRPr="00577E35">
        <w:t xml:space="preserve"> </w:t>
      </w:r>
    </w:p>
    <w:p w:rsidR="00A058DF" w:rsidRPr="0062673A" w:rsidRDefault="00A058DF" w:rsidP="0062673A">
      <w:pPr>
        <w:pStyle w:val="Text"/>
      </w:pPr>
      <w:r w:rsidRPr="0062673A">
        <w:t xml:space="preserve">Despite the plethora of research </w:t>
      </w:r>
      <w:r w:rsidR="000F677C" w:rsidRPr="0062673A">
        <w:t xml:space="preserve">in Australia </w:t>
      </w:r>
      <w:r w:rsidRPr="0062673A">
        <w:t xml:space="preserve">relating to the importance </w:t>
      </w:r>
      <w:r w:rsidR="006A429E">
        <w:t xml:space="preserve">to young people </w:t>
      </w:r>
      <w:r w:rsidRPr="0062673A">
        <w:t>of career development and exploration, the majo</w:t>
      </w:r>
      <w:r w:rsidR="006A429E">
        <w:t>rity of this research does not investigate</w:t>
      </w:r>
      <w:r w:rsidRPr="0062673A">
        <w:t xml:space="preserve"> the issue of gender. </w:t>
      </w:r>
      <w:r w:rsidR="006A429E">
        <w:t>The f</w:t>
      </w:r>
      <w:r w:rsidRPr="0062673A">
        <w:t xml:space="preserve">indings from this research have highlighted the need for strategies for career exploration and development to be relevant and targeted to the needs of individual students, including young women. </w:t>
      </w:r>
    </w:p>
    <w:p w:rsidR="00A058DF" w:rsidRPr="0062673A" w:rsidRDefault="00A058DF" w:rsidP="0062673A">
      <w:pPr>
        <w:pStyle w:val="Text"/>
      </w:pPr>
      <w:r w:rsidRPr="0062673A">
        <w:t xml:space="preserve">Several implications for </w:t>
      </w:r>
      <w:r w:rsidR="000F677C">
        <w:t xml:space="preserve">the </w:t>
      </w:r>
      <w:r w:rsidRPr="0062673A">
        <w:t xml:space="preserve">future development of career exploration emerged from the stakeholder feedback in this study. </w:t>
      </w:r>
      <w:r w:rsidR="000F677C">
        <w:t>Foremost,</w:t>
      </w:r>
      <w:r w:rsidRPr="0062673A">
        <w:t xml:space="preserve"> there is a clear need for more explicit and coherent leadership to support scho</w:t>
      </w:r>
      <w:r w:rsidR="00FB6539">
        <w:t xml:space="preserve">ols to effectively embed career </w:t>
      </w:r>
      <w:r w:rsidR="000F677C">
        <w:t xml:space="preserve">exploration activities </w:t>
      </w:r>
      <w:r w:rsidRPr="0062673A">
        <w:t xml:space="preserve">in their curriculum and their career guidance practices. There is </w:t>
      </w:r>
      <w:r w:rsidR="000F677C">
        <w:t xml:space="preserve">also </w:t>
      </w:r>
      <w:r w:rsidRPr="0062673A">
        <w:t>a need for more explicit and more coherent policy on why career exploration is a necessary par</w:t>
      </w:r>
      <w:r w:rsidR="006A429E">
        <w:t xml:space="preserve">t of secondary school education, as well as </w:t>
      </w:r>
      <w:r w:rsidR="00243D08">
        <w:t xml:space="preserve">an understanding of </w:t>
      </w:r>
      <w:r w:rsidRPr="0062673A">
        <w:t>which approaches are most effective. The inclusio</w:t>
      </w:r>
      <w:r w:rsidR="00243D08">
        <w:t>n of c</w:t>
      </w:r>
      <w:r w:rsidR="00FB6539">
        <w:t xml:space="preserve">oherent and staged career </w:t>
      </w:r>
      <w:r w:rsidRPr="0062673A">
        <w:t>exploration programs in second</w:t>
      </w:r>
      <w:r w:rsidR="006A429E">
        <w:t>ary schools should be mandated and have</w:t>
      </w:r>
      <w:r w:rsidRPr="0062673A">
        <w:t xml:space="preserve"> a focus on the opportunities that enable all young women to explore relevant options in a broad range of industries and workplaces. </w:t>
      </w:r>
    </w:p>
    <w:p w:rsidR="00A058DF" w:rsidRPr="0062673A" w:rsidRDefault="00FB6539" w:rsidP="0062673A">
      <w:pPr>
        <w:pStyle w:val="Text"/>
      </w:pPr>
      <w:r>
        <w:t xml:space="preserve">The career </w:t>
      </w:r>
      <w:r w:rsidR="00A058DF" w:rsidRPr="0062673A">
        <w:t>exploration activities of schools can be effectively enhanced and strengthened through partnerships with education and training institutions and industry. Schools alone cannot achieve success in career exploration. Intermediary organisations, including community organisations, partnership brokers and peak industry bodies, have an important role to play in broadening career options for young women. The partnership activities of schools, especially those with industry, are particularly necessary to help overcome gendered stereotypes. However, meaningful and sustainable partnerships are complex to develop and maintain, and schools need support and guidance in how, why, when and where to establi</w:t>
      </w:r>
      <w:r w:rsidR="006A429E">
        <w:t xml:space="preserve">sh and foster relationships </w:t>
      </w:r>
      <w:r w:rsidR="00A058DF" w:rsidRPr="0062673A">
        <w:t xml:space="preserve">in their communities. </w:t>
      </w:r>
    </w:p>
    <w:p w:rsidR="00A058DF" w:rsidRPr="0062673A" w:rsidRDefault="00A058DF" w:rsidP="0062673A">
      <w:pPr>
        <w:pStyle w:val="Text"/>
      </w:pPr>
      <w:r w:rsidRPr="0062673A">
        <w:t xml:space="preserve">To maximise the benefits of </w:t>
      </w:r>
      <w:r w:rsidR="00243D08">
        <w:t xml:space="preserve">the </w:t>
      </w:r>
      <w:r w:rsidR="00FB6539">
        <w:t xml:space="preserve">career </w:t>
      </w:r>
      <w:r w:rsidRPr="0062673A">
        <w:t>exploration opportunities available through these partnerships, young women need access to skilled, qualified and experienced career education practitioners who can provide relevant, accurate and timely information and activities</w:t>
      </w:r>
      <w:r w:rsidR="00243D08">
        <w:t>,</w:t>
      </w:r>
      <w:r w:rsidR="00FB6539">
        <w:t xml:space="preserve"> </w:t>
      </w:r>
      <w:r w:rsidRPr="0062673A">
        <w:t xml:space="preserve">as described in the Blueprint and by </w:t>
      </w:r>
      <w:r w:rsidR="00243D08">
        <w:t>the Australian Workplace Productivity Agency</w:t>
      </w:r>
      <w:r w:rsidRPr="0062673A">
        <w:t>. The work of these practitioners requires sustainable funding and resourcing, particularly in relation to providing access to r</w:t>
      </w:r>
      <w:r w:rsidR="00243D08">
        <w:t>ole models and men</w:t>
      </w:r>
      <w:r w:rsidR="006A429E">
        <w:t>tors</w:t>
      </w:r>
      <w:r w:rsidR="00243D08">
        <w:t xml:space="preserve"> and low-</w:t>
      </w:r>
      <w:r w:rsidRPr="0062673A">
        <w:t>stakes opportunities for young women to taste and experience non-tr</w:t>
      </w:r>
      <w:r w:rsidR="00243D08">
        <w:t>aditional and STEM ro</w:t>
      </w:r>
      <w:r w:rsidR="00FB6539">
        <w:t xml:space="preserve">les. While the role that career </w:t>
      </w:r>
      <w:r w:rsidRPr="0062673A">
        <w:t>education practitioners play is a vital one and evidence from this research suggests consideration needs to be given to expanding the role of career exploration in the juni</w:t>
      </w:r>
      <w:r w:rsidR="006A429E">
        <w:t>or years of secondary school as well</w:t>
      </w:r>
      <w:r w:rsidRPr="0062673A">
        <w:t>, it is often too late to start career exploration in the senior secondary years (Y</w:t>
      </w:r>
      <w:r w:rsidR="00243D08">
        <w:t>ears 10—</w:t>
      </w:r>
      <w:r w:rsidRPr="0062673A">
        <w:t>12)</w:t>
      </w:r>
      <w:r w:rsidR="00FB6539">
        <w:t xml:space="preserve"> —</w:t>
      </w:r>
      <w:r w:rsidRPr="0062673A">
        <w:t xml:space="preserve"> </w:t>
      </w:r>
      <w:r w:rsidR="00243D08">
        <w:t>the</w:t>
      </w:r>
      <w:r w:rsidRPr="0062673A">
        <w:t xml:space="preserve"> foundations of </w:t>
      </w:r>
      <w:r w:rsidR="00243D08">
        <w:t>young individuals</w:t>
      </w:r>
      <w:r w:rsidR="004C5471">
        <w:t>’</w:t>
      </w:r>
      <w:r w:rsidR="00243D08">
        <w:t xml:space="preserve"> </w:t>
      </w:r>
      <w:r w:rsidRPr="0062673A">
        <w:t>career aspirations have already been laid. As identified in the research, staged progress and implementation are necessary</w:t>
      </w:r>
      <w:r w:rsidR="00243D08">
        <w:t>,</w:t>
      </w:r>
      <w:r w:rsidRPr="0062673A">
        <w:t xml:space="preserve"> as is government commitment to supporting the programs with sustainable funding. </w:t>
      </w:r>
    </w:p>
    <w:p w:rsidR="00A058DF" w:rsidRPr="0062673A" w:rsidRDefault="00A058DF" w:rsidP="009F07D7">
      <w:pPr>
        <w:pStyle w:val="Text"/>
        <w:ind w:right="424"/>
      </w:pPr>
      <w:r w:rsidRPr="0062673A">
        <w:t>The research was able to identify successful models of career exploration and partnerships</w:t>
      </w:r>
      <w:r w:rsidR="00243D08">
        <w:t xml:space="preserve"> which</w:t>
      </w:r>
      <w:r w:rsidRPr="0062673A">
        <w:t xml:space="preserve"> expanded</w:t>
      </w:r>
      <w:r w:rsidR="009F07D7">
        <w:t xml:space="preserve"> </w:t>
      </w:r>
      <w:r w:rsidRPr="0062673A">
        <w:t>career options fo</w:t>
      </w:r>
      <w:r w:rsidR="00243D08">
        <w:t>r young women, but also recognis</w:t>
      </w:r>
      <w:r w:rsidRPr="0062673A">
        <w:t>ed that these were often driven by passionate</w:t>
      </w:r>
      <w:r w:rsidR="009F07D7">
        <w:t xml:space="preserve"> </w:t>
      </w:r>
      <w:r w:rsidRPr="0062673A">
        <w:t>individuals or organisa</w:t>
      </w:r>
      <w:r w:rsidR="00243D08">
        <w:t>tions. The challenge for policy-</w:t>
      </w:r>
      <w:r w:rsidRPr="0062673A">
        <w:t xml:space="preserve">makers is to provide the funding, </w:t>
      </w:r>
      <w:r w:rsidRPr="0062673A">
        <w:lastRenderedPageBreak/>
        <w:t>knowledge and support so that such models can be adopted by all schools and adapted to suit local needs.</w:t>
      </w:r>
    </w:p>
    <w:p w:rsidR="00A058DF" w:rsidRPr="0062673A" w:rsidRDefault="00A058DF" w:rsidP="009F07D7">
      <w:pPr>
        <w:pStyle w:val="Text"/>
        <w:ind w:right="141"/>
      </w:pPr>
      <w:r w:rsidRPr="0062673A">
        <w:t>Despite the title we have given to this report, young women both deserve and need the opportunity to pursue a wider variety of career paths than is currently the case, and their participation in a wider range of jobs is necessary for Australia</w:t>
      </w:r>
      <w:r w:rsidR="004C5471">
        <w:t>’</w:t>
      </w:r>
      <w:r w:rsidRPr="0062673A">
        <w:t xml:space="preserve">s economic growth. </w:t>
      </w:r>
    </w:p>
    <w:p w:rsidR="00A058DF" w:rsidRPr="00577E35" w:rsidRDefault="006A7AE2" w:rsidP="00577E35">
      <w:pPr>
        <w:pStyle w:val="Heading2"/>
      </w:pPr>
      <w:bookmarkStart w:id="81" w:name="_Toc412455617"/>
      <w:bookmarkStart w:id="82" w:name="_Toc416683036"/>
      <w:r>
        <w:t>Acknowledg</w:t>
      </w:r>
      <w:r w:rsidR="00A058DF" w:rsidRPr="00577E35">
        <w:t>ments</w:t>
      </w:r>
      <w:bookmarkEnd w:id="81"/>
      <w:bookmarkEnd w:id="82"/>
      <w:r w:rsidR="00A058DF" w:rsidRPr="00577E35">
        <w:t xml:space="preserve"> </w:t>
      </w:r>
    </w:p>
    <w:p w:rsidR="00A058DF" w:rsidRPr="0062673A" w:rsidRDefault="00A058DF" w:rsidP="009F07D7">
      <w:pPr>
        <w:pStyle w:val="Text"/>
        <w:ind w:right="141"/>
      </w:pPr>
      <w:r w:rsidRPr="0062673A">
        <w:t xml:space="preserve">The authors acknowledge the valuable contribution of the 217 stakeholders who completed the online survey and provided their insights into the nature and efficacy of career exploration practices in Australia. </w:t>
      </w:r>
    </w:p>
    <w:p w:rsidR="00A058DF" w:rsidRPr="00577E35" w:rsidRDefault="00A058DF" w:rsidP="00577E35">
      <w:pPr>
        <w:pStyle w:val="Heading2"/>
      </w:pPr>
      <w:bookmarkStart w:id="83" w:name="_Toc412455618"/>
      <w:bookmarkStart w:id="84" w:name="_Toc416683037"/>
      <w:r w:rsidRPr="00577E35">
        <w:t>References</w:t>
      </w:r>
      <w:bookmarkEnd w:id="83"/>
      <w:bookmarkEnd w:id="84"/>
    </w:p>
    <w:p w:rsidR="00A058DF" w:rsidRPr="0062673A" w:rsidRDefault="00243D08" w:rsidP="009F07D7">
      <w:pPr>
        <w:pStyle w:val="References"/>
      </w:pPr>
      <w:r>
        <w:t>ABS (</w:t>
      </w:r>
      <w:r w:rsidR="00A058DF" w:rsidRPr="0062673A">
        <w:t>Aust</w:t>
      </w:r>
      <w:r>
        <w:t>ralian Bureau of Statistics</w:t>
      </w:r>
      <w:r w:rsidR="00A058DF" w:rsidRPr="0062673A">
        <w:t>) 2014a</w:t>
      </w:r>
      <w:r w:rsidR="00BA2946">
        <w:rPr>
          <w:i/>
        </w:rPr>
        <w:t>, Perspectives on education &amp; t</w:t>
      </w:r>
      <w:r w:rsidR="00A058DF" w:rsidRPr="00BA2946">
        <w:rPr>
          <w:i/>
        </w:rPr>
        <w:t>raining: Australians with qualifications in science, technology, engineering and mathematics</w:t>
      </w:r>
      <w:r>
        <w:t xml:space="preserve"> </w:t>
      </w:r>
      <w:r w:rsidRPr="00164693">
        <w:rPr>
          <w:i/>
        </w:rPr>
        <w:t>(STEM) 2010—11</w:t>
      </w:r>
      <w:r>
        <w:t>, cat.no.</w:t>
      </w:r>
      <w:r w:rsidR="00A058DF" w:rsidRPr="0062673A">
        <w:t>4250.0.55.005</w:t>
      </w:r>
      <w:r>
        <w:t>, ABS, Canberra.</w:t>
      </w:r>
    </w:p>
    <w:p w:rsidR="00A058DF" w:rsidRPr="0062673A" w:rsidRDefault="00243D08" w:rsidP="009F07D7">
      <w:pPr>
        <w:pStyle w:val="References"/>
      </w:pPr>
      <w:r>
        <w:t>——</w:t>
      </w:r>
      <w:r w:rsidR="00A058DF" w:rsidRPr="0062673A">
        <w:t xml:space="preserve">2014b, </w:t>
      </w:r>
      <w:r>
        <w:rPr>
          <w:i/>
        </w:rPr>
        <w:t>Labour f</w:t>
      </w:r>
      <w:r w:rsidR="00A058DF" w:rsidRPr="00BA2946">
        <w:rPr>
          <w:i/>
        </w:rPr>
        <w:t>orce Australia</w:t>
      </w:r>
      <w:r w:rsidR="00A058DF" w:rsidRPr="0062673A">
        <w:t xml:space="preserve"> </w:t>
      </w:r>
      <w:r w:rsidR="00A058DF" w:rsidRPr="007E31BF">
        <w:rPr>
          <w:i/>
        </w:rPr>
        <w:t>March 2014</w:t>
      </w:r>
      <w:r w:rsidR="007E31BF">
        <w:rPr>
          <w:i/>
        </w:rPr>
        <w:t>,</w:t>
      </w:r>
      <w:r w:rsidR="00A058DF" w:rsidRPr="0062673A">
        <w:t xml:space="preserve"> </w:t>
      </w:r>
      <w:r w:rsidR="007E31BF">
        <w:t>cat.no.</w:t>
      </w:r>
      <w:r w:rsidR="00A058DF" w:rsidRPr="0062673A">
        <w:t>6202.0</w:t>
      </w:r>
      <w:r w:rsidR="007E31BF">
        <w:t>, ABS, Canberra.</w:t>
      </w:r>
    </w:p>
    <w:p w:rsidR="00A058DF" w:rsidRPr="0062673A" w:rsidRDefault="00A058DF" w:rsidP="009F07D7">
      <w:pPr>
        <w:pStyle w:val="References"/>
      </w:pPr>
      <w:r w:rsidRPr="0062673A">
        <w:t xml:space="preserve">Australian Workforce and Productivity Agency (AWPA) 2013, </w:t>
      </w:r>
      <w:r w:rsidRPr="00BA2946">
        <w:rPr>
          <w:i/>
        </w:rPr>
        <w:t>Future focus: National Workforce Development Strategy</w:t>
      </w:r>
      <w:r w:rsidRPr="0062673A">
        <w:t xml:space="preserve">, </w:t>
      </w:r>
      <w:r w:rsidR="007E31BF" w:rsidRPr="0062673A">
        <w:t>AWPA</w:t>
      </w:r>
      <w:r w:rsidR="007E31BF">
        <w:t xml:space="preserve">, </w:t>
      </w:r>
      <w:r w:rsidR="00B10B16">
        <w:t>Canberr</w:t>
      </w:r>
      <w:r w:rsidR="007E31BF">
        <w:t>a.</w:t>
      </w:r>
      <w:r w:rsidRPr="0062673A">
        <w:t xml:space="preserve"> </w:t>
      </w:r>
    </w:p>
    <w:p w:rsidR="007E31BF" w:rsidRDefault="00A058DF" w:rsidP="009F07D7">
      <w:pPr>
        <w:pStyle w:val="References"/>
      </w:pPr>
      <w:r w:rsidRPr="0062673A">
        <w:t>Broderick</w:t>
      </w:r>
      <w:r w:rsidR="00BA2946">
        <w:t>,</w:t>
      </w:r>
      <w:r w:rsidRPr="0062673A">
        <w:t xml:space="preserve"> E 2013, </w:t>
      </w:r>
      <w:r w:rsidRPr="00BA2946">
        <w:rPr>
          <w:i/>
        </w:rPr>
        <w:t>Women</w:t>
      </w:r>
      <w:r w:rsidR="00BA2946">
        <w:rPr>
          <w:i/>
        </w:rPr>
        <w:t xml:space="preserve"> in male-dominated industries: a</w:t>
      </w:r>
      <w:r w:rsidRPr="00BA2946">
        <w:rPr>
          <w:i/>
        </w:rPr>
        <w:t xml:space="preserve"> toolkit of strategies</w:t>
      </w:r>
      <w:r w:rsidR="007E31BF">
        <w:t>, viewed 18 April 2015, &lt;</w:t>
      </w:r>
      <w:r w:rsidR="007E31BF" w:rsidRPr="007E31BF">
        <w:t>https://www.humanrights.gov.au/our-work/sex-discrimination/projects/women-male-dominated-industries-toolkit-strategies</w:t>
      </w:r>
      <w:r w:rsidR="007E31BF">
        <w:t>&gt;.</w:t>
      </w:r>
    </w:p>
    <w:p w:rsidR="00A058DF" w:rsidRPr="0062673A" w:rsidRDefault="00A058DF" w:rsidP="009F07D7">
      <w:pPr>
        <w:pStyle w:val="References"/>
      </w:pPr>
      <w:proofErr w:type="spellStart"/>
      <w:r w:rsidRPr="0062673A">
        <w:t>Cedefop</w:t>
      </w:r>
      <w:proofErr w:type="spellEnd"/>
      <w:r w:rsidRPr="0062673A">
        <w:t xml:space="preserve"> 2008, </w:t>
      </w:r>
      <w:r w:rsidR="00BA2946">
        <w:rPr>
          <w:i/>
        </w:rPr>
        <w:t>Career development at work: a</w:t>
      </w:r>
      <w:r w:rsidRPr="00BA2946">
        <w:rPr>
          <w:i/>
        </w:rPr>
        <w:t xml:space="preserve"> review of career guidance to support people in employment</w:t>
      </w:r>
      <w:r w:rsidR="00B10B16">
        <w:rPr>
          <w:i/>
        </w:rPr>
        <w:t xml:space="preserve">, </w:t>
      </w:r>
      <w:r w:rsidRPr="0062673A">
        <w:t>Office for Official Publications of the European Communities</w:t>
      </w:r>
      <w:r w:rsidR="007E31BF">
        <w:t>, Luxembourg.</w:t>
      </w:r>
    </w:p>
    <w:p w:rsidR="00A058DF" w:rsidRPr="0062673A" w:rsidRDefault="007E31BF" w:rsidP="009F07D7">
      <w:pPr>
        <w:pStyle w:val="References"/>
      </w:pPr>
      <w:r>
        <w:t>——</w:t>
      </w:r>
      <w:r w:rsidR="00A058DF" w:rsidRPr="0062673A">
        <w:t xml:space="preserve">2010, </w:t>
      </w:r>
      <w:r w:rsidR="00A058DF" w:rsidRPr="00B10B16">
        <w:rPr>
          <w:i/>
        </w:rPr>
        <w:t>Guiding at-risk</w:t>
      </w:r>
      <w:r w:rsidR="00B10B16">
        <w:rPr>
          <w:i/>
        </w:rPr>
        <w:t xml:space="preserve"> youth through learning to </w:t>
      </w:r>
      <w:r w:rsidR="00274D68">
        <w:rPr>
          <w:i/>
        </w:rPr>
        <w:t xml:space="preserve">work: </w:t>
      </w:r>
      <w:r w:rsidR="00274D68" w:rsidRPr="00B10B16">
        <w:rPr>
          <w:i/>
        </w:rPr>
        <w:t>lessons</w:t>
      </w:r>
      <w:r w:rsidR="00A058DF" w:rsidRPr="00B10B16">
        <w:rPr>
          <w:i/>
        </w:rPr>
        <w:t xml:space="preserve"> from across Europe</w:t>
      </w:r>
      <w:r w:rsidR="00034CC0">
        <w:t xml:space="preserve">, </w:t>
      </w:r>
      <w:r>
        <w:t>Research paper no.</w:t>
      </w:r>
      <w:r w:rsidR="00A058DF" w:rsidRPr="0062673A">
        <w:t>3</w:t>
      </w:r>
      <w:r w:rsidR="00B10B16">
        <w:t>,</w:t>
      </w:r>
      <w:r w:rsidR="00A058DF" w:rsidRPr="0062673A">
        <w:t xml:space="preserve"> Publications Office of the European Union</w:t>
      </w:r>
      <w:r>
        <w:t>,</w:t>
      </w:r>
      <w:r w:rsidR="00B10B16" w:rsidRPr="00B10B16">
        <w:t xml:space="preserve"> </w:t>
      </w:r>
      <w:r w:rsidR="00B10B16">
        <w:t>Luxembourg.</w:t>
      </w:r>
      <w:r w:rsidR="00A058DF" w:rsidRPr="0062673A">
        <w:t xml:space="preserve"> </w:t>
      </w:r>
    </w:p>
    <w:p w:rsidR="00A058DF" w:rsidRPr="0062673A" w:rsidRDefault="007E31BF" w:rsidP="009F07D7">
      <w:pPr>
        <w:pStyle w:val="References"/>
      </w:pPr>
      <w:r>
        <w:t>——</w:t>
      </w:r>
      <w:r w:rsidR="00A058DF" w:rsidRPr="0062673A">
        <w:t xml:space="preserve">2014, </w:t>
      </w:r>
      <w:r w:rsidR="00A058DF" w:rsidRPr="007E31BF">
        <w:rPr>
          <w:i/>
        </w:rPr>
        <w:t>Guidance and counselling for learning, career and employment,</w:t>
      </w:r>
      <w:r w:rsidR="00A058DF" w:rsidRPr="0062673A">
        <w:t xml:space="preserve"> </w:t>
      </w:r>
      <w:r>
        <w:t xml:space="preserve">viewed </w:t>
      </w:r>
      <w:r w:rsidRPr="0062673A">
        <w:t>23 February 2014</w:t>
      </w:r>
      <w:r>
        <w:t>, &lt;</w:t>
      </w:r>
      <w:r w:rsidR="00A058DF" w:rsidRPr="0062673A">
        <w:t>http://www.cedefop.europa.eu/EN/Information-services/guidance-and-counselling-for-learning-care</w:t>
      </w:r>
      <w:r>
        <w:t>er-and-employment.aspx&gt;.</w:t>
      </w:r>
      <w:r w:rsidR="00A058DF" w:rsidRPr="0062673A">
        <w:t xml:space="preserve"> </w:t>
      </w:r>
    </w:p>
    <w:p w:rsidR="00A058DF" w:rsidRPr="0062673A" w:rsidRDefault="00A058DF" w:rsidP="009F07D7">
      <w:pPr>
        <w:pStyle w:val="References"/>
      </w:pPr>
      <w:r w:rsidRPr="0062673A">
        <w:t xml:space="preserve">Clarke, K </w:t>
      </w:r>
      <w:r w:rsidR="007E31BF">
        <w:t>&amp;</w:t>
      </w:r>
      <w:r w:rsidRPr="0062673A">
        <w:t xml:space="preserve"> </w:t>
      </w:r>
      <w:proofErr w:type="spellStart"/>
      <w:r w:rsidRPr="0062673A">
        <w:t>Polesel</w:t>
      </w:r>
      <w:proofErr w:type="spellEnd"/>
      <w:r w:rsidRPr="0062673A">
        <w:t>, J 2013</w:t>
      </w:r>
      <w:r w:rsidR="007E31BF">
        <w:t>,</w:t>
      </w:r>
      <w:r w:rsidRPr="0062673A">
        <w:t xml:space="preserve"> </w:t>
      </w:r>
      <w:r w:rsidR="004C5471">
        <w:t>‘</w:t>
      </w:r>
      <w:r w:rsidRPr="0062673A">
        <w:t>Strong on retention, weak on outcomes: the impact of vocational education and training in schools</w:t>
      </w:r>
      <w:r w:rsidR="004C5471">
        <w:t>’</w:t>
      </w:r>
      <w:r w:rsidRPr="0062673A">
        <w:t xml:space="preserve">, </w:t>
      </w:r>
      <w:r w:rsidRPr="00EF1113">
        <w:rPr>
          <w:i/>
        </w:rPr>
        <w:t>Discourse: Studies in the Cultural Politics of Education</w:t>
      </w:r>
      <w:r w:rsidRPr="0062673A">
        <w:t xml:space="preserve">, Special Issue: Equity and </w:t>
      </w:r>
      <w:proofErr w:type="spellStart"/>
      <w:r w:rsidRPr="0062673A">
        <w:t>marketisation</w:t>
      </w:r>
      <w:proofErr w:type="spellEnd"/>
      <w:r w:rsidRPr="0062673A">
        <w:t>: Emerging policies and practices in Australi</w:t>
      </w:r>
      <w:r w:rsidR="00777EF4">
        <w:t>an education, vol.34, no.2, pp.259—</w:t>
      </w:r>
      <w:r w:rsidRPr="0062673A">
        <w:t xml:space="preserve">73. </w:t>
      </w:r>
    </w:p>
    <w:p w:rsidR="00A058DF" w:rsidRPr="0062673A" w:rsidRDefault="00A058DF" w:rsidP="009F07D7">
      <w:pPr>
        <w:pStyle w:val="References"/>
      </w:pPr>
      <w:r w:rsidRPr="0062673A">
        <w:t>Clarke, K 2012</w:t>
      </w:r>
      <w:r w:rsidR="00EF1113">
        <w:t>,</w:t>
      </w:r>
      <w:r w:rsidRPr="0062673A">
        <w:t xml:space="preserve"> </w:t>
      </w:r>
      <w:r w:rsidRPr="00EF1113">
        <w:rPr>
          <w:i/>
        </w:rPr>
        <w:t>Entry to vocations: efficacy of VET in Schools</w:t>
      </w:r>
      <w:r w:rsidR="00777EF4">
        <w:t>, NCVER, Adelaide</w:t>
      </w:r>
      <w:r w:rsidR="00EF1113">
        <w:t>.</w:t>
      </w:r>
      <w:r w:rsidRPr="0062673A">
        <w:t xml:space="preserve"> </w:t>
      </w:r>
    </w:p>
    <w:p w:rsidR="00A058DF" w:rsidRPr="0062673A" w:rsidRDefault="00777EF4" w:rsidP="009F07D7">
      <w:pPr>
        <w:pStyle w:val="References"/>
      </w:pPr>
      <w:r>
        <w:t>——</w:t>
      </w:r>
      <w:r w:rsidR="00A058DF" w:rsidRPr="0062673A">
        <w:t>2013</w:t>
      </w:r>
      <w:r w:rsidR="009F07D7">
        <w:t>,</w:t>
      </w:r>
      <w:r w:rsidR="00A058DF" w:rsidRPr="0062673A">
        <w:t xml:space="preserve"> </w:t>
      </w:r>
      <w:r w:rsidR="00A058DF" w:rsidRPr="009F07D7">
        <w:rPr>
          <w:i/>
        </w:rPr>
        <w:t>Entry to vocations: strengthening VET in Schools</w:t>
      </w:r>
      <w:r w:rsidR="00EF1113" w:rsidRPr="00EF1113">
        <w:t xml:space="preserve">, </w:t>
      </w:r>
      <w:r>
        <w:t>NCVER, Adelaide</w:t>
      </w:r>
      <w:r w:rsidR="00EF1113">
        <w:t>.</w:t>
      </w:r>
    </w:p>
    <w:p w:rsidR="00A058DF" w:rsidRPr="0062673A" w:rsidRDefault="00777EF4" w:rsidP="009F07D7">
      <w:pPr>
        <w:pStyle w:val="References"/>
      </w:pPr>
      <w:r>
        <w:t>Clarke, K</w:t>
      </w:r>
      <w:r w:rsidR="00A058DF" w:rsidRPr="0062673A">
        <w:t xml:space="preserve"> </w:t>
      </w:r>
      <w:r>
        <w:t xml:space="preserve">&amp; </w:t>
      </w:r>
      <w:proofErr w:type="spellStart"/>
      <w:r>
        <w:t>Volkoff</w:t>
      </w:r>
      <w:proofErr w:type="spellEnd"/>
      <w:r>
        <w:t>, V</w:t>
      </w:r>
      <w:r w:rsidR="00A058DF" w:rsidRPr="0062673A">
        <w:t xml:space="preserve"> 2011</w:t>
      </w:r>
      <w:r>
        <w:t>,</w:t>
      </w:r>
      <w:r w:rsidR="00A058DF" w:rsidRPr="0062673A">
        <w:t xml:space="preserve"> </w:t>
      </w:r>
      <w:r w:rsidR="00A058DF" w:rsidRPr="009F07D7">
        <w:rPr>
          <w:i/>
        </w:rPr>
        <w:t>Entry to vocations: a discussion paper on current policy structures of VET in Schools</w:t>
      </w:r>
      <w:r w:rsidR="00A058DF" w:rsidRPr="0062673A">
        <w:t xml:space="preserve">, </w:t>
      </w:r>
      <w:r>
        <w:t>NCVER, Adelaide.</w:t>
      </w:r>
    </w:p>
    <w:p w:rsidR="00A058DF" w:rsidRPr="0062673A" w:rsidRDefault="00777EF4" w:rsidP="009F07D7">
      <w:pPr>
        <w:pStyle w:val="References"/>
      </w:pPr>
      <w:r>
        <w:t xml:space="preserve">Daley, J, </w:t>
      </w:r>
      <w:proofErr w:type="spellStart"/>
      <w:r>
        <w:t>McGannon</w:t>
      </w:r>
      <w:proofErr w:type="spellEnd"/>
      <w:r>
        <w:t>, C</w:t>
      </w:r>
      <w:r w:rsidR="00A058DF" w:rsidRPr="0062673A">
        <w:t xml:space="preserve"> </w:t>
      </w:r>
      <w:r>
        <w:t xml:space="preserve">&amp; </w:t>
      </w:r>
      <w:proofErr w:type="spellStart"/>
      <w:r>
        <w:t>Ginnivan</w:t>
      </w:r>
      <w:proofErr w:type="spellEnd"/>
      <w:r>
        <w:t>, L</w:t>
      </w:r>
      <w:r w:rsidR="00A058DF" w:rsidRPr="0062673A">
        <w:t xml:space="preserve"> 2012, </w:t>
      </w:r>
      <w:r w:rsidR="003A0AC4" w:rsidRPr="009F07D7">
        <w:rPr>
          <w:i/>
        </w:rPr>
        <w:t>Game-changers: e</w:t>
      </w:r>
      <w:r w:rsidR="00A058DF" w:rsidRPr="009F07D7">
        <w:rPr>
          <w:i/>
        </w:rPr>
        <w:t>conomic reform priorities for Australia</w:t>
      </w:r>
      <w:r w:rsidR="00A058DF" w:rsidRPr="0062673A">
        <w:t xml:space="preserve">, </w:t>
      </w:r>
      <w:r w:rsidRPr="0062673A">
        <w:t>Grattan Institute report no</w:t>
      </w:r>
      <w:r>
        <w:t>.</w:t>
      </w:r>
      <w:r w:rsidRPr="0062673A">
        <w:t xml:space="preserve">2012-5, </w:t>
      </w:r>
      <w:r w:rsidR="00A058DF" w:rsidRPr="0062673A">
        <w:t>Grattan Institute</w:t>
      </w:r>
      <w:r>
        <w:t>,</w:t>
      </w:r>
      <w:r w:rsidR="00A058DF" w:rsidRPr="0062673A">
        <w:t xml:space="preserve"> Melbourne. </w:t>
      </w:r>
    </w:p>
    <w:p w:rsidR="00A058DF" w:rsidRPr="0062673A" w:rsidRDefault="00777EF4" w:rsidP="009F07D7">
      <w:pPr>
        <w:pStyle w:val="References"/>
      </w:pPr>
      <w:r>
        <w:t>Davies, B</w:t>
      </w:r>
      <w:r w:rsidR="00A058DF" w:rsidRPr="0062673A">
        <w:t xml:space="preserve"> &amp; Cox</w:t>
      </w:r>
      <w:r>
        <w:t>, E</w:t>
      </w:r>
      <w:r w:rsidR="00A058DF" w:rsidRPr="0062673A">
        <w:t xml:space="preserve"> 2014, </w:t>
      </w:r>
      <w:r w:rsidR="003A0AC4" w:rsidRPr="009F07D7">
        <w:rPr>
          <w:i/>
        </w:rPr>
        <w:t>Report driving a generation:</w:t>
      </w:r>
      <w:r w:rsidR="00611BDD" w:rsidRPr="009F07D7">
        <w:rPr>
          <w:i/>
        </w:rPr>
        <w:t xml:space="preserve"> </w:t>
      </w:r>
      <w:r w:rsidR="00A058DF" w:rsidRPr="009F07D7">
        <w:rPr>
          <w:i/>
        </w:rPr>
        <w:t>improving the interaction between schools and businesses</w:t>
      </w:r>
      <w:r w:rsidR="00A058DF" w:rsidRPr="0062673A">
        <w:t>, Insti</w:t>
      </w:r>
      <w:r>
        <w:t>tute for Public Policy Research, Newcastle Upon Tyne</w:t>
      </w:r>
      <w:r w:rsidR="00B10B16">
        <w:t>.</w:t>
      </w:r>
    </w:p>
    <w:p w:rsidR="00950881" w:rsidRDefault="00950881" w:rsidP="009F07D7">
      <w:pPr>
        <w:pStyle w:val="References"/>
      </w:pPr>
      <w:r>
        <w:t xml:space="preserve">Department of Education and Early Childhood Development 2013, </w:t>
      </w:r>
      <w:r w:rsidRPr="00950881">
        <w:rPr>
          <w:i/>
        </w:rPr>
        <w:t>The On Track S</w:t>
      </w:r>
      <w:r>
        <w:rPr>
          <w:i/>
        </w:rPr>
        <w:t>urvey 2013: the destination of s</w:t>
      </w:r>
      <w:r w:rsidRPr="00950881">
        <w:rPr>
          <w:i/>
        </w:rPr>
        <w:t>chool leavers in Victoria</w:t>
      </w:r>
      <w:r>
        <w:t>, Melbourne, viewed 24 April 2015, &lt;www.education.vic.gov.au/ontrack&gt;.</w:t>
      </w:r>
    </w:p>
    <w:p w:rsidR="00A058DF" w:rsidRPr="0062673A" w:rsidRDefault="00A058DF" w:rsidP="009F07D7">
      <w:pPr>
        <w:pStyle w:val="References"/>
      </w:pPr>
      <w:r w:rsidRPr="0062673A">
        <w:t>Hansen</w:t>
      </w:r>
      <w:r w:rsidR="00777EF4">
        <w:t>,</w:t>
      </w:r>
      <w:r w:rsidRPr="0062673A">
        <w:t xml:space="preserve"> E 2006, </w:t>
      </w:r>
      <w:r w:rsidR="00777EF4" w:rsidRPr="009F07D7">
        <w:rPr>
          <w:i/>
        </w:rPr>
        <w:t>Career g</w:t>
      </w:r>
      <w:r w:rsidRPr="009F07D7">
        <w:rPr>
          <w:i/>
        </w:rPr>
        <w:t xml:space="preserve">uidance: </w:t>
      </w:r>
      <w:r w:rsidR="00164693">
        <w:rPr>
          <w:i/>
        </w:rPr>
        <w:t>a</w:t>
      </w:r>
      <w:r w:rsidRPr="009F07D7">
        <w:rPr>
          <w:i/>
        </w:rPr>
        <w:t xml:space="preserve"> resource handbook for low- and middle-income countries</w:t>
      </w:r>
      <w:r w:rsidRPr="0062673A">
        <w:t>, International Labour Organization (ILO)</w:t>
      </w:r>
      <w:r w:rsidR="00777EF4">
        <w:t>, Geneva</w:t>
      </w:r>
      <w:r w:rsidR="00B10B16">
        <w:t>.</w:t>
      </w:r>
      <w:r w:rsidRPr="0062673A">
        <w:t xml:space="preserve"> </w:t>
      </w:r>
    </w:p>
    <w:p w:rsidR="00A058DF" w:rsidRPr="0062673A" w:rsidRDefault="00A058DF" w:rsidP="009F07D7">
      <w:pPr>
        <w:pStyle w:val="References"/>
      </w:pPr>
      <w:r w:rsidRPr="0062673A">
        <w:t>Hughes</w:t>
      </w:r>
      <w:r w:rsidR="00777EF4">
        <w:t>,</w:t>
      </w:r>
      <w:r w:rsidRPr="0062673A">
        <w:t xml:space="preserve"> D, </w:t>
      </w:r>
      <w:proofErr w:type="spellStart"/>
      <w:r w:rsidRPr="0062673A">
        <w:t>Bimrose</w:t>
      </w:r>
      <w:proofErr w:type="spellEnd"/>
      <w:r w:rsidR="00777EF4">
        <w:t>,</w:t>
      </w:r>
      <w:r w:rsidRPr="0062673A">
        <w:t xml:space="preserve"> J, Barnes</w:t>
      </w:r>
      <w:r w:rsidR="00777EF4">
        <w:t>,</w:t>
      </w:r>
      <w:r w:rsidRPr="0062673A">
        <w:t xml:space="preserve"> S-A, Bowes</w:t>
      </w:r>
      <w:r w:rsidR="00777EF4">
        <w:t>,</w:t>
      </w:r>
      <w:r w:rsidRPr="0062673A">
        <w:t xml:space="preserve"> L &amp; Orton</w:t>
      </w:r>
      <w:r w:rsidR="00777EF4">
        <w:t>,</w:t>
      </w:r>
      <w:r w:rsidRPr="0062673A">
        <w:t xml:space="preserve"> M 2005, </w:t>
      </w:r>
      <w:r w:rsidRPr="009F07D7">
        <w:rPr>
          <w:i/>
        </w:rPr>
        <w:t xml:space="preserve">A </w:t>
      </w:r>
      <w:r w:rsidR="00777EF4" w:rsidRPr="009F07D7">
        <w:rPr>
          <w:i/>
        </w:rPr>
        <w:t>systematic literature review of research into career development interventions for workforce development</w:t>
      </w:r>
      <w:r w:rsidR="00B10B16" w:rsidRPr="009F07D7">
        <w:rPr>
          <w:i/>
        </w:rPr>
        <w:t>, f</w:t>
      </w:r>
      <w:r w:rsidRPr="009F07D7">
        <w:rPr>
          <w:i/>
        </w:rPr>
        <w:t xml:space="preserve">inal </w:t>
      </w:r>
      <w:r w:rsidR="00B10B16" w:rsidRPr="009F07D7">
        <w:rPr>
          <w:i/>
        </w:rPr>
        <w:t>r</w:t>
      </w:r>
      <w:r w:rsidRPr="009F07D7">
        <w:rPr>
          <w:i/>
        </w:rPr>
        <w:t>eport</w:t>
      </w:r>
      <w:r w:rsidR="00B10B16">
        <w:t>,</w:t>
      </w:r>
      <w:r w:rsidRPr="0062673A">
        <w:t xml:space="preserve"> Warwick Institute for Employment Research (IER) &amp; Centre for Guidance Studies (</w:t>
      </w:r>
      <w:proofErr w:type="spellStart"/>
      <w:r w:rsidRPr="0062673A">
        <w:t>CeGS</w:t>
      </w:r>
      <w:proofErr w:type="spellEnd"/>
      <w:r w:rsidRPr="0062673A">
        <w:t>)</w:t>
      </w:r>
      <w:r w:rsidR="00777EF4">
        <w:t>, Warwick &amp; Derby, Eng</w:t>
      </w:r>
      <w:r w:rsidR="00B10B16">
        <w:t>.</w:t>
      </w:r>
      <w:r w:rsidRPr="0062673A">
        <w:t xml:space="preserve"> </w:t>
      </w:r>
    </w:p>
    <w:p w:rsidR="00A058DF" w:rsidRPr="0062673A" w:rsidRDefault="00A058DF" w:rsidP="009F07D7">
      <w:pPr>
        <w:pStyle w:val="References"/>
      </w:pPr>
      <w:r w:rsidRPr="0062673A">
        <w:t>Hutchinson</w:t>
      </w:r>
      <w:r w:rsidR="003C0180">
        <w:t>,</w:t>
      </w:r>
      <w:r w:rsidRPr="0062673A">
        <w:t xml:space="preserve"> J &amp; Jackson</w:t>
      </w:r>
      <w:r w:rsidR="003C0180">
        <w:t>, J (eds</w:t>
      </w:r>
      <w:r w:rsidRPr="0062673A">
        <w:t xml:space="preserve">) 2007, </w:t>
      </w:r>
      <w:r w:rsidRPr="003A0AC4">
        <w:rPr>
          <w:i/>
        </w:rPr>
        <w:t xml:space="preserve">Cross-government </w:t>
      </w:r>
      <w:r w:rsidR="003C0180" w:rsidRPr="003A0AC4">
        <w:rPr>
          <w:i/>
        </w:rPr>
        <w:t>review of information</w:t>
      </w:r>
      <w:r w:rsidRPr="0062673A">
        <w:t xml:space="preserve">, Advice &amp; Guidance Services for Adults Final Report, Centre for Guidance Studies at the University of Derby. </w:t>
      </w:r>
    </w:p>
    <w:p w:rsidR="00485724" w:rsidRDefault="00164693" w:rsidP="009F07D7">
      <w:pPr>
        <w:pStyle w:val="References"/>
      </w:pPr>
      <w:r>
        <w:t>Ministerial Council on Education, Employment, Training and Youth Affairs</w:t>
      </w:r>
      <w:r w:rsidR="00950881">
        <w:t xml:space="preserve"> 2008, </w:t>
      </w:r>
      <w:r w:rsidR="00950881" w:rsidRPr="00950881">
        <w:rPr>
          <w:i/>
        </w:rPr>
        <w:t>The Australian Blueprint</w:t>
      </w:r>
      <w:r w:rsidR="00485724" w:rsidRPr="00950881">
        <w:rPr>
          <w:i/>
        </w:rPr>
        <w:t xml:space="preserve"> for Career Development</w:t>
      </w:r>
      <w:r w:rsidR="00485724">
        <w:t xml:space="preserve">, </w:t>
      </w:r>
      <w:r w:rsidR="00950881">
        <w:t>viewed 23 March 2014, &lt;blueprint.edu.au&gt;.</w:t>
      </w:r>
    </w:p>
    <w:p w:rsidR="003C0180" w:rsidRDefault="00A058DF" w:rsidP="009F07D7">
      <w:pPr>
        <w:pStyle w:val="References"/>
      </w:pPr>
      <w:r w:rsidRPr="0062673A">
        <w:t>McMahon</w:t>
      </w:r>
      <w:r w:rsidR="003C0180">
        <w:t>,</w:t>
      </w:r>
      <w:r w:rsidRPr="0062673A">
        <w:t xml:space="preserve"> M &amp; Haines</w:t>
      </w:r>
      <w:r w:rsidR="003C0180">
        <w:t>, C 2006,</w:t>
      </w:r>
      <w:r w:rsidRPr="0062673A">
        <w:t xml:space="preserve"> </w:t>
      </w:r>
      <w:r w:rsidR="004C5471">
        <w:t>‘</w:t>
      </w:r>
      <w:r w:rsidRPr="0062673A">
        <w:t xml:space="preserve">Third International Symposium on </w:t>
      </w:r>
      <w:r w:rsidR="009F07D7" w:rsidRPr="0062673A">
        <w:t>Career Development</w:t>
      </w:r>
      <w:r w:rsidR="009F07D7">
        <w:t xml:space="preserve"> </w:t>
      </w:r>
      <w:r w:rsidR="003C0180">
        <w:t xml:space="preserve">and </w:t>
      </w:r>
      <w:r w:rsidR="009F07D7">
        <w:t>Public Policy</w:t>
      </w:r>
      <w:r w:rsidR="003C0180">
        <w:t>: a vision</w:t>
      </w:r>
      <w:r w:rsidR="004C5471">
        <w:t>’</w:t>
      </w:r>
      <w:r w:rsidR="003C0180">
        <w:t>,</w:t>
      </w:r>
      <w:r w:rsidRPr="0062673A">
        <w:t xml:space="preserve"> </w:t>
      </w:r>
      <w:r w:rsidRPr="003A0AC4">
        <w:rPr>
          <w:i/>
        </w:rPr>
        <w:t>Australian Journal of Career Development</w:t>
      </w:r>
      <w:r w:rsidR="003C0180">
        <w:t>, vol.15, no.3, Spring.</w:t>
      </w:r>
    </w:p>
    <w:p w:rsidR="00A058DF" w:rsidRPr="0062673A" w:rsidRDefault="00A058DF" w:rsidP="009F07D7">
      <w:pPr>
        <w:pStyle w:val="References"/>
      </w:pPr>
      <w:r w:rsidRPr="0062673A">
        <w:lastRenderedPageBreak/>
        <w:t xml:space="preserve">McMillan, J </w:t>
      </w:r>
      <w:r w:rsidR="003C0180">
        <w:t>&amp;</w:t>
      </w:r>
      <w:r w:rsidRPr="0062673A">
        <w:t xml:space="preserve"> Curtis, D 2008</w:t>
      </w:r>
      <w:r w:rsidR="003C0180">
        <w:t>,</w:t>
      </w:r>
      <w:r w:rsidRPr="0062673A">
        <w:t xml:space="preserve"> </w:t>
      </w:r>
      <w:r w:rsidRPr="003A0AC4">
        <w:rPr>
          <w:i/>
        </w:rPr>
        <w:t xml:space="preserve">School </w:t>
      </w:r>
      <w:r w:rsidR="003C0180" w:rsidRPr="003A0AC4">
        <w:rPr>
          <w:i/>
        </w:rPr>
        <w:t>non-completers: profiles and initial destinations</w:t>
      </w:r>
      <w:r w:rsidRPr="0062673A">
        <w:t>, Australian Council for Educational R</w:t>
      </w:r>
      <w:r w:rsidR="003C0180">
        <w:t>esearch,</w:t>
      </w:r>
      <w:r w:rsidRPr="0062673A">
        <w:t xml:space="preserve"> Melbourne</w:t>
      </w:r>
      <w:r w:rsidR="00B10B16">
        <w:t>.</w:t>
      </w:r>
      <w:r w:rsidRPr="0062673A">
        <w:t xml:space="preserve"> </w:t>
      </w:r>
    </w:p>
    <w:p w:rsidR="00A058DF" w:rsidRPr="0062673A" w:rsidRDefault="00A058DF" w:rsidP="009F07D7">
      <w:pPr>
        <w:pStyle w:val="References"/>
      </w:pPr>
      <w:r w:rsidRPr="0062673A">
        <w:t>Miles Morgan Australia 2007</w:t>
      </w:r>
      <w:r w:rsidR="003C0180">
        <w:rPr>
          <w:i/>
        </w:rPr>
        <w:t xml:space="preserve">, </w:t>
      </w:r>
      <w:proofErr w:type="spellStart"/>
      <w:r w:rsidR="003C0180">
        <w:rPr>
          <w:i/>
        </w:rPr>
        <w:t>ReCaP</w:t>
      </w:r>
      <w:proofErr w:type="spellEnd"/>
      <w:r w:rsidR="003C0180">
        <w:rPr>
          <w:i/>
        </w:rPr>
        <w:t xml:space="preserve"> —</w:t>
      </w:r>
      <w:r w:rsidRPr="003A0AC4">
        <w:rPr>
          <w:i/>
        </w:rPr>
        <w:t xml:space="preserve"> </w:t>
      </w:r>
      <w:r w:rsidR="003C0180" w:rsidRPr="003A0AC4">
        <w:rPr>
          <w:i/>
        </w:rPr>
        <w:t>a resource for career development practitioners</w:t>
      </w:r>
      <w:r w:rsidRPr="0062673A">
        <w:t xml:space="preserve">, on behalf of </w:t>
      </w:r>
      <w:r w:rsidR="00164693">
        <w:t xml:space="preserve">the Department of Education, Science and </w:t>
      </w:r>
      <w:r w:rsidR="00273835">
        <w:t>Training</w:t>
      </w:r>
      <w:r w:rsidRPr="0062673A">
        <w:t xml:space="preserve">, </w:t>
      </w:r>
      <w:r w:rsidR="00B10B16">
        <w:t>Canber</w:t>
      </w:r>
      <w:r w:rsidR="003C0180">
        <w:t>ra</w:t>
      </w:r>
      <w:r w:rsidR="00B10B16">
        <w:t>.</w:t>
      </w:r>
      <w:r w:rsidRPr="0062673A">
        <w:t xml:space="preserve"> </w:t>
      </w:r>
    </w:p>
    <w:p w:rsidR="00A058DF" w:rsidRPr="0062673A" w:rsidRDefault="003C0180" w:rsidP="009F07D7">
      <w:pPr>
        <w:pStyle w:val="References"/>
      </w:pPr>
      <w:r w:rsidRPr="0062673A">
        <w:t xml:space="preserve">New Zealand </w:t>
      </w:r>
      <w:r>
        <w:t>Ministry of Education</w:t>
      </w:r>
      <w:r w:rsidR="00A058DF" w:rsidRPr="0062673A">
        <w:t xml:space="preserve"> 2012</w:t>
      </w:r>
      <w:r w:rsidR="00274D68" w:rsidRPr="0062673A">
        <w:t xml:space="preserve">, </w:t>
      </w:r>
      <w:r w:rsidR="00274D68" w:rsidRPr="003C0180">
        <w:rPr>
          <w:i/>
        </w:rPr>
        <w:t>Terms</w:t>
      </w:r>
      <w:r w:rsidR="00A058DF" w:rsidRPr="003C0180">
        <w:rPr>
          <w:i/>
        </w:rPr>
        <w:t xml:space="preserve"> of reference for review of career information, advice, guidance and education</w:t>
      </w:r>
      <w:r>
        <w:t>, Wellington.</w:t>
      </w:r>
      <w:r w:rsidR="00A058DF" w:rsidRPr="0062673A">
        <w:t xml:space="preserve"> </w:t>
      </w:r>
    </w:p>
    <w:p w:rsidR="003C0180" w:rsidRDefault="00A058DF" w:rsidP="009F07D7">
      <w:pPr>
        <w:pStyle w:val="References"/>
      </w:pPr>
      <w:r w:rsidRPr="0062673A">
        <w:t xml:space="preserve">OECD </w:t>
      </w:r>
      <w:r w:rsidR="003C0180">
        <w:t>(Organisation for Economic Co-operation and Development</w:t>
      </w:r>
      <w:r w:rsidR="009F07D7">
        <w:t>)</w:t>
      </w:r>
      <w:r w:rsidR="003C0180">
        <w:t xml:space="preserve"> </w:t>
      </w:r>
      <w:r w:rsidRPr="0062673A">
        <w:t xml:space="preserve">2004a, </w:t>
      </w:r>
      <w:r w:rsidRPr="003C0180">
        <w:rPr>
          <w:i/>
        </w:rPr>
        <w:t xml:space="preserve">Career </w:t>
      </w:r>
      <w:r w:rsidR="003C0180" w:rsidRPr="003C0180">
        <w:rPr>
          <w:i/>
        </w:rPr>
        <w:t>guidance and public policy: bridging the gap</w:t>
      </w:r>
      <w:r w:rsidR="0023154F">
        <w:rPr>
          <w:i/>
        </w:rPr>
        <w:t xml:space="preserve">, </w:t>
      </w:r>
      <w:r w:rsidR="003C0180">
        <w:t>viewed 30 March 2014, &lt;</w:t>
      </w:r>
      <w:r w:rsidRPr="0062673A">
        <w:t>http://www.oecd.org/dataoecd/33/45/34050</w:t>
      </w:r>
      <w:r w:rsidR="003C0180">
        <w:t>171.pdf&gt;.</w:t>
      </w:r>
    </w:p>
    <w:p w:rsidR="0023154F" w:rsidRDefault="003C0180" w:rsidP="009F07D7">
      <w:pPr>
        <w:pStyle w:val="References"/>
      </w:pPr>
      <w:r>
        <w:t>——</w:t>
      </w:r>
      <w:r w:rsidR="00A058DF" w:rsidRPr="0062673A">
        <w:t xml:space="preserve">2004b, </w:t>
      </w:r>
      <w:r w:rsidR="00A058DF" w:rsidRPr="003C0180">
        <w:rPr>
          <w:i/>
        </w:rPr>
        <w:t xml:space="preserve">Career </w:t>
      </w:r>
      <w:r w:rsidRPr="003C0180">
        <w:rPr>
          <w:i/>
        </w:rPr>
        <w:t>guidance: a handbook for policy</w:t>
      </w:r>
      <w:r w:rsidR="00A058DF" w:rsidRPr="0062673A">
        <w:t>,</w:t>
      </w:r>
      <w:r w:rsidR="0023154F" w:rsidRPr="0023154F">
        <w:t xml:space="preserve"> </w:t>
      </w:r>
      <w:r w:rsidR="0023154F">
        <w:t>viewed 30 March 2014, &lt;http://</w:t>
      </w:r>
      <w:r w:rsidR="00A058DF" w:rsidRPr="0062673A">
        <w:t>www.oecd.org/</w:t>
      </w:r>
      <w:proofErr w:type="spellStart"/>
      <w:r w:rsidR="00A058DF" w:rsidRPr="0062673A">
        <w:t>dataoecd</w:t>
      </w:r>
      <w:proofErr w:type="spellEnd"/>
      <w:r w:rsidR="00A058DF" w:rsidRPr="0062673A">
        <w:t>/53/53/34060</w:t>
      </w:r>
      <w:r w:rsidR="0023154F">
        <w:t>761.pdf—</w:t>
      </w:r>
    </w:p>
    <w:p w:rsidR="00A058DF" w:rsidRPr="0062673A" w:rsidRDefault="0023154F" w:rsidP="009F07D7">
      <w:pPr>
        <w:pStyle w:val="References"/>
      </w:pPr>
      <w:r>
        <w:t>——</w:t>
      </w:r>
      <w:r w:rsidR="00A058DF" w:rsidRPr="0062673A">
        <w:t xml:space="preserve">2012, </w:t>
      </w:r>
      <w:r w:rsidR="00A058DF" w:rsidRPr="0023154F">
        <w:rPr>
          <w:i/>
        </w:rPr>
        <w:t xml:space="preserve">Closing the </w:t>
      </w:r>
      <w:r w:rsidRPr="0023154F">
        <w:rPr>
          <w:i/>
        </w:rPr>
        <w:t>gender gap act now</w:t>
      </w:r>
      <w:r w:rsidR="00A058DF" w:rsidRPr="0062673A">
        <w:t>,</w:t>
      </w:r>
      <w:r>
        <w:t xml:space="preserve"> viewed 30 March 2014, &lt;http://</w:t>
      </w:r>
      <w:r w:rsidR="00A058DF" w:rsidRPr="0062673A">
        <w:t>www.oecd.org/inclusive-growth/Closing%20the%20Gender%20Gaps.pdf</w:t>
      </w:r>
      <w:r>
        <w:t>&gt;.</w:t>
      </w:r>
      <w:r w:rsidR="00A058DF" w:rsidRPr="0062673A">
        <w:t xml:space="preserve"> </w:t>
      </w:r>
    </w:p>
    <w:p w:rsidR="00A058DF" w:rsidRPr="0062673A" w:rsidRDefault="00A058DF" w:rsidP="009F07D7">
      <w:pPr>
        <w:pStyle w:val="References"/>
      </w:pPr>
      <w:r w:rsidRPr="0062673A">
        <w:t xml:space="preserve">Ofsted 2011a, </w:t>
      </w:r>
      <w:r w:rsidRPr="0023154F">
        <w:rPr>
          <w:i/>
        </w:rPr>
        <w:t>Girls</w:t>
      </w:r>
      <w:r w:rsidR="004C5471">
        <w:rPr>
          <w:i/>
        </w:rPr>
        <w:t>’</w:t>
      </w:r>
      <w:r w:rsidRPr="0023154F">
        <w:rPr>
          <w:i/>
        </w:rPr>
        <w:t xml:space="preserve"> career aspirations</w:t>
      </w:r>
      <w:r w:rsidRPr="0062673A">
        <w:t xml:space="preserve">, </w:t>
      </w:r>
      <w:r w:rsidR="0023154F">
        <w:t>viewed 30 March 2014, &lt;http://</w:t>
      </w:r>
      <w:r w:rsidRPr="0062673A">
        <w:t>www.ofsted.gov.uk/publications</w:t>
      </w:r>
      <w:r w:rsidR="0023154F">
        <w:t>/090239&gt;.</w:t>
      </w:r>
      <w:r w:rsidRPr="0062673A">
        <w:t xml:space="preserve"> </w:t>
      </w:r>
    </w:p>
    <w:p w:rsidR="00A058DF" w:rsidRPr="0062673A" w:rsidRDefault="0023154F" w:rsidP="009F07D7">
      <w:pPr>
        <w:pStyle w:val="References"/>
      </w:pPr>
      <w:r>
        <w:t>——</w:t>
      </w:r>
      <w:r w:rsidR="00A058DF" w:rsidRPr="0062673A">
        <w:t xml:space="preserve">2011b, </w:t>
      </w:r>
      <w:r w:rsidR="00A058DF" w:rsidRPr="0023154F">
        <w:rPr>
          <w:i/>
        </w:rPr>
        <w:t>Promoting the study of science through links with schools: City and Islington College</w:t>
      </w:r>
      <w:r>
        <w:t xml:space="preserve"> viewed 7</w:t>
      </w:r>
      <w:r w:rsidR="009F07D7">
        <w:t> </w:t>
      </w:r>
      <w:r>
        <w:t>April 2014, &lt;http://</w:t>
      </w:r>
      <w:r w:rsidR="00A058DF" w:rsidRPr="0062673A">
        <w:t xml:space="preserve"> www.ofsted.gov.uk/.../good-practice-resource-promoting-study-of-science</w:t>
      </w:r>
      <w:r w:rsidR="00DC5686">
        <w:t>&gt;.</w:t>
      </w:r>
    </w:p>
    <w:p w:rsidR="00A058DF" w:rsidRPr="0062673A" w:rsidRDefault="00A058DF" w:rsidP="009F07D7">
      <w:pPr>
        <w:pStyle w:val="References"/>
      </w:pPr>
      <w:r w:rsidRPr="0062673A">
        <w:t xml:space="preserve">Queensland Department of Education and Training 2011, </w:t>
      </w:r>
      <w:r w:rsidRPr="00DC5686">
        <w:rPr>
          <w:i/>
        </w:rPr>
        <w:t xml:space="preserve">Next Step 2010: </w:t>
      </w:r>
      <w:r w:rsidR="00164693">
        <w:rPr>
          <w:i/>
        </w:rPr>
        <w:t xml:space="preserve">a </w:t>
      </w:r>
      <w:r w:rsidRPr="00DC5686">
        <w:rPr>
          <w:i/>
        </w:rPr>
        <w:t>report on the destinations of Year 12 completers from 2010 in Queensland</w:t>
      </w:r>
      <w:r w:rsidRPr="0062673A">
        <w:t xml:space="preserve">, Brisbane, viewed 13 February 2012, &lt;http://education.qld.gov.au/nextstep/2010report.html&gt;. </w:t>
      </w:r>
    </w:p>
    <w:p w:rsidR="00A058DF" w:rsidRPr="0062673A" w:rsidRDefault="00A058DF" w:rsidP="009F07D7">
      <w:pPr>
        <w:pStyle w:val="References"/>
      </w:pPr>
      <w:proofErr w:type="spellStart"/>
      <w:r w:rsidRPr="0062673A">
        <w:t>Panizzon</w:t>
      </w:r>
      <w:proofErr w:type="spellEnd"/>
      <w:r w:rsidR="00034CC0">
        <w:t>,</w:t>
      </w:r>
      <w:r w:rsidRPr="0062673A">
        <w:t xml:space="preserve"> D &amp; </w:t>
      </w:r>
      <w:proofErr w:type="spellStart"/>
      <w:r w:rsidRPr="0062673A">
        <w:t>Westwell</w:t>
      </w:r>
      <w:proofErr w:type="spellEnd"/>
      <w:r w:rsidR="00034CC0">
        <w:t>,</w:t>
      </w:r>
      <w:r w:rsidRPr="0062673A">
        <w:t xml:space="preserve"> M 2009, </w:t>
      </w:r>
      <w:r w:rsidRPr="003A0AC4">
        <w:rPr>
          <w:i/>
        </w:rPr>
        <w:t>Engaging stud</w:t>
      </w:r>
      <w:r w:rsidR="00DC5686">
        <w:rPr>
          <w:i/>
        </w:rPr>
        <w:t>ents in STEM-related subjects: w</w:t>
      </w:r>
      <w:r w:rsidRPr="003A0AC4">
        <w:rPr>
          <w:i/>
        </w:rPr>
        <w:t>hat does the research evidence say?</w:t>
      </w:r>
      <w:r w:rsidR="00B10B16">
        <w:t>,</w:t>
      </w:r>
      <w:r w:rsidRPr="0062673A">
        <w:t xml:space="preserve"> Flinders Centre for Science Education in the 21st </w:t>
      </w:r>
      <w:r w:rsidR="00FD391E" w:rsidRPr="0062673A">
        <w:t>Century</w:t>
      </w:r>
      <w:r w:rsidR="00B10B16">
        <w:t>,</w:t>
      </w:r>
      <w:r w:rsidRPr="0062673A">
        <w:t xml:space="preserve"> Flinders University</w:t>
      </w:r>
      <w:r w:rsidR="00DC5686">
        <w:t>, Adelaide</w:t>
      </w:r>
      <w:r w:rsidR="00B10B16">
        <w:t>.</w:t>
      </w:r>
      <w:r w:rsidRPr="0062673A">
        <w:t xml:space="preserve"> </w:t>
      </w:r>
    </w:p>
    <w:p w:rsidR="00A058DF" w:rsidRPr="0062673A" w:rsidRDefault="00A058DF" w:rsidP="009F07D7">
      <w:pPr>
        <w:pStyle w:val="References"/>
      </w:pPr>
      <w:r w:rsidRPr="0062673A">
        <w:t>Rothman, S, Brown, J, Hillman, K, Marks, G, McKenzie, P</w:t>
      </w:r>
      <w:r w:rsidR="00DC5686">
        <w:t xml:space="preserve"> &amp;</w:t>
      </w:r>
      <w:r w:rsidRPr="0062673A">
        <w:t xml:space="preserve"> Underwood, C 2011</w:t>
      </w:r>
      <w:r w:rsidR="00DC5686">
        <w:t>,</w:t>
      </w:r>
      <w:r w:rsidRPr="0062673A">
        <w:t xml:space="preserve"> </w:t>
      </w:r>
      <w:r w:rsidRPr="003A0AC4">
        <w:rPr>
          <w:i/>
        </w:rPr>
        <w:t xml:space="preserve">The On Track Survey 2010: </w:t>
      </w:r>
      <w:r w:rsidR="00164693">
        <w:rPr>
          <w:i/>
        </w:rPr>
        <w:t>d</w:t>
      </w:r>
      <w:r w:rsidRPr="003A0AC4">
        <w:rPr>
          <w:i/>
        </w:rPr>
        <w:t xml:space="preserve">estinations of </w:t>
      </w:r>
      <w:r w:rsidR="00164693">
        <w:rPr>
          <w:i/>
        </w:rPr>
        <w:t>s</w:t>
      </w:r>
      <w:r w:rsidRPr="003A0AC4">
        <w:rPr>
          <w:i/>
        </w:rPr>
        <w:t xml:space="preserve">chool </w:t>
      </w:r>
      <w:r w:rsidR="00164693">
        <w:rPr>
          <w:i/>
        </w:rPr>
        <w:t>c</w:t>
      </w:r>
      <w:r w:rsidRPr="003A0AC4">
        <w:rPr>
          <w:i/>
        </w:rPr>
        <w:t>ompleters</w:t>
      </w:r>
      <w:r w:rsidRPr="0062673A">
        <w:t>, Department of Education and Early Childhood Development</w:t>
      </w:r>
      <w:r w:rsidR="00B10B16">
        <w:t>:</w:t>
      </w:r>
      <w:r w:rsidRPr="0062673A">
        <w:t xml:space="preserve"> Melbourne</w:t>
      </w:r>
      <w:r w:rsidR="00B10B16">
        <w:t>, Victoria</w:t>
      </w:r>
      <w:r w:rsidRPr="0062673A">
        <w:t xml:space="preserve">, viewed 13 February 2012, &lt;http://research.acer.edu.au/transitions_misc/10/&gt;. </w:t>
      </w:r>
    </w:p>
    <w:p w:rsidR="00A058DF" w:rsidRPr="0062673A" w:rsidRDefault="00DC5686" w:rsidP="009F07D7">
      <w:pPr>
        <w:pStyle w:val="References"/>
      </w:pPr>
      <w:r>
        <w:t xml:space="preserve">Sultana, RG </w:t>
      </w:r>
      <w:r w:rsidR="00A058DF" w:rsidRPr="0062673A">
        <w:t xml:space="preserve">2010, </w:t>
      </w:r>
      <w:r w:rsidR="00A058DF" w:rsidRPr="003A0AC4">
        <w:rPr>
          <w:i/>
        </w:rPr>
        <w:t>From policy to practice</w:t>
      </w:r>
      <w:r>
        <w:rPr>
          <w:i/>
        </w:rPr>
        <w:t>: a</w:t>
      </w:r>
      <w:r w:rsidR="00A058DF" w:rsidRPr="00DC5686">
        <w:rPr>
          <w:i/>
        </w:rPr>
        <w:t xml:space="preserve"> systemic change in lifelong guidance in Europe</w:t>
      </w:r>
      <w:r>
        <w:t>,</w:t>
      </w:r>
      <w:r w:rsidR="00A058DF" w:rsidRPr="0062673A">
        <w:t xml:space="preserve"> </w:t>
      </w:r>
      <w:proofErr w:type="spellStart"/>
      <w:r>
        <w:t>Cedefop</w:t>
      </w:r>
      <w:proofErr w:type="spellEnd"/>
      <w:r>
        <w:t xml:space="preserve"> panorama s</w:t>
      </w:r>
      <w:r w:rsidR="00274D68" w:rsidRPr="0062673A">
        <w:t>eries</w:t>
      </w:r>
      <w:r w:rsidR="00274D68">
        <w:t>, no.</w:t>
      </w:r>
      <w:r w:rsidR="00274D68" w:rsidRPr="0062673A">
        <w:t>149</w:t>
      </w:r>
      <w:r w:rsidR="00274D68">
        <w:t>,</w:t>
      </w:r>
      <w:r w:rsidR="00274D68" w:rsidRPr="0062673A">
        <w:t xml:space="preserve"> </w:t>
      </w:r>
      <w:r w:rsidRPr="0062673A">
        <w:t>Office for Official Publications of the European Communities</w:t>
      </w:r>
      <w:r>
        <w:t>,</w:t>
      </w:r>
      <w:r w:rsidRPr="0062673A">
        <w:t xml:space="preserve"> </w:t>
      </w:r>
      <w:r w:rsidR="00A058DF" w:rsidRPr="0062673A">
        <w:t>Lux</w:t>
      </w:r>
      <w:r>
        <w:t>embourg</w:t>
      </w:r>
      <w:r w:rsidR="00A058DF" w:rsidRPr="0062673A">
        <w:t xml:space="preserve">. </w:t>
      </w:r>
    </w:p>
    <w:p w:rsidR="00A058DF" w:rsidRDefault="00A058DF" w:rsidP="009F07D7">
      <w:pPr>
        <w:pStyle w:val="References"/>
      </w:pPr>
      <w:r w:rsidRPr="0062673A">
        <w:t xml:space="preserve">University of </w:t>
      </w:r>
      <w:r w:rsidR="00274D68" w:rsidRPr="0062673A">
        <w:t>California (</w:t>
      </w:r>
      <w:r w:rsidRPr="0062673A">
        <w:t xml:space="preserve">UC) Berkeley Career Centre </w:t>
      </w:r>
      <w:r w:rsidR="00DC5686">
        <w:t>website, a</w:t>
      </w:r>
      <w:r w:rsidR="00DC5686" w:rsidRPr="0062673A">
        <w:t>ccessed 26 April 2014</w:t>
      </w:r>
      <w:r w:rsidR="00DC5686">
        <w:t>, &lt;</w:t>
      </w:r>
      <w:r w:rsidRPr="0062673A">
        <w:t>https://career.</w:t>
      </w:r>
      <w:r w:rsidR="00DC5686">
        <w:t>berkeley.edu/info/careerexp.stm&gt;.</w:t>
      </w:r>
      <w:r w:rsidRPr="0062673A">
        <w:t xml:space="preserve"> </w:t>
      </w:r>
    </w:p>
    <w:p w:rsidR="00034CC0" w:rsidRPr="0062673A" w:rsidRDefault="00034CC0" w:rsidP="009F07D7">
      <w:pPr>
        <w:pStyle w:val="References"/>
      </w:pPr>
      <w:r>
        <w:t>Urbis Pty Ltd</w:t>
      </w:r>
      <w:r w:rsidRPr="0062673A">
        <w:t xml:space="preserve"> 2011, </w:t>
      </w:r>
      <w:r w:rsidRPr="00DC5686">
        <w:rPr>
          <w:i/>
        </w:rPr>
        <w:t>National Career Development Strategy (NCDS) research project: element 2: qualitative research</w:t>
      </w:r>
      <w:r>
        <w:t>, viewed</w:t>
      </w:r>
      <w:r w:rsidRPr="0062673A">
        <w:t xml:space="preserve"> 23 March 2014</w:t>
      </w:r>
      <w:r>
        <w:t>, &lt;http://www.</w:t>
      </w:r>
      <w:r w:rsidRPr="0062673A">
        <w:t>Urbis.c</w:t>
      </w:r>
      <w:r>
        <w:t>om.au&gt;.</w:t>
      </w:r>
    </w:p>
    <w:p w:rsidR="00A058DF" w:rsidRPr="0062673A" w:rsidRDefault="00A058DF" w:rsidP="009F07D7">
      <w:pPr>
        <w:pStyle w:val="References"/>
      </w:pPr>
      <w:r w:rsidRPr="0062673A">
        <w:t>Watts</w:t>
      </w:r>
      <w:r w:rsidR="006B773E">
        <w:t>, AG</w:t>
      </w:r>
      <w:r w:rsidRPr="0062673A">
        <w:t xml:space="preserve"> 2002, </w:t>
      </w:r>
      <w:r w:rsidR="004C5471">
        <w:t>‘</w:t>
      </w:r>
      <w:r w:rsidRPr="006B773E">
        <w:t xml:space="preserve">Career </w:t>
      </w:r>
      <w:r w:rsidR="006B773E" w:rsidRPr="006B773E">
        <w:t>guidance and public policy: global issues and challenges</w:t>
      </w:r>
      <w:r w:rsidR="004C5471">
        <w:t>’</w:t>
      </w:r>
      <w:r w:rsidR="006B773E">
        <w:t>, a</w:t>
      </w:r>
      <w:r w:rsidRPr="0062673A">
        <w:t xml:space="preserve"> keynote presentation to the </w:t>
      </w:r>
      <w:r w:rsidR="004C5471">
        <w:t>‘</w:t>
      </w:r>
      <w:r w:rsidRPr="0062673A">
        <w:t>Pushing the Boundaries</w:t>
      </w:r>
      <w:r w:rsidR="004C5471">
        <w:t>’</w:t>
      </w:r>
      <w:r w:rsidRPr="0062673A">
        <w:t xml:space="preserve"> International Conference organised by Career Services </w:t>
      </w:r>
      <w:proofErr w:type="spellStart"/>
      <w:r w:rsidRPr="0062673A">
        <w:t>Rapuara</w:t>
      </w:r>
      <w:proofErr w:type="spellEnd"/>
      <w:r w:rsidRPr="0062673A">
        <w:t xml:space="preserve"> and the International Association for Educational and Vocational Guidance</w:t>
      </w:r>
      <w:r w:rsidR="006B773E">
        <w:t>,</w:t>
      </w:r>
      <w:r w:rsidRPr="0062673A">
        <w:t xml:space="preserve"> Wellington, New Zealand</w:t>
      </w:r>
      <w:r w:rsidR="006B773E">
        <w:t>.</w:t>
      </w:r>
    </w:p>
    <w:p w:rsidR="00A058DF" w:rsidRPr="0062673A" w:rsidRDefault="00A058DF" w:rsidP="0062673A">
      <w:pPr>
        <w:pStyle w:val="Text"/>
      </w:pPr>
    </w:p>
    <w:p w:rsidR="009F07D7" w:rsidRDefault="009F07D7">
      <w:pPr>
        <w:spacing w:before="0" w:line="240" w:lineRule="auto"/>
      </w:pPr>
      <w:r>
        <w:br w:type="page"/>
      </w:r>
    </w:p>
    <w:p w:rsidR="00E223D9" w:rsidRPr="00813218" w:rsidRDefault="006B773E" w:rsidP="00E223D9">
      <w:pPr>
        <w:pStyle w:val="Heading1"/>
        <w:ind w:right="-1"/>
        <w:rPr>
          <w:rFonts w:ascii="Trebuchet MS" w:hAnsi="Trebuchet MS"/>
          <w:sz w:val="19"/>
          <w:szCs w:val="19"/>
        </w:rPr>
      </w:pPr>
      <w:bookmarkStart w:id="85" w:name="_Toc416683038"/>
      <w:r>
        <w:lastRenderedPageBreak/>
        <w:t>Diploma to d</w:t>
      </w:r>
      <w:r w:rsidR="00DC7D69">
        <w:t>egree:</w:t>
      </w:r>
      <w:r w:rsidR="00E223D9" w:rsidRPr="00E223D9">
        <w:t xml:space="preserve"> why successful </w:t>
      </w:r>
      <w:r w:rsidR="00164693">
        <w:t>VET</w:t>
      </w:r>
      <w:r>
        <w:t xml:space="preserve"> d</w:t>
      </w:r>
      <w:r w:rsidR="00E223D9" w:rsidRPr="00E223D9">
        <w:t>iploma graduates underta</w:t>
      </w:r>
      <w:r w:rsidR="00E223D9">
        <w:t>ke a university enabling course</w:t>
      </w:r>
      <w:bookmarkEnd w:id="85"/>
    </w:p>
    <w:p w:rsidR="00E223D9" w:rsidRPr="00E223D9" w:rsidRDefault="00E223D9" w:rsidP="00F17BA9">
      <w:pPr>
        <w:pStyle w:val="StyleAuthorsLeft0cm"/>
      </w:pPr>
      <w:r w:rsidRPr="00E223D9">
        <w:t>Suzanne Storer</w:t>
      </w:r>
    </w:p>
    <w:p w:rsidR="00E223D9" w:rsidRPr="00E223D9" w:rsidRDefault="00E223D9" w:rsidP="00F17BA9">
      <w:pPr>
        <w:pStyle w:val="StyleOrganisationLeft0cmRight-0cm"/>
      </w:pPr>
      <w:r w:rsidRPr="00E223D9">
        <w:t>CQUniversity</w:t>
      </w:r>
    </w:p>
    <w:p w:rsidR="00E223D9" w:rsidRPr="00E223D9" w:rsidRDefault="00E223D9" w:rsidP="0093279C">
      <w:pPr>
        <w:pStyle w:val="Text"/>
        <w:spacing w:before="360"/>
        <w:ind w:right="0"/>
      </w:pPr>
      <w:r w:rsidRPr="00E223D9">
        <w:t>The aim of this paper is to explor</w:t>
      </w:r>
      <w:r w:rsidR="00DC7D69">
        <w:t>e the factors that influence VET d</w:t>
      </w:r>
      <w:r w:rsidRPr="00E223D9">
        <w:t>iploma graduates</w:t>
      </w:r>
      <w:r w:rsidR="004C5471">
        <w:t>’</w:t>
      </w:r>
      <w:r w:rsidRPr="00E223D9">
        <w:t xml:space="preserve"> decisions to proceed to a de</w:t>
      </w:r>
      <w:r w:rsidR="00DC7D69">
        <w:t>gree but undertake a university-</w:t>
      </w:r>
      <w:r w:rsidRPr="00E223D9">
        <w:t xml:space="preserve">based enabling course as part of that journey. The pathway for VET graduates in Australia who wish to undertake higher education studies has been described as a </w:t>
      </w:r>
      <w:r w:rsidR="004C5471">
        <w:t>‘</w:t>
      </w:r>
      <w:r w:rsidRPr="00E223D9">
        <w:t>crazy pathway</w:t>
      </w:r>
      <w:r w:rsidR="004C5471">
        <w:t>’</w:t>
      </w:r>
      <w:r w:rsidRPr="00E223D9">
        <w:t xml:space="preserve"> or </w:t>
      </w:r>
      <w:r w:rsidR="004C5471">
        <w:t>‘</w:t>
      </w:r>
      <w:r w:rsidRPr="00E223D9">
        <w:t>seamless</w:t>
      </w:r>
      <w:r w:rsidR="004C5471">
        <w:t>’</w:t>
      </w:r>
      <w:r w:rsidR="00DC7D69">
        <w:t>,</w:t>
      </w:r>
      <w:r w:rsidRPr="00E223D9">
        <w:t xml:space="preserve"> with some being well documented and advertised</w:t>
      </w:r>
      <w:r w:rsidR="00164693">
        <w:t>,</w:t>
      </w:r>
      <w:r w:rsidRPr="00E223D9">
        <w:t xml:space="preserve"> and others unclear and haphazard. Over the past few decades the number of university entrants with a VET qualification has risen significantly. However, even where formal articulation arrangements are in place, </w:t>
      </w:r>
      <w:r w:rsidR="00DC7D69">
        <w:t xml:space="preserve">the </w:t>
      </w:r>
      <w:r w:rsidRPr="00E223D9">
        <w:t xml:space="preserve">evidence suggests </w:t>
      </w:r>
      <w:r w:rsidR="00034CC0">
        <w:t xml:space="preserve">that </w:t>
      </w:r>
      <w:r w:rsidRPr="00E223D9">
        <w:t xml:space="preserve">VET graduates may lack </w:t>
      </w:r>
      <w:r w:rsidR="00DC7D69">
        <w:t xml:space="preserve">the </w:t>
      </w:r>
      <w:r w:rsidRPr="00E223D9">
        <w:t xml:space="preserve">confidence </w:t>
      </w:r>
      <w:r w:rsidR="00DC7D69">
        <w:t xml:space="preserve">to move </w:t>
      </w:r>
      <w:r w:rsidRPr="00E223D9">
        <w:t>directly from the VET sector into higher education. This is suggested</w:t>
      </w:r>
      <w:r w:rsidR="00DC7D69">
        <w:t xml:space="preserve"> by the enrolment in university-</w:t>
      </w:r>
      <w:r w:rsidRPr="00E223D9">
        <w:t xml:space="preserve">enabling courses </w:t>
      </w:r>
      <w:r w:rsidR="00DC7D69">
        <w:t>by</w:t>
      </w:r>
      <w:r w:rsidRPr="00E223D9">
        <w:t xml:space="preserve"> students who hav</w:t>
      </w:r>
      <w:r w:rsidR="00DC7D69">
        <w:t>e successfully completed a VET d</w:t>
      </w:r>
      <w:r w:rsidRPr="00E223D9">
        <w:t xml:space="preserve">iploma. </w:t>
      </w:r>
      <w:r w:rsidR="00DC7D69">
        <w:t>A</w:t>
      </w:r>
      <w:r w:rsidRPr="00E223D9">
        <w:t xml:space="preserve"> diversity of factors influence</w:t>
      </w:r>
      <w:r w:rsidR="00DC7D69">
        <w:t>s</w:t>
      </w:r>
      <w:r w:rsidRPr="00E223D9">
        <w:t xml:space="preserve"> this decision but two stand out as being of importance. One is a lack of confidence by individuals in their ability to move between the two sectors; this is based on their perception of having a gap in their academic literacy skills and </w:t>
      </w:r>
      <w:r w:rsidR="00034CC0">
        <w:t xml:space="preserve">their </w:t>
      </w:r>
      <w:r w:rsidRPr="00E223D9">
        <w:t xml:space="preserve">ability to adapt to the different teaching and learning environments. Another is confusion about the process required to move between sectors of education, particularly </w:t>
      </w:r>
      <w:r w:rsidR="00DC7D69">
        <w:t xml:space="preserve">from </w:t>
      </w:r>
      <w:r w:rsidRPr="00E223D9">
        <w:t>VET to higher education.</w:t>
      </w:r>
    </w:p>
    <w:p w:rsidR="00E223D9" w:rsidRPr="00DF3973" w:rsidRDefault="00E223D9" w:rsidP="00DF3973">
      <w:pPr>
        <w:pStyle w:val="Heading2"/>
      </w:pPr>
      <w:bookmarkStart w:id="86" w:name="_Toc412455620"/>
      <w:bookmarkStart w:id="87" w:name="_Toc416683039"/>
      <w:r w:rsidRPr="00DF3973">
        <w:t>Introduction</w:t>
      </w:r>
      <w:bookmarkEnd w:id="86"/>
      <w:bookmarkEnd w:id="87"/>
      <w:r w:rsidRPr="00DF3973">
        <w:t xml:space="preserve"> </w:t>
      </w:r>
    </w:p>
    <w:p w:rsidR="00830B0E" w:rsidRDefault="00E223D9" w:rsidP="00E223D9">
      <w:pPr>
        <w:pStyle w:val="Text"/>
      </w:pPr>
      <w:r w:rsidRPr="00E223D9">
        <w:t>The pathway for</w:t>
      </w:r>
      <w:r w:rsidR="00DC7D69">
        <w:t xml:space="preserve"> VET</w:t>
      </w:r>
      <w:r w:rsidRPr="00E223D9">
        <w:t xml:space="preserve"> graduates in Australia who wish to undertake higher education studies has been described as haphazard, a crazy pathway or seamless. Over the decades a number of terms have been used to describe the transition between sectors of education. For example, the term </w:t>
      </w:r>
      <w:r w:rsidR="004C5471">
        <w:t>‘</w:t>
      </w:r>
      <w:r w:rsidRPr="00E223D9">
        <w:t>pathway</w:t>
      </w:r>
      <w:r w:rsidR="004C5471">
        <w:t>’</w:t>
      </w:r>
      <w:r w:rsidRPr="00E223D9">
        <w:t xml:space="preserve"> is usually reserved for the broad movement across education sectors</w:t>
      </w:r>
      <w:r w:rsidR="00164693">
        <w:t>,</w:t>
      </w:r>
      <w:r w:rsidRPr="00E223D9">
        <w:t xml:space="preserve"> including sc</w:t>
      </w:r>
      <w:r w:rsidR="00DC7D69">
        <w:t>hools, VET and higher education,</w:t>
      </w:r>
      <w:r w:rsidRPr="00E223D9">
        <w:t xml:space="preserve"> whereas, </w:t>
      </w:r>
      <w:r w:rsidR="004C5471">
        <w:t>‘</w:t>
      </w:r>
      <w:r w:rsidRPr="00E223D9">
        <w:t>credit transfer</w:t>
      </w:r>
      <w:r w:rsidR="004C5471">
        <w:t>’</w:t>
      </w:r>
      <w:r w:rsidRPr="00E223D9">
        <w:t xml:space="preserve"> is used to describe recognition of previous equal or similar study. </w:t>
      </w:r>
      <w:r w:rsidRPr="00DC7D69">
        <w:rPr>
          <w:iCs/>
        </w:rPr>
        <w:t xml:space="preserve">Another term commonly used in Australia is </w:t>
      </w:r>
      <w:r w:rsidR="004C5471">
        <w:rPr>
          <w:iCs/>
        </w:rPr>
        <w:t>‘</w:t>
      </w:r>
      <w:r w:rsidRPr="00DC7D69">
        <w:rPr>
          <w:iCs/>
        </w:rPr>
        <w:t>articulation</w:t>
      </w:r>
      <w:r w:rsidR="004C5471">
        <w:rPr>
          <w:iCs/>
        </w:rPr>
        <w:t>’</w:t>
      </w:r>
      <w:r w:rsidRPr="00E223D9">
        <w:t xml:space="preserve"> and this generally describes a process that enables students to progress from one completed qualification to another with admission and/or credit in a </w:t>
      </w:r>
      <w:r w:rsidRPr="00DC7D69">
        <w:rPr>
          <w:iCs/>
        </w:rPr>
        <w:t>defined</w:t>
      </w:r>
      <w:r w:rsidRPr="00DC7D69">
        <w:t> </w:t>
      </w:r>
      <w:r w:rsidRPr="00E223D9">
        <w:t>path</w:t>
      </w:r>
      <w:r w:rsidR="00DC7D69">
        <w:t>way. It is often the case that</w:t>
      </w:r>
      <w:r w:rsidRPr="00E223D9">
        <w:t xml:space="preserve"> articulation between VET and higher education institutions (universities) is based on local arrangements rather than state or national arrangements. Anecdotal evidence as well as formal research suggests </w:t>
      </w:r>
      <w:r w:rsidR="00DC7D69">
        <w:t>that</w:t>
      </w:r>
      <w:r w:rsidRPr="00E223D9">
        <w:t xml:space="preserve"> many factors impact on articulation or credit transfer arrangements. While advancements have been made to ensure </w:t>
      </w:r>
      <w:r w:rsidR="004C5471">
        <w:t>‘</w:t>
      </w:r>
      <w:r w:rsidRPr="00E223D9">
        <w:t>seamless</w:t>
      </w:r>
      <w:r w:rsidR="004C5471">
        <w:t>’</w:t>
      </w:r>
      <w:r w:rsidRPr="00E223D9">
        <w:t xml:space="preserve"> movement between differing sectors</w:t>
      </w:r>
      <w:r w:rsidR="00830B0E">
        <w:t>,</w:t>
      </w:r>
      <w:r w:rsidRPr="00E223D9">
        <w:t xml:space="preserve"> there are still significant barriers for students wishing to pursue this pathway</w:t>
      </w:r>
      <w:r w:rsidR="00034CC0">
        <w:t>,</w:t>
      </w:r>
      <w:r w:rsidRPr="00E223D9">
        <w:t xml:space="preserve"> even though various Australia</w:t>
      </w:r>
      <w:r w:rsidR="00164693">
        <w:t>n</w:t>
      </w:r>
      <w:r w:rsidRPr="00E223D9">
        <w:t xml:space="preserve"> governments have undertaken initiatives to promote student pathway</w:t>
      </w:r>
      <w:r w:rsidR="00830B0E">
        <w:t>s from VET to higher education.</w:t>
      </w:r>
    </w:p>
    <w:p w:rsidR="00E223D9" w:rsidRPr="00E223D9" w:rsidRDefault="00E223D9" w:rsidP="00E223D9">
      <w:pPr>
        <w:pStyle w:val="Text"/>
      </w:pPr>
      <w:r w:rsidRPr="00E223D9">
        <w:t>Educational bodies who deliver accredited courses are required by the Australian Qualifications Framework (</w:t>
      </w:r>
      <w:r w:rsidR="00830B0E">
        <w:t>2011, p.</w:t>
      </w:r>
      <w:r w:rsidRPr="00E223D9">
        <w:t xml:space="preserve">66) to have </w:t>
      </w:r>
      <w:r w:rsidR="004C5471">
        <w:t>‘</w:t>
      </w:r>
      <w:r w:rsidRPr="00E223D9">
        <w:t>clear, accessible and transparent policies and processes to provide qualifications pathways and credit arrangements for students</w:t>
      </w:r>
      <w:r w:rsidR="004C5471">
        <w:t>’</w:t>
      </w:r>
      <w:r w:rsidRPr="00E223D9">
        <w:t>. The number of students making the transition from VET to higher education qualifications has increased significantly. According to Wats</w:t>
      </w:r>
      <w:r w:rsidR="00830B0E">
        <w:t xml:space="preserve">on, Hagel and </w:t>
      </w:r>
      <w:proofErr w:type="spellStart"/>
      <w:r w:rsidR="00830B0E">
        <w:t>Chesters</w:t>
      </w:r>
      <w:proofErr w:type="spellEnd"/>
      <w:r w:rsidR="00830B0E">
        <w:t xml:space="preserve"> (2013</w:t>
      </w:r>
      <w:r w:rsidR="00164693">
        <w:t>,</w:t>
      </w:r>
      <w:r w:rsidR="00830B0E">
        <w:t xml:space="preserve"> p.</w:t>
      </w:r>
      <w:r w:rsidRPr="00E223D9">
        <w:t xml:space="preserve">10) in </w:t>
      </w:r>
      <w:r w:rsidR="004C5471">
        <w:t>‘</w:t>
      </w:r>
      <w:r w:rsidRPr="00E223D9">
        <w:t xml:space="preserve">2001, only 12 916 students were admitted to </w:t>
      </w:r>
      <w:r w:rsidRPr="00E223D9">
        <w:lastRenderedPageBreak/>
        <w:t>undergraduate programs on the basis of a VET award, compared with 22 676 in 2010</w:t>
      </w:r>
      <w:r w:rsidR="004C5471">
        <w:t>’</w:t>
      </w:r>
      <w:r w:rsidR="00830B0E">
        <w:t>,</w:t>
      </w:r>
      <w:r w:rsidRPr="00E223D9">
        <w:t xml:space="preserve"> which represents an increase of 75% in this student cohort. While this proportion has grown</w:t>
      </w:r>
      <w:r w:rsidR="00830B0E">
        <w:t>,</w:t>
      </w:r>
      <w:r w:rsidRPr="00E223D9">
        <w:t xml:space="preserve"> there is an enormous difference in the arrangements for transition. There may be man</w:t>
      </w:r>
      <w:r w:rsidR="00830B0E">
        <w:t>y reasons for these differences</w:t>
      </w:r>
      <w:r w:rsidR="00E833AD">
        <w:t>:</w:t>
      </w:r>
      <w:r w:rsidRPr="00E223D9">
        <w:t xml:space="preserve"> </w:t>
      </w:r>
      <w:r w:rsidR="00830B0E">
        <w:t>those</w:t>
      </w:r>
      <w:r w:rsidRPr="00E223D9">
        <w:t xml:space="preserve"> that are obvious are variation</w:t>
      </w:r>
      <w:r w:rsidR="00E510B9">
        <w:t>s</w:t>
      </w:r>
      <w:r w:rsidRPr="00E223D9">
        <w:t xml:space="preserve"> in the policies, procedures and practices of VET providers </w:t>
      </w:r>
      <w:r w:rsidR="00E510B9">
        <w:t>by</w:t>
      </w:r>
      <w:r w:rsidRPr="00E223D9">
        <w:t xml:space="preserve"> comparison with those of higher education institutions, lack of congruence between the vocational disciplines offered by educational providers, lack of will on </w:t>
      </w:r>
      <w:r w:rsidR="00E510B9">
        <w:t>the part</w:t>
      </w:r>
      <w:r w:rsidRPr="00E223D9">
        <w:t xml:space="preserve"> of institutions</w:t>
      </w:r>
      <w:r w:rsidR="00164693">
        <w:t>,</w:t>
      </w:r>
      <w:r w:rsidRPr="00E223D9">
        <w:t xml:space="preserve"> and gaps in resources to support the development of transitional pathways. However, even where formal articulation arrangements are in place there is some evidence to suggest VET graduates may lack </w:t>
      </w:r>
      <w:r w:rsidR="00E833AD">
        <w:t xml:space="preserve">the </w:t>
      </w:r>
      <w:r w:rsidRPr="00E223D9">
        <w:t xml:space="preserve">confidence </w:t>
      </w:r>
      <w:r w:rsidR="00E833AD">
        <w:t>to move</w:t>
      </w:r>
      <w:r w:rsidRPr="00E223D9">
        <w:t xml:space="preserve"> directly from the VET sector into higher education or may not know about or understand how they can undertake the journey from VET to university. This is partly evidenced by enrolment in university</w:t>
      </w:r>
      <w:r w:rsidR="00E833AD">
        <w:t>-</w:t>
      </w:r>
      <w:r w:rsidRPr="00E223D9">
        <w:t>enabling courses by students who hav</w:t>
      </w:r>
      <w:r w:rsidR="00E833AD">
        <w:t>e successfully completed a VET d</w:t>
      </w:r>
      <w:r w:rsidRPr="00E223D9">
        <w:t>iploma. This has occurred even when there is an establi</w:t>
      </w:r>
      <w:r w:rsidR="00E833AD">
        <w:t>shed articulation pathway to a d</w:t>
      </w:r>
      <w:r w:rsidRPr="00E223D9">
        <w:t>egree.</w:t>
      </w:r>
    </w:p>
    <w:p w:rsidR="00E833AD" w:rsidRDefault="00E223D9" w:rsidP="00E223D9">
      <w:pPr>
        <w:pStyle w:val="Text"/>
      </w:pPr>
      <w:r w:rsidRPr="00E223D9">
        <w:t>The factors that influence this decision are worthy of research</w:t>
      </w:r>
      <w:r w:rsidR="00E833AD">
        <w:t>,</w:t>
      </w:r>
      <w:r w:rsidRPr="00E223D9">
        <w:t xml:space="preserve"> in that it could add to the body of information that already exists </w:t>
      </w:r>
      <w:r w:rsidR="00E833AD">
        <w:t xml:space="preserve">on </w:t>
      </w:r>
      <w:r w:rsidRPr="00E223D9">
        <w:t xml:space="preserve">the topic and </w:t>
      </w:r>
      <w:r w:rsidR="00E833AD">
        <w:t>may provide direction to policy-</w:t>
      </w:r>
      <w:r w:rsidRPr="00E223D9">
        <w:t xml:space="preserve">makers and practitioners in the development of educational pathways. While there has been significant research into the profile of students making this transition and their pathways (Harris, Rainey &amp; Sumner 2006; </w:t>
      </w:r>
      <w:proofErr w:type="spellStart"/>
      <w:r w:rsidRPr="00E223D9">
        <w:t>Langworthy</w:t>
      </w:r>
      <w:proofErr w:type="spellEnd"/>
      <w:r w:rsidRPr="00E223D9">
        <w:t xml:space="preserve">, Johns &amp; Humphries 2011) there </w:t>
      </w:r>
      <w:r w:rsidR="00E833AD">
        <w:t>has been</w:t>
      </w:r>
      <w:r w:rsidRPr="00E223D9">
        <w:t xml:space="preserve"> little research into the influencing and motiva</w:t>
      </w:r>
      <w:r w:rsidR="00E510B9">
        <w:t>ting factors for these students.</w:t>
      </w:r>
      <w:r w:rsidRPr="00E223D9">
        <w:t xml:space="preserve"> These </w:t>
      </w:r>
      <w:r w:rsidR="00E510B9">
        <w:t xml:space="preserve">factors </w:t>
      </w:r>
      <w:r w:rsidRPr="00E223D9">
        <w:t>may include the VET environment from which they are making the transition, as the environment in which VET qualifications are gained has cha</w:t>
      </w:r>
      <w:r w:rsidR="00E833AD">
        <w:t>nged significantly</w:t>
      </w:r>
      <w:r w:rsidR="00164693">
        <w:t>,</w:t>
      </w:r>
      <w:r w:rsidR="00E833AD">
        <w:t xml:space="preserve"> with an ever-increasing emphasis on job-</w:t>
      </w:r>
      <w:r w:rsidRPr="00E223D9">
        <w:t>specific skills. This may mean students do not recognise the transferable educational skills they hold, such as critical thinking and academic writing. In addition to the differing educational environment of VET and higher education</w:t>
      </w:r>
      <w:r w:rsidR="00E833AD">
        <w:t>,</w:t>
      </w:r>
      <w:r w:rsidRPr="00E223D9">
        <w:t xml:space="preserve"> </w:t>
      </w:r>
      <w:r w:rsidR="00E510B9">
        <w:t>other factors may include</w:t>
      </w:r>
      <w:r w:rsidRPr="00E223D9">
        <w:t xml:space="preserve"> a lack of exposure to role models who have successfully made the transition</w:t>
      </w:r>
      <w:r w:rsidR="00164693">
        <w:t>,</w:t>
      </w:r>
      <w:r w:rsidRPr="00E223D9">
        <w:t xml:space="preserve"> or personal factors</w:t>
      </w:r>
      <w:r w:rsidR="00164693">
        <w:t>,</w:t>
      </w:r>
      <w:r w:rsidRPr="00E223D9">
        <w:t xml:space="preserve"> such as </w:t>
      </w:r>
      <w:r w:rsidR="00E510B9">
        <w:t>the length of time</w:t>
      </w:r>
      <w:r w:rsidRPr="00E223D9">
        <w:t xml:space="preserve"> between VET qualification comp</w:t>
      </w:r>
      <w:r w:rsidR="00E833AD">
        <w:t>letion and going to university.</w:t>
      </w:r>
    </w:p>
    <w:p w:rsidR="00E223D9" w:rsidRPr="00E223D9" w:rsidRDefault="00E223D9" w:rsidP="00E223D9">
      <w:pPr>
        <w:pStyle w:val="Text"/>
      </w:pPr>
      <w:r w:rsidRPr="00E223D9">
        <w:t>This small study will consider the research already undertaken into the factors t</w:t>
      </w:r>
      <w:r w:rsidR="00E833AD">
        <w:t>hat generally influence student</w:t>
      </w:r>
      <w:r w:rsidRPr="00E223D9">
        <w:t>s</w:t>
      </w:r>
      <w:r w:rsidR="004C5471">
        <w:t>’</w:t>
      </w:r>
      <w:r w:rsidRPr="00E223D9">
        <w:t xml:space="preserve"> decisions </w:t>
      </w:r>
      <w:r w:rsidR="00164693">
        <w:t>on</w:t>
      </w:r>
      <w:r w:rsidRPr="00E223D9">
        <w:t xml:space="preserve"> articulating from a VET qualification to higher education</w:t>
      </w:r>
      <w:r w:rsidR="00164693">
        <w:t>,</w:t>
      </w:r>
      <w:r w:rsidRPr="00E223D9">
        <w:t xml:space="preserve"> but it will focus on any unique features that influence students</w:t>
      </w:r>
      <w:r w:rsidR="004C5471">
        <w:t>’</w:t>
      </w:r>
      <w:r w:rsidRPr="00E223D9">
        <w:t xml:space="preserve"> deci</w:t>
      </w:r>
      <w:r w:rsidR="00E833AD">
        <w:t>sions to undertake a university-</w:t>
      </w:r>
      <w:r w:rsidRPr="00E223D9">
        <w:t>based enabling courses as part of that transition. A review of the literature revealed two important themes</w:t>
      </w:r>
      <w:r w:rsidR="00E833AD">
        <w:t xml:space="preserve"> </w:t>
      </w:r>
      <w:r w:rsidRPr="00E223D9">
        <w:t>relevant to this study. Firstly, the terminology used to describe the movement of students between sectors of education or a qualification varies. Secondly, the variety of pathways available to s</w:t>
      </w:r>
      <w:r w:rsidR="00E833AD">
        <w:t>tudents is broad and diverse, which</w:t>
      </w:r>
      <w:r w:rsidRPr="00E223D9">
        <w:t xml:space="preserve"> may present problems for student</w:t>
      </w:r>
      <w:r w:rsidR="00E833AD">
        <w:t>s</w:t>
      </w:r>
      <w:r w:rsidRPr="00E223D9">
        <w:t xml:space="preserve"> wishing to make this transition. However, missing from the literature was any in-depth exploration of </w:t>
      </w:r>
      <w:r w:rsidR="00E833AD">
        <w:t xml:space="preserve">the </w:t>
      </w:r>
      <w:r w:rsidRPr="00E223D9">
        <w:t>factors that influence students</w:t>
      </w:r>
      <w:r w:rsidR="004C5471">
        <w:t>’</w:t>
      </w:r>
      <w:r w:rsidRPr="00E223D9">
        <w:t xml:space="preserve"> decisions to pursue a pathw</w:t>
      </w:r>
      <w:r w:rsidR="00E833AD">
        <w:t>ay from VET to higher education,</w:t>
      </w:r>
      <w:r w:rsidRPr="00E223D9">
        <w:t xml:space="preserve"> specifically those that influence students who choose a</w:t>
      </w:r>
      <w:r w:rsidR="00E833AD">
        <w:t xml:space="preserve"> pathway utilising a university-</w:t>
      </w:r>
      <w:r w:rsidRPr="00E223D9">
        <w:t>enabling course. This paper will consider the influencing factors at a very micro level</w:t>
      </w:r>
      <w:r w:rsidR="00BA4E7E">
        <w:t>: the result of interviews</w:t>
      </w:r>
      <w:r w:rsidRPr="00E223D9">
        <w:t xml:space="preserve"> </w:t>
      </w:r>
      <w:r w:rsidR="00BA4E7E">
        <w:t xml:space="preserve">with </w:t>
      </w:r>
      <w:r w:rsidRPr="00E223D9">
        <w:t>five students who have u</w:t>
      </w:r>
      <w:r w:rsidR="00E510B9">
        <w:t>ndertaken a specific university-</w:t>
      </w:r>
      <w:r w:rsidRPr="00E223D9">
        <w:t xml:space="preserve">enabling course. </w:t>
      </w:r>
      <w:r w:rsidR="00BA4E7E">
        <w:t>These</w:t>
      </w:r>
      <w:r w:rsidRPr="00E223D9">
        <w:t xml:space="preserve"> students were invited to take part in the research</w:t>
      </w:r>
      <w:r w:rsidR="00164693">
        <w:t>,</w:t>
      </w:r>
      <w:r w:rsidRPr="00E223D9">
        <w:t xml:space="preserve"> based on their capacity to provide data relevant to the research question. </w:t>
      </w:r>
      <w:r w:rsidR="00E510B9">
        <w:t>They</w:t>
      </w:r>
      <w:r w:rsidRPr="00E223D9">
        <w:t xml:space="preserve"> met the criteria of havin</w:t>
      </w:r>
      <w:r w:rsidR="00BA4E7E">
        <w:t>g successfully completed a VET d</w:t>
      </w:r>
      <w:r w:rsidRPr="00E223D9">
        <w:t>iploma course an</w:t>
      </w:r>
      <w:r w:rsidR="00E510B9">
        <w:t>d were eligible for direct entry</w:t>
      </w:r>
      <w:r w:rsidRPr="00E223D9">
        <w:t xml:space="preserve"> to a university course but had de</w:t>
      </w:r>
      <w:r w:rsidR="00BA4E7E">
        <w:t>cided to undertake a university-</w:t>
      </w:r>
      <w:r w:rsidRPr="00E223D9">
        <w:t xml:space="preserve">enabling course first. The interviews were conversational and asked students to describe their journey throughout VET and onto higher education, with an emphasis on the factors that influenced </w:t>
      </w:r>
      <w:r w:rsidR="00BA4E7E">
        <w:t xml:space="preserve">their </w:t>
      </w:r>
      <w:r w:rsidRPr="00E223D9">
        <w:t>choices along the way.</w:t>
      </w:r>
    </w:p>
    <w:p w:rsidR="00E223D9" w:rsidRPr="00DF3973" w:rsidRDefault="00E223D9" w:rsidP="00DF3973">
      <w:pPr>
        <w:pStyle w:val="Heading2"/>
      </w:pPr>
      <w:bookmarkStart w:id="88" w:name="_Toc412455621"/>
      <w:bookmarkStart w:id="89" w:name="_Toc416683040"/>
      <w:r w:rsidRPr="00DF3973">
        <w:t>Findings and discussion</w:t>
      </w:r>
      <w:bookmarkEnd w:id="88"/>
      <w:bookmarkEnd w:id="89"/>
    </w:p>
    <w:p w:rsidR="000E3583" w:rsidRDefault="00E223D9" w:rsidP="00DF3973">
      <w:pPr>
        <w:pStyle w:val="Text"/>
      </w:pPr>
      <w:r w:rsidRPr="00DF3973">
        <w:t xml:space="preserve">A review of </w:t>
      </w:r>
      <w:r w:rsidR="00BA4E7E">
        <w:t xml:space="preserve">the </w:t>
      </w:r>
      <w:r w:rsidRPr="00DF3973">
        <w:t xml:space="preserve">existing research found </w:t>
      </w:r>
      <w:r w:rsidR="003D03FE">
        <w:t xml:space="preserve">that </w:t>
      </w:r>
      <w:r w:rsidR="00164693">
        <w:t>there are many paths available to</w:t>
      </w:r>
      <w:r w:rsidRPr="00DF3973">
        <w:t xml:space="preserve"> prospective students if they wish to</w:t>
      </w:r>
      <w:r w:rsidR="00BA4E7E">
        <w:t xml:space="preserve"> undertake trans-sector study. </w:t>
      </w:r>
      <w:r w:rsidRPr="00DF3973">
        <w:t>While educational institutions must be co</w:t>
      </w:r>
      <w:r w:rsidR="00BA4E7E">
        <w:t xml:space="preserve">gnisant of the </w:t>
      </w:r>
      <w:r w:rsidR="00BA4E7E">
        <w:lastRenderedPageBreak/>
        <w:t>Australian Government</w:t>
      </w:r>
      <w:r w:rsidRPr="00DF3973">
        <w:t xml:space="preserve"> policy (</w:t>
      </w:r>
      <w:r w:rsidR="00164693">
        <w:t>Australian Qualifications Framework Council</w:t>
      </w:r>
      <w:r w:rsidRPr="00DF3973">
        <w:t xml:space="preserve"> 2013) that requires attention to ease of transition</w:t>
      </w:r>
      <w:r w:rsidR="00164693">
        <w:t>; that is</w:t>
      </w:r>
      <w:r w:rsidR="00273835">
        <w:t>,</w:t>
      </w:r>
      <w:r w:rsidRPr="00DF3973">
        <w:t xml:space="preserve"> clear pathways for students who want to pursue this avenue, there are vast differences and inconsistencies in the choices available. Watson, Hagel </w:t>
      </w:r>
      <w:r w:rsidR="00BA4E7E">
        <w:t>and</w:t>
      </w:r>
      <w:r w:rsidRPr="00DF3973">
        <w:t xml:space="preserve"> </w:t>
      </w:r>
      <w:proofErr w:type="spellStart"/>
      <w:r w:rsidRPr="00DF3973">
        <w:t>Chester</w:t>
      </w:r>
      <w:r w:rsidR="00BA4E7E">
        <w:t>s</w:t>
      </w:r>
      <w:proofErr w:type="spellEnd"/>
      <w:r w:rsidRPr="00DF3973">
        <w:t xml:space="preserve"> (2013</w:t>
      </w:r>
      <w:r w:rsidR="00BA4E7E">
        <w:t>, p.</w:t>
      </w:r>
      <w:r w:rsidRPr="00DF3973">
        <w:t xml:space="preserve">33) state that </w:t>
      </w:r>
      <w:r w:rsidR="004C5471">
        <w:t>‘</w:t>
      </w:r>
      <w:r w:rsidRPr="00DF3973">
        <w:t>while all Australian universities have policies to promote VET to higher education pathways, there are subtle differences in the way in which pathways policies are implemented</w:t>
      </w:r>
      <w:r w:rsidR="004C5471">
        <w:t>’</w:t>
      </w:r>
      <w:r w:rsidRPr="00DF3973">
        <w:t>. It could be argued the differences are more than subtle</w:t>
      </w:r>
      <w:r w:rsidR="00BA4E7E">
        <w:t>,</w:t>
      </w:r>
      <w:r w:rsidRPr="00DF3973">
        <w:t xml:space="preserve"> as there are many models, including arrangements where institutions in different sectors have made provision to</w:t>
      </w:r>
      <w:r w:rsidR="00BA4E7E">
        <w:t xml:space="preserve"> share campuses and facilities. </w:t>
      </w:r>
      <w:r w:rsidRPr="00DF3973">
        <w:t>Examples of these are the former Frankston College of Technical and Further Education (TAFE) and Monash University with the Diploma of Business offered as a shared</w:t>
      </w:r>
      <w:r w:rsidR="00BA4E7E">
        <w:t xml:space="preserve"> course with direct entry to a d</w:t>
      </w:r>
      <w:r w:rsidRPr="00DF3973">
        <w:t>egree on successful completion</w:t>
      </w:r>
      <w:r w:rsidR="00BA4E7E">
        <w:t>,</w:t>
      </w:r>
      <w:r w:rsidRPr="00DF3973">
        <w:t xml:space="preserve"> or Goulburn Ovens TAFE with arrangements between it and La</w:t>
      </w:r>
      <w:r w:rsidR="003D03FE">
        <w:t xml:space="preserve"> T</w:t>
      </w:r>
      <w:r w:rsidRPr="00DF3973">
        <w:t>robe University for nursing studies. Other arrangements in place at different institutions to allow transition are formal memorandums of understanding or informal credit transfer pathways</w:t>
      </w:r>
      <w:r w:rsidR="003D03FE">
        <w:t>,</w:t>
      </w:r>
      <w:r w:rsidRPr="00DF3973">
        <w:t xml:space="preserve"> where</w:t>
      </w:r>
      <w:r w:rsidR="00BA4E7E">
        <w:t>by</w:t>
      </w:r>
      <w:r w:rsidRPr="00DF3973">
        <w:t xml:space="preserve"> staff</w:t>
      </w:r>
      <w:r w:rsidR="004D7DB7">
        <w:t xml:space="preserve"> of two or more institutions </w:t>
      </w:r>
      <w:r w:rsidR="00BA4E7E">
        <w:t>have</w:t>
      </w:r>
      <w:r w:rsidRPr="00DF3973">
        <w:t xml:space="preserve"> created a credit transfer process. However, Walls and </w:t>
      </w:r>
      <w:proofErr w:type="spellStart"/>
      <w:r w:rsidRPr="00DF3973">
        <w:t>Pardy</w:t>
      </w:r>
      <w:proofErr w:type="spellEnd"/>
      <w:r w:rsidRPr="00DF3973">
        <w:t xml:space="preserve"> (2010</w:t>
      </w:r>
      <w:r w:rsidR="00BA4E7E">
        <w:t>, p.</w:t>
      </w:r>
      <w:r w:rsidRPr="00DF3973">
        <w:t xml:space="preserve">25) maintain </w:t>
      </w:r>
      <w:r w:rsidR="004C5471">
        <w:t>‘</w:t>
      </w:r>
      <w:r w:rsidRPr="00DF3973">
        <w:t>the formal structuring of articulation between VET and higher education occurs on a spectrum ranging from well-organised to haphazard</w:t>
      </w:r>
      <w:r w:rsidR="004C5471">
        <w:t>’</w:t>
      </w:r>
      <w:r w:rsidRPr="00DF3973">
        <w:t xml:space="preserve">. Of particular interest to this study </w:t>
      </w:r>
      <w:r w:rsidR="00BA4E7E">
        <w:t xml:space="preserve">(with the establishment of a dual-sector university in </w:t>
      </w:r>
      <w:r w:rsidR="003D03FE">
        <w:t>CQ</w:t>
      </w:r>
      <w:r w:rsidR="000E3583">
        <w:t xml:space="preserve">University) </w:t>
      </w:r>
      <w:r w:rsidRPr="00DF3973">
        <w:t xml:space="preserve">are the models created by </w:t>
      </w:r>
      <w:r w:rsidR="00BA4E7E">
        <w:t>the dual-</w:t>
      </w:r>
      <w:r w:rsidRPr="00DF3973">
        <w:t>sector universities</w:t>
      </w:r>
      <w:r w:rsidR="003D03FE">
        <w:t>,</w:t>
      </w:r>
      <w:r w:rsidRPr="00DF3973">
        <w:t xml:space="preserve"> </w:t>
      </w:r>
      <w:r w:rsidR="00164693">
        <w:t>which</w:t>
      </w:r>
      <w:r w:rsidRPr="00DF3973">
        <w:t xml:space="preserve"> have developed pathways between VET and higher e</w:t>
      </w:r>
      <w:r w:rsidR="00BA4E7E">
        <w:t>ducation qualifications</w:t>
      </w:r>
      <w:r w:rsidRPr="00DF3973">
        <w:t>. Swinburne University of Technology</w:t>
      </w:r>
      <w:r w:rsidR="000E3583">
        <w:t xml:space="preserve"> provides an example of this, having</w:t>
      </w:r>
      <w:r w:rsidRPr="00DF3973">
        <w:t xml:space="preserve"> developed a number of pathways specifically for successful VET students with </w:t>
      </w:r>
      <w:r w:rsidR="000E3583">
        <w:t>guaranteed entry for b</w:t>
      </w:r>
      <w:r w:rsidRPr="00DF3973">
        <w:t xml:space="preserve">usiness, ICT and </w:t>
      </w:r>
      <w:r w:rsidR="000E3583" w:rsidRPr="00DF3973">
        <w:t xml:space="preserve">science diploma </w:t>
      </w:r>
      <w:r w:rsidRPr="00DF3973">
        <w:t>graduates into</w:t>
      </w:r>
      <w:r w:rsidR="000E3583">
        <w:t xml:space="preserve"> a range of business, ICT</w:t>
      </w:r>
      <w:r w:rsidRPr="00DF3973">
        <w:t xml:space="preserve"> and </w:t>
      </w:r>
      <w:r w:rsidR="000E3583" w:rsidRPr="00DF3973">
        <w:t>science degrees</w:t>
      </w:r>
      <w:r w:rsidR="000E3583">
        <w:t>.</w:t>
      </w:r>
    </w:p>
    <w:p w:rsidR="00E223D9" w:rsidRPr="00DF3973" w:rsidRDefault="00E223D9" w:rsidP="00DF3973">
      <w:pPr>
        <w:pStyle w:val="Text"/>
      </w:pPr>
      <w:r w:rsidRPr="00DF3973">
        <w:t>While there are many models available to students considering making the transition from VET to higher education</w:t>
      </w:r>
      <w:r w:rsidR="003D03FE">
        <w:t>,</w:t>
      </w:r>
      <w:r w:rsidRPr="00DF3973">
        <w:t xml:space="preserve"> there has been considerable concern expressed by writers such as McKenzie (2001) and Golding</w:t>
      </w:r>
      <w:r w:rsidR="000E3583">
        <w:t xml:space="preserve"> and </w:t>
      </w:r>
      <w:proofErr w:type="spellStart"/>
      <w:r w:rsidR="000E3583">
        <w:t>Eedle</w:t>
      </w:r>
      <w:proofErr w:type="spellEnd"/>
      <w:r w:rsidRPr="00DF3973">
        <w:t xml:space="preserve"> (2001) </w:t>
      </w:r>
      <w:r w:rsidR="000E3583">
        <w:t>in relation</w:t>
      </w:r>
      <w:r w:rsidRPr="00DF3973">
        <w:t xml:space="preserve"> to the difficulties </w:t>
      </w:r>
      <w:r w:rsidR="000E3583">
        <w:t xml:space="preserve">that students </w:t>
      </w:r>
      <w:r w:rsidRPr="00DF3973">
        <w:t xml:space="preserve">undertaking this path may encounter and the gap between rhetoric and reality when looking at education pathways. The ability to move between sectors has been under discussion for decades but the terminology has not been consistent (Hass 1999). The term </w:t>
      </w:r>
      <w:r w:rsidR="004C5471">
        <w:t>‘</w:t>
      </w:r>
      <w:r w:rsidRPr="00DF3973">
        <w:t>credit transfer</w:t>
      </w:r>
      <w:r w:rsidR="004C5471">
        <w:t>’</w:t>
      </w:r>
      <w:r w:rsidRPr="00DF3973">
        <w:t xml:space="preserve"> is frequently used in relation to the transiti</w:t>
      </w:r>
      <w:r w:rsidR="000E3583">
        <w:t>on from VET to higher education,</w:t>
      </w:r>
      <w:r w:rsidR="003D03FE">
        <w:t xml:space="preserve"> particularly</w:t>
      </w:r>
      <w:r w:rsidRPr="00DF3973">
        <w:t xml:space="preserve"> when describing recognition of specific courses already undertaken. </w:t>
      </w:r>
      <w:r w:rsidR="004C5471">
        <w:t>‘</w:t>
      </w:r>
      <w:r w:rsidRPr="00DF3973">
        <w:t>Articulation</w:t>
      </w:r>
      <w:r w:rsidR="004C5471">
        <w:t>’</w:t>
      </w:r>
      <w:r w:rsidRPr="00DF3973">
        <w:t xml:space="preserve"> is also a commonly used term for describing </w:t>
      </w:r>
      <w:r w:rsidRPr="00DF7B4B">
        <w:t>the process by which educational i</w:t>
      </w:r>
      <w:r>
        <w:t xml:space="preserve">nstitutions match </w:t>
      </w:r>
      <w:r w:rsidR="003D03FE">
        <w:t>their</w:t>
      </w:r>
      <w:r>
        <w:t xml:space="preserve"> courses</w:t>
      </w:r>
      <w:r w:rsidR="003D03FE">
        <w:t xml:space="preserve"> to those at other institution. Nevertheless</w:t>
      </w:r>
      <w:r>
        <w:t>, these terms</w:t>
      </w:r>
      <w:r w:rsidRPr="00DF7B4B">
        <w:t xml:space="preserve"> are often used synonymously (</w:t>
      </w:r>
      <w:r w:rsidRPr="00DF3973">
        <w:t xml:space="preserve">Ministerial Council on Education, Employment, Training and Youth </w:t>
      </w:r>
      <w:r w:rsidRPr="00FE5972">
        <w:t>Affairs 2006).</w:t>
      </w:r>
      <w:r w:rsidRPr="00DF3973">
        <w:t xml:space="preserve"> </w:t>
      </w:r>
      <w:r w:rsidR="000E3583">
        <w:t>In addition</w:t>
      </w:r>
      <w:r w:rsidRPr="00DF3973">
        <w:t xml:space="preserve">, a broader and </w:t>
      </w:r>
      <w:r w:rsidR="000E3583">
        <w:t xml:space="preserve">equally common term is that of </w:t>
      </w:r>
      <w:r w:rsidR="004C5471">
        <w:t>‘</w:t>
      </w:r>
      <w:r w:rsidR="000E3583">
        <w:t>pathway</w:t>
      </w:r>
      <w:r w:rsidR="004C5471">
        <w:t>’</w:t>
      </w:r>
      <w:r w:rsidR="000E3583">
        <w:t xml:space="preserve">. </w:t>
      </w:r>
      <w:r w:rsidRPr="00DF3973">
        <w:t>However, this term more commonly embraces not only the transition from VET to university but also the transition from school to VET. According to McKenzie and</w:t>
      </w:r>
      <w:r w:rsidR="000E3583">
        <w:t xml:space="preserve"> Hillman (2001) the </w:t>
      </w:r>
      <w:r w:rsidR="004D7DB7">
        <w:t>term</w:t>
      </w:r>
      <w:r w:rsidR="000E3583">
        <w:t xml:space="preserve"> </w:t>
      </w:r>
      <w:r w:rsidR="004D7DB7">
        <w:t>‘</w:t>
      </w:r>
      <w:r w:rsidR="000E3583">
        <w:t>pathway</w:t>
      </w:r>
      <w:r w:rsidR="004D7DB7">
        <w:t>’</w:t>
      </w:r>
      <w:r w:rsidRPr="00DF3973">
        <w:t xml:space="preserve"> began to be widely used in Australia with the publication in 1991 of the </w:t>
      </w:r>
      <w:r w:rsidRPr="000E3583">
        <w:rPr>
          <w:i/>
        </w:rPr>
        <w:t xml:space="preserve">Young </w:t>
      </w:r>
      <w:r w:rsidR="000E3583" w:rsidRPr="000E3583">
        <w:rPr>
          <w:i/>
        </w:rPr>
        <w:t>people</w:t>
      </w:r>
      <w:r w:rsidR="004C5471">
        <w:rPr>
          <w:i/>
        </w:rPr>
        <w:t>’</w:t>
      </w:r>
      <w:r w:rsidR="000E3583" w:rsidRPr="000E3583">
        <w:rPr>
          <w:i/>
        </w:rPr>
        <w:t>s participation in education and training</w:t>
      </w:r>
      <w:r w:rsidR="000E3583">
        <w:t>,</w:t>
      </w:r>
      <w:r w:rsidRPr="00DF3973">
        <w:t xml:space="preserve"> colloquially called the Finn Review. It has been used extensively since then both as a term and also as a descriptor of policy.</w:t>
      </w:r>
    </w:p>
    <w:p w:rsidR="00E223D9" w:rsidRDefault="00E223D9" w:rsidP="00DF3973">
      <w:pPr>
        <w:pStyle w:val="Text"/>
      </w:pPr>
      <w:r w:rsidRPr="00DF3973">
        <w:t xml:space="preserve">Interviews with the students elicited a number of factors that </w:t>
      </w:r>
      <w:r w:rsidR="0005692D">
        <w:t xml:space="preserve">had </w:t>
      </w:r>
      <w:r w:rsidRPr="00DF3973">
        <w:t>influenced their decision</w:t>
      </w:r>
      <w:r w:rsidR="0005692D">
        <w:t>s to undertake a university-</w:t>
      </w:r>
      <w:r w:rsidRPr="00DF3973">
        <w:t xml:space="preserve">enabling course and some of these were foreshadowed by the literature reviewed. The initial impetus for undertaking the enabling course, as described by the interviewees, </w:t>
      </w:r>
      <w:r w:rsidR="0005692D">
        <w:t>related to long-</w:t>
      </w:r>
      <w:r w:rsidRPr="00DF3973">
        <w:t>term goals such as the wish for a higher education qualification</w:t>
      </w:r>
      <w:r w:rsidR="004D7DB7">
        <w:t>,</w:t>
      </w:r>
      <w:r w:rsidRPr="00DF3973">
        <w:t xml:space="preserve"> with </w:t>
      </w:r>
      <w:r w:rsidR="003D03FE">
        <w:t xml:space="preserve">the </w:t>
      </w:r>
      <w:r w:rsidRPr="00DF3973">
        <w:t xml:space="preserve">possible subsequent benefits of a better job and salary and the desire to attain more knowledge in their field. Undertaking an enabling course </w:t>
      </w:r>
      <w:r w:rsidR="0005692D">
        <w:t>ensured that</w:t>
      </w:r>
      <w:r w:rsidRPr="00DF3973">
        <w:t xml:space="preserve"> they could confidently achieve this goal. The specific factors influencing their decision to undertak</w:t>
      </w:r>
      <w:r w:rsidR="0005692D">
        <w:t>e an enabling course related to:</w:t>
      </w:r>
      <w:r w:rsidRPr="00DF3973">
        <w:t xml:space="preserve"> confusion caused by the terminology used by educational sectors to describe movement between different sectors; the avail</w:t>
      </w:r>
      <w:r w:rsidR="0005692D">
        <w:t>ability of relevant information and advice from course advisors; the</w:t>
      </w:r>
      <w:r w:rsidRPr="00DF3973">
        <w:t xml:space="preserve"> time </w:t>
      </w:r>
      <w:r w:rsidR="0005692D">
        <w:t>e</w:t>
      </w:r>
      <w:r w:rsidRPr="00DF3973">
        <w:t>lapse</w:t>
      </w:r>
      <w:r w:rsidR="003D03FE">
        <w:t>d</w:t>
      </w:r>
      <w:r w:rsidRPr="00DF3973">
        <w:t xml:space="preserve"> since completion of </w:t>
      </w:r>
      <w:r w:rsidR="003D03FE">
        <w:t xml:space="preserve">a previous </w:t>
      </w:r>
      <w:r w:rsidRPr="00DF3973">
        <w:t>qualification</w:t>
      </w:r>
      <w:r w:rsidR="0005692D">
        <w:t>;</w:t>
      </w:r>
      <w:r w:rsidRPr="00DF3973">
        <w:t xml:space="preserve"> and perceived gaps in educational ability, such as academic </w:t>
      </w:r>
      <w:r w:rsidRPr="00DF3973">
        <w:lastRenderedPageBreak/>
        <w:t xml:space="preserve">literacy and understanding of assessment methods. Table 1 represents responses for each identified factor from five interviewees. </w:t>
      </w:r>
    </w:p>
    <w:p w:rsidR="00DF3973" w:rsidRPr="001363F5" w:rsidRDefault="00DF3973" w:rsidP="0093279C">
      <w:pPr>
        <w:pStyle w:val="tabletitle"/>
      </w:pPr>
      <w:r w:rsidRPr="001363F5">
        <w:t>Table 1</w:t>
      </w:r>
      <w:r w:rsidR="0093279C">
        <w:tab/>
      </w:r>
      <w:r w:rsidR="00C23F87">
        <w:t>Factors influencing students</w:t>
      </w:r>
      <w:r w:rsidR="004C5471">
        <w:t>’</w:t>
      </w:r>
      <w:r w:rsidRPr="001363F5">
        <w:t xml:space="preserve"> decision</w:t>
      </w:r>
      <w:r w:rsidR="00C23F87">
        <w:t>s</w:t>
      </w:r>
      <w:r w:rsidRPr="001363F5">
        <w:t xml:space="preserve"> to undertake an enabling course </w:t>
      </w:r>
    </w:p>
    <w:tbl>
      <w:tblPr>
        <w:tblW w:w="7088" w:type="dxa"/>
        <w:tblInd w:w="108" w:type="dxa"/>
        <w:tblBorders>
          <w:top w:val="single" w:sz="4" w:space="0" w:color="auto"/>
          <w:bottom w:val="single" w:sz="4" w:space="0" w:color="auto"/>
        </w:tblBorders>
        <w:tblLayout w:type="fixed"/>
        <w:tblCellMar>
          <w:left w:w="113" w:type="dxa"/>
          <w:right w:w="113" w:type="dxa"/>
        </w:tblCellMar>
        <w:tblLook w:val="0600" w:firstRow="0" w:lastRow="0" w:firstColumn="0" w:lastColumn="0" w:noHBand="1" w:noVBand="1"/>
      </w:tblPr>
      <w:tblGrid>
        <w:gridCol w:w="5104"/>
        <w:gridCol w:w="1984"/>
      </w:tblGrid>
      <w:tr w:rsidR="00E223D9" w:rsidRPr="001363F5" w:rsidTr="0093279C">
        <w:trPr>
          <w:trHeight w:val="229"/>
        </w:trPr>
        <w:tc>
          <w:tcPr>
            <w:tcW w:w="5104" w:type="dxa"/>
            <w:tcBorders>
              <w:top w:val="single" w:sz="4" w:space="0" w:color="auto"/>
              <w:bottom w:val="single" w:sz="4" w:space="0" w:color="auto"/>
            </w:tcBorders>
            <w:shd w:val="clear" w:color="auto" w:fill="auto"/>
            <w:tcMar>
              <w:top w:w="15" w:type="dxa"/>
              <w:left w:w="108" w:type="dxa"/>
              <w:bottom w:w="0" w:type="dxa"/>
              <w:right w:w="108" w:type="dxa"/>
            </w:tcMar>
          </w:tcPr>
          <w:p w:rsidR="00E223D9" w:rsidRPr="001363F5" w:rsidRDefault="00E223D9" w:rsidP="0093279C">
            <w:pPr>
              <w:pStyle w:val="Tablehead1"/>
            </w:pPr>
            <w:r w:rsidRPr="001363F5">
              <w:t>Factor</w:t>
            </w:r>
          </w:p>
        </w:tc>
        <w:tc>
          <w:tcPr>
            <w:tcW w:w="1984" w:type="dxa"/>
            <w:tcBorders>
              <w:top w:val="single" w:sz="4" w:space="0" w:color="auto"/>
              <w:bottom w:val="single" w:sz="4" w:space="0" w:color="auto"/>
            </w:tcBorders>
            <w:shd w:val="clear" w:color="auto" w:fill="auto"/>
            <w:tcMar>
              <w:top w:w="15" w:type="dxa"/>
              <w:left w:w="108" w:type="dxa"/>
              <w:bottom w:w="0" w:type="dxa"/>
              <w:right w:w="108" w:type="dxa"/>
            </w:tcMar>
          </w:tcPr>
          <w:p w:rsidR="00E223D9" w:rsidRPr="001363F5" w:rsidRDefault="00E223D9" w:rsidP="0093279C">
            <w:pPr>
              <w:pStyle w:val="Tablehead1"/>
              <w:jc w:val="center"/>
            </w:pPr>
            <w:r w:rsidRPr="001363F5">
              <w:t>Number</w:t>
            </w:r>
          </w:p>
        </w:tc>
      </w:tr>
      <w:tr w:rsidR="00E223D9" w:rsidRPr="001363F5" w:rsidTr="0093279C">
        <w:trPr>
          <w:trHeight w:val="229"/>
        </w:trPr>
        <w:tc>
          <w:tcPr>
            <w:tcW w:w="5104" w:type="dxa"/>
            <w:tcBorders>
              <w:top w:val="single" w:sz="4" w:space="0" w:color="auto"/>
            </w:tcBorders>
            <w:shd w:val="clear" w:color="auto" w:fill="auto"/>
            <w:tcMar>
              <w:top w:w="15" w:type="dxa"/>
              <w:left w:w="108" w:type="dxa"/>
              <w:bottom w:w="0" w:type="dxa"/>
              <w:right w:w="108" w:type="dxa"/>
            </w:tcMar>
          </w:tcPr>
          <w:p w:rsidR="00E223D9" w:rsidRPr="001363F5" w:rsidRDefault="00E223D9" w:rsidP="0093279C">
            <w:pPr>
              <w:pStyle w:val="Tabletext"/>
            </w:pPr>
            <w:r w:rsidRPr="001363F5">
              <w:t xml:space="preserve">Confused by </w:t>
            </w:r>
            <w:r>
              <w:t>terminology</w:t>
            </w:r>
          </w:p>
        </w:tc>
        <w:tc>
          <w:tcPr>
            <w:tcW w:w="1984" w:type="dxa"/>
            <w:tcBorders>
              <w:top w:val="single" w:sz="4" w:space="0" w:color="auto"/>
            </w:tcBorders>
            <w:shd w:val="clear" w:color="auto" w:fill="auto"/>
            <w:tcMar>
              <w:top w:w="15" w:type="dxa"/>
              <w:left w:w="108" w:type="dxa"/>
              <w:bottom w:w="0" w:type="dxa"/>
              <w:right w:w="108" w:type="dxa"/>
            </w:tcMar>
          </w:tcPr>
          <w:p w:rsidR="00E223D9" w:rsidRPr="001363F5" w:rsidRDefault="00E223D9" w:rsidP="0093279C">
            <w:pPr>
              <w:pStyle w:val="Tabletext"/>
              <w:jc w:val="center"/>
            </w:pPr>
            <w:r w:rsidRPr="001363F5">
              <w:t>3/5</w:t>
            </w:r>
          </w:p>
        </w:tc>
      </w:tr>
      <w:tr w:rsidR="00E223D9" w:rsidRPr="001363F5" w:rsidTr="0093279C">
        <w:trPr>
          <w:trHeight w:val="229"/>
        </w:trPr>
        <w:tc>
          <w:tcPr>
            <w:tcW w:w="5104" w:type="dxa"/>
            <w:shd w:val="clear" w:color="auto" w:fill="auto"/>
            <w:tcMar>
              <w:top w:w="15" w:type="dxa"/>
              <w:left w:w="108" w:type="dxa"/>
              <w:bottom w:w="0" w:type="dxa"/>
              <w:right w:w="108" w:type="dxa"/>
            </w:tcMar>
            <w:hideMark/>
          </w:tcPr>
          <w:p w:rsidR="00E223D9" w:rsidRPr="001363F5" w:rsidRDefault="00E223D9" w:rsidP="0093279C">
            <w:pPr>
              <w:pStyle w:val="Tabletext"/>
              <w:rPr>
                <w:rFonts w:cs="Arial"/>
              </w:rPr>
            </w:pPr>
            <w:r w:rsidRPr="001363F5">
              <w:t>Difficulty in</w:t>
            </w:r>
            <w:r w:rsidR="00611BDD">
              <w:t xml:space="preserve"> </w:t>
            </w:r>
            <w:r w:rsidRPr="001363F5">
              <w:t>finding relevant</w:t>
            </w:r>
            <w:r>
              <w:t xml:space="preserve"> pathway</w:t>
            </w:r>
            <w:r w:rsidRPr="001363F5">
              <w:t xml:space="preserve"> information</w:t>
            </w:r>
          </w:p>
        </w:tc>
        <w:tc>
          <w:tcPr>
            <w:tcW w:w="1984" w:type="dxa"/>
            <w:shd w:val="clear" w:color="auto" w:fill="auto"/>
            <w:tcMar>
              <w:top w:w="15" w:type="dxa"/>
              <w:left w:w="108" w:type="dxa"/>
              <w:bottom w:w="0" w:type="dxa"/>
              <w:right w:w="108" w:type="dxa"/>
            </w:tcMar>
            <w:hideMark/>
          </w:tcPr>
          <w:p w:rsidR="00E223D9" w:rsidRPr="001363F5" w:rsidRDefault="00E223D9" w:rsidP="0093279C">
            <w:pPr>
              <w:pStyle w:val="Tabletext"/>
              <w:jc w:val="center"/>
              <w:rPr>
                <w:rFonts w:cs="Arial"/>
              </w:rPr>
            </w:pPr>
            <w:r w:rsidRPr="001363F5">
              <w:t>3/5</w:t>
            </w:r>
          </w:p>
        </w:tc>
      </w:tr>
      <w:tr w:rsidR="00E223D9" w:rsidRPr="001363F5" w:rsidTr="0093279C">
        <w:trPr>
          <w:trHeight w:val="262"/>
        </w:trPr>
        <w:tc>
          <w:tcPr>
            <w:tcW w:w="5104" w:type="dxa"/>
            <w:shd w:val="clear" w:color="auto" w:fill="auto"/>
            <w:tcMar>
              <w:top w:w="15" w:type="dxa"/>
              <w:left w:w="108" w:type="dxa"/>
              <w:bottom w:w="0" w:type="dxa"/>
              <w:right w:w="108" w:type="dxa"/>
            </w:tcMar>
            <w:hideMark/>
          </w:tcPr>
          <w:p w:rsidR="00E223D9" w:rsidRPr="001363F5" w:rsidRDefault="00E223D9" w:rsidP="0093279C">
            <w:pPr>
              <w:pStyle w:val="Tabletext"/>
              <w:rPr>
                <w:rFonts w:cs="Arial"/>
              </w:rPr>
            </w:pPr>
            <w:r w:rsidRPr="001363F5">
              <w:t>Time gap between qualifications</w:t>
            </w:r>
          </w:p>
        </w:tc>
        <w:tc>
          <w:tcPr>
            <w:tcW w:w="1984" w:type="dxa"/>
            <w:shd w:val="clear" w:color="auto" w:fill="auto"/>
            <w:tcMar>
              <w:top w:w="15" w:type="dxa"/>
              <w:left w:w="108" w:type="dxa"/>
              <w:bottom w:w="0" w:type="dxa"/>
              <w:right w:w="108" w:type="dxa"/>
            </w:tcMar>
            <w:hideMark/>
          </w:tcPr>
          <w:p w:rsidR="00E223D9" w:rsidRPr="001363F5" w:rsidRDefault="00E223D9" w:rsidP="0093279C">
            <w:pPr>
              <w:pStyle w:val="Tabletext"/>
              <w:jc w:val="center"/>
              <w:rPr>
                <w:rFonts w:cs="Arial"/>
              </w:rPr>
            </w:pPr>
            <w:r w:rsidRPr="001363F5">
              <w:t>1/5</w:t>
            </w:r>
          </w:p>
        </w:tc>
      </w:tr>
      <w:tr w:rsidR="00E223D9" w:rsidRPr="00F73D1B" w:rsidTr="0093279C">
        <w:trPr>
          <w:trHeight w:val="266"/>
        </w:trPr>
        <w:tc>
          <w:tcPr>
            <w:tcW w:w="5104" w:type="dxa"/>
            <w:shd w:val="clear" w:color="auto" w:fill="auto"/>
            <w:tcMar>
              <w:top w:w="15" w:type="dxa"/>
              <w:left w:w="108" w:type="dxa"/>
              <w:bottom w:w="0" w:type="dxa"/>
              <w:right w:w="108" w:type="dxa"/>
            </w:tcMar>
            <w:hideMark/>
          </w:tcPr>
          <w:p w:rsidR="00E223D9" w:rsidRPr="00F73D1B" w:rsidRDefault="00E223D9" w:rsidP="0093279C">
            <w:pPr>
              <w:pStyle w:val="Tabletext"/>
              <w:rPr>
                <w:rFonts w:cs="Arial"/>
              </w:rPr>
            </w:pPr>
            <w:r w:rsidRPr="00F73D1B">
              <w:t>Counselled to complete STEPS</w:t>
            </w:r>
            <w:r w:rsidR="004D7DB7" w:rsidRPr="00F73D1B">
              <w:t>*</w:t>
            </w:r>
          </w:p>
        </w:tc>
        <w:tc>
          <w:tcPr>
            <w:tcW w:w="1984" w:type="dxa"/>
            <w:shd w:val="clear" w:color="auto" w:fill="auto"/>
            <w:tcMar>
              <w:top w:w="15" w:type="dxa"/>
              <w:left w:w="108" w:type="dxa"/>
              <w:bottom w:w="0" w:type="dxa"/>
              <w:right w:w="108" w:type="dxa"/>
            </w:tcMar>
            <w:hideMark/>
          </w:tcPr>
          <w:p w:rsidR="00E223D9" w:rsidRPr="00F73D1B" w:rsidRDefault="00E223D9" w:rsidP="0093279C">
            <w:pPr>
              <w:pStyle w:val="Tabletext"/>
              <w:jc w:val="center"/>
              <w:rPr>
                <w:rFonts w:cs="Arial"/>
              </w:rPr>
            </w:pPr>
            <w:r w:rsidRPr="00F73D1B">
              <w:t>2/5</w:t>
            </w:r>
          </w:p>
        </w:tc>
      </w:tr>
      <w:tr w:rsidR="00E223D9" w:rsidRPr="00F73D1B" w:rsidTr="0093279C">
        <w:trPr>
          <w:trHeight w:val="270"/>
        </w:trPr>
        <w:tc>
          <w:tcPr>
            <w:tcW w:w="5104" w:type="dxa"/>
            <w:shd w:val="clear" w:color="auto" w:fill="auto"/>
            <w:tcMar>
              <w:top w:w="15" w:type="dxa"/>
              <w:left w:w="108" w:type="dxa"/>
              <w:bottom w:w="0" w:type="dxa"/>
              <w:right w:w="108" w:type="dxa"/>
            </w:tcMar>
            <w:hideMark/>
          </w:tcPr>
          <w:p w:rsidR="00E223D9" w:rsidRPr="00F73D1B" w:rsidRDefault="00E223D9" w:rsidP="0093279C">
            <w:pPr>
              <w:pStyle w:val="Tabletext"/>
              <w:rPr>
                <w:rFonts w:cs="Arial"/>
              </w:rPr>
            </w:pPr>
            <w:r w:rsidRPr="00F73D1B">
              <w:t>Literacy confidence</w:t>
            </w:r>
          </w:p>
        </w:tc>
        <w:tc>
          <w:tcPr>
            <w:tcW w:w="1984" w:type="dxa"/>
            <w:shd w:val="clear" w:color="auto" w:fill="auto"/>
            <w:tcMar>
              <w:top w:w="15" w:type="dxa"/>
              <w:left w:w="108" w:type="dxa"/>
              <w:bottom w:w="0" w:type="dxa"/>
              <w:right w:w="108" w:type="dxa"/>
            </w:tcMar>
            <w:hideMark/>
          </w:tcPr>
          <w:p w:rsidR="00E223D9" w:rsidRPr="00F73D1B" w:rsidRDefault="00E223D9" w:rsidP="0093279C">
            <w:pPr>
              <w:pStyle w:val="Tabletext"/>
              <w:jc w:val="center"/>
              <w:rPr>
                <w:rFonts w:cs="Arial"/>
              </w:rPr>
            </w:pPr>
            <w:r w:rsidRPr="00F73D1B">
              <w:t>5/5</w:t>
            </w:r>
          </w:p>
        </w:tc>
      </w:tr>
      <w:tr w:rsidR="00E223D9" w:rsidRPr="00F73D1B" w:rsidTr="0093279C">
        <w:trPr>
          <w:trHeight w:val="274"/>
        </w:trPr>
        <w:tc>
          <w:tcPr>
            <w:tcW w:w="5104" w:type="dxa"/>
            <w:shd w:val="clear" w:color="auto" w:fill="auto"/>
            <w:tcMar>
              <w:top w:w="15" w:type="dxa"/>
              <w:left w:w="108" w:type="dxa"/>
              <w:bottom w:w="0" w:type="dxa"/>
              <w:right w:w="108" w:type="dxa"/>
            </w:tcMar>
            <w:hideMark/>
          </w:tcPr>
          <w:p w:rsidR="00E223D9" w:rsidRPr="00F73D1B" w:rsidRDefault="00E223D9" w:rsidP="0093279C">
            <w:pPr>
              <w:pStyle w:val="Tabletext"/>
              <w:rPr>
                <w:rFonts w:cs="Arial"/>
              </w:rPr>
            </w:pPr>
            <w:r w:rsidRPr="00F73D1B">
              <w:t>Sector differences; especially assessment</w:t>
            </w:r>
          </w:p>
        </w:tc>
        <w:tc>
          <w:tcPr>
            <w:tcW w:w="1984" w:type="dxa"/>
            <w:shd w:val="clear" w:color="auto" w:fill="auto"/>
            <w:tcMar>
              <w:top w:w="15" w:type="dxa"/>
              <w:left w:w="108" w:type="dxa"/>
              <w:bottom w:w="0" w:type="dxa"/>
              <w:right w:w="108" w:type="dxa"/>
            </w:tcMar>
            <w:hideMark/>
          </w:tcPr>
          <w:p w:rsidR="00E223D9" w:rsidRPr="00F73D1B" w:rsidRDefault="00E223D9" w:rsidP="0093279C">
            <w:pPr>
              <w:pStyle w:val="Tabletext"/>
              <w:jc w:val="center"/>
              <w:rPr>
                <w:rFonts w:cs="Arial"/>
              </w:rPr>
            </w:pPr>
            <w:r w:rsidRPr="00F73D1B">
              <w:t>5/5</w:t>
            </w:r>
          </w:p>
        </w:tc>
      </w:tr>
    </w:tbl>
    <w:p w:rsidR="004D7DB7" w:rsidRPr="00F73D1B" w:rsidRDefault="004D7DB7" w:rsidP="004D7DB7">
      <w:pPr>
        <w:pStyle w:val="Source"/>
        <w:spacing w:before="120"/>
        <w:ind w:left="0" w:firstLine="0"/>
      </w:pPr>
      <w:r w:rsidRPr="00F73D1B">
        <w:t>* STEPS =</w:t>
      </w:r>
      <w:r w:rsidR="00F73D1B" w:rsidRPr="00F73D1B">
        <w:t xml:space="preserve"> Skills for Tertiary Education Preparatory Studies.</w:t>
      </w:r>
    </w:p>
    <w:p w:rsidR="0005692D" w:rsidRDefault="0005692D" w:rsidP="0093279C">
      <w:pPr>
        <w:pStyle w:val="Text"/>
        <w:spacing w:before="360"/>
        <w:ind w:right="0"/>
      </w:pPr>
      <w:r w:rsidRPr="00F73D1B">
        <w:t>When the</w:t>
      </w:r>
      <w:r>
        <w:t xml:space="preserve"> interviewees were questioned in </w:t>
      </w:r>
      <w:r w:rsidR="00E223D9" w:rsidRPr="00DF3973">
        <w:t>depth about their rationale or reasons for undertaking an enabling course</w:t>
      </w:r>
      <w:r w:rsidR="004D7DB7">
        <w:t>,</w:t>
      </w:r>
      <w:r w:rsidR="00E223D9" w:rsidRPr="00DF3973">
        <w:t xml:space="preserve"> </w:t>
      </w:r>
      <w:r w:rsidR="00C23F87">
        <w:t>many common factors were</w:t>
      </w:r>
      <w:r>
        <w:t xml:space="preserve"> identified</w:t>
      </w:r>
      <w:r w:rsidR="00E223D9" w:rsidRPr="00DF3973">
        <w:t>. Because the number of interviewees is very small</w:t>
      </w:r>
      <w:r>
        <w:t>,</w:t>
      </w:r>
      <w:r w:rsidR="00E223D9" w:rsidRPr="00DF3973">
        <w:t xml:space="preserve"> a wider study could be usefully undertaken to determine </w:t>
      </w:r>
      <w:r>
        <w:t>whether</w:t>
      </w:r>
      <w:r w:rsidR="00E223D9" w:rsidRPr="00DF3973">
        <w:t xml:space="preserve"> this is consistent with students engaged in a wider ran</w:t>
      </w:r>
      <w:r>
        <w:t>ge of enabling courses.</w:t>
      </w:r>
    </w:p>
    <w:p w:rsidR="00DF3973" w:rsidRPr="00DF3973" w:rsidRDefault="00E223D9" w:rsidP="00DF3973">
      <w:pPr>
        <w:pStyle w:val="Text"/>
      </w:pPr>
      <w:r w:rsidRPr="00DF3973">
        <w:t xml:space="preserve">For all interviewees the two main reasons given for undertaking the course was </w:t>
      </w:r>
      <w:r w:rsidR="00C23F87">
        <w:t>a</w:t>
      </w:r>
      <w:r w:rsidRPr="00DF3973">
        <w:t xml:space="preserve"> lack of confidence in their academic literacy and </w:t>
      </w:r>
      <w:r w:rsidR="0005692D">
        <w:t xml:space="preserve">their </w:t>
      </w:r>
      <w:r w:rsidRPr="00DF3973">
        <w:t>ability to complete ass</w:t>
      </w:r>
      <w:r w:rsidR="0005692D">
        <w:t>essment tasks. As indicated by t</w:t>
      </w:r>
      <w:r w:rsidRPr="00DF3973">
        <w:t>able 1</w:t>
      </w:r>
      <w:r w:rsidR="0005692D">
        <w:t>,</w:t>
      </w:r>
      <w:r w:rsidRPr="00DF3973">
        <w:t xml:space="preserve"> all students identified these as influencing factors. This is consistent with the research of White (2014) and Watson, Hagel and </w:t>
      </w:r>
      <w:proofErr w:type="spellStart"/>
      <w:r w:rsidRPr="00DF3973">
        <w:t>Chester</w:t>
      </w:r>
      <w:r w:rsidR="0005692D">
        <w:t>s</w:t>
      </w:r>
      <w:proofErr w:type="spellEnd"/>
      <w:r w:rsidRPr="00DF3973">
        <w:t xml:space="preserve"> (2013)</w:t>
      </w:r>
      <w:r w:rsidR="0005692D">
        <w:t>,</w:t>
      </w:r>
      <w:r w:rsidRPr="00DF3973">
        <w:t xml:space="preserve"> who found</w:t>
      </w:r>
      <w:r w:rsidR="0005692D">
        <w:t xml:space="preserve"> that</w:t>
      </w:r>
      <w:r w:rsidRPr="00DF3973">
        <w:t xml:space="preserve"> those wishing to make the transition from VET to higher education are likely to fa</w:t>
      </w:r>
      <w:r w:rsidR="0074770D">
        <w:t xml:space="preserve">ce many and varied challenges. The </w:t>
      </w:r>
      <w:r w:rsidRPr="00DF3973">
        <w:t>differences between the sectors</w:t>
      </w:r>
      <w:r w:rsidR="00C23F87">
        <w:t>, which were identified as being challenging,</w:t>
      </w:r>
      <w:r w:rsidR="00C23F87" w:rsidRPr="00DF3973">
        <w:t xml:space="preserve"> </w:t>
      </w:r>
      <w:r w:rsidRPr="00DF3973">
        <w:t>are the competency-based approach used in VET compared with the more traditional curricula emphasis of universities.</w:t>
      </w:r>
      <w:r w:rsidR="0074770D">
        <w:t xml:space="preserve"> According to Keating (2008, p.</w:t>
      </w:r>
      <w:r w:rsidRPr="00DF3973">
        <w:t xml:space="preserve">5), </w:t>
      </w:r>
      <w:r w:rsidR="004C5471">
        <w:t>‘</w:t>
      </w:r>
      <w:r w:rsidRPr="00DF3973">
        <w:t>VET is concerned with the human capital needs of competencies and applied skills, while higher education attends to the social and cultural needs of knowledge mastery and conceptual understandings</w:t>
      </w:r>
      <w:r w:rsidR="004C5471">
        <w:t>’</w:t>
      </w:r>
      <w:r w:rsidRPr="00DF3973">
        <w:t xml:space="preserve">. This </w:t>
      </w:r>
      <w:r w:rsidR="0074770D">
        <w:t>means that</w:t>
      </w:r>
      <w:r w:rsidRPr="00DF3973">
        <w:t xml:space="preserve"> students who make the transition between the sectors hav</w:t>
      </w:r>
      <w:r w:rsidR="0074770D">
        <w:t>e</w:t>
      </w:r>
      <w:r w:rsidRPr="00DF3973">
        <w:t xml:space="preserve"> to adjust to different teaching and learning philosophies and </w:t>
      </w:r>
      <w:r w:rsidR="0074770D">
        <w:t>specifically to</w:t>
      </w:r>
      <w:r w:rsidRPr="00DF3973">
        <w:t xml:space="preserve"> methods of assessment.</w:t>
      </w:r>
      <w:r w:rsidR="00611BDD">
        <w:t xml:space="preserve"> </w:t>
      </w:r>
      <w:r w:rsidRPr="00DF3973">
        <w:t>The responses from the students interviewed for this study were consistent with established research</w:t>
      </w:r>
      <w:r w:rsidR="0074770D">
        <w:t>,</w:t>
      </w:r>
      <w:r w:rsidRPr="00DF3973">
        <w:t xml:space="preserve"> in that they also identified that </w:t>
      </w:r>
      <w:r w:rsidR="0074770D">
        <w:t xml:space="preserve">the </w:t>
      </w:r>
      <w:r w:rsidRPr="00DF3973">
        <w:t xml:space="preserve">different teaching and learning environments in VET and higher education may create challenges, perceived or real, for students in adapting to the requirements of the different sectors. </w:t>
      </w:r>
      <w:r>
        <w:t>This raises questions about the compatibility of the requirements of the different sectors</w:t>
      </w:r>
      <w:r w:rsidR="0074770D">
        <w:t>,</w:t>
      </w:r>
      <w:r>
        <w:t xml:space="preserve"> which may be related to the expected outcomes of the qualification. Vocational and educational qualificati</w:t>
      </w:r>
      <w:r w:rsidR="00C23F87">
        <w:t>ons generally focus on industry-</w:t>
      </w:r>
      <w:r>
        <w:t>established competency standard</w:t>
      </w:r>
      <w:r w:rsidR="00C23F87">
        <w:t>s,</w:t>
      </w:r>
      <w:r>
        <w:t xml:space="preserve"> </w:t>
      </w:r>
      <w:r w:rsidRPr="00DF3973">
        <w:t>while universities commonly wish to retain the major influence on the content of their courses.</w:t>
      </w:r>
    </w:p>
    <w:p w:rsidR="00E223D9" w:rsidRPr="00DF3973" w:rsidRDefault="00E223D9" w:rsidP="00DF3973">
      <w:pPr>
        <w:pStyle w:val="Text"/>
      </w:pPr>
      <w:r w:rsidRPr="00DF3973">
        <w:t xml:space="preserve">The second most common factors identified by students in this study were confusion caused by the terms used in the sectors to describe transitional arrangements and </w:t>
      </w:r>
      <w:r w:rsidR="0074770D">
        <w:t xml:space="preserve">the </w:t>
      </w:r>
      <w:r w:rsidRPr="00DF3973">
        <w:t>difficulties faced</w:t>
      </w:r>
      <w:r w:rsidR="004D7DB7">
        <w:t xml:space="preserve"> in</w:t>
      </w:r>
      <w:r w:rsidRPr="00DF3973">
        <w:t xml:space="preserve"> obtaining information about established arrangements and possibilities. They described encountering terms such as </w:t>
      </w:r>
      <w:r w:rsidR="004C5471">
        <w:t>‘</w:t>
      </w:r>
      <w:r w:rsidRPr="00DF3973">
        <w:t>credit transfer</w:t>
      </w:r>
      <w:r w:rsidR="004C5471">
        <w:t>’</w:t>
      </w:r>
      <w:r w:rsidRPr="00DF3973">
        <w:t xml:space="preserve">, </w:t>
      </w:r>
      <w:r w:rsidR="004C5471">
        <w:t>‘</w:t>
      </w:r>
      <w:r w:rsidRPr="00DF3973">
        <w:t>recognition of prior learning</w:t>
      </w:r>
      <w:r w:rsidR="004C5471">
        <w:t>’</w:t>
      </w:r>
      <w:r w:rsidRPr="00DF3973">
        <w:t xml:space="preserve"> and </w:t>
      </w:r>
      <w:r w:rsidR="004C5471">
        <w:t>‘</w:t>
      </w:r>
      <w:r w:rsidRPr="00DF3973">
        <w:t>articulation</w:t>
      </w:r>
      <w:r w:rsidR="004C5471">
        <w:t>’</w:t>
      </w:r>
      <w:r w:rsidRPr="00DF3973">
        <w:t xml:space="preserve"> without really having a clear understanding of their meaning or application. This finding is probably not unexpected</w:t>
      </w:r>
      <w:r w:rsidR="0074770D">
        <w:t>,</w:t>
      </w:r>
      <w:r w:rsidRPr="00DF3973">
        <w:t xml:space="preserve"> given that earlier research has found </w:t>
      </w:r>
      <w:r w:rsidR="0074770D">
        <w:t xml:space="preserve">that </w:t>
      </w:r>
      <w:r w:rsidRPr="00DF3973">
        <w:t xml:space="preserve">a variety of arrangements exist and </w:t>
      </w:r>
      <w:r w:rsidR="0074770D">
        <w:t xml:space="preserve">that </w:t>
      </w:r>
      <w:r w:rsidRPr="00DF3973">
        <w:t>the terms are often used interchangeably</w:t>
      </w:r>
      <w:r w:rsidR="0074770D">
        <w:t>,</w:t>
      </w:r>
      <w:r w:rsidRPr="00DF3973">
        <w:t xml:space="preserve"> when in fact they are describing different concepts or procedures. This indicates </w:t>
      </w:r>
      <w:r w:rsidR="00C23F87">
        <w:t xml:space="preserve">that </w:t>
      </w:r>
      <w:r w:rsidRPr="00DF3973">
        <w:t xml:space="preserve">attention could be given to the terminology used when communicating with students about pathways in education in Australia. Whether the issue is that </w:t>
      </w:r>
      <w:r w:rsidR="0074770D">
        <w:t xml:space="preserve">the </w:t>
      </w:r>
      <w:r w:rsidRPr="00DF3973">
        <w:t>terms are being used synonymously when they should not be</w:t>
      </w:r>
      <w:r w:rsidR="00C23F87">
        <w:t>,</w:t>
      </w:r>
      <w:r w:rsidRPr="00DF3973">
        <w:t xml:space="preserve"> or</w:t>
      </w:r>
      <w:r w:rsidR="0074770D">
        <w:t xml:space="preserve"> that</w:t>
      </w:r>
      <w:r w:rsidRPr="00DF3973">
        <w:t xml:space="preserve"> the terms are being applied correctly but are unfamiliar to students</w:t>
      </w:r>
      <w:r w:rsidR="00B32D22">
        <w:t>,</w:t>
      </w:r>
      <w:r w:rsidRPr="00DF3973">
        <w:t xml:space="preserve"> is an area that r</w:t>
      </w:r>
      <w:r w:rsidR="0074770D">
        <w:t xml:space="preserve">equires further clarification. </w:t>
      </w:r>
      <w:r w:rsidRPr="00DF3973">
        <w:t>Another factor identified as influencing students</w:t>
      </w:r>
      <w:r w:rsidR="004C5471">
        <w:t>’</w:t>
      </w:r>
      <w:r w:rsidRPr="00DF3973">
        <w:t xml:space="preserve"> </w:t>
      </w:r>
      <w:r w:rsidRPr="00DF3973">
        <w:lastRenderedPageBreak/>
        <w:t>decision</w:t>
      </w:r>
      <w:r w:rsidR="00C23F87">
        <w:t>s</w:t>
      </w:r>
      <w:r w:rsidRPr="00DF3973">
        <w:t xml:space="preserve"> was that they had been counselled by higher education course advisors to complete an enabl</w:t>
      </w:r>
      <w:r w:rsidR="0074770D">
        <w:t xml:space="preserve">ing course prior </w:t>
      </w:r>
      <w:r w:rsidR="00C23F87">
        <w:t xml:space="preserve">to </w:t>
      </w:r>
      <w:r w:rsidR="0074770D">
        <w:t>undertaking a degree or consecutively with a d</w:t>
      </w:r>
      <w:r w:rsidRPr="00DF3973">
        <w:t>e</w:t>
      </w:r>
      <w:r w:rsidR="0074770D">
        <w:t>gree. The interviewees were un</w:t>
      </w:r>
      <w:r w:rsidRPr="00DF3973">
        <w:t xml:space="preserve">able to provide an explanation </w:t>
      </w:r>
      <w:r w:rsidR="0074770D">
        <w:t>for</w:t>
      </w:r>
      <w:r w:rsidRPr="00DF3973">
        <w:t xml:space="preserve"> the basis for this advice but had made the assumption that they lacked academic skills. This assumption may be flawed</w:t>
      </w:r>
      <w:r w:rsidR="00C23F87">
        <w:t>,</w:t>
      </w:r>
      <w:r w:rsidRPr="00DF3973">
        <w:t xml:space="preserve"> but as it has been identified as an influencing factor it would be valuable to explore the rationale </w:t>
      </w:r>
      <w:r w:rsidR="00C23F87">
        <w:t>underpinning</w:t>
      </w:r>
      <w:r w:rsidRPr="00DF3973">
        <w:t xml:space="preserve"> this advice. A final factor identified by one interviewee was the time gap between completion of a VET qualification and undertaking higher education. While this interviewee also identified </w:t>
      </w:r>
      <w:r w:rsidR="0074770D">
        <w:t xml:space="preserve">a </w:t>
      </w:r>
      <w:r w:rsidRPr="00DF3973">
        <w:t xml:space="preserve">lack of confidence </w:t>
      </w:r>
      <w:r w:rsidR="0074770D">
        <w:t xml:space="preserve">in their </w:t>
      </w:r>
      <w:r w:rsidRPr="00DF3973">
        <w:t>academic ability</w:t>
      </w:r>
      <w:r w:rsidR="0074770D">
        <w:t>,</w:t>
      </w:r>
      <w:r w:rsidRPr="00DF3973">
        <w:t xml:space="preserve"> they were not able to definitively state the factors were linked. </w:t>
      </w:r>
    </w:p>
    <w:p w:rsidR="00E223D9" w:rsidRPr="00DF3973" w:rsidRDefault="00E223D9" w:rsidP="00DF3973">
      <w:pPr>
        <w:pStyle w:val="Heading2"/>
      </w:pPr>
      <w:bookmarkStart w:id="90" w:name="_Toc412455622"/>
      <w:bookmarkStart w:id="91" w:name="_Toc416683041"/>
      <w:r w:rsidRPr="00DF3973">
        <w:t>Conclusions</w:t>
      </w:r>
      <w:bookmarkEnd w:id="90"/>
      <w:bookmarkEnd w:id="91"/>
    </w:p>
    <w:p w:rsidR="00E223D9" w:rsidRPr="00DF3973" w:rsidRDefault="00E223D9" w:rsidP="00DF3973">
      <w:pPr>
        <w:pStyle w:val="Text"/>
      </w:pPr>
      <w:r w:rsidRPr="00DF7B4B">
        <w:t>There are a number of conclusions that could be drawn from this research. Firstly,</w:t>
      </w:r>
      <w:r>
        <w:t xml:space="preserve"> successful VET graduates face challenges, either real or perceived, when moving to the higher education sector to complete a qualification, particularly in relation to </w:t>
      </w:r>
      <w:r w:rsidR="00C23F87">
        <w:t xml:space="preserve">their </w:t>
      </w:r>
      <w:r>
        <w:t xml:space="preserve">literacy and </w:t>
      </w:r>
      <w:r w:rsidR="00C23F87">
        <w:t xml:space="preserve">their </w:t>
      </w:r>
      <w:r>
        <w:t xml:space="preserve">ability to successfully adapt to a different teaching and learning environment. </w:t>
      </w:r>
      <w:r w:rsidRPr="00DF7B4B">
        <w:t>Secondly</w:t>
      </w:r>
      <w:r>
        <w:t>,</w:t>
      </w:r>
      <w:r w:rsidRPr="00DF7B4B">
        <w:t xml:space="preserve"> the terminology used to describe the transition arrangements between education sectors </w:t>
      </w:r>
      <w:r>
        <w:t xml:space="preserve">and a variety of practices may be </w:t>
      </w:r>
      <w:r w:rsidRPr="00DF7B4B">
        <w:t>contributing factor</w:t>
      </w:r>
      <w:r>
        <w:t>s</w:t>
      </w:r>
      <w:r w:rsidRPr="00DF7B4B">
        <w:t xml:space="preserve"> to student</w:t>
      </w:r>
      <w:r>
        <w:t>s</w:t>
      </w:r>
      <w:r w:rsidR="004C5471">
        <w:t>’</w:t>
      </w:r>
      <w:r w:rsidRPr="00DF7B4B">
        <w:t xml:space="preserve"> understanding </w:t>
      </w:r>
      <w:r>
        <w:t xml:space="preserve">of </w:t>
      </w:r>
      <w:r w:rsidRPr="00DF7B4B">
        <w:t>the process and</w:t>
      </w:r>
      <w:r w:rsidR="00D9346B">
        <w:t>,</w:t>
      </w:r>
      <w:r w:rsidRPr="00DF7B4B">
        <w:t xml:space="preserve"> </w:t>
      </w:r>
      <w:r>
        <w:t>therefore, their ability to take</w:t>
      </w:r>
      <w:r w:rsidRPr="00DF7B4B">
        <w:t xml:space="preserve"> advantage of possible progression th</w:t>
      </w:r>
      <w:r>
        <w:t>rough</w:t>
      </w:r>
      <w:r w:rsidRPr="00DF7B4B">
        <w:t xml:space="preserve"> sectors.</w:t>
      </w:r>
      <w:r>
        <w:t xml:space="preserve"> Thirdly, advice from faculty advisors in the higher education sector is influential in determining whether students include an enabling course in their journey fr</w:t>
      </w:r>
      <w:r w:rsidR="00D9346B">
        <w:t>om VET to higher education</w:t>
      </w:r>
      <w:r>
        <w:t xml:space="preserve">. Finally, a time gap between </w:t>
      </w:r>
      <w:r w:rsidR="00D9346B">
        <w:t xml:space="preserve">the </w:t>
      </w:r>
      <w:r>
        <w:t xml:space="preserve">completion of a VET qualification and undertaking higher education can also be a contributing factor in this decision. Overall, it has been possible to identify very clear factors </w:t>
      </w:r>
      <w:r w:rsidR="00D9346B">
        <w:t xml:space="preserve">that influence </w:t>
      </w:r>
      <w:r>
        <w:t>VET students</w:t>
      </w:r>
      <w:r w:rsidR="004C5471">
        <w:t>’</w:t>
      </w:r>
      <w:r>
        <w:t xml:space="preserve"> decisions to undertake an enabling course as part of their journey to higher education.</w:t>
      </w:r>
    </w:p>
    <w:p w:rsidR="00E223D9" w:rsidRPr="00DF3973" w:rsidRDefault="00E223D9" w:rsidP="00DF3973">
      <w:pPr>
        <w:pStyle w:val="Heading2"/>
      </w:pPr>
      <w:bookmarkStart w:id="92" w:name="_Toc412455623"/>
      <w:bookmarkStart w:id="93" w:name="_Toc416683042"/>
      <w:r w:rsidRPr="00DF3973">
        <w:t>References</w:t>
      </w:r>
      <w:bookmarkEnd w:id="92"/>
      <w:bookmarkEnd w:id="93"/>
    </w:p>
    <w:p w:rsidR="00E223D9" w:rsidRPr="00DF3973" w:rsidRDefault="00E223D9" w:rsidP="0093279C">
      <w:pPr>
        <w:pStyle w:val="References"/>
      </w:pPr>
      <w:r w:rsidRPr="00DF3973">
        <w:t xml:space="preserve">Australian Qualifications Framework Council (AQFC) 2013, </w:t>
      </w:r>
      <w:r w:rsidRPr="00DF3973">
        <w:rPr>
          <w:i/>
        </w:rPr>
        <w:t>Australian Qualifications Framework</w:t>
      </w:r>
      <w:r w:rsidR="00D9346B">
        <w:t xml:space="preserve">, </w:t>
      </w:r>
      <w:r w:rsidRPr="00DF3973">
        <w:t xml:space="preserve">2nd </w:t>
      </w:r>
      <w:proofErr w:type="spellStart"/>
      <w:r w:rsidRPr="00DF3973">
        <w:t>ed</w:t>
      </w:r>
      <w:r w:rsidR="00D9346B">
        <w:t>n</w:t>
      </w:r>
      <w:proofErr w:type="spellEnd"/>
      <w:r w:rsidR="00D9346B">
        <w:t>, Adelaide</w:t>
      </w:r>
      <w:r w:rsidRPr="00DF3973">
        <w:t>.</w:t>
      </w:r>
    </w:p>
    <w:p w:rsidR="00E223D9" w:rsidRPr="00DF3973" w:rsidRDefault="00E223D9" w:rsidP="0093279C">
      <w:pPr>
        <w:pStyle w:val="References"/>
      </w:pPr>
      <w:r w:rsidRPr="00DF3973">
        <w:t xml:space="preserve">Golding, B &amp; </w:t>
      </w:r>
      <w:proofErr w:type="spellStart"/>
      <w:r w:rsidRPr="00DF3973">
        <w:t>Eedle</w:t>
      </w:r>
      <w:proofErr w:type="spellEnd"/>
      <w:r w:rsidRPr="00DF3973">
        <w:t xml:space="preserve">, L 1993, </w:t>
      </w:r>
      <w:r w:rsidRPr="00DF3973">
        <w:rPr>
          <w:i/>
        </w:rPr>
        <w:t>TAFE pathways project: final report</w:t>
      </w:r>
      <w:r w:rsidR="00D9346B">
        <w:t>, Ballarat University College,</w:t>
      </w:r>
      <w:r w:rsidRPr="00DF3973">
        <w:t xml:space="preserve"> Ballarat.</w:t>
      </w:r>
    </w:p>
    <w:p w:rsidR="00E223D9" w:rsidRPr="00DF3973" w:rsidRDefault="00E223D9" w:rsidP="0093279C">
      <w:pPr>
        <w:pStyle w:val="References"/>
      </w:pPr>
      <w:r w:rsidRPr="00DF3973">
        <w:t xml:space="preserve">Harris, R, Rainey, L &amp; Sumner, R 2006, </w:t>
      </w:r>
      <w:r w:rsidRPr="00DF3973">
        <w:rPr>
          <w:i/>
        </w:rPr>
        <w:t>Cra</w:t>
      </w:r>
      <w:r w:rsidR="009F5B5C">
        <w:rPr>
          <w:i/>
        </w:rPr>
        <w:t>zy pathway or stepping stones? L</w:t>
      </w:r>
      <w:r w:rsidRPr="00DF3973">
        <w:rPr>
          <w:i/>
        </w:rPr>
        <w:t>earning pathways within and between vocational education and training and higher education</w:t>
      </w:r>
      <w:r w:rsidRPr="00DF3973">
        <w:t xml:space="preserve">, </w:t>
      </w:r>
      <w:r w:rsidR="00D9346B">
        <w:t>NCVER, Adelaide</w:t>
      </w:r>
      <w:r w:rsidRPr="00DF3973">
        <w:t>.</w:t>
      </w:r>
    </w:p>
    <w:p w:rsidR="00E223D9" w:rsidRPr="00DF3973" w:rsidRDefault="00DF3973" w:rsidP="0093279C">
      <w:pPr>
        <w:pStyle w:val="References"/>
      </w:pPr>
      <w:r>
        <w:t>Hass, A</w:t>
      </w:r>
      <w:r w:rsidR="00E223D9" w:rsidRPr="00DF3973">
        <w:t xml:space="preserve">R 1999, </w:t>
      </w:r>
      <w:r w:rsidR="00E223D9" w:rsidRPr="00DF3973">
        <w:rPr>
          <w:i/>
        </w:rPr>
        <w:t>Trends in articulation arrangements for technical and vocational education</w:t>
      </w:r>
      <w:r w:rsidRPr="00DF3973">
        <w:rPr>
          <w:i/>
        </w:rPr>
        <w:t xml:space="preserve"> i</w:t>
      </w:r>
      <w:r w:rsidR="00E223D9" w:rsidRPr="00DF3973">
        <w:rPr>
          <w:i/>
        </w:rPr>
        <w:t>n the South East Asian region</w:t>
      </w:r>
      <w:r w:rsidR="00D9346B">
        <w:t>, RMIT,</w:t>
      </w:r>
      <w:r w:rsidR="00E223D9" w:rsidRPr="00DF3973">
        <w:t xml:space="preserve"> Melbourne.</w:t>
      </w:r>
    </w:p>
    <w:p w:rsidR="00E223D9" w:rsidRPr="00DF3973" w:rsidRDefault="00E223D9" w:rsidP="0093279C">
      <w:pPr>
        <w:pStyle w:val="References"/>
      </w:pPr>
      <w:r w:rsidRPr="00DF3973">
        <w:t xml:space="preserve">Keating, J 2008, </w:t>
      </w:r>
      <w:r w:rsidR="004C5471">
        <w:t>‘</w:t>
      </w:r>
      <w:r w:rsidRPr="00D9346B">
        <w:t>Qualifications systems and national qualifications frameworks</w:t>
      </w:r>
      <w:r w:rsidR="004C5471">
        <w:t>’</w:t>
      </w:r>
      <w:r w:rsidRPr="00DF3973">
        <w:t>, conference paper presented to the Monash University</w:t>
      </w:r>
      <w:r w:rsidR="0093279C">
        <w:t>—</w:t>
      </w:r>
      <w:r w:rsidRPr="00DF3973">
        <w:t>ACER Centre for the Economics of Education and Training Annual</w:t>
      </w:r>
      <w:r w:rsidR="00DF3973">
        <w:t xml:space="preserve"> </w:t>
      </w:r>
      <w:r w:rsidR="00D9346B">
        <w:t>Conference,</w:t>
      </w:r>
      <w:r w:rsidRPr="00DF3973">
        <w:t xml:space="preserve"> Melbourne</w:t>
      </w:r>
      <w:r w:rsidR="00A30A27">
        <w:t xml:space="preserve">, </w:t>
      </w:r>
      <w:r w:rsidRPr="00DF3973">
        <w:t>31 October.</w:t>
      </w:r>
    </w:p>
    <w:p w:rsidR="00E223D9" w:rsidRPr="00DF3973" w:rsidRDefault="00E223D9" w:rsidP="0093279C">
      <w:pPr>
        <w:pStyle w:val="References"/>
      </w:pPr>
      <w:proofErr w:type="spellStart"/>
      <w:r w:rsidRPr="00DF3973">
        <w:t>Langworthy</w:t>
      </w:r>
      <w:proofErr w:type="spellEnd"/>
      <w:r w:rsidRPr="00DF3973">
        <w:t xml:space="preserve">, A, Johns, S &amp; Humphries, M 2011, </w:t>
      </w:r>
      <w:r w:rsidRPr="00DF3973">
        <w:rPr>
          <w:i/>
        </w:rPr>
        <w:t>The path less travelled: VET articulation in Tasmania: final report</w:t>
      </w:r>
      <w:r w:rsidRPr="00DF3973">
        <w:t>,</w:t>
      </w:r>
      <w:r w:rsidR="00D9346B">
        <w:t xml:space="preserve"> University of Tasmania, Hobart</w:t>
      </w:r>
      <w:r w:rsidRPr="00DF3973">
        <w:t>.</w:t>
      </w:r>
    </w:p>
    <w:p w:rsidR="00E223D9" w:rsidRPr="00DF3973" w:rsidRDefault="00E223D9" w:rsidP="0093279C">
      <w:pPr>
        <w:pStyle w:val="References"/>
        <w:ind w:right="-143"/>
      </w:pPr>
      <w:r w:rsidRPr="00DF3973">
        <w:t xml:space="preserve">McKenzie, P 2001, </w:t>
      </w:r>
      <w:r w:rsidR="004C5471">
        <w:t>‘</w:t>
      </w:r>
      <w:r w:rsidRPr="00DF3973">
        <w:t>Background to the conference</w:t>
      </w:r>
      <w:r w:rsidR="004C5471">
        <w:t>’</w:t>
      </w:r>
      <w:r w:rsidRPr="00DF3973">
        <w:t xml:space="preserve">, proceedings of the 6th national research conference, </w:t>
      </w:r>
      <w:r w:rsidRPr="009F5B5C">
        <w:rPr>
          <w:i/>
        </w:rPr>
        <w:t>Understanding youth pathways</w:t>
      </w:r>
      <w:r w:rsidRPr="00DF3973">
        <w:t>, Australian Council for Educ</w:t>
      </w:r>
      <w:r w:rsidR="00D9346B">
        <w:t>ational Research, Melbourne, 15—</w:t>
      </w:r>
      <w:r w:rsidRPr="00DF3973">
        <w:t xml:space="preserve">16 October. </w:t>
      </w:r>
    </w:p>
    <w:p w:rsidR="00E223D9" w:rsidRPr="00DF3973" w:rsidRDefault="00D9346B" w:rsidP="0093279C">
      <w:pPr>
        <w:pStyle w:val="References"/>
      </w:pPr>
      <w:r>
        <w:t>McKenzie, P &amp; Hillman, L</w:t>
      </w:r>
      <w:r w:rsidR="00611BDD">
        <w:t xml:space="preserve"> </w:t>
      </w:r>
      <w:r w:rsidR="00E223D9" w:rsidRPr="00DF3973">
        <w:t xml:space="preserve">2001 </w:t>
      </w:r>
      <w:r w:rsidR="00E223D9" w:rsidRPr="00DF3973">
        <w:rPr>
          <w:i/>
        </w:rPr>
        <w:t>Pathways from school to work</w:t>
      </w:r>
      <w:r w:rsidR="00E223D9" w:rsidRPr="00DF3973">
        <w:t>, Australian Council for Educational Research</w:t>
      </w:r>
      <w:r>
        <w:t>,</w:t>
      </w:r>
      <w:r w:rsidR="00E223D9" w:rsidRPr="00DF3973">
        <w:t xml:space="preserve"> Melbourne</w:t>
      </w:r>
      <w:r w:rsidR="00A30A27">
        <w:t>, Victoria</w:t>
      </w:r>
      <w:r w:rsidR="00E223D9" w:rsidRPr="00DF3973">
        <w:t>.</w:t>
      </w:r>
    </w:p>
    <w:p w:rsidR="00882B32" w:rsidRDefault="00882B32" w:rsidP="00882B32">
      <w:pPr>
        <w:pStyle w:val="References"/>
      </w:pPr>
      <w:r w:rsidRPr="00DF3973">
        <w:t xml:space="preserve">Ministerial Council on Education, Employment, Training and Youth Affairs (MCEETYA) 2006, </w:t>
      </w:r>
      <w:r w:rsidRPr="00DF3973">
        <w:rPr>
          <w:i/>
        </w:rPr>
        <w:t>Principles for good practice information provision on credit transfer and articulation from vocational training and education to higher education</w:t>
      </w:r>
      <w:r w:rsidRPr="00DF3973">
        <w:t>, MCEETYA, Canberra.</w:t>
      </w:r>
    </w:p>
    <w:p w:rsidR="00E223D9" w:rsidRPr="00DF3973" w:rsidRDefault="00E223D9" w:rsidP="0093279C">
      <w:pPr>
        <w:pStyle w:val="References"/>
      </w:pPr>
      <w:r w:rsidRPr="00DF3973">
        <w:t xml:space="preserve">Walls, S &amp; </w:t>
      </w:r>
      <w:proofErr w:type="spellStart"/>
      <w:r w:rsidRPr="00DF3973">
        <w:t>Pardy</w:t>
      </w:r>
      <w:proofErr w:type="spellEnd"/>
      <w:r w:rsidRPr="00DF3973">
        <w:t xml:space="preserve">, J 2010, </w:t>
      </w:r>
      <w:r w:rsidRPr="0093279C">
        <w:rPr>
          <w:i/>
        </w:rPr>
        <w:t>Crediting vocational education and training for learner mobility</w:t>
      </w:r>
      <w:r w:rsidR="009F5B5C">
        <w:t>, NCVER, Adel</w:t>
      </w:r>
      <w:r w:rsidR="00D9346B">
        <w:t>aide</w:t>
      </w:r>
      <w:r w:rsidR="00DF3973">
        <w:t>.</w:t>
      </w:r>
    </w:p>
    <w:p w:rsidR="00E223D9" w:rsidRPr="00DF3973" w:rsidRDefault="00E223D9" w:rsidP="0093279C">
      <w:pPr>
        <w:pStyle w:val="References"/>
      </w:pPr>
      <w:r w:rsidRPr="00DF3973">
        <w:t>Watson, L 2008</w:t>
      </w:r>
      <w:r w:rsidR="005A33DD">
        <w:t>,</w:t>
      </w:r>
      <w:r w:rsidR="00611BDD">
        <w:t xml:space="preserve"> </w:t>
      </w:r>
      <w:r w:rsidR="004C5471">
        <w:t>‘</w:t>
      </w:r>
      <w:r w:rsidRPr="00DF3973">
        <w:t>Improving the experience of TAFE award-holders in higher education</w:t>
      </w:r>
      <w:r w:rsidR="004C5471">
        <w:t>’</w:t>
      </w:r>
      <w:r w:rsidRPr="00DF3973">
        <w:t>,</w:t>
      </w:r>
      <w:r w:rsidR="00611BDD">
        <w:t xml:space="preserve"> </w:t>
      </w:r>
      <w:r w:rsidRPr="00DF3973">
        <w:rPr>
          <w:i/>
        </w:rPr>
        <w:t>International Journal of Training Research</w:t>
      </w:r>
      <w:r w:rsidRPr="00DF3973">
        <w:t xml:space="preserve">, </w:t>
      </w:r>
      <w:r w:rsidR="00D9346B">
        <w:t>vol.6, no.</w:t>
      </w:r>
      <w:r w:rsidR="00A30A27">
        <w:t xml:space="preserve">2, </w:t>
      </w:r>
      <w:r w:rsidR="00D9346B">
        <w:t>pp.40—</w:t>
      </w:r>
      <w:r w:rsidRPr="00DF3973">
        <w:t>53.</w:t>
      </w:r>
    </w:p>
    <w:p w:rsidR="00E223D9" w:rsidRPr="00DF3973" w:rsidRDefault="00E223D9" w:rsidP="0093279C">
      <w:pPr>
        <w:pStyle w:val="References"/>
      </w:pPr>
      <w:r w:rsidRPr="00DF3973">
        <w:t xml:space="preserve">Watson, L, Hagel, P &amp; </w:t>
      </w:r>
      <w:proofErr w:type="spellStart"/>
      <w:r w:rsidRPr="00DF3973">
        <w:t>Chester</w:t>
      </w:r>
      <w:r w:rsidR="009F5B5C">
        <w:t>s</w:t>
      </w:r>
      <w:proofErr w:type="spellEnd"/>
      <w:r w:rsidRPr="00DF3973">
        <w:t xml:space="preserve">, J 2013, </w:t>
      </w:r>
      <w:r w:rsidRPr="00DF3973">
        <w:rPr>
          <w:i/>
        </w:rPr>
        <w:t>A half-open door: pathways fo</w:t>
      </w:r>
      <w:r w:rsidR="00C72F2B">
        <w:rPr>
          <w:i/>
        </w:rPr>
        <w:t>r</w:t>
      </w:r>
      <w:r w:rsidRPr="00DF3973">
        <w:rPr>
          <w:i/>
        </w:rPr>
        <w:t xml:space="preserve"> VET award holders into Australian universities</w:t>
      </w:r>
      <w:r w:rsidRPr="00DF3973">
        <w:t>,</w:t>
      </w:r>
      <w:r w:rsidR="009F5B5C">
        <w:t xml:space="preserve"> NCVER,</w:t>
      </w:r>
      <w:r w:rsidRPr="00DF3973">
        <w:t xml:space="preserve"> Adelaide</w:t>
      </w:r>
      <w:r w:rsidR="00DF3973">
        <w:t>.</w:t>
      </w:r>
    </w:p>
    <w:p w:rsidR="00E223D9" w:rsidRPr="00DF3973" w:rsidRDefault="00DF3973" w:rsidP="0093279C">
      <w:pPr>
        <w:pStyle w:val="References"/>
      </w:pPr>
      <w:r>
        <w:t>White, S</w:t>
      </w:r>
      <w:r w:rsidR="00E223D9" w:rsidRPr="00DF3973">
        <w:t xml:space="preserve"> 2014</w:t>
      </w:r>
      <w:r>
        <w:t>,</w:t>
      </w:r>
      <w:r w:rsidR="00E223D9" w:rsidRPr="00DF3973">
        <w:t xml:space="preserve"> </w:t>
      </w:r>
      <w:r w:rsidR="00E223D9" w:rsidRPr="00DF3973">
        <w:rPr>
          <w:i/>
        </w:rPr>
        <w:t>Transitioning from vocational education and training to university: strengthening information literacy through collaboration</w:t>
      </w:r>
      <w:r w:rsidR="00E223D9" w:rsidRPr="00DF3973">
        <w:t>, NCVER</w:t>
      </w:r>
      <w:r w:rsidR="00D9346B">
        <w:t>,</w:t>
      </w:r>
      <w:r w:rsidR="00E223D9" w:rsidRPr="00DF3973">
        <w:t xml:space="preserve"> Adelaide</w:t>
      </w:r>
      <w:r>
        <w:t>.</w:t>
      </w:r>
    </w:p>
    <w:p w:rsidR="007F1A9E" w:rsidRPr="005C2FCF" w:rsidRDefault="007F1A9E" w:rsidP="007F1A9E">
      <w:pPr>
        <w:pStyle w:val="Heading1"/>
        <w:ind w:right="-1"/>
      </w:pPr>
      <w:bookmarkStart w:id="94" w:name="_Toc416683043"/>
      <w:r>
        <w:lastRenderedPageBreak/>
        <w:t>Tick TAC: the role of tertiary admissions centres in VET to university pathways</w:t>
      </w:r>
      <w:bookmarkEnd w:id="94"/>
    </w:p>
    <w:p w:rsidR="007F1A9E" w:rsidRDefault="007F1A9E" w:rsidP="00F17BA9">
      <w:pPr>
        <w:pStyle w:val="StyleAuthorsLeft0cm"/>
      </w:pPr>
      <w:r>
        <w:t>Jillian Blacker</w:t>
      </w:r>
    </w:p>
    <w:p w:rsidR="007F1A9E" w:rsidRDefault="007F1A9E" w:rsidP="00F17BA9">
      <w:pPr>
        <w:pStyle w:val="StyleAuthorsLeft0cm"/>
      </w:pPr>
      <w:r>
        <w:t>Mark Doran</w:t>
      </w:r>
    </w:p>
    <w:p w:rsidR="007F1A9E" w:rsidRDefault="007F1A9E" w:rsidP="00F17BA9">
      <w:pPr>
        <w:pStyle w:val="StyleAuthorsLeft0cm"/>
      </w:pPr>
      <w:r>
        <w:t>Craig Poole</w:t>
      </w:r>
    </w:p>
    <w:p w:rsidR="007F1A9E" w:rsidRDefault="007F1A9E" w:rsidP="00F17BA9">
      <w:pPr>
        <w:pStyle w:val="StyleAuthorsLeft0cm"/>
      </w:pPr>
      <w:r>
        <w:t xml:space="preserve">Alicia </w:t>
      </w:r>
      <w:proofErr w:type="spellStart"/>
      <w:r>
        <w:t>Toohey</w:t>
      </w:r>
      <w:proofErr w:type="spellEnd"/>
    </w:p>
    <w:p w:rsidR="007F1A9E" w:rsidRDefault="007F1A9E" w:rsidP="00F17BA9">
      <w:pPr>
        <w:pStyle w:val="StyleOrganisationLeft0cmRight-0cm"/>
      </w:pPr>
      <w:r>
        <w:t>Southbank Institute of Technology</w:t>
      </w:r>
    </w:p>
    <w:p w:rsidR="007F1A9E" w:rsidRDefault="007F1A9E" w:rsidP="00323F7F">
      <w:pPr>
        <w:pStyle w:val="Text"/>
        <w:spacing w:before="360"/>
        <w:ind w:right="0"/>
      </w:pPr>
      <w:r>
        <w:t xml:space="preserve">The recent NCVER research report </w:t>
      </w:r>
      <w:r w:rsidRPr="002E6C84">
        <w:rPr>
          <w:i/>
        </w:rPr>
        <w:t>A half-open door: pathways for VET award holders into Australian universities</w:t>
      </w:r>
      <w:r>
        <w:t xml:space="preserve"> confirms that </w:t>
      </w:r>
      <w:r w:rsidR="004C5471">
        <w:t>‘</w:t>
      </w:r>
      <w:r>
        <w:t>university policies and practices appear to influence the rate at which institutions admit students on the basis of a VET award</w:t>
      </w:r>
      <w:r w:rsidR="004C5471">
        <w:t>’</w:t>
      </w:r>
      <w:r>
        <w:t xml:space="preserve"> (Watson, Hagel &amp; </w:t>
      </w:r>
      <w:proofErr w:type="spellStart"/>
      <w:r>
        <w:t>Chesters</w:t>
      </w:r>
      <w:proofErr w:type="spellEnd"/>
      <w:r>
        <w:t xml:space="preserve"> 2013</w:t>
      </w:r>
      <w:r w:rsidR="002E6C84">
        <w:t>,</w:t>
      </w:r>
      <w:r>
        <w:t xml:space="preserve"> p.2). The authors of this paper will explore how the subtle differences between universities</w:t>
      </w:r>
      <w:r w:rsidR="004C5471">
        <w:t>’</w:t>
      </w:r>
      <w:r>
        <w:t xml:space="preserve"> implementation of policies in promoting student pathways may be also </w:t>
      </w:r>
      <w:r w:rsidR="002E6C84">
        <w:t>influenced</w:t>
      </w:r>
      <w:r>
        <w:t xml:space="preserve"> by the operations of state tertiary admissions centres (TACs). This paper will explore how the TACs in different Australian states and territories function in enabling students to move into </w:t>
      </w:r>
      <w:r w:rsidR="002E6C84">
        <w:t xml:space="preserve">higher education </w:t>
      </w:r>
      <w:r>
        <w:t>on completion of their vocational education qualification. It will examine whether operational differences are apparent across state and territory jurisdictions and to what extent, therefore, these may contribute to a variation in the numbers o</w:t>
      </w:r>
      <w:r w:rsidR="00D0425B">
        <w:t xml:space="preserve">f students articulating from </w:t>
      </w:r>
      <w:r w:rsidR="002E6C84">
        <w:t>VET</w:t>
      </w:r>
      <w:r>
        <w:t xml:space="preserve"> to university. Particular attention will be paid to TAC offerings that couple a diploma and degree in a selectable study pathway at the point of appl</w:t>
      </w:r>
      <w:r w:rsidR="00A40466">
        <w:t>ication</w:t>
      </w:r>
      <w:r>
        <w:t xml:space="preserve"> for a place in the tertiary education sector. Such an offering clearly shows both guaranteed entry into a university as well as academic credit in a single study preference. The authors, from </w:t>
      </w:r>
      <w:r w:rsidR="002E6C84">
        <w:t xml:space="preserve">the </w:t>
      </w:r>
      <w:r>
        <w:t xml:space="preserve">VET and </w:t>
      </w:r>
      <w:r w:rsidR="002E6C84">
        <w:t>higher education sectors,</w:t>
      </w:r>
      <w:r>
        <w:t xml:space="preserve"> will draw on findings from the national Integrated Articulation and Credit Transfer project, their extensive practice in establishing articulation pathways, as well as the results of a series of NCVER Student Outcome</w:t>
      </w:r>
      <w:r w:rsidR="00A40466">
        <w:t xml:space="preserve">s </w:t>
      </w:r>
      <w:r>
        <w:t>reports.</w:t>
      </w:r>
      <w:r w:rsidR="00611BDD">
        <w:t xml:space="preserve"> </w:t>
      </w:r>
    </w:p>
    <w:p w:rsidR="007F1A9E" w:rsidRPr="007F1A9E" w:rsidRDefault="007F1A9E" w:rsidP="007F1A9E">
      <w:pPr>
        <w:pStyle w:val="Heading2"/>
      </w:pPr>
      <w:bookmarkStart w:id="95" w:name="_Toc395248389"/>
      <w:bookmarkStart w:id="96" w:name="_Toc412455626"/>
      <w:bookmarkStart w:id="97" w:name="_Toc416683044"/>
      <w:r w:rsidRPr="007F1A9E">
        <w:t>Introduction</w:t>
      </w:r>
      <w:bookmarkEnd w:id="95"/>
      <w:bookmarkEnd w:id="96"/>
      <w:bookmarkEnd w:id="97"/>
    </w:p>
    <w:p w:rsidR="007F1A9E" w:rsidRPr="007F1A9E" w:rsidRDefault="007F1A9E" w:rsidP="007F1A9E">
      <w:pPr>
        <w:pStyle w:val="Text"/>
      </w:pPr>
      <w:r>
        <w:t>If we look at the proc</w:t>
      </w:r>
      <w:r w:rsidR="002E6C84">
        <w:t xml:space="preserve">ess of applying for admission </w:t>
      </w:r>
      <w:r>
        <w:t>to an Australian university from the point of view of potential students, it is clear that one of the first institutions with which they must likely engage is a state or territory</w:t>
      </w:r>
      <w:r w:rsidR="004C5471">
        <w:t>’</w:t>
      </w:r>
      <w:r>
        <w:t xml:space="preserve">s </w:t>
      </w:r>
      <w:r w:rsidR="002E6C84">
        <w:t>tertiary admissions centre (or equivalent).</w:t>
      </w:r>
      <w:r w:rsidR="00A40466">
        <w:t xml:space="preserve"> T</w:t>
      </w:r>
      <w:r>
        <w:t xml:space="preserve">hese organisations have been set up with the express purpose of processing applications for a place in a university course. In some instances, </w:t>
      </w:r>
      <w:r w:rsidR="00171F8A">
        <w:t>tertiary admissions centres</w:t>
      </w:r>
      <w:r>
        <w:t xml:space="preserve"> can also process applications for entry into VET di</w:t>
      </w:r>
      <w:r w:rsidR="00171F8A">
        <w:t>plomas and advanced diplomas.</w:t>
      </w:r>
      <w:r w:rsidR="00611BDD">
        <w:t xml:space="preserve"> </w:t>
      </w:r>
      <w:r>
        <w:t>The authors contend therefore that any discussion of the accessibility and effectiveness of</w:t>
      </w:r>
      <w:r w:rsidR="005A33DD">
        <w:t xml:space="preserve"> articulation pathways from </w:t>
      </w:r>
      <w:r>
        <w:t xml:space="preserve">VET to </w:t>
      </w:r>
      <w:r w:rsidR="00171F8A">
        <w:t>higher education</w:t>
      </w:r>
      <w:r>
        <w:t xml:space="preserve"> must include some examination of how TACs operate. </w:t>
      </w:r>
      <w:bookmarkStart w:id="98" w:name="_Toc395248390"/>
      <w:r w:rsidR="00A40466">
        <w:t>The</w:t>
      </w:r>
      <w:r>
        <w:t xml:space="preserve"> authors </w:t>
      </w:r>
      <w:r w:rsidR="00A40466">
        <w:t xml:space="preserve">assert </w:t>
      </w:r>
      <w:r>
        <w:t xml:space="preserve">that </w:t>
      </w:r>
      <w:r w:rsidR="005A33DD">
        <w:t>tertiary admissions centres</w:t>
      </w:r>
      <w:r w:rsidRPr="007F1A9E">
        <w:t xml:space="preserve">, rarely mentioned in the national VET to </w:t>
      </w:r>
      <w:r w:rsidR="00171F8A">
        <w:t>higher education</w:t>
      </w:r>
      <w:r w:rsidRPr="007F1A9E">
        <w:t xml:space="preserve"> pathways discussion, are crucial to the development of cross-sectoral pathways and</w:t>
      </w:r>
      <w:r w:rsidR="00A40466">
        <w:t>,</w:t>
      </w:r>
      <w:r w:rsidRPr="007F1A9E">
        <w:t xml:space="preserve"> more importantly</w:t>
      </w:r>
      <w:r w:rsidR="00A40466">
        <w:t>,</w:t>
      </w:r>
      <w:r w:rsidRPr="007F1A9E">
        <w:t xml:space="preserve"> have the capacity and the resources to facilitate them.</w:t>
      </w:r>
    </w:p>
    <w:p w:rsidR="00323F7F" w:rsidRDefault="00323F7F">
      <w:pPr>
        <w:spacing w:before="0" w:line="240" w:lineRule="auto"/>
        <w:rPr>
          <w:rFonts w:ascii="Tahoma" w:hAnsi="Tahoma" w:cs="Tahoma"/>
          <w:color w:val="000000"/>
          <w:sz w:val="24"/>
        </w:rPr>
      </w:pPr>
      <w:r>
        <w:br w:type="page"/>
      </w:r>
    </w:p>
    <w:p w:rsidR="007F1A9E" w:rsidRPr="007F1A9E" w:rsidRDefault="007F1A9E" w:rsidP="007F1A9E">
      <w:pPr>
        <w:pStyle w:val="Heading3"/>
      </w:pPr>
      <w:r w:rsidRPr="007F1A9E">
        <w:lastRenderedPageBreak/>
        <w:t>Background</w:t>
      </w:r>
      <w:bookmarkEnd w:id="98"/>
    </w:p>
    <w:p w:rsidR="007F1A9E" w:rsidRPr="007F1A9E" w:rsidRDefault="00171F8A" w:rsidP="00323F7F">
      <w:pPr>
        <w:pStyle w:val="Textlessbefore"/>
      </w:pPr>
      <w:r>
        <w:t>For almost 30</w:t>
      </w:r>
      <w:r w:rsidR="007F1A9E" w:rsidRPr="007F1A9E">
        <w:t xml:space="preserve"> years tertiary education providers have been exploring how to effectively implement articulation and credit transfer pathways between the VET and </w:t>
      </w:r>
      <w:r>
        <w:t xml:space="preserve">higher education sectors. </w:t>
      </w:r>
      <w:proofErr w:type="spellStart"/>
      <w:r>
        <w:t>PhillipsKPA</w:t>
      </w:r>
      <w:proofErr w:type="spellEnd"/>
      <w:r>
        <w:t xml:space="preserve"> (2006</w:t>
      </w:r>
      <w:r w:rsidR="007F1A9E" w:rsidRPr="007F1A9E">
        <w:t>, p.54) recognised that there have been many barriers that impede the development of these pathways</w:t>
      </w:r>
      <w:r>
        <w:t>,</w:t>
      </w:r>
      <w:r w:rsidR="007F1A9E" w:rsidRPr="007F1A9E">
        <w:t xml:space="preserve"> including issues relating t</w:t>
      </w:r>
      <w:r w:rsidR="005C1885">
        <w:t>o access and equity, efficiency and</w:t>
      </w:r>
      <w:r w:rsidR="007F1A9E" w:rsidRPr="007F1A9E">
        <w:t xml:space="preserve"> views about the roles of the different sectors and therefore how best to create pathways between them. While these issues seemingly only relate to traditional VET to </w:t>
      </w:r>
      <w:r>
        <w:t>higher education</w:t>
      </w:r>
      <w:r w:rsidR="007F1A9E" w:rsidRPr="007F1A9E">
        <w:t xml:space="preserve"> articulation pathways, the</w:t>
      </w:r>
      <w:r>
        <w:t>y are equally prevalent in dual-</w:t>
      </w:r>
      <w:r w:rsidR="007F1A9E" w:rsidRPr="007F1A9E">
        <w:t>sector organisations a</w:t>
      </w:r>
      <w:r w:rsidR="005C1885">
        <w:t xml:space="preserve">nd impede articulation from </w:t>
      </w:r>
      <w:r w:rsidR="007F1A9E" w:rsidRPr="007F1A9E">
        <w:t xml:space="preserve">VET to </w:t>
      </w:r>
      <w:r>
        <w:t>higher education</w:t>
      </w:r>
      <w:r w:rsidR="007F1A9E" w:rsidRPr="007F1A9E">
        <w:t xml:space="preserve"> within the same organisation (Milne, Keating &amp; Holden 2006; </w:t>
      </w:r>
      <w:proofErr w:type="spellStart"/>
      <w:r w:rsidR="007F1A9E" w:rsidRPr="007F1A9E">
        <w:t>Paez</w:t>
      </w:r>
      <w:proofErr w:type="spellEnd"/>
      <w:r w:rsidR="007F1A9E" w:rsidRPr="007F1A9E">
        <w:t xml:space="preserve"> &amp; Blacker 2012).</w:t>
      </w:r>
    </w:p>
    <w:p w:rsidR="007F1A9E" w:rsidRPr="007F1A9E" w:rsidRDefault="007F1A9E" w:rsidP="007F1A9E">
      <w:pPr>
        <w:pStyle w:val="Text"/>
      </w:pPr>
      <w:r w:rsidRPr="007F1A9E">
        <w:t xml:space="preserve">The </w:t>
      </w:r>
      <w:r w:rsidR="005C1885">
        <w:rPr>
          <w:i/>
        </w:rPr>
        <w:t>Review of Australian higher e</w:t>
      </w:r>
      <w:r w:rsidRPr="005C1885">
        <w:rPr>
          <w:i/>
        </w:rPr>
        <w:t>ducation</w:t>
      </w:r>
      <w:r w:rsidRPr="007F1A9E">
        <w:t xml:space="preserve"> (Bradley Review) called for </w:t>
      </w:r>
      <w:r w:rsidR="004C5471">
        <w:t>‘</w:t>
      </w:r>
      <w:r w:rsidRPr="007F1A9E">
        <w:t>urgent and substantial structural change</w:t>
      </w:r>
      <w:r w:rsidR="004C5471">
        <w:t>’</w:t>
      </w:r>
      <w:r w:rsidRPr="007F1A9E">
        <w:t xml:space="preserve"> to</w:t>
      </w:r>
      <w:r w:rsidR="00171F8A">
        <w:t xml:space="preserve"> address the barriers (2008, p.1). </w:t>
      </w:r>
      <w:r w:rsidRPr="007F1A9E">
        <w:t xml:space="preserve">Subsequently other significant pieces of work were undertaken in this area to investigate the barriers to effective articulation pathways and strategies to overcome them. These include the </w:t>
      </w:r>
      <w:r w:rsidRPr="008E45EB">
        <w:t>Integrated Articulation and Credit Transfer project</w:t>
      </w:r>
      <w:r w:rsidR="008E45EB">
        <w:rPr>
          <w:rStyle w:val="FootnoteReference"/>
        </w:rPr>
        <w:footnoteReference w:id="9"/>
      </w:r>
      <w:r w:rsidR="00A40466" w:rsidRPr="008E45EB">
        <w:t>,</w:t>
      </w:r>
      <w:r w:rsidRPr="008E45EB">
        <w:t xml:space="preserve"> which was funded by the federal government (2</w:t>
      </w:r>
      <w:r w:rsidR="00171F8A" w:rsidRPr="008E45EB">
        <w:t>009—</w:t>
      </w:r>
      <w:r w:rsidRPr="008E45EB">
        <w:t>11),</w:t>
      </w:r>
      <w:r w:rsidRPr="007F1A9E">
        <w:t xml:space="preserve"> the strengthening of </w:t>
      </w:r>
      <w:r w:rsidR="00171F8A">
        <w:t xml:space="preserve">the </w:t>
      </w:r>
      <w:r w:rsidRPr="007F1A9E">
        <w:t>Australian Qualifications Framework</w:t>
      </w:r>
      <w:r w:rsidR="00C041D5">
        <w:t xml:space="preserve"> (AQF)</w:t>
      </w:r>
      <w:r w:rsidRPr="007F1A9E">
        <w:t xml:space="preserve"> (spe</w:t>
      </w:r>
      <w:r w:rsidR="00A40466">
        <w:t xml:space="preserve">cifically the Pathways Policy; </w:t>
      </w:r>
      <w:r w:rsidRPr="007F1A9E">
        <w:t xml:space="preserve">2011) and more recently the </w:t>
      </w:r>
      <w:r w:rsidR="00C86166">
        <w:t>Wats</w:t>
      </w:r>
      <w:r w:rsidR="00A40466">
        <w:t>on, Hagel and</w:t>
      </w:r>
      <w:r w:rsidR="00C86166">
        <w:t xml:space="preserve"> </w:t>
      </w:r>
      <w:proofErr w:type="spellStart"/>
      <w:r w:rsidR="00C86166">
        <w:t>Chesters</w:t>
      </w:r>
      <w:proofErr w:type="spellEnd"/>
      <w:r w:rsidRPr="007F1A9E">
        <w:t xml:space="preserve"> </w:t>
      </w:r>
      <w:r w:rsidR="00A40466">
        <w:t>report (</w:t>
      </w:r>
      <w:r w:rsidRPr="007F1A9E">
        <w:t>2013). As a result of this work, new and innovative models of articulation and credit transfer have evolved.</w:t>
      </w:r>
    </w:p>
    <w:p w:rsidR="007F1A9E" w:rsidRPr="007F1A9E" w:rsidRDefault="00C86166" w:rsidP="007F1A9E">
      <w:pPr>
        <w:pStyle w:val="Heading3"/>
      </w:pPr>
      <w:bookmarkStart w:id="99" w:name="_Toc395248391"/>
      <w:r>
        <w:t>Types of p</w:t>
      </w:r>
      <w:r w:rsidR="007F1A9E" w:rsidRPr="007F1A9E">
        <w:t>athways</w:t>
      </w:r>
      <w:bookmarkEnd w:id="99"/>
      <w:r w:rsidR="007F1A9E" w:rsidRPr="007F1A9E">
        <w:t xml:space="preserve"> </w:t>
      </w:r>
    </w:p>
    <w:p w:rsidR="007F1A9E" w:rsidRPr="007F1A9E" w:rsidRDefault="007F1A9E" w:rsidP="00323F7F">
      <w:pPr>
        <w:pStyle w:val="Textlessbefore"/>
      </w:pPr>
      <w:bookmarkStart w:id="100" w:name="_Toc393899471"/>
      <w:bookmarkStart w:id="101" w:name="_Toc393898354"/>
      <w:bookmarkStart w:id="102" w:name="_Toc395248392"/>
      <w:r w:rsidRPr="007F1A9E">
        <w:t>Traditional articulation and credit transfer arrangements have been based on end-on enrolment</w:t>
      </w:r>
      <w:r w:rsidR="00C86166">
        <w:t>,</w:t>
      </w:r>
      <w:r w:rsidRPr="007F1A9E">
        <w:t xml:space="preserve"> whereby a student completes their VET qualification (diploma or higher) and then investigates opportunities for </w:t>
      </w:r>
      <w:r w:rsidR="00171F8A">
        <w:t>higher education</w:t>
      </w:r>
      <w:r w:rsidRPr="007F1A9E">
        <w:t xml:space="preserve"> study. </w:t>
      </w:r>
      <w:bookmarkStart w:id="103" w:name="_Toc393899472"/>
      <w:bookmarkEnd w:id="100"/>
      <w:r w:rsidRPr="007F1A9E">
        <w:t xml:space="preserve">The student applies to a university usually through a </w:t>
      </w:r>
      <w:r w:rsidR="00C86166">
        <w:t>tertiary admissions centre</w:t>
      </w:r>
      <w:r w:rsidRPr="007F1A9E">
        <w:t xml:space="preserve"> and then, if admitted, explores the possibility of credit</w:t>
      </w:r>
      <w:r w:rsidR="00C86166">
        <w:t>,</w:t>
      </w:r>
      <w:r w:rsidRPr="007F1A9E">
        <w:t xml:space="preserve"> which may or may not have been negotiated </w:t>
      </w:r>
      <w:r w:rsidR="00B42ADB">
        <w:t xml:space="preserve">beforehand </w:t>
      </w:r>
      <w:r w:rsidRPr="007F1A9E">
        <w:t>on their behalf.</w:t>
      </w:r>
      <w:bookmarkEnd w:id="101"/>
      <w:bookmarkEnd w:id="102"/>
      <w:bookmarkEnd w:id="103"/>
    </w:p>
    <w:p w:rsidR="007F1A9E" w:rsidRDefault="007F1A9E" w:rsidP="007F1A9E">
      <w:pPr>
        <w:pStyle w:val="Text"/>
      </w:pPr>
      <w:r>
        <w:t xml:space="preserve">These pathways have been extended into other models such as concurrent enrolment in both a VET and </w:t>
      </w:r>
      <w:r w:rsidR="00171F8A">
        <w:t>higher education</w:t>
      </w:r>
      <w:r w:rsidR="00A40466">
        <w:t xml:space="preserve"> course as well as direct-</w:t>
      </w:r>
      <w:r>
        <w:t>entry pathways</w:t>
      </w:r>
      <w:r w:rsidR="00C86166">
        <w:t>,</w:t>
      </w:r>
      <w:r>
        <w:t xml:space="preserve"> whereby, on completion of their VET qualification (diploma or higher), the student applies directly to a given uni</w:t>
      </w:r>
      <w:r w:rsidR="00C86166">
        <w:t xml:space="preserve">versity for entry with credit. </w:t>
      </w:r>
      <w:r>
        <w:t xml:space="preserve">This pathway, negotiated and agreed to by the university and </w:t>
      </w:r>
      <w:r w:rsidR="00C86166">
        <w:t>registered training organisatio</w:t>
      </w:r>
      <w:r>
        <w:t>n, deliberately removes the requirement to apply for university entry via a TAC</w:t>
      </w:r>
      <w:r w:rsidR="00A40466">
        <w:t>,</w:t>
      </w:r>
      <w:r>
        <w:t xml:space="preserve"> </w:t>
      </w:r>
      <w:r w:rsidR="005C1885">
        <w:t>the aim being</w:t>
      </w:r>
      <w:r w:rsidR="00C86166">
        <w:t xml:space="preserve"> to</w:t>
      </w:r>
      <w:r>
        <w:t xml:space="preserve"> reduce </w:t>
      </w:r>
      <w:r w:rsidR="00C86166">
        <w:t xml:space="preserve">the </w:t>
      </w:r>
      <w:r>
        <w:t xml:space="preserve">barriers to transition from one sector to another. </w:t>
      </w:r>
    </w:p>
    <w:p w:rsidR="00B947C9" w:rsidRDefault="007F1A9E" w:rsidP="00323F7F">
      <w:pPr>
        <w:pStyle w:val="Text"/>
        <w:ind w:right="-143"/>
      </w:pPr>
      <w:r>
        <w:t xml:space="preserve">Such pathways have been further refined to incorporate </w:t>
      </w:r>
      <w:r w:rsidR="00C86166">
        <w:t>dual-</w:t>
      </w:r>
      <w:r>
        <w:t>award pathway arrangements, on offer in Queensland since 1996 and more recently available in South Australia</w:t>
      </w:r>
      <w:r w:rsidR="005C1885">
        <w:t>,</w:t>
      </w:r>
      <w:r>
        <w:t xml:space="preserve"> since 2013 (</w:t>
      </w:r>
      <w:r w:rsidR="00C86166">
        <w:t xml:space="preserve">A </w:t>
      </w:r>
      <w:proofErr w:type="spellStart"/>
      <w:r w:rsidR="00C86166">
        <w:t>Toohey</w:t>
      </w:r>
      <w:proofErr w:type="spellEnd"/>
      <w:r w:rsidR="00C86166">
        <w:t xml:space="preserve"> pers. comm. with P </w:t>
      </w:r>
      <w:r w:rsidRPr="001A16D1">
        <w:t>Hillman</w:t>
      </w:r>
      <w:r w:rsidR="004E7610">
        <w:t>,</w:t>
      </w:r>
      <w:r w:rsidRPr="001A16D1">
        <w:t xml:space="preserve"> </w:t>
      </w:r>
      <w:r w:rsidR="00C86166">
        <w:t xml:space="preserve">8 August </w:t>
      </w:r>
      <w:r w:rsidRPr="001A16D1">
        <w:t>2014</w:t>
      </w:r>
      <w:r>
        <w:t xml:space="preserve">). In this model the student applies to </w:t>
      </w:r>
      <w:r w:rsidR="005C1885">
        <w:t>an admissions centre</w:t>
      </w:r>
      <w:r w:rsidRPr="007F1A9E">
        <w:t xml:space="preserve"> for a study program that incorporates both a diploma (or higher) and a degree. The student applies for both qualifications at the outset of their tertiary studies and on completion of the VET qualification articulates directly into their guarante</w:t>
      </w:r>
      <w:r w:rsidR="00C86166">
        <w:t>ed place in the degree with pre</w:t>
      </w:r>
      <w:r w:rsidRPr="007F1A9E">
        <w:t xml:space="preserve">determined credit. </w:t>
      </w:r>
    </w:p>
    <w:p w:rsidR="007F1A9E" w:rsidRPr="007F1A9E" w:rsidRDefault="00B947C9" w:rsidP="00323F7F">
      <w:pPr>
        <w:pStyle w:val="Text"/>
        <w:ind w:right="-143"/>
      </w:pPr>
      <w:r>
        <w:t xml:space="preserve">Figure 1 </w:t>
      </w:r>
      <w:r w:rsidR="007F1A9E" w:rsidRPr="007F1A9E">
        <w:t xml:space="preserve">illustrates how a dual award is offered to applicants by </w:t>
      </w:r>
      <w:r w:rsidR="0029577C" w:rsidRPr="0029577C">
        <w:t>Queens</w:t>
      </w:r>
      <w:r w:rsidR="00C86166">
        <w:t>land Tertiary Admissions Centre</w:t>
      </w:r>
      <w:r w:rsidR="007F1A9E" w:rsidRPr="007F1A9E">
        <w:t>.</w:t>
      </w:r>
    </w:p>
    <w:p w:rsidR="007F1A9E" w:rsidRDefault="007F1A9E" w:rsidP="007F1A9E">
      <w:pPr>
        <w:pStyle w:val="Text"/>
        <w:rPr>
          <w:rFonts w:cs="Tahoma"/>
          <w:color w:val="000000"/>
          <w:szCs w:val="19"/>
        </w:rPr>
      </w:pPr>
      <w:r w:rsidRPr="007F1A9E">
        <w:t>It is important to note that the traditional/existing models of articulation and credit transfer remain valid options</w:t>
      </w:r>
      <w:r w:rsidR="00B42ADB">
        <w:t>,</w:t>
      </w:r>
      <w:r w:rsidRPr="007F1A9E">
        <w:t xml:space="preserve"> but the pathway model</w:t>
      </w:r>
      <w:r w:rsidR="005C1885">
        <w:t>, which is</w:t>
      </w:r>
      <w:r w:rsidRPr="007F1A9E">
        <w:t xml:space="preserve"> the central focus of this paper</w:t>
      </w:r>
      <w:r w:rsidR="005C1885">
        <w:t>,</w:t>
      </w:r>
      <w:r w:rsidRPr="007F1A9E">
        <w:t xml:space="preserve"> is the dual award.</w:t>
      </w:r>
      <w:r w:rsidR="00611BDD">
        <w:rPr>
          <w:rFonts w:cs="Tahoma"/>
          <w:color w:val="000000"/>
          <w:szCs w:val="19"/>
        </w:rPr>
        <w:t xml:space="preserve"> </w:t>
      </w:r>
    </w:p>
    <w:p w:rsidR="007F1A9E" w:rsidRDefault="00323F7F" w:rsidP="00323F7F">
      <w:pPr>
        <w:pStyle w:val="Figuretitle"/>
      </w:pPr>
      <w:bookmarkStart w:id="104" w:name="_Ref393887748"/>
      <w:bookmarkStart w:id="105" w:name="_Toc393898329"/>
      <w:r w:rsidRPr="00C86166">
        <w:rPr>
          <w:noProof/>
          <w:lang w:eastAsia="en-AU"/>
        </w:rPr>
        <w:lastRenderedPageBreak/>
        <w:drawing>
          <wp:anchor distT="0" distB="0" distL="114300" distR="114300" simplePos="0" relativeHeight="251709440" behindDoc="0" locked="0" layoutInCell="1" allowOverlap="1" wp14:anchorId="21DF4E2E" wp14:editId="0EC70D5C">
            <wp:simplePos x="0" y="0"/>
            <wp:positionH relativeFrom="column">
              <wp:posOffset>-548005</wp:posOffset>
            </wp:positionH>
            <wp:positionV relativeFrom="paragraph">
              <wp:posOffset>277495</wp:posOffset>
            </wp:positionV>
            <wp:extent cx="6839585" cy="3705225"/>
            <wp:effectExtent l="0" t="0" r="0" b="9525"/>
            <wp:wrapTopAndBottom/>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39585" cy="37052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F1A9E" w:rsidRPr="00500204">
        <w:t xml:space="preserve">Figure </w:t>
      </w:r>
      <w:r w:rsidR="00671C09" w:rsidRPr="00500204">
        <w:fldChar w:fldCharType="begin"/>
      </w:r>
      <w:r w:rsidR="007F1A9E" w:rsidRPr="00500204">
        <w:instrText xml:space="preserve"> SEQ Figure \* ARABIC </w:instrText>
      </w:r>
      <w:r w:rsidR="00671C09" w:rsidRPr="00500204">
        <w:fldChar w:fldCharType="separate"/>
      </w:r>
      <w:r w:rsidR="0065637A">
        <w:rPr>
          <w:noProof/>
        </w:rPr>
        <w:t>1</w:t>
      </w:r>
      <w:r w:rsidR="00671C09" w:rsidRPr="00500204">
        <w:fldChar w:fldCharType="end"/>
      </w:r>
      <w:bookmarkEnd w:id="104"/>
      <w:r>
        <w:tab/>
      </w:r>
      <w:r w:rsidR="007F1A9E" w:rsidRPr="00500204">
        <w:t xml:space="preserve">Example of QTAC </w:t>
      </w:r>
      <w:r w:rsidR="000C5C37">
        <w:t>dual-</w:t>
      </w:r>
      <w:r w:rsidR="00C86166">
        <w:t>award</w:t>
      </w:r>
      <w:r w:rsidR="00C86166" w:rsidRPr="00500204">
        <w:t xml:space="preserve"> pathway</w:t>
      </w:r>
      <w:bookmarkEnd w:id="105"/>
    </w:p>
    <w:p w:rsidR="00323F7F" w:rsidRPr="00323F7F" w:rsidRDefault="007F1A9E" w:rsidP="00323F7F">
      <w:pPr>
        <w:pStyle w:val="Source"/>
        <w:spacing w:before="240"/>
      </w:pPr>
      <w:r w:rsidRPr="00323F7F">
        <w:t>Source:</w:t>
      </w:r>
      <w:r w:rsidR="00323F7F" w:rsidRPr="00323F7F">
        <w:tab/>
      </w:r>
      <w:r w:rsidRPr="00323F7F">
        <w:t xml:space="preserve">Extract from </w:t>
      </w:r>
      <w:r w:rsidR="00C86166" w:rsidRPr="00323F7F">
        <w:t>Queensland Tertiary Admissions Centre website</w:t>
      </w:r>
      <w:r w:rsidR="00C041D5" w:rsidRPr="00323F7F">
        <w:t xml:space="preserve"> </w:t>
      </w:r>
      <w:r w:rsidR="00323F7F">
        <w:t>&lt;</w:t>
      </w:r>
      <w:hyperlink r:id="rId37" w:history="1">
        <w:r w:rsidR="00323F7F" w:rsidRPr="00323F7F">
          <w:rPr>
            <w:rStyle w:val="Hyperlink"/>
            <w:rFonts w:ascii="Arial" w:hAnsi="Arial"/>
            <w:sz w:val="15"/>
          </w:rPr>
          <w:t>www.qtac.edu.au</w:t>
        </w:r>
      </w:hyperlink>
      <w:r w:rsidR="00323F7F">
        <w:t>&gt;</w:t>
      </w:r>
      <w:r w:rsidR="00C86166" w:rsidRPr="00323F7F">
        <w:t>.</w:t>
      </w:r>
    </w:p>
    <w:p w:rsidR="007F1A9E" w:rsidRPr="007F1A9E" w:rsidRDefault="007F1A9E" w:rsidP="007F1A9E">
      <w:pPr>
        <w:pStyle w:val="Heading2"/>
      </w:pPr>
      <w:bookmarkStart w:id="106" w:name="_Toc395248393"/>
      <w:bookmarkStart w:id="107" w:name="_Toc412455627"/>
      <w:bookmarkStart w:id="108" w:name="_Toc416683045"/>
      <w:r w:rsidRPr="007F1A9E">
        <w:t>Findings and discussion</w:t>
      </w:r>
      <w:bookmarkEnd w:id="106"/>
      <w:bookmarkEnd w:id="107"/>
      <w:bookmarkEnd w:id="108"/>
    </w:p>
    <w:p w:rsidR="007F1A9E" w:rsidRPr="007F1A9E" w:rsidRDefault="007F1A9E" w:rsidP="00323F7F">
      <w:pPr>
        <w:pStyle w:val="Heading3"/>
        <w:spacing w:before="120"/>
      </w:pPr>
      <w:bookmarkStart w:id="109" w:name="_Toc395248394"/>
      <w:r w:rsidRPr="007F1A9E">
        <w:t>Methodology</w:t>
      </w:r>
      <w:bookmarkEnd w:id="109"/>
    </w:p>
    <w:p w:rsidR="007F1A9E" w:rsidRDefault="007F1A9E" w:rsidP="00323F7F">
      <w:pPr>
        <w:pStyle w:val="Textlessbefore"/>
      </w:pPr>
      <w:r>
        <w:t xml:space="preserve">The authors commenced this research with a general understanding that dual awards had been successful at Southbank </w:t>
      </w:r>
      <w:r w:rsidR="00274D68">
        <w:t>Institute</w:t>
      </w:r>
      <w:r w:rsidR="000C5C37">
        <w:t xml:space="preserve"> of Technology (SBIT) in</w:t>
      </w:r>
      <w:r>
        <w:t xml:space="preserve"> Queensland. This prompted the following research questions:</w:t>
      </w:r>
    </w:p>
    <w:p w:rsidR="007F1A9E" w:rsidRPr="00323F7F" w:rsidRDefault="007F1A9E" w:rsidP="00323F7F">
      <w:pPr>
        <w:pStyle w:val="Dotpoint1"/>
      </w:pPr>
      <w:r>
        <w:t xml:space="preserve">What is the empirical </w:t>
      </w:r>
      <w:r w:rsidRPr="00323F7F">
        <w:t>evidence that shows this pathway model is successful?</w:t>
      </w:r>
    </w:p>
    <w:p w:rsidR="007F1A9E" w:rsidRPr="00323F7F" w:rsidRDefault="007F1A9E" w:rsidP="00323F7F">
      <w:pPr>
        <w:pStyle w:val="Dotpoint1"/>
      </w:pPr>
      <w:r w:rsidRPr="00323F7F">
        <w:t xml:space="preserve">Are dual awards as successful at other Queensland tertiary education providers? </w:t>
      </w:r>
    </w:p>
    <w:p w:rsidR="008730B2" w:rsidRDefault="007F1A9E" w:rsidP="00323F7F">
      <w:pPr>
        <w:pStyle w:val="Dotpoint1"/>
      </w:pPr>
      <w:r w:rsidRPr="00323F7F">
        <w:t>Are dual awards offered</w:t>
      </w:r>
      <w:r>
        <w:t xml:space="preserve"> in other states?</w:t>
      </w:r>
    </w:p>
    <w:p w:rsidR="007F1A9E" w:rsidRPr="00323F7F" w:rsidRDefault="007F1A9E" w:rsidP="00323F7F">
      <w:pPr>
        <w:pStyle w:val="Dotpoint2"/>
      </w:pPr>
      <w:r>
        <w:t xml:space="preserve">If so, are as they </w:t>
      </w:r>
      <w:r w:rsidRPr="00323F7F">
        <w:t>as successful as they have been in Queensland?</w:t>
      </w:r>
    </w:p>
    <w:p w:rsidR="007F1A9E" w:rsidRDefault="007F1A9E" w:rsidP="00323F7F">
      <w:pPr>
        <w:pStyle w:val="Dotpoint2"/>
      </w:pPr>
      <w:r w:rsidRPr="00323F7F">
        <w:t>If not, can/should t</w:t>
      </w:r>
      <w:r>
        <w:t>hey be implemented in other states?</w:t>
      </w:r>
    </w:p>
    <w:p w:rsidR="007F1A9E" w:rsidRPr="00EA70C3" w:rsidRDefault="007F1A9E" w:rsidP="00323F7F">
      <w:pPr>
        <w:pStyle w:val="Dotpoint1"/>
      </w:pPr>
      <w:r>
        <w:t xml:space="preserve">Do the </w:t>
      </w:r>
      <w:r w:rsidR="000C5C37">
        <w:t>tertiary admissions centres</w:t>
      </w:r>
      <w:r>
        <w:t xml:space="preserve"> (or equivalent) in other states hav</w:t>
      </w:r>
      <w:r w:rsidR="000C5C37">
        <w:t>e the capability to enable dual-</w:t>
      </w:r>
      <w:r w:rsidR="005C1885">
        <w:t>award pathways</w:t>
      </w:r>
      <w:r>
        <w:t xml:space="preserve"> and to </w:t>
      </w:r>
      <w:r w:rsidRPr="00323F7F">
        <w:t>contribute</w:t>
      </w:r>
      <w:r>
        <w:t xml:space="preserve"> more broadly to cross sectoral articulation?</w:t>
      </w:r>
    </w:p>
    <w:p w:rsidR="007F1A9E" w:rsidRDefault="007F1A9E" w:rsidP="007F1A9E">
      <w:pPr>
        <w:pStyle w:val="Text"/>
      </w:pPr>
      <w:r>
        <w:t xml:space="preserve">Two case studies were undertaken: one investigated the recent NCVER Student Outcomes report for </w:t>
      </w:r>
      <w:r w:rsidR="000C5C37">
        <w:t>Southbank Institute of Technology</w:t>
      </w:r>
      <w:r>
        <w:t xml:space="preserve"> graduates; and the second explored the enrolment trends in a particular diploma cohort over </w:t>
      </w:r>
      <w:r w:rsidR="000C5C37">
        <w:t>seven</w:t>
      </w:r>
      <w:r>
        <w:t xml:space="preserve"> years.</w:t>
      </w:r>
      <w:r w:rsidR="00611BDD">
        <w:t xml:space="preserve"> </w:t>
      </w:r>
      <w:r>
        <w:t xml:space="preserve">Finally, a desktop scan was undertaken to explore the roles of </w:t>
      </w:r>
      <w:r w:rsidR="000C5C37">
        <w:t>tertiary admissions centres</w:t>
      </w:r>
      <w:r>
        <w:t xml:space="preserve"> in different jurisdictions, as described by the </w:t>
      </w:r>
      <w:r w:rsidR="000C5C37">
        <w:t>centres</w:t>
      </w:r>
      <w:r>
        <w:t xml:space="preserve"> themselves. It was important </w:t>
      </w:r>
      <w:r w:rsidR="00B42ADB">
        <w:t>for</w:t>
      </w:r>
      <w:r>
        <w:t xml:space="preserve"> the authors to acknowledge what </w:t>
      </w:r>
      <w:r w:rsidR="000C5C37">
        <w:t>tertiary admissions centres</w:t>
      </w:r>
      <w:r>
        <w:t xml:space="preserve"> do and to house this information in one place. </w:t>
      </w:r>
    </w:p>
    <w:p w:rsidR="00A12E16" w:rsidRDefault="00A12E16">
      <w:pPr>
        <w:spacing w:before="0" w:line="240" w:lineRule="auto"/>
        <w:rPr>
          <w:rFonts w:ascii="Tahoma" w:hAnsi="Tahoma" w:cs="Tahoma"/>
          <w:color w:val="000000"/>
          <w:sz w:val="24"/>
        </w:rPr>
      </w:pPr>
      <w:bookmarkStart w:id="110" w:name="_Toc395248395"/>
      <w:r>
        <w:br w:type="page"/>
      </w:r>
    </w:p>
    <w:p w:rsidR="007F1A9E" w:rsidRPr="007F1A9E" w:rsidRDefault="00DC6BB5" w:rsidP="007F1A9E">
      <w:pPr>
        <w:pStyle w:val="Heading3"/>
      </w:pPr>
      <w:r>
        <w:lastRenderedPageBreak/>
        <w:t>Case s</w:t>
      </w:r>
      <w:r w:rsidR="007F1A9E" w:rsidRPr="007F1A9E">
        <w:t>tudies</w:t>
      </w:r>
      <w:bookmarkEnd w:id="110"/>
    </w:p>
    <w:p w:rsidR="007F1A9E" w:rsidRDefault="007F1A9E" w:rsidP="000F6D8E">
      <w:pPr>
        <w:pStyle w:val="StyleHeading4Before6pt"/>
        <w:rPr>
          <w:szCs w:val="19"/>
        </w:rPr>
      </w:pPr>
      <w:bookmarkStart w:id="111" w:name="_Toc395248396"/>
      <w:r w:rsidRPr="007F1A9E">
        <w:t xml:space="preserve">NCVER 2013 </w:t>
      </w:r>
      <w:r w:rsidR="000C5C37" w:rsidRPr="007F1A9E">
        <w:t>student outcomes</w:t>
      </w:r>
      <w:r w:rsidRPr="007F1A9E">
        <w:t xml:space="preserve">: </w:t>
      </w:r>
      <w:bookmarkEnd w:id="111"/>
      <w:r w:rsidR="000C5C37">
        <w:t>Southbank Institute of Technology</w:t>
      </w:r>
    </w:p>
    <w:p w:rsidR="007F1A9E" w:rsidRPr="00AC25BD" w:rsidRDefault="007F1A9E" w:rsidP="00A12E16">
      <w:pPr>
        <w:pStyle w:val="Textlessbefore"/>
        <w:ind w:right="-143"/>
      </w:pPr>
      <w:r w:rsidRPr="00AC25BD">
        <w:t xml:space="preserve">Table 1 shows </w:t>
      </w:r>
      <w:r w:rsidR="000C5C37">
        <w:t xml:space="preserve">that </w:t>
      </w:r>
      <w:r w:rsidRPr="00AC25BD">
        <w:t xml:space="preserve">23% of </w:t>
      </w:r>
      <w:r w:rsidR="000C5C37">
        <w:t>Southbank Institute of Technology</w:t>
      </w:r>
      <w:r w:rsidRPr="00AC25BD">
        <w:t xml:space="preserve"> graduates in 2012 and 19% of SBIT graduates in 2013 moved into university study. While the 2013 figure is lower, it is still significantly higher than the overall nu</w:t>
      </w:r>
      <w:r w:rsidR="000C5C37">
        <w:t>mber of graduates from all VET p</w:t>
      </w:r>
      <w:r w:rsidRPr="00AC25BD">
        <w:t>roviders in Australia who went on</w:t>
      </w:r>
      <w:r w:rsidR="000C5C37">
        <w:t xml:space="preserve"> </w:t>
      </w:r>
      <w:r w:rsidRPr="00AC25BD">
        <w:t xml:space="preserve">to </w:t>
      </w:r>
      <w:r w:rsidR="00171F8A">
        <w:t>higher education</w:t>
      </w:r>
      <w:r w:rsidR="000C5C37">
        <w:t xml:space="preserve"> (8%). Given that dual-</w:t>
      </w:r>
      <w:r w:rsidRPr="00AC25BD">
        <w:t>award path</w:t>
      </w:r>
      <w:r w:rsidR="000C5C37">
        <w:t>ways only existed in Queensland —</w:t>
      </w:r>
      <w:r w:rsidRPr="00AC25BD">
        <w:t xml:space="preserve"> and mostly at </w:t>
      </w:r>
      <w:r w:rsidR="000C5C37">
        <w:t>Southbank Institute of Technology —</w:t>
      </w:r>
      <w:r w:rsidRPr="00AC25BD">
        <w:t xml:space="preserve"> during the years preceding this report</w:t>
      </w:r>
      <w:r w:rsidR="000C5C37">
        <w:t>,</w:t>
      </w:r>
      <w:r w:rsidRPr="00AC25BD">
        <w:t xml:space="preserve"> it would suggest that dual awards have a positive influence on the number of VET to </w:t>
      </w:r>
      <w:r w:rsidR="00171F8A">
        <w:t>higher education</w:t>
      </w:r>
      <w:r w:rsidRPr="00AC25BD">
        <w:t xml:space="preserve"> articulators.</w:t>
      </w:r>
      <w:r w:rsidR="00611BDD">
        <w:t xml:space="preserve"> </w:t>
      </w:r>
      <w:r w:rsidRPr="00AC25BD">
        <w:t xml:space="preserve">The downturn in </w:t>
      </w:r>
      <w:r w:rsidR="000C5C37">
        <w:t>Southbank Institute of Technology</w:t>
      </w:r>
      <w:r w:rsidR="004C5471">
        <w:t>’</w:t>
      </w:r>
      <w:r w:rsidRPr="00AC25BD">
        <w:t xml:space="preserve">s 2013 numbers could be attributed to a reduction in pathway programs due to the restructuring at that time of several diplomas and their related articulation arrangements. </w:t>
      </w:r>
    </w:p>
    <w:p w:rsidR="007F1A9E" w:rsidRPr="0060637A" w:rsidRDefault="007F1A9E" w:rsidP="00A12E16">
      <w:pPr>
        <w:pStyle w:val="tabletitle"/>
        <w:rPr>
          <w:bCs/>
          <w:lang w:eastAsia="en-AU"/>
        </w:rPr>
      </w:pPr>
      <w:bookmarkStart w:id="112" w:name="_Ref386780873"/>
      <w:bookmarkStart w:id="113" w:name="_Ref393886415"/>
      <w:bookmarkStart w:id="114" w:name="_Ref395186125"/>
      <w:bookmarkStart w:id="115" w:name="_Toc386781185"/>
      <w:bookmarkStart w:id="116" w:name="_Toc386781225"/>
      <w:bookmarkStart w:id="117" w:name="_Toc387070897"/>
      <w:bookmarkStart w:id="118" w:name="_Toc395248434"/>
      <w:r w:rsidRPr="0060637A">
        <w:t xml:space="preserve">Table </w:t>
      </w:r>
      <w:r w:rsidR="00671C09" w:rsidRPr="0060637A">
        <w:fldChar w:fldCharType="begin"/>
      </w:r>
      <w:r w:rsidRPr="0060637A">
        <w:instrText xml:space="preserve"> SEQ Table \* ARABIC </w:instrText>
      </w:r>
      <w:r w:rsidR="00671C09" w:rsidRPr="0060637A">
        <w:fldChar w:fldCharType="separate"/>
      </w:r>
      <w:r w:rsidR="0065637A">
        <w:rPr>
          <w:noProof/>
        </w:rPr>
        <w:t>1</w:t>
      </w:r>
      <w:r w:rsidR="00671C09" w:rsidRPr="0060637A">
        <w:fldChar w:fldCharType="end"/>
      </w:r>
      <w:bookmarkEnd w:id="112"/>
      <w:bookmarkEnd w:id="113"/>
      <w:bookmarkEnd w:id="114"/>
      <w:r w:rsidR="00A12E16">
        <w:tab/>
      </w:r>
      <w:r w:rsidRPr="0060637A">
        <w:t>Extract from key findings for SBIT graduates, 2012 and 2013 (%)</w:t>
      </w:r>
      <w:bookmarkEnd w:id="115"/>
      <w:bookmarkEnd w:id="116"/>
      <w:bookmarkEnd w:id="117"/>
      <w:bookmarkEnd w:id="118"/>
    </w:p>
    <w:tbl>
      <w:tblPr>
        <w:tblW w:w="8789" w:type="dxa"/>
        <w:tblInd w:w="10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113"/>
        <w:gridCol w:w="943"/>
        <w:gridCol w:w="943"/>
        <w:gridCol w:w="944"/>
        <w:gridCol w:w="947"/>
        <w:gridCol w:w="946"/>
        <w:gridCol w:w="945"/>
        <w:gridCol w:w="8"/>
      </w:tblGrid>
      <w:tr w:rsidR="00A12E16" w:rsidRPr="00A12E16" w:rsidTr="00A12E16">
        <w:trPr>
          <w:trHeight w:val="20"/>
        </w:trPr>
        <w:tc>
          <w:tcPr>
            <w:tcW w:w="3113" w:type="dxa"/>
            <w:tcBorders>
              <w:top w:val="single" w:sz="4" w:space="0" w:color="auto"/>
              <w:left w:val="nil"/>
              <w:bottom w:val="nil"/>
              <w:right w:val="nil"/>
            </w:tcBorders>
            <w:shd w:val="clear" w:color="auto" w:fill="FFFFFF"/>
          </w:tcPr>
          <w:p w:rsidR="00A12E16" w:rsidRPr="00A12E16" w:rsidRDefault="00A12E16" w:rsidP="00A12E16">
            <w:pPr>
              <w:pStyle w:val="Tablehead1"/>
            </w:pPr>
            <w:r w:rsidRPr="00A12E16">
              <w:t xml:space="preserve">Further study outcomes </w:t>
            </w:r>
          </w:p>
        </w:tc>
        <w:tc>
          <w:tcPr>
            <w:tcW w:w="1886" w:type="dxa"/>
            <w:gridSpan w:val="2"/>
            <w:tcBorders>
              <w:top w:val="single" w:sz="4" w:space="0" w:color="auto"/>
              <w:left w:val="nil"/>
              <w:bottom w:val="nil"/>
              <w:right w:val="nil"/>
            </w:tcBorders>
            <w:shd w:val="clear" w:color="auto" w:fill="FFFFFF"/>
          </w:tcPr>
          <w:p w:rsidR="00A12E16" w:rsidRPr="00A12E16" w:rsidRDefault="00A12E16" w:rsidP="00A12E16">
            <w:pPr>
              <w:pStyle w:val="Tablehead1"/>
              <w:jc w:val="center"/>
            </w:pPr>
            <w:r w:rsidRPr="00A12E16">
              <w:t>Southbank Institute</w:t>
            </w:r>
          </w:p>
        </w:tc>
        <w:tc>
          <w:tcPr>
            <w:tcW w:w="3790" w:type="dxa"/>
            <w:gridSpan w:val="5"/>
            <w:tcBorders>
              <w:top w:val="single" w:sz="4" w:space="0" w:color="auto"/>
              <w:left w:val="nil"/>
              <w:bottom w:val="nil"/>
              <w:right w:val="nil"/>
            </w:tcBorders>
            <w:shd w:val="clear" w:color="auto" w:fill="FFFFFF"/>
          </w:tcPr>
          <w:p w:rsidR="00A12E16" w:rsidRPr="00A12E16" w:rsidRDefault="00A12E16" w:rsidP="00A12E16">
            <w:pPr>
              <w:pStyle w:val="Tablehead1"/>
              <w:jc w:val="center"/>
            </w:pPr>
            <w:r w:rsidRPr="00A12E16">
              <w:t>2013</w:t>
            </w:r>
          </w:p>
        </w:tc>
      </w:tr>
      <w:tr w:rsidR="007F1A9E" w:rsidRPr="00A12E16" w:rsidTr="00A12E16">
        <w:trPr>
          <w:gridAfter w:val="1"/>
          <w:wAfter w:w="8" w:type="dxa"/>
          <w:trHeight w:val="20"/>
        </w:trPr>
        <w:tc>
          <w:tcPr>
            <w:tcW w:w="3113" w:type="dxa"/>
            <w:tcBorders>
              <w:top w:val="nil"/>
              <w:left w:val="nil"/>
              <w:bottom w:val="single" w:sz="4" w:space="0" w:color="auto"/>
              <w:right w:val="nil"/>
            </w:tcBorders>
            <w:shd w:val="clear" w:color="auto" w:fill="FFFFFF"/>
          </w:tcPr>
          <w:p w:rsidR="007F1A9E" w:rsidRPr="00A12E16" w:rsidRDefault="007F1A9E" w:rsidP="00A12E16">
            <w:pPr>
              <w:pStyle w:val="Tablehead2"/>
              <w:rPr>
                <w:bCs/>
                <w:lang w:eastAsia="en-AU"/>
              </w:rPr>
            </w:pPr>
            <w:r w:rsidRPr="00A12E16">
              <w:rPr>
                <w:lang w:eastAsia="en-AU"/>
              </w:rPr>
              <w:t>After training (as at 31 May 2013)</w:t>
            </w:r>
          </w:p>
        </w:tc>
        <w:tc>
          <w:tcPr>
            <w:tcW w:w="943" w:type="dxa"/>
            <w:tcBorders>
              <w:top w:val="nil"/>
              <w:left w:val="nil"/>
              <w:bottom w:val="single" w:sz="4" w:space="0" w:color="auto"/>
              <w:right w:val="nil"/>
            </w:tcBorders>
            <w:shd w:val="clear" w:color="auto" w:fill="FFFFFF"/>
          </w:tcPr>
          <w:p w:rsidR="007F1A9E" w:rsidRPr="00A12E16" w:rsidRDefault="007F1A9E" w:rsidP="00A12E16">
            <w:pPr>
              <w:pStyle w:val="Tablehead2"/>
              <w:jc w:val="center"/>
              <w:rPr>
                <w:bCs/>
                <w:lang w:eastAsia="en-AU"/>
              </w:rPr>
            </w:pPr>
            <w:r w:rsidRPr="00A12E16">
              <w:rPr>
                <w:lang w:eastAsia="en-AU"/>
              </w:rPr>
              <w:t>2012</w:t>
            </w:r>
          </w:p>
        </w:tc>
        <w:tc>
          <w:tcPr>
            <w:tcW w:w="943" w:type="dxa"/>
            <w:tcBorders>
              <w:top w:val="nil"/>
              <w:left w:val="nil"/>
              <w:bottom w:val="single" w:sz="4" w:space="0" w:color="auto"/>
              <w:right w:val="nil"/>
            </w:tcBorders>
            <w:shd w:val="clear" w:color="auto" w:fill="FFFFFF"/>
          </w:tcPr>
          <w:p w:rsidR="007F1A9E" w:rsidRPr="00A12E16" w:rsidRDefault="007F1A9E" w:rsidP="00A12E16">
            <w:pPr>
              <w:pStyle w:val="Tablehead2"/>
              <w:jc w:val="center"/>
              <w:rPr>
                <w:bCs/>
                <w:lang w:eastAsia="en-AU"/>
              </w:rPr>
            </w:pPr>
            <w:r w:rsidRPr="00A12E16">
              <w:rPr>
                <w:lang w:eastAsia="en-AU"/>
              </w:rPr>
              <w:t>2013</w:t>
            </w:r>
          </w:p>
        </w:tc>
        <w:tc>
          <w:tcPr>
            <w:tcW w:w="944" w:type="dxa"/>
            <w:tcBorders>
              <w:top w:val="nil"/>
              <w:left w:val="nil"/>
              <w:bottom w:val="single" w:sz="4" w:space="0" w:color="auto"/>
              <w:right w:val="nil"/>
            </w:tcBorders>
            <w:shd w:val="clear" w:color="auto" w:fill="FFFFFF"/>
          </w:tcPr>
          <w:p w:rsidR="007F1A9E" w:rsidRPr="00A12E16" w:rsidRDefault="007F1A9E" w:rsidP="00A12E16">
            <w:pPr>
              <w:pStyle w:val="Tablehead2"/>
              <w:jc w:val="center"/>
              <w:rPr>
                <w:bCs/>
                <w:lang w:eastAsia="en-AU"/>
              </w:rPr>
            </w:pPr>
            <w:r w:rsidRPr="00A12E16">
              <w:rPr>
                <w:lang w:eastAsia="en-AU"/>
              </w:rPr>
              <w:t>TAFE</w:t>
            </w:r>
            <w:r w:rsidR="00A12E16">
              <w:rPr>
                <w:lang w:eastAsia="en-AU"/>
              </w:rPr>
              <w:t xml:space="preserve"> </w:t>
            </w:r>
            <w:r w:rsidRPr="00A12E16">
              <w:rPr>
                <w:lang w:eastAsia="en-AU"/>
              </w:rPr>
              <w:t>Q</w:t>
            </w:r>
            <w:r w:rsidR="005C1885">
              <w:rPr>
                <w:lang w:eastAsia="en-AU"/>
              </w:rPr>
              <w:t>ld</w:t>
            </w:r>
          </w:p>
        </w:tc>
        <w:tc>
          <w:tcPr>
            <w:tcW w:w="947" w:type="dxa"/>
            <w:tcBorders>
              <w:top w:val="nil"/>
              <w:left w:val="nil"/>
              <w:bottom w:val="single" w:sz="4" w:space="0" w:color="auto"/>
              <w:right w:val="nil"/>
            </w:tcBorders>
            <w:shd w:val="clear" w:color="auto" w:fill="FFFFFF"/>
          </w:tcPr>
          <w:p w:rsidR="007F1A9E" w:rsidRPr="00A12E16" w:rsidRDefault="007F1A9E" w:rsidP="00A12E16">
            <w:pPr>
              <w:pStyle w:val="Tablehead2"/>
              <w:jc w:val="center"/>
              <w:rPr>
                <w:bCs/>
                <w:lang w:eastAsia="en-AU"/>
              </w:rPr>
            </w:pPr>
            <w:r w:rsidRPr="00A12E16">
              <w:rPr>
                <w:lang w:eastAsia="en-AU"/>
              </w:rPr>
              <w:t>TAFE</w:t>
            </w:r>
            <w:r w:rsidR="00A12E16">
              <w:rPr>
                <w:lang w:eastAsia="en-AU"/>
              </w:rPr>
              <w:t xml:space="preserve"> </w:t>
            </w:r>
            <w:r w:rsidRPr="00A12E16">
              <w:rPr>
                <w:lang w:eastAsia="en-AU"/>
              </w:rPr>
              <w:t>Australia</w:t>
            </w:r>
          </w:p>
        </w:tc>
        <w:tc>
          <w:tcPr>
            <w:tcW w:w="946" w:type="dxa"/>
            <w:tcBorders>
              <w:top w:val="nil"/>
              <w:left w:val="nil"/>
              <w:bottom w:val="single" w:sz="4" w:space="0" w:color="auto"/>
              <w:right w:val="nil"/>
            </w:tcBorders>
            <w:shd w:val="clear" w:color="auto" w:fill="FFFFFF"/>
          </w:tcPr>
          <w:p w:rsidR="007F1A9E" w:rsidRPr="00A12E16" w:rsidRDefault="007F1A9E" w:rsidP="00A12E16">
            <w:pPr>
              <w:pStyle w:val="Tablehead2"/>
              <w:jc w:val="center"/>
              <w:rPr>
                <w:bCs/>
                <w:lang w:eastAsia="en-AU"/>
              </w:rPr>
            </w:pPr>
            <w:r w:rsidRPr="00A12E16">
              <w:rPr>
                <w:lang w:eastAsia="en-AU"/>
              </w:rPr>
              <w:t>All VET</w:t>
            </w:r>
            <w:r w:rsidR="00A12E16">
              <w:rPr>
                <w:lang w:eastAsia="en-AU"/>
              </w:rPr>
              <w:t xml:space="preserve"> </w:t>
            </w:r>
            <w:r w:rsidR="00A12E16" w:rsidRPr="00A12E16">
              <w:rPr>
                <w:lang w:eastAsia="en-AU"/>
              </w:rPr>
              <w:t>providers</w:t>
            </w:r>
            <w:r w:rsidR="00A12E16">
              <w:rPr>
                <w:lang w:eastAsia="en-AU"/>
              </w:rPr>
              <w:t xml:space="preserve"> </w:t>
            </w:r>
            <w:r w:rsidRPr="00A12E16">
              <w:rPr>
                <w:lang w:eastAsia="en-AU"/>
              </w:rPr>
              <w:t>Q</w:t>
            </w:r>
            <w:r w:rsidR="005C1885">
              <w:rPr>
                <w:lang w:eastAsia="en-AU"/>
              </w:rPr>
              <w:t>ld</w:t>
            </w:r>
          </w:p>
        </w:tc>
        <w:tc>
          <w:tcPr>
            <w:tcW w:w="945" w:type="dxa"/>
            <w:tcBorders>
              <w:top w:val="nil"/>
              <w:left w:val="nil"/>
              <w:bottom w:val="single" w:sz="4" w:space="0" w:color="auto"/>
              <w:right w:val="nil"/>
            </w:tcBorders>
            <w:shd w:val="clear" w:color="auto" w:fill="FFFFFF"/>
          </w:tcPr>
          <w:p w:rsidR="007F1A9E" w:rsidRPr="00A12E16" w:rsidRDefault="007F1A9E" w:rsidP="00A12E16">
            <w:pPr>
              <w:pStyle w:val="Tablehead2"/>
              <w:jc w:val="center"/>
              <w:rPr>
                <w:bCs/>
                <w:lang w:eastAsia="en-AU"/>
              </w:rPr>
            </w:pPr>
            <w:r w:rsidRPr="00A12E16">
              <w:rPr>
                <w:lang w:eastAsia="en-AU"/>
              </w:rPr>
              <w:t>All VET</w:t>
            </w:r>
            <w:r w:rsidR="00A12E16">
              <w:rPr>
                <w:lang w:eastAsia="en-AU"/>
              </w:rPr>
              <w:t xml:space="preserve"> </w:t>
            </w:r>
            <w:r w:rsidR="00A12E16" w:rsidRPr="00A12E16">
              <w:rPr>
                <w:lang w:eastAsia="en-AU"/>
              </w:rPr>
              <w:t>providers</w:t>
            </w:r>
            <w:r w:rsidR="00A12E16">
              <w:rPr>
                <w:lang w:eastAsia="en-AU"/>
              </w:rPr>
              <w:t xml:space="preserve"> </w:t>
            </w:r>
            <w:r w:rsidRPr="00A12E16">
              <w:rPr>
                <w:lang w:eastAsia="en-AU"/>
              </w:rPr>
              <w:t>Australia</w:t>
            </w:r>
          </w:p>
        </w:tc>
      </w:tr>
      <w:tr w:rsidR="007F1A9E" w:rsidRPr="00A12E16" w:rsidTr="00A12E16">
        <w:trPr>
          <w:gridAfter w:val="1"/>
          <w:wAfter w:w="8" w:type="dxa"/>
          <w:trHeight w:val="20"/>
        </w:trPr>
        <w:tc>
          <w:tcPr>
            <w:tcW w:w="3113" w:type="dxa"/>
            <w:tcBorders>
              <w:top w:val="single" w:sz="4" w:space="0" w:color="auto"/>
              <w:left w:val="nil"/>
              <w:bottom w:val="nil"/>
              <w:right w:val="nil"/>
            </w:tcBorders>
            <w:shd w:val="clear" w:color="auto" w:fill="FFFFFF"/>
            <w:tcMar>
              <w:right w:w="0" w:type="dxa"/>
            </w:tcMar>
          </w:tcPr>
          <w:p w:rsidR="007F1A9E" w:rsidRPr="00A12E16" w:rsidRDefault="007F1A9E" w:rsidP="00A12E16">
            <w:pPr>
              <w:pStyle w:val="Tabletext"/>
              <w:rPr>
                <w:bCs/>
                <w:lang w:eastAsia="en-AU"/>
              </w:rPr>
            </w:pPr>
            <w:r w:rsidRPr="00A12E16">
              <w:rPr>
                <w:lang w:eastAsia="en-AU"/>
              </w:rPr>
              <w:t xml:space="preserve">Enrolled in further study after training </w:t>
            </w:r>
            <w:r w:rsidR="00A12E16">
              <w:rPr>
                <w:lang w:eastAsia="en-AU"/>
              </w:rPr>
              <w:t>(</w:t>
            </w:r>
            <w:r w:rsidRPr="00A12E16">
              <w:rPr>
                <w:lang w:eastAsia="en-AU"/>
              </w:rPr>
              <w:t>%</w:t>
            </w:r>
            <w:r w:rsidR="00A12E16">
              <w:rPr>
                <w:lang w:eastAsia="en-AU"/>
              </w:rPr>
              <w:t>)</w:t>
            </w:r>
          </w:p>
        </w:tc>
        <w:tc>
          <w:tcPr>
            <w:tcW w:w="943" w:type="dxa"/>
            <w:tcBorders>
              <w:top w:val="single" w:sz="4" w:space="0" w:color="auto"/>
              <w:left w:val="nil"/>
              <w:bottom w:val="nil"/>
              <w:right w:val="nil"/>
            </w:tcBorders>
            <w:shd w:val="clear" w:color="auto" w:fill="FFFFFF"/>
          </w:tcPr>
          <w:p w:rsidR="007F1A9E" w:rsidRPr="00A12E16" w:rsidRDefault="007F1A9E" w:rsidP="00A12E16">
            <w:pPr>
              <w:pStyle w:val="Tabletext"/>
              <w:tabs>
                <w:tab w:val="decimal" w:pos="397"/>
              </w:tabs>
              <w:rPr>
                <w:bCs/>
                <w:lang w:eastAsia="en-AU"/>
              </w:rPr>
            </w:pPr>
            <w:r w:rsidRPr="00A12E16">
              <w:rPr>
                <w:bCs/>
                <w:lang w:eastAsia="en-AU"/>
              </w:rPr>
              <w:t>41.8</w:t>
            </w:r>
          </w:p>
        </w:tc>
        <w:tc>
          <w:tcPr>
            <w:tcW w:w="943" w:type="dxa"/>
            <w:tcBorders>
              <w:top w:val="single" w:sz="4" w:space="0" w:color="auto"/>
              <w:left w:val="nil"/>
              <w:bottom w:val="nil"/>
              <w:right w:val="nil"/>
            </w:tcBorders>
            <w:shd w:val="clear" w:color="auto" w:fill="FFFFFF"/>
          </w:tcPr>
          <w:p w:rsidR="007F1A9E" w:rsidRPr="00A12E16" w:rsidRDefault="007F1A9E" w:rsidP="00A12E16">
            <w:pPr>
              <w:pStyle w:val="Tabletext"/>
              <w:tabs>
                <w:tab w:val="decimal" w:pos="397"/>
              </w:tabs>
              <w:rPr>
                <w:bCs/>
                <w:lang w:eastAsia="en-AU"/>
              </w:rPr>
            </w:pPr>
            <w:r w:rsidRPr="00A12E16">
              <w:rPr>
                <w:bCs/>
                <w:lang w:eastAsia="en-AU"/>
              </w:rPr>
              <w:t>42.8</w:t>
            </w:r>
          </w:p>
        </w:tc>
        <w:tc>
          <w:tcPr>
            <w:tcW w:w="944" w:type="dxa"/>
            <w:tcBorders>
              <w:top w:val="single" w:sz="4" w:space="0" w:color="auto"/>
              <w:left w:val="nil"/>
              <w:bottom w:val="nil"/>
              <w:right w:val="nil"/>
            </w:tcBorders>
            <w:shd w:val="clear" w:color="auto" w:fill="FFFFFF"/>
          </w:tcPr>
          <w:p w:rsidR="007F1A9E" w:rsidRPr="00A12E16" w:rsidRDefault="007F1A9E" w:rsidP="00A12E16">
            <w:pPr>
              <w:pStyle w:val="Tabletext"/>
              <w:tabs>
                <w:tab w:val="decimal" w:pos="397"/>
              </w:tabs>
              <w:rPr>
                <w:bCs/>
                <w:lang w:eastAsia="en-AU"/>
              </w:rPr>
            </w:pPr>
            <w:r w:rsidRPr="00A12E16">
              <w:rPr>
                <w:bCs/>
                <w:lang w:eastAsia="en-AU"/>
              </w:rPr>
              <w:t>32.3</w:t>
            </w:r>
          </w:p>
        </w:tc>
        <w:tc>
          <w:tcPr>
            <w:tcW w:w="947" w:type="dxa"/>
            <w:tcBorders>
              <w:top w:val="single" w:sz="4" w:space="0" w:color="auto"/>
              <w:left w:val="nil"/>
              <w:bottom w:val="nil"/>
              <w:right w:val="nil"/>
            </w:tcBorders>
            <w:shd w:val="clear" w:color="auto" w:fill="FFFFFF"/>
          </w:tcPr>
          <w:p w:rsidR="007F1A9E" w:rsidRPr="00A12E16" w:rsidRDefault="007F1A9E" w:rsidP="00A12E16">
            <w:pPr>
              <w:pStyle w:val="Tabletext"/>
              <w:tabs>
                <w:tab w:val="decimal" w:pos="397"/>
              </w:tabs>
              <w:rPr>
                <w:bCs/>
                <w:lang w:eastAsia="en-AU"/>
              </w:rPr>
            </w:pPr>
            <w:r w:rsidRPr="00A12E16">
              <w:rPr>
                <w:bCs/>
                <w:lang w:eastAsia="en-AU"/>
              </w:rPr>
              <w:t>36.1</w:t>
            </w:r>
          </w:p>
        </w:tc>
        <w:tc>
          <w:tcPr>
            <w:tcW w:w="946" w:type="dxa"/>
            <w:tcBorders>
              <w:top w:val="single" w:sz="4" w:space="0" w:color="auto"/>
              <w:left w:val="nil"/>
              <w:bottom w:val="nil"/>
              <w:right w:val="nil"/>
            </w:tcBorders>
            <w:shd w:val="clear" w:color="auto" w:fill="FFFFFF"/>
          </w:tcPr>
          <w:p w:rsidR="007F1A9E" w:rsidRPr="00A12E16" w:rsidRDefault="007F1A9E" w:rsidP="00A12E16">
            <w:pPr>
              <w:pStyle w:val="Tabletext"/>
              <w:tabs>
                <w:tab w:val="decimal" w:pos="397"/>
              </w:tabs>
              <w:rPr>
                <w:bCs/>
                <w:lang w:eastAsia="en-AU"/>
              </w:rPr>
            </w:pPr>
            <w:r w:rsidRPr="00A12E16">
              <w:rPr>
                <w:bCs/>
                <w:lang w:eastAsia="en-AU"/>
              </w:rPr>
              <w:t>30.2</w:t>
            </w:r>
          </w:p>
        </w:tc>
        <w:tc>
          <w:tcPr>
            <w:tcW w:w="945" w:type="dxa"/>
            <w:tcBorders>
              <w:top w:val="single" w:sz="4" w:space="0" w:color="auto"/>
              <w:left w:val="nil"/>
              <w:bottom w:val="nil"/>
              <w:right w:val="nil"/>
            </w:tcBorders>
            <w:shd w:val="clear" w:color="auto" w:fill="FFFFFF"/>
          </w:tcPr>
          <w:p w:rsidR="007F1A9E" w:rsidRPr="00A12E16" w:rsidRDefault="007F1A9E" w:rsidP="00A12E16">
            <w:pPr>
              <w:pStyle w:val="Tabletext"/>
              <w:tabs>
                <w:tab w:val="decimal" w:pos="397"/>
              </w:tabs>
              <w:rPr>
                <w:bCs/>
                <w:lang w:eastAsia="en-AU"/>
              </w:rPr>
            </w:pPr>
            <w:r w:rsidRPr="00A12E16">
              <w:rPr>
                <w:bCs/>
                <w:lang w:eastAsia="en-AU"/>
              </w:rPr>
              <w:t>34.6</w:t>
            </w:r>
          </w:p>
        </w:tc>
      </w:tr>
      <w:tr w:rsidR="007F1A9E" w:rsidRPr="00A12E16" w:rsidTr="00A12E16">
        <w:trPr>
          <w:gridAfter w:val="1"/>
          <w:wAfter w:w="8" w:type="dxa"/>
          <w:trHeight w:val="20"/>
        </w:trPr>
        <w:tc>
          <w:tcPr>
            <w:tcW w:w="3113" w:type="dxa"/>
            <w:tcBorders>
              <w:top w:val="nil"/>
              <w:left w:val="nil"/>
              <w:bottom w:val="single" w:sz="4" w:space="0" w:color="auto"/>
              <w:right w:val="nil"/>
            </w:tcBorders>
            <w:shd w:val="clear" w:color="auto" w:fill="FFFFFF"/>
          </w:tcPr>
          <w:p w:rsidR="007F1A9E" w:rsidRPr="00A12E16" w:rsidRDefault="007F1A9E" w:rsidP="00A12E16">
            <w:pPr>
              <w:pStyle w:val="Tabletext"/>
              <w:rPr>
                <w:bCs/>
                <w:lang w:eastAsia="en-AU"/>
              </w:rPr>
            </w:pPr>
            <w:r w:rsidRPr="00A12E16">
              <w:rPr>
                <w:lang w:eastAsia="en-AU"/>
              </w:rPr>
              <w:t xml:space="preserve">Studying at university </w:t>
            </w:r>
            <w:r w:rsidR="00A12E16">
              <w:rPr>
                <w:lang w:eastAsia="en-AU"/>
              </w:rPr>
              <w:t>(</w:t>
            </w:r>
            <w:r w:rsidRPr="00A12E16">
              <w:rPr>
                <w:lang w:eastAsia="en-AU"/>
              </w:rPr>
              <w:t>%</w:t>
            </w:r>
            <w:r w:rsidR="00A12E16">
              <w:rPr>
                <w:lang w:eastAsia="en-AU"/>
              </w:rPr>
              <w:t>)</w:t>
            </w:r>
          </w:p>
        </w:tc>
        <w:tc>
          <w:tcPr>
            <w:tcW w:w="943" w:type="dxa"/>
            <w:tcBorders>
              <w:top w:val="nil"/>
              <w:left w:val="nil"/>
              <w:bottom w:val="single" w:sz="4" w:space="0" w:color="auto"/>
              <w:right w:val="nil"/>
            </w:tcBorders>
            <w:shd w:val="clear" w:color="auto" w:fill="auto"/>
          </w:tcPr>
          <w:p w:rsidR="007F1A9E" w:rsidRPr="00A12E16" w:rsidRDefault="007F1A9E" w:rsidP="00A12E16">
            <w:pPr>
              <w:pStyle w:val="Tabletext"/>
              <w:tabs>
                <w:tab w:val="decimal" w:pos="397"/>
              </w:tabs>
              <w:rPr>
                <w:bCs/>
                <w:lang w:eastAsia="en-AU"/>
              </w:rPr>
            </w:pPr>
            <w:r w:rsidRPr="00A12E16">
              <w:rPr>
                <w:bCs/>
                <w:lang w:eastAsia="en-AU"/>
              </w:rPr>
              <w:t>22.6</w:t>
            </w:r>
          </w:p>
        </w:tc>
        <w:tc>
          <w:tcPr>
            <w:tcW w:w="943" w:type="dxa"/>
            <w:tcBorders>
              <w:top w:val="nil"/>
              <w:left w:val="nil"/>
              <w:bottom w:val="single" w:sz="4" w:space="0" w:color="auto"/>
              <w:right w:val="nil"/>
            </w:tcBorders>
            <w:shd w:val="clear" w:color="auto" w:fill="auto"/>
          </w:tcPr>
          <w:p w:rsidR="007F1A9E" w:rsidRPr="00A12E16" w:rsidRDefault="007F1A9E" w:rsidP="00A12E16">
            <w:pPr>
              <w:pStyle w:val="Tabletext"/>
              <w:tabs>
                <w:tab w:val="decimal" w:pos="397"/>
              </w:tabs>
              <w:rPr>
                <w:bCs/>
                <w:lang w:eastAsia="en-AU"/>
              </w:rPr>
            </w:pPr>
            <w:r w:rsidRPr="00A12E16">
              <w:rPr>
                <w:bCs/>
                <w:lang w:eastAsia="en-AU"/>
              </w:rPr>
              <w:t>18.7</w:t>
            </w:r>
          </w:p>
        </w:tc>
        <w:tc>
          <w:tcPr>
            <w:tcW w:w="944" w:type="dxa"/>
            <w:tcBorders>
              <w:top w:val="nil"/>
              <w:left w:val="nil"/>
              <w:bottom w:val="single" w:sz="4" w:space="0" w:color="auto"/>
              <w:right w:val="nil"/>
            </w:tcBorders>
            <w:shd w:val="clear" w:color="auto" w:fill="auto"/>
          </w:tcPr>
          <w:p w:rsidR="007F1A9E" w:rsidRPr="00A12E16" w:rsidRDefault="007F1A9E" w:rsidP="00A12E16">
            <w:pPr>
              <w:pStyle w:val="Tabletext"/>
              <w:tabs>
                <w:tab w:val="decimal" w:pos="397"/>
              </w:tabs>
              <w:rPr>
                <w:bCs/>
                <w:lang w:eastAsia="en-AU"/>
              </w:rPr>
            </w:pPr>
            <w:r w:rsidRPr="00A12E16">
              <w:rPr>
                <w:bCs/>
                <w:lang w:eastAsia="en-AU"/>
              </w:rPr>
              <w:t>8.8</w:t>
            </w:r>
          </w:p>
        </w:tc>
        <w:tc>
          <w:tcPr>
            <w:tcW w:w="947" w:type="dxa"/>
            <w:tcBorders>
              <w:top w:val="nil"/>
              <w:left w:val="nil"/>
              <w:bottom w:val="single" w:sz="4" w:space="0" w:color="auto"/>
              <w:right w:val="nil"/>
            </w:tcBorders>
            <w:shd w:val="clear" w:color="auto" w:fill="auto"/>
          </w:tcPr>
          <w:p w:rsidR="007F1A9E" w:rsidRPr="00A12E16" w:rsidRDefault="007F1A9E" w:rsidP="00A12E16">
            <w:pPr>
              <w:pStyle w:val="Tabletext"/>
              <w:tabs>
                <w:tab w:val="decimal" w:pos="397"/>
              </w:tabs>
              <w:rPr>
                <w:bCs/>
                <w:lang w:eastAsia="en-AU"/>
              </w:rPr>
            </w:pPr>
            <w:r w:rsidRPr="00A12E16">
              <w:rPr>
                <w:bCs/>
                <w:lang w:eastAsia="en-AU"/>
              </w:rPr>
              <w:t>8.2</w:t>
            </w:r>
          </w:p>
        </w:tc>
        <w:tc>
          <w:tcPr>
            <w:tcW w:w="946" w:type="dxa"/>
            <w:tcBorders>
              <w:top w:val="nil"/>
              <w:left w:val="nil"/>
              <w:bottom w:val="single" w:sz="4" w:space="0" w:color="auto"/>
              <w:right w:val="nil"/>
            </w:tcBorders>
            <w:shd w:val="clear" w:color="auto" w:fill="auto"/>
          </w:tcPr>
          <w:p w:rsidR="007F1A9E" w:rsidRPr="00A12E16" w:rsidRDefault="007F1A9E" w:rsidP="00A12E16">
            <w:pPr>
              <w:pStyle w:val="Tabletext"/>
              <w:tabs>
                <w:tab w:val="decimal" w:pos="397"/>
              </w:tabs>
              <w:rPr>
                <w:bCs/>
                <w:lang w:eastAsia="en-AU"/>
              </w:rPr>
            </w:pPr>
            <w:r w:rsidRPr="00A12E16">
              <w:rPr>
                <w:bCs/>
                <w:lang w:eastAsia="en-AU"/>
              </w:rPr>
              <w:t>6.7</w:t>
            </w:r>
          </w:p>
        </w:tc>
        <w:tc>
          <w:tcPr>
            <w:tcW w:w="945" w:type="dxa"/>
            <w:tcBorders>
              <w:top w:val="nil"/>
              <w:left w:val="nil"/>
              <w:bottom w:val="single" w:sz="4" w:space="0" w:color="auto"/>
              <w:right w:val="nil"/>
            </w:tcBorders>
            <w:shd w:val="clear" w:color="auto" w:fill="auto"/>
          </w:tcPr>
          <w:p w:rsidR="007F1A9E" w:rsidRPr="00A12E16" w:rsidRDefault="007F1A9E" w:rsidP="00A12E16">
            <w:pPr>
              <w:pStyle w:val="Tabletext"/>
              <w:tabs>
                <w:tab w:val="decimal" w:pos="397"/>
              </w:tabs>
              <w:rPr>
                <w:bCs/>
                <w:lang w:eastAsia="en-AU"/>
              </w:rPr>
            </w:pPr>
            <w:r w:rsidRPr="00A12E16">
              <w:rPr>
                <w:bCs/>
                <w:lang w:eastAsia="en-AU"/>
              </w:rPr>
              <w:t>8.0</w:t>
            </w:r>
          </w:p>
        </w:tc>
      </w:tr>
    </w:tbl>
    <w:p w:rsidR="007F1A9E" w:rsidRPr="000C5C37" w:rsidRDefault="007F1A9E" w:rsidP="00A12E16">
      <w:pPr>
        <w:pStyle w:val="Source"/>
        <w:rPr>
          <w:lang w:eastAsia="en-AU"/>
        </w:rPr>
      </w:pPr>
      <w:r w:rsidRPr="000C5C37">
        <w:rPr>
          <w:bCs/>
          <w:lang w:eastAsia="en-AU"/>
        </w:rPr>
        <w:t>Source:</w:t>
      </w:r>
      <w:r w:rsidR="00A12E16">
        <w:rPr>
          <w:bCs/>
          <w:lang w:eastAsia="en-AU"/>
        </w:rPr>
        <w:tab/>
      </w:r>
      <w:r w:rsidRPr="000C5C37">
        <w:rPr>
          <w:bCs/>
          <w:lang w:eastAsia="en-AU"/>
        </w:rPr>
        <w:t>NCVER</w:t>
      </w:r>
      <w:r w:rsidRPr="000C5C37">
        <w:rPr>
          <w:lang w:eastAsia="en-AU"/>
        </w:rPr>
        <w:t xml:space="preserve"> Student Outcomes</w:t>
      </w:r>
      <w:r w:rsidR="000C5C37">
        <w:rPr>
          <w:lang w:eastAsia="en-AU"/>
        </w:rPr>
        <w:t>,</w:t>
      </w:r>
      <w:r w:rsidRPr="000C5C37">
        <w:rPr>
          <w:lang w:eastAsia="en-AU"/>
        </w:rPr>
        <w:t xml:space="preserve"> </w:t>
      </w:r>
      <w:r w:rsidR="000C5C37" w:rsidRPr="000C5C37">
        <w:rPr>
          <w:lang w:eastAsia="en-AU"/>
        </w:rPr>
        <w:t>2013</w:t>
      </w:r>
      <w:r w:rsidR="00B42ADB">
        <w:rPr>
          <w:lang w:eastAsia="en-AU"/>
        </w:rPr>
        <w:t>;</w:t>
      </w:r>
      <w:r w:rsidRPr="000C5C37">
        <w:rPr>
          <w:lang w:eastAsia="en-AU"/>
        </w:rPr>
        <w:t xml:space="preserve"> </w:t>
      </w:r>
      <w:r w:rsidR="002B7C02" w:rsidRPr="000C5C37">
        <w:rPr>
          <w:lang w:eastAsia="en-AU"/>
        </w:rPr>
        <w:t>SBIT</w:t>
      </w:r>
      <w:r w:rsidRPr="000C5C37">
        <w:rPr>
          <w:lang w:eastAsia="en-AU"/>
        </w:rPr>
        <w:t>: TAFE institute report</w:t>
      </w:r>
      <w:r w:rsidR="00B42ADB">
        <w:rPr>
          <w:lang w:eastAsia="en-AU"/>
        </w:rPr>
        <w:t>.</w:t>
      </w:r>
    </w:p>
    <w:p w:rsidR="007F1A9E" w:rsidRPr="007F1A9E" w:rsidRDefault="00B42ADB" w:rsidP="000F6D8E">
      <w:pPr>
        <w:pStyle w:val="StyleHeading4Before18pt"/>
      </w:pPr>
      <w:bookmarkStart w:id="119" w:name="_Toc395248397"/>
      <w:r>
        <w:t>Southbank Institute of Technology</w:t>
      </w:r>
      <w:r w:rsidR="007F1A9E" w:rsidRPr="007F1A9E">
        <w:t xml:space="preserve">: Diploma of Laboratory Technology </w:t>
      </w:r>
      <w:r w:rsidR="000C5C37" w:rsidRPr="007F1A9E">
        <w:t>case study</w:t>
      </w:r>
      <w:bookmarkEnd w:id="119"/>
    </w:p>
    <w:p w:rsidR="007F1A9E" w:rsidRDefault="000C5C37" w:rsidP="007A2424">
      <w:pPr>
        <w:pStyle w:val="Textlessbefore"/>
      </w:pPr>
      <w:r>
        <w:t>The ability of dual-</w:t>
      </w:r>
      <w:r w:rsidR="007F1A9E">
        <w:t>award pathways to attract prospective students to a cross-sectoral program of study is illustrated by the case of the SBIT Diploma of Laboratory Technology students described below.</w:t>
      </w:r>
      <w:r w:rsidR="00611BDD">
        <w:t xml:space="preserve"> </w:t>
      </w:r>
      <w:r w:rsidR="007F1A9E">
        <w:t xml:space="preserve">For these students, </w:t>
      </w:r>
      <w:r w:rsidR="00F83989">
        <w:t>Southbank Institute of Technology offers a suite of dual-</w:t>
      </w:r>
      <w:r w:rsidR="007F1A9E">
        <w:t>award</w:t>
      </w:r>
      <w:r w:rsidR="007F1A9E" w:rsidRPr="003A1784">
        <w:t xml:space="preserve"> pathways </w:t>
      </w:r>
      <w:r w:rsidR="007F1A9E">
        <w:t>which</w:t>
      </w:r>
      <w:r w:rsidR="007F1A9E" w:rsidRPr="003A1784">
        <w:t xml:space="preserve"> provide </w:t>
      </w:r>
      <w:r w:rsidR="007F1A9E">
        <w:t>both vocational qualifications as well as acces</w:t>
      </w:r>
      <w:r w:rsidR="00F83989">
        <w:t xml:space="preserve">s to additional study options. </w:t>
      </w:r>
      <w:r w:rsidR="007F1A9E">
        <w:t xml:space="preserve">Since </w:t>
      </w:r>
      <w:r w:rsidR="007F1A9E" w:rsidRPr="00895628">
        <w:t>2007</w:t>
      </w:r>
      <w:r w:rsidR="007F1A9E">
        <w:t xml:space="preserve">, </w:t>
      </w:r>
      <w:r w:rsidR="007F1A9E" w:rsidRPr="003C2C83">
        <w:t>when</w:t>
      </w:r>
      <w:r w:rsidR="007F1A9E">
        <w:t xml:space="preserve"> science</w:t>
      </w:r>
      <w:r w:rsidR="007F1A9E" w:rsidRPr="003C2C83">
        <w:t xml:space="preserve"> </w:t>
      </w:r>
      <w:r w:rsidR="007F1A9E">
        <w:t>dual award</w:t>
      </w:r>
      <w:r w:rsidR="007F1A9E" w:rsidRPr="003C2C83">
        <w:t xml:space="preserve">s were introduced, </w:t>
      </w:r>
      <w:r w:rsidR="007F1A9E">
        <w:t>total enrolments into the diploma have trended higher.</w:t>
      </w:r>
      <w:r w:rsidR="00611BDD">
        <w:t xml:space="preserve"> </w:t>
      </w:r>
      <w:r w:rsidR="007F1A9E">
        <w:t xml:space="preserve">Beginning with 70 students in 2007 and peaking at 98 students in 2012, the vast majority of students entered the program via </w:t>
      </w:r>
      <w:r w:rsidR="00F83989">
        <w:t>the Queensland Tertiary Admissions Centre (</w:t>
      </w:r>
      <w:r w:rsidR="00DC6BB5">
        <w:t xml:space="preserve">QTAC; </w:t>
      </w:r>
      <w:r w:rsidR="00F83989">
        <w:t xml:space="preserve">Poole &amp; </w:t>
      </w:r>
      <w:proofErr w:type="spellStart"/>
      <w:r w:rsidR="00F83989">
        <w:t>Toohey</w:t>
      </w:r>
      <w:proofErr w:type="spellEnd"/>
      <w:r w:rsidR="00F83989">
        <w:t xml:space="preserve"> 2007;</w:t>
      </w:r>
      <w:r w:rsidR="007F1A9E">
        <w:t xml:space="preserve"> 2014 SBIT </w:t>
      </w:r>
      <w:r w:rsidR="00F83989">
        <w:t xml:space="preserve">class surveys and enrolment information). </w:t>
      </w:r>
      <w:r w:rsidR="007F1A9E">
        <w:t xml:space="preserve">The proportion of students enrolling in dual awards </w:t>
      </w:r>
      <w:r w:rsidR="00F83989">
        <w:t>sits at</w:t>
      </w:r>
      <w:r w:rsidR="007F1A9E">
        <w:t xml:space="preserve"> around 55% of the total cohort, with the Queensland University of Technology (QUT) articulation by far the most </w:t>
      </w:r>
      <w:r w:rsidR="007F1A9E" w:rsidRPr="00895628">
        <w:t>popular</w:t>
      </w:r>
      <w:r w:rsidR="007F1A9E" w:rsidRPr="00AC25BD">
        <w:t xml:space="preserve"> </w:t>
      </w:r>
      <w:r w:rsidR="007F1A9E">
        <w:t>university pathway (re</w:t>
      </w:r>
      <w:r w:rsidR="00F83989">
        <w:t>presenting over 90% of all dual-award enrolments).</w:t>
      </w:r>
      <w:r w:rsidR="00611BDD">
        <w:t xml:space="preserve"> </w:t>
      </w:r>
      <w:r w:rsidR="00F83989">
        <w:t>When dual-</w:t>
      </w:r>
      <w:r w:rsidR="007F1A9E">
        <w:t>award students were s</w:t>
      </w:r>
      <w:r w:rsidR="00F83989">
        <w:t>urveyed in 2007, nearly one-</w:t>
      </w:r>
      <w:r w:rsidR="007F1A9E">
        <w:t xml:space="preserve">third of respondents stated they would not have enrolled in any SBIT laboratory technology program if the dual award </w:t>
      </w:r>
      <w:r w:rsidR="00F83989">
        <w:t>had</w:t>
      </w:r>
      <w:r w:rsidR="007F1A9E">
        <w:t xml:space="preserve"> not </w:t>
      </w:r>
      <w:r w:rsidR="00F83989">
        <w:t xml:space="preserve">been </w:t>
      </w:r>
      <w:r w:rsidR="007F1A9E">
        <w:t>an option. Furthermore, one-fifth stated they may not have enrolled at SBIT at all if there had been no dual award. These trends were consistent over the period from 2007 to 2013. Due to program</w:t>
      </w:r>
      <w:r w:rsidR="00F83989">
        <w:t xml:space="preserve"> restructuring, an updated dual-</w:t>
      </w:r>
      <w:r w:rsidR="007F1A9E">
        <w:t xml:space="preserve">award agreement was not signed with </w:t>
      </w:r>
      <w:r w:rsidR="00F83989">
        <w:t>the Queensland University of Technology</w:t>
      </w:r>
      <w:r w:rsidR="007F1A9E">
        <w:t xml:space="preserve"> in 2013</w:t>
      </w:r>
      <w:r w:rsidR="00F83989">
        <w:t>,</w:t>
      </w:r>
      <w:r w:rsidR="007F1A9E">
        <w:t xml:space="preserve"> meaning there was no pathway</w:t>
      </w:r>
      <w:r w:rsidR="00F83989">
        <w:t xml:space="preserve"> listed in the 2014 QTAC Guide.</w:t>
      </w:r>
      <w:r w:rsidR="007F1A9E">
        <w:t xml:space="preserve"> In 2014, enrolments into the Laboratory Technology program declined by over 40% from the peak enrolment</w:t>
      </w:r>
      <w:r w:rsidR="00F83989">
        <w:t>,</w:t>
      </w:r>
      <w:r w:rsidR="007F1A9E">
        <w:t xml:space="preserve"> to 52 students</w:t>
      </w:r>
      <w:r w:rsidR="00F83989">
        <w:t>,</w:t>
      </w:r>
      <w:r w:rsidR="007F1A9E">
        <w:t xml:space="preserve"> with only 18% of all dipl</w:t>
      </w:r>
      <w:r w:rsidR="00F83989">
        <w:t>oma students enrolled in a dual-</w:t>
      </w:r>
      <w:r w:rsidR="00DC6BB5">
        <w:t>award pathway</w:t>
      </w:r>
      <w:r w:rsidR="007F1A9E">
        <w:t xml:space="preserve"> </w:t>
      </w:r>
      <w:r w:rsidR="00DC6BB5">
        <w:t>(</w:t>
      </w:r>
      <w:r w:rsidR="00273835">
        <w:t>see table 2</w:t>
      </w:r>
      <w:r w:rsidR="00DC6BB5">
        <w:t>)</w:t>
      </w:r>
      <w:r w:rsidR="007F1A9E" w:rsidRPr="00AC25BD">
        <w:t>.</w:t>
      </w:r>
      <w:r w:rsidR="00611BDD">
        <w:t xml:space="preserve"> </w:t>
      </w:r>
      <w:r w:rsidR="007F1A9E">
        <w:t>Importantly</w:t>
      </w:r>
      <w:r w:rsidR="00F83989">
        <w:t>,</w:t>
      </w:r>
      <w:r w:rsidR="007F1A9E">
        <w:t xml:space="preserve"> the absolute numbers of students enrolling in dual awards with other u</w:t>
      </w:r>
      <w:r w:rsidR="00F83989">
        <w:t xml:space="preserve">niversities remained </w:t>
      </w:r>
      <w:r w:rsidR="00DC6BB5">
        <w:t>steady</w:t>
      </w:r>
      <w:r w:rsidR="00F83989">
        <w:t xml:space="preserve">. </w:t>
      </w:r>
      <w:r w:rsidR="007F1A9E">
        <w:t>It is p</w:t>
      </w:r>
      <w:r w:rsidR="00F83989">
        <w:t>roposed that the lack of a dual-</w:t>
      </w:r>
      <w:r w:rsidR="007F1A9E">
        <w:t xml:space="preserve">award agreement with </w:t>
      </w:r>
      <w:r w:rsidR="00F83989">
        <w:t>Queensland University of Technology</w:t>
      </w:r>
      <w:r w:rsidR="007F1A9E">
        <w:t xml:space="preserve"> in 2013 was significant in this decline in student enrolments in 2014.</w:t>
      </w:r>
    </w:p>
    <w:p w:rsidR="003B2A3D" w:rsidRDefault="007F1A9E" w:rsidP="00AC25BD">
      <w:pPr>
        <w:pStyle w:val="Text"/>
      </w:pPr>
      <w:r>
        <w:t xml:space="preserve">Acknowledging the importance of information in determining student </w:t>
      </w:r>
      <w:r w:rsidR="00171F8A">
        <w:t>higher education</w:t>
      </w:r>
      <w:r>
        <w:t xml:space="preserve"> choices, students </w:t>
      </w:r>
      <w:r w:rsidR="00F83989">
        <w:t xml:space="preserve">in the 2014 group </w:t>
      </w:r>
      <w:r>
        <w:t xml:space="preserve">were surveyed to investigate the extent of </w:t>
      </w:r>
      <w:r w:rsidR="00F83989">
        <w:t xml:space="preserve">their </w:t>
      </w:r>
      <w:r>
        <w:t xml:space="preserve">awareness of further </w:t>
      </w:r>
      <w:r w:rsidR="00171F8A">
        <w:t>higher education</w:t>
      </w:r>
      <w:r>
        <w:t xml:space="preserve"> study options</w:t>
      </w:r>
      <w:r w:rsidR="00F83989">
        <w:t>,</w:t>
      </w:r>
      <w:r>
        <w:t xml:space="preserve"> and </w:t>
      </w:r>
      <w:r w:rsidR="00F83989">
        <w:t xml:space="preserve">the </w:t>
      </w:r>
      <w:r>
        <w:t xml:space="preserve">survey results were </w:t>
      </w:r>
      <w:r w:rsidR="00F003CC">
        <w:t>compared with</w:t>
      </w:r>
      <w:r w:rsidR="00F83989">
        <w:t xml:space="preserve"> historical data. </w:t>
      </w:r>
      <w:r>
        <w:t>A</w:t>
      </w:r>
      <w:r w:rsidRPr="00507257">
        <w:t xml:space="preserve">wareness was much higher in the earlier groups </w:t>
      </w:r>
      <w:r>
        <w:t>(</w:t>
      </w:r>
      <w:r w:rsidR="00F83989">
        <w:t>up to 95</w:t>
      </w:r>
      <w:r>
        <w:t xml:space="preserve">% in 2007 compared </w:t>
      </w:r>
      <w:r w:rsidR="00F83989">
        <w:t>with 50</w:t>
      </w:r>
      <w:r w:rsidRPr="00507257">
        <w:t xml:space="preserve">% </w:t>
      </w:r>
      <w:r>
        <w:t>in 2014 (</w:t>
      </w:r>
      <w:r w:rsidRPr="00507257">
        <w:t>in week</w:t>
      </w:r>
      <w:r>
        <w:t>s</w:t>
      </w:r>
      <w:r w:rsidRPr="00507257">
        <w:t xml:space="preserve"> 3 and 2</w:t>
      </w:r>
      <w:r>
        <w:t xml:space="preserve"> of semester</w:t>
      </w:r>
      <w:r w:rsidRPr="00507257">
        <w:t xml:space="preserve"> respectively</w:t>
      </w:r>
      <w:r>
        <w:t xml:space="preserve">), </w:t>
      </w:r>
      <w:r w:rsidRPr="009E7072">
        <w:t xml:space="preserve">see </w:t>
      </w:r>
      <w:r w:rsidR="009E7072" w:rsidRPr="009E7072">
        <w:t>table 3</w:t>
      </w:r>
      <w:r w:rsidR="00F83989" w:rsidRPr="009E7072">
        <w:t xml:space="preserve">. </w:t>
      </w:r>
    </w:p>
    <w:p w:rsidR="007F1A9E" w:rsidRPr="003B2A3D" w:rsidRDefault="007F1A9E" w:rsidP="00AC25BD">
      <w:pPr>
        <w:pStyle w:val="Text"/>
        <w:rPr>
          <w:highlight w:val="yellow"/>
        </w:rPr>
      </w:pPr>
      <w:r>
        <w:lastRenderedPageBreak/>
        <w:t xml:space="preserve">Furthermore, when students were asked if they were considering further study, only 37% of the 2014 students responded positively compared </w:t>
      </w:r>
      <w:r w:rsidR="00F003CC">
        <w:t xml:space="preserve">with 80% for the historical group. </w:t>
      </w:r>
      <w:r>
        <w:t xml:space="preserve">Recognising this </w:t>
      </w:r>
      <w:r w:rsidRPr="008821F8">
        <w:t xml:space="preserve">deficit in awareness within </w:t>
      </w:r>
      <w:r>
        <w:t>the 2014 group, an information campaign was implemented.</w:t>
      </w:r>
      <w:r w:rsidR="00611BDD">
        <w:t xml:space="preserve"> </w:t>
      </w:r>
      <w:r>
        <w:t xml:space="preserve">When the 2014 cohort was subsequently surveyed in week 8, the degree of awareness had increased to about 65% of the cohort </w:t>
      </w:r>
      <w:r w:rsidRPr="00E913F9">
        <w:t xml:space="preserve">but </w:t>
      </w:r>
      <w:r w:rsidR="00DC6BB5">
        <w:t>fewer</w:t>
      </w:r>
      <w:r w:rsidRPr="00E913F9">
        <w:t xml:space="preserve"> than two-thirds </w:t>
      </w:r>
      <w:r>
        <w:t xml:space="preserve">of these students stated that they would consider further university study (compared </w:t>
      </w:r>
      <w:r w:rsidR="00F003CC">
        <w:t>with</w:t>
      </w:r>
      <w:r>
        <w:t xml:space="preserve"> 80% for the historic</w:t>
      </w:r>
      <w:r w:rsidR="00F003CC">
        <w:t>al</w:t>
      </w:r>
      <w:r>
        <w:t xml:space="preserve"> cohort).</w:t>
      </w:r>
      <w:r w:rsidR="00611BDD">
        <w:t xml:space="preserve"> </w:t>
      </w:r>
      <w:r>
        <w:t>This investigation suggests that the 2014 student cohort displays different characteristics in terms of aspira</w:t>
      </w:r>
      <w:r w:rsidR="00F003CC">
        <w:t>tion</w:t>
      </w:r>
      <w:r w:rsidR="005C1885">
        <w:t>s</w:t>
      </w:r>
      <w:r w:rsidR="00F003CC">
        <w:t xml:space="preserve"> to complete further study.</w:t>
      </w:r>
      <w:r>
        <w:t xml:space="preserve"> In 2007 Poole and </w:t>
      </w:r>
      <w:proofErr w:type="spellStart"/>
      <w:r>
        <w:t>Toohe</w:t>
      </w:r>
      <w:r w:rsidR="00F003CC">
        <w:t>y</w:t>
      </w:r>
      <w:proofErr w:type="spellEnd"/>
      <w:r w:rsidR="00F003CC">
        <w:t xml:space="preserve"> found that, as a cohort, dual-</w:t>
      </w:r>
      <w:r>
        <w:t>award students demo</w:t>
      </w:r>
      <w:r w:rsidR="00F003CC">
        <w:t>nst</w:t>
      </w:r>
      <w:r w:rsidR="005C1885">
        <w:t>rate distinct characteristics, those</w:t>
      </w:r>
      <w:r w:rsidR="00F003CC">
        <w:t xml:space="preserve"> that</w:t>
      </w:r>
      <w:r>
        <w:t xml:space="preserve"> </w:t>
      </w:r>
      <w:r w:rsidR="00F003CC">
        <w:t xml:space="preserve">are </w:t>
      </w:r>
      <w:r>
        <w:t>supportive of academic achievement</w:t>
      </w:r>
      <w:r w:rsidR="00F003CC">
        <w:t>,</w:t>
      </w:r>
      <w:r>
        <w:t xml:space="preserve"> including higher levels of engagement and greater motivation for subsequent study.</w:t>
      </w:r>
      <w:r w:rsidR="00611BDD">
        <w:t xml:space="preserve"> </w:t>
      </w:r>
      <w:r>
        <w:t>These data may suggest that the 2014 cohort is under</w:t>
      </w:r>
      <w:r w:rsidR="005C1885">
        <w:t>-</w:t>
      </w:r>
      <w:r>
        <w:t>represented in terms of students presenting with these characteristics.</w:t>
      </w:r>
      <w:r w:rsidR="00611BDD">
        <w:t xml:space="preserve"> </w:t>
      </w:r>
    </w:p>
    <w:p w:rsidR="007F1A9E" w:rsidRDefault="007F1A9E" w:rsidP="00AC25BD">
      <w:pPr>
        <w:pStyle w:val="Text"/>
      </w:pPr>
      <w:r>
        <w:t>This case study indic</w:t>
      </w:r>
      <w:r w:rsidR="00F003CC">
        <w:t>ates that the profile of a dual-</w:t>
      </w:r>
      <w:r>
        <w:t>award pathway enabled through QTAC may be associated not only with increased student enrolment, but with a student cohort that demonstrates higher levels of engagement and greater aspiration</w:t>
      </w:r>
      <w:r w:rsidR="00DC6BB5">
        <w:t>s</w:t>
      </w:r>
      <w:r>
        <w:t xml:space="preserve"> for subsequent study.</w:t>
      </w:r>
      <w:r w:rsidR="00611BDD">
        <w:t xml:space="preserve"> </w:t>
      </w:r>
      <w:bookmarkStart w:id="120" w:name="_Toc386781186"/>
      <w:bookmarkStart w:id="121" w:name="_Toc386781226"/>
    </w:p>
    <w:p w:rsidR="007F1A9E" w:rsidRPr="005A7744" w:rsidRDefault="007F1A9E" w:rsidP="004F5D47">
      <w:pPr>
        <w:pStyle w:val="tabletitle"/>
      </w:pPr>
      <w:bookmarkStart w:id="122" w:name="_Ref393886548"/>
      <w:bookmarkStart w:id="123" w:name="_Toc387070898"/>
      <w:bookmarkStart w:id="124" w:name="_Toc395248435"/>
      <w:r w:rsidRPr="0060637A">
        <w:t xml:space="preserve">Table </w:t>
      </w:r>
      <w:r w:rsidR="00671C09" w:rsidRPr="0060637A">
        <w:fldChar w:fldCharType="begin"/>
      </w:r>
      <w:r w:rsidRPr="0060637A">
        <w:instrText xml:space="preserve"> SEQ Table \* ARABIC </w:instrText>
      </w:r>
      <w:r w:rsidR="00671C09" w:rsidRPr="0060637A">
        <w:fldChar w:fldCharType="separate"/>
      </w:r>
      <w:r w:rsidR="0065637A">
        <w:rPr>
          <w:noProof/>
        </w:rPr>
        <w:t>2</w:t>
      </w:r>
      <w:r w:rsidR="00671C09" w:rsidRPr="0060637A">
        <w:fldChar w:fldCharType="end"/>
      </w:r>
      <w:bookmarkEnd w:id="120"/>
      <w:bookmarkEnd w:id="121"/>
      <w:bookmarkEnd w:id="122"/>
      <w:r w:rsidR="00611BDD">
        <w:t xml:space="preserve"> </w:t>
      </w:r>
      <w:r w:rsidRPr="005A7744">
        <w:t>Enrolment status for students 2007 and 2014</w:t>
      </w:r>
      <w:bookmarkEnd w:id="123"/>
      <w:bookmarkEnd w:id="124"/>
    </w:p>
    <w:tbl>
      <w:tblPr>
        <w:tblW w:w="6946" w:type="dxa"/>
        <w:tblInd w:w="108" w:type="dxa"/>
        <w:tblBorders>
          <w:top w:val="single" w:sz="4" w:space="0" w:color="auto"/>
          <w:bottom w:val="single" w:sz="4" w:space="0" w:color="auto"/>
        </w:tblBorders>
        <w:tblLayout w:type="fixed"/>
        <w:tblLook w:val="0000" w:firstRow="0" w:lastRow="0" w:firstColumn="0" w:lastColumn="0" w:noHBand="0" w:noVBand="0"/>
      </w:tblPr>
      <w:tblGrid>
        <w:gridCol w:w="851"/>
        <w:gridCol w:w="1559"/>
        <w:gridCol w:w="2268"/>
        <w:gridCol w:w="2268"/>
      </w:tblGrid>
      <w:tr w:rsidR="007F1A9E" w:rsidTr="00331FA5">
        <w:trPr>
          <w:cantSplit/>
        </w:trPr>
        <w:tc>
          <w:tcPr>
            <w:tcW w:w="851" w:type="dxa"/>
            <w:tcBorders>
              <w:top w:val="single" w:sz="4" w:space="0" w:color="auto"/>
              <w:bottom w:val="single" w:sz="4" w:space="0" w:color="auto"/>
              <w:right w:val="nil"/>
            </w:tcBorders>
          </w:tcPr>
          <w:p w:rsidR="007F1A9E" w:rsidRPr="00A63609" w:rsidRDefault="007F1A9E" w:rsidP="00331FA5">
            <w:pPr>
              <w:pStyle w:val="Tablehead1"/>
            </w:pPr>
            <w:r>
              <w:t>Year</w:t>
            </w:r>
          </w:p>
        </w:tc>
        <w:tc>
          <w:tcPr>
            <w:tcW w:w="1559" w:type="dxa"/>
            <w:tcBorders>
              <w:top w:val="single" w:sz="4" w:space="0" w:color="auto"/>
              <w:left w:val="nil"/>
              <w:bottom w:val="single" w:sz="4" w:space="0" w:color="auto"/>
              <w:right w:val="nil"/>
            </w:tcBorders>
          </w:tcPr>
          <w:p w:rsidR="007F1A9E" w:rsidRPr="00A63609" w:rsidRDefault="007F1A9E" w:rsidP="00331FA5">
            <w:pPr>
              <w:pStyle w:val="Tablehead1"/>
              <w:jc w:val="center"/>
            </w:pPr>
            <w:r w:rsidRPr="00A63609">
              <w:t>Cohort size</w:t>
            </w:r>
          </w:p>
        </w:tc>
        <w:tc>
          <w:tcPr>
            <w:tcW w:w="2268" w:type="dxa"/>
            <w:tcBorders>
              <w:top w:val="single" w:sz="4" w:space="0" w:color="auto"/>
              <w:left w:val="nil"/>
              <w:bottom w:val="single" w:sz="4" w:space="0" w:color="auto"/>
              <w:right w:val="nil"/>
            </w:tcBorders>
          </w:tcPr>
          <w:p w:rsidR="007F1A9E" w:rsidRPr="00A63609" w:rsidRDefault="007F1A9E" w:rsidP="00331FA5">
            <w:pPr>
              <w:pStyle w:val="Tablehead1"/>
              <w:jc w:val="center"/>
            </w:pPr>
            <w:r w:rsidRPr="00A63609">
              <w:t>Enrolment status</w:t>
            </w:r>
          </w:p>
        </w:tc>
        <w:tc>
          <w:tcPr>
            <w:tcW w:w="2268" w:type="dxa"/>
            <w:tcBorders>
              <w:top w:val="single" w:sz="4" w:space="0" w:color="auto"/>
              <w:left w:val="nil"/>
              <w:bottom w:val="single" w:sz="4" w:space="0" w:color="auto"/>
              <w:right w:val="nil"/>
            </w:tcBorders>
          </w:tcPr>
          <w:p w:rsidR="007F1A9E" w:rsidRPr="00A63609" w:rsidRDefault="007F1A9E" w:rsidP="00331FA5">
            <w:pPr>
              <w:pStyle w:val="Tablehead1"/>
              <w:jc w:val="center"/>
            </w:pPr>
            <w:r w:rsidRPr="00A63609">
              <w:t>% of cohort</w:t>
            </w:r>
          </w:p>
        </w:tc>
      </w:tr>
      <w:tr w:rsidR="007F1A9E" w:rsidTr="00331FA5">
        <w:trPr>
          <w:cantSplit/>
        </w:trPr>
        <w:tc>
          <w:tcPr>
            <w:tcW w:w="851" w:type="dxa"/>
            <w:tcBorders>
              <w:top w:val="nil"/>
              <w:bottom w:val="nil"/>
              <w:right w:val="nil"/>
            </w:tcBorders>
          </w:tcPr>
          <w:p w:rsidR="007F1A9E" w:rsidRPr="00A63609" w:rsidRDefault="007F1A9E" w:rsidP="00331FA5">
            <w:pPr>
              <w:pStyle w:val="Tabletext"/>
            </w:pPr>
            <w:r w:rsidRPr="00A63609">
              <w:t>2007</w:t>
            </w:r>
          </w:p>
        </w:tc>
        <w:tc>
          <w:tcPr>
            <w:tcW w:w="1559" w:type="dxa"/>
            <w:tcBorders>
              <w:top w:val="nil"/>
              <w:left w:val="nil"/>
              <w:bottom w:val="nil"/>
              <w:right w:val="nil"/>
            </w:tcBorders>
          </w:tcPr>
          <w:p w:rsidR="007F1A9E" w:rsidRPr="00A63609" w:rsidRDefault="007F1A9E" w:rsidP="00331FA5">
            <w:pPr>
              <w:pStyle w:val="Tabletext"/>
              <w:tabs>
                <w:tab w:val="decimal" w:pos="737"/>
              </w:tabs>
            </w:pPr>
            <w:r w:rsidRPr="00A63609">
              <w:t>70</w:t>
            </w:r>
          </w:p>
        </w:tc>
        <w:tc>
          <w:tcPr>
            <w:tcW w:w="2268" w:type="dxa"/>
            <w:tcBorders>
              <w:top w:val="nil"/>
              <w:left w:val="nil"/>
              <w:bottom w:val="nil"/>
              <w:right w:val="nil"/>
            </w:tcBorders>
          </w:tcPr>
          <w:p w:rsidR="007F1A9E" w:rsidRPr="00A63609" w:rsidRDefault="007F1A9E" w:rsidP="00331FA5">
            <w:pPr>
              <w:pStyle w:val="Tabletext"/>
              <w:ind w:left="312"/>
            </w:pPr>
            <w:r>
              <w:t>Dual award</w:t>
            </w:r>
          </w:p>
        </w:tc>
        <w:tc>
          <w:tcPr>
            <w:tcW w:w="2268" w:type="dxa"/>
            <w:tcBorders>
              <w:top w:val="nil"/>
              <w:left w:val="nil"/>
              <w:bottom w:val="nil"/>
              <w:right w:val="nil"/>
            </w:tcBorders>
          </w:tcPr>
          <w:p w:rsidR="007F1A9E" w:rsidRPr="00A63609" w:rsidRDefault="007F1A9E" w:rsidP="00331FA5">
            <w:pPr>
              <w:pStyle w:val="Tabletext"/>
              <w:tabs>
                <w:tab w:val="decimal" w:pos="1021"/>
              </w:tabs>
            </w:pPr>
            <w:r w:rsidRPr="00A63609">
              <w:t>55%</w:t>
            </w:r>
          </w:p>
        </w:tc>
      </w:tr>
      <w:tr w:rsidR="007F1A9E" w:rsidTr="00331FA5">
        <w:trPr>
          <w:cantSplit/>
        </w:trPr>
        <w:tc>
          <w:tcPr>
            <w:tcW w:w="851" w:type="dxa"/>
            <w:tcBorders>
              <w:top w:val="nil"/>
              <w:bottom w:val="single" w:sz="4" w:space="0" w:color="auto"/>
              <w:right w:val="nil"/>
            </w:tcBorders>
          </w:tcPr>
          <w:p w:rsidR="007F1A9E" w:rsidRPr="00A63609" w:rsidRDefault="007F1A9E" w:rsidP="00331FA5">
            <w:pPr>
              <w:pStyle w:val="Tabletext"/>
            </w:pPr>
          </w:p>
        </w:tc>
        <w:tc>
          <w:tcPr>
            <w:tcW w:w="1559" w:type="dxa"/>
            <w:tcBorders>
              <w:top w:val="nil"/>
              <w:left w:val="nil"/>
              <w:bottom w:val="single" w:sz="4" w:space="0" w:color="auto"/>
              <w:right w:val="nil"/>
            </w:tcBorders>
          </w:tcPr>
          <w:p w:rsidR="007F1A9E" w:rsidRPr="00A63609" w:rsidRDefault="007F1A9E" w:rsidP="00331FA5">
            <w:pPr>
              <w:pStyle w:val="Tabletext"/>
              <w:tabs>
                <w:tab w:val="decimal" w:pos="737"/>
              </w:tabs>
            </w:pPr>
          </w:p>
        </w:tc>
        <w:tc>
          <w:tcPr>
            <w:tcW w:w="2268" w:type="dxa"/>
            <w:tcBorders>
              <w:top w:val="nil"/>
              <w:left w:val="nil"/>
              <w:bottom w:val="single" w:sz="4" w:space="0" w:color="auto"/>
              <w:right w:val="nil"/>
            </w:tcBorders>
          </w:tcPr>
          <w:p w:rsidR="007F1A9E" w:rsidRPr="00A63609" w:rsidRDefault="007F1A9E" w:rsidP="00331FA5">
            <w:pPr>
              <w:pStyle w:val="Tabletext"/>
              <w:ind w:left="312"/>
            </w:pPr>
            <w:r w:rsidRPr="00A63609">
              <w:t>Non-</w:t>
            </w:r>
            <w:r w:rsidR="00F003CC">
              <w:t>d</w:t>
            </w:r>
            <w:r>
              <w:t>ual award</w:t>
            </w:r>
          </w:p>
        </w:tc>
        <w:tc>
          <w:tcPr>
            <w:tcW w:w="2268" w:type="dxa"/>
            <w:tcBorders>
              <w:top w:val="nil"/>
              <w:left w:val="nil"/>
              <w:bottom w:val="single" w:sz="4" w:space="0" w:color="auto"/>
              <w:right w:val="nil"/>
            </w:tcBorders>
          </w:tcPr>
          <w:p w:rsidR="007F1A9E" w:rsidRPr="00A63609" w:rsidRDefault="007F1A9E" w:rsidP="00331FA5">
            <w:pPr>
              <w:pStyle w:val="Tabletext"/>
              <w:tabs>
                <w:tab w:val="decimal" w:pos="1021"/>
              </w:tabs>
            </w:pPr>
            <w:r w:rsidRPr="00A63609">
              <w:t>45%</w:t>
            </w:r>
          </w:p>
        </w:tc>
      </w:tr>
      <w:tr w:rsidR="007F1A9E" w:rsidTr="00331FA5">
        <w:trPr>
          <w:cantSplit/>
        </w:trPr>
        <w:tc>
          <w:tcPr>
            <w:tcW w:w="851" w:type="dxa"/>
            <w:tcBorders>
              <w:top w:val="single" w:sz="4" w:space="0" w:color="auto"/>
              <w:bottom w:val="nil"/>
              <w:right w:val="nil"/>
            </w:tcBorders>
          </w:tcPr>
          <w:p w:rsidR="007F1A9E" w:rsidRPr="00E913F9" w:rsidRDefault="007F1A9E" w:rsidP="00331FA5">
            <w:pPr>
              <w:pStyle w:val="Tabletext"/>
            </w:pPr>
            <w:r w:rsidRPr="00E913F9">
              <w:t>2014</w:t>
            </w:r>
          </w:p>
        </w:tc>
        <w:tc>
          <w:tcPr>
            <w:tcW w:w="1559" w:type="dxa"/>
            <w:tcBorders>
              <w:top w:val="single" w:sz="4" w:space="0" w:color="auto"/>
              <w:left w:val="nil"/>
              <w:bottom w:val="nil"/>
              <w:right w:val="nil"/>
            </w:tcBorders>
          </w:tcPr>
          <w:p w:rsidR="007F1A9E" w:rsidRPr="00A63609" w:rsidRDefault="007F1A9E" w:rsidP="00331FA5">
            <w:pPr>
              <w:pStyle w:val="Tabletext"/>
              <w:tabs>
                <w:tab w:val="decimal" w:pos="737"/>
              </w:tabs>
            </w:pPr>
            <w:r w:rsidRPr="00A63609">
              <w:t>52</w:t>
            </w:r>
          </w:p>
        </w:tc>
        <w:tc>
          <w:tcPr>
            <w:tcW w:w="2268" w:type="dxa"/>
            <w:tcBorders>
              <w:top w:val="single" w:sz="4" w:space="0" w:color="auto"/>
              <w:left w:val="nil"/>
              <w:bottom w:val="nil"/>
              <w:right w:val="nil"/>
            </w:tcBorders>
          </w:tcPr>
          <w:p w:rsidR="007F1A9E" w:rsidRPr="00A63609" w:rsidRDefault="007F1A9E" w:rsidP="00331FA5">
            <w:pPr>
              <w:pStyle w:val="Tabletext"/>
              <w:ind w:left="312"/>
            </w:pPr>
            <w:r>
              <w:t>Dual award</w:t>
            </w:r>
          </w:p>
        </w:tc>
        <w:tc>
          <w:tcPr>
            <w:tcW w:w="2268" w:type="dxa"/>
            <w:tcBorders>
              <w:top w:val="single" w:sz="4" w:space="0" w:color="auto"/>
              <w:left w:val="nil"/>
              <w:bottom w:val="nil"/>
              <w:right w:val="nil"/>
            </w:tcBorders>
          </w:tcPr>
          <w:p w:rsidR="007F1A9E" w:rsidRPr="00A63609" w:rsidRDefault="007F1A9E" w:rsidP="00331FA5">
            <w:pPr>
              <w:pStyle w:val="Tabletext"/>
              <w:tabs>
                <w:tab w:val="decimal" w:pos="1021"/>
              </w:tabs>
            </w:pPr>
            <w:r w:rsidRPr="00A63609">
              <w:t>18%</w:t>
            </w:r>
          </w:p>
        </w:tc>
      </w:tr>
      <w:tr w:rsidR="007F1A9E" w:rsidTr="00331FA5">
        <w:trPr>
          <w:cantSplit/>
        </w:trPr>
        <w:tc>
          <w:tcPr>
            <w:tcW w:w="851" w:type="dxa"/>
            <w:tcBorders>
              <w:top w:val="nil"/>
              <w:bottom w:val="single" w:sz="4" w:space="0" w:color="auto"/>
              <w:right w:val="nil"/>
            </w:tcBorders>
          </w:tcPr>
          <w:p w:rsidR="007F1A9E" w:rsidRPr="00A63609" w:rsidRDefault="007F1A9E" w:rsidP="00331FA5">
            <w:pPr>
              <w:pStyle w:val="Tabletext"/>
            </w:pPr>
          </w:p>
        </w:tc>
        <w:tc>
          <w:tcPr>
            <w:tcW w:w="1559" w:type="dxa"/>
            <w:tcBorders>
              <w:top w:val="nil"/>
              <w:left w:val="nil"/>
              <w:bottom w:val="single" w:sz="4" w:space="0" w:color="auto"/>
              <w:right w:val="nil"/>
            </w:tcBorders>
          </w:tcPr>
          <w:p w:rsidR="007F1A9E" w:rsidRPr="00A63609" w:rsidRDefault="007F1A9E" w:rsidP="00331FA5">
            <w:pPr>
              <w:pStyle w:val="Tabletext"/>
              <w:tabs>
                <w:tab w:val="decimal" w:pos="737"/>
              </w:tabs>
            </w:pPr>
          </w:p>
        </w:tc>
        <w:tc>
          <w:tcPr>
            <w:tcW w:w="2268" w:type="dxa"/>
            <w:tcBorders>
              <w:top w:val="nil"/>
              <w:left w:val="nil"/>
              <w:bottom w:val="single" w:sz="4" w:space="0" w:color="auto"/>
              <w:right w:val="nil"/>
            </w:tcBorders>
          </w:tcPr>
          <w:p w:rsidR="007F1A9E" w:rsidRPr="00A63609" w:rsidRDefault="007F1A9E" w:rsidP="00331FA5">
            <w:pPr>
              <w:pStyle w:val="Tabletext"/>
              <w:ind w:left="312"/>
            </w:pPr>
            <w:r w:rsidRPr="00A63609">
              <w:t>Non-</w:t>
            </w:r>
            <w:r w:rsidR="00F003CC">
              <w:t>d</w:t>
            </w:r>
            <w:r>
              <w:t>ual award</w:t>
            </w:r>
          </w:p>
        </w:tc>
        <w:tc>
          <w:tcPr>
            <w:tcW w:w="2268" w:type="dxa"/>
            <w:tcBorders>
              <w:top w:val="nil"/>
              <w:left w:val="nil"/>
              <w:bottom w:val="single" w:sz="4" w:space="0" w:color="auto"/>
              <w:right w:val="nil"/>
            </w:tcBorders>
          </w:tcPr>
          <w:p w:rsidR="007F1A9E" w:rsidRPr="00A63609" w:rsidRDefault="007F1A9E" w:rsidP="00331FA5">
            <w:pPr>
              <w:pStyle w:val="Tabletext"/>
              <w:tabs>
                <w:tab w:val="decimal" w:pos="1021"/>
              </w:tabs>
            </w:pPr>
            <w:r w:rsidRPr="00A63609">
              <w:t>82%</w:t>
            </w:r>
          </w:p>
        </w:tc>
      </w:tr>
    </w:tbl>
    <w:p w:rsidR="007F1A9E" w:rsidRPr="00F003CC" w:rsidRDefault="007F1A9E" w:rsidP="00331FA5">
      <w:pPr>
        <w:pStyle w:val="Source"/>
        <w:rPr>
          <w:lang w:eastAsia="en-AU"/>
        </w:rPr>
      </w:pPr>
      <w:r w:rsidRPr="00F003CC">
        <w:rPr>
          <w:lang w:eastAsia="en-AU"/>
        </w:rPr>
        <w:t>Sources:</w:t>
      </w:r>
      <w:r w:rsidR="00331FA5">
        <w:rPr>
          <w:lang w:eastAsia="en-AU"/>
        </w:rPr>
        <w:tab/>
      </w:r>
      <w:r w:rsidRPr="00F003CC">
        <w:rPr>
          <w:lang w:eastAsia="en-AU"/>
        </w:rPr>
        <w:t xml:space="preserve">Poole </w:t>
      </w:r>
      <w:r w:rsidR="00F003CC">
        <w:rPr>
          <w:lang w:eastAsia="en-AU"/>
        </w:rPr>
        <w:t xml:space="preserve">&amp; </w:t>
      </w:r>
      <w:proofErr w:type="spellStart"/>
      <w:r w:rsidR="00F003CC">
        <w:rPr>
          <w:lang w:eastAsia="en-AU"/>
        </w:rPr>
        <w:t>Toohey</w:t>
      </w:r>
      <w:proofErr w:type="spellEnd"/>
      <w:r w:rsidR="00F003CC">
        <w:rPr>
          <w:lang w:eastAsia="en-AU"/>
        </w:rPr>
        <w:t xml:space="preserve"> (2007);</w:t>
      </w:r>
      <w:r w:rsidRPr="00F003CC">
        <w:rPr>
          <w:lang w:eastAsia="en-AU"/>
        </w:rPr>
        <w:t xml:space="preserve"> 2014 SBIT </w:t>
      </w:r>
      <w:r w:rsidR="00F003CC" w:rsidRPr="00F003CC">
        <w:rPr>
          <w:lang w:eastAsia="en-AU"/>
        </w:rPr>
        <w:t>class surveys and enrolment information</w:t>
      </w:r>
      <w:r w:rsidR="00F003CC">
        <w:rPr>
          <w:lang w:eastAsia="en-AU"/>
        </w:rPr>
        <w:t>.</w:t>
      </w:r>
    </w:p>
    <w:p w:rsidR="007F1A9E" w:rsidRPr="00696CB1" w:rsidRDefault="007F1A9E" w:rsidP="00331FA5">
      <w:pPr>
        <w:pStyle w:val="tabletitle"/>
      </w:pPr>
      <w:bookmarkStart w:id="125" w:name="_Toc386781187"/>
      <w:bookmarkStart w:id="126" w:name="_Toc386781227"/>
      <w:bookmarkStart w:id="127" w:name="_Toc387070899"/>
      <w:bookmarkStart w:id="128" w:name="_Toc395248436"/>
      <w:r w:rsidRPr="0060637A">
        <w:t xml:space="preserve">Table </w:t>
      </w:r>
      <w:r w:rsidR="00671C09" w:rsidRPr="0060637A">
        <w:fldChar w:fldCharType="begin"/>
      </w:r>
      <w:r w:rsidRPr="0060637A">
        <w:instrText xml:space="preserve"> SEQ Table \* ARABIC </w:instrText>
      </w:r>
      <w:r w:rsidR="00671C09" w:rsidRPr="0060637A">
        <w:fldChar w:fldCharType="separate"/>
      </w:r>
      <w:r w:rsidR="0065637A">
        <w:rPr>
          <w:noProof/>
        </w:rPr>
        <w:t>3</w:t>
      </w:r>
      <w:r w:rsidR="00671C09" w:rsidRPr="0060637A">
        <w:fldChar w:fldCharType="end"/>
      </w:r>
      <w:r w:rsidR="00331FA5">
        <w:tab/>
      </w:r>
      <w:r w:rsidRPr="005A7744">
        <w:t>Student awareness and consideration of subsequent university study</w:t>
      </w:r>
      <w:bookmarkEnd w:id="125"/>
      <w:bookmarkEnd w:id="126"/>
      <w:bookmarkEnd w:id="127"/>
      <w:bookmarkEnd w:id="128"/>
    </w:p>
    <w:tbl>
      <w:tblPr>
        <w:tblW w:w="6946" w:type="dxa"/>
        <w:tblInd w:w="108" w:type="dxa"/>
        <w:tblBorders>
          <w:top w:val="single" w:sz="4" w:space="0" w:color="auto"/>
          <w:bottom w:val="single" w:sz="4" w:space="0" w:color="auto"/>
        </w:tblBorders>
        <w:tblLayout w:type="fixed"/>
        <w:tblLook w:val="0000" w:firstRow="0" w:lastRow="0" w:firstColumn="0" w:lastColumn="0" w:noHBand="0" w:noVBand="0"/>
      </w:tblPr>
      <w:tblGrid>
        <w:gridCol w:w="851"/>
        <w:gridCol w:w="1523"/>
        <w:gridCol w:w="1524"/>
        <w:gridCol w:w="1524"/>
        <w:gridCol w:w="1524"/>
      </w:tblGrid>
      <w:tr w:rsidR="007F1A9E" w:rsidTr="00331FA5">
        <w:trPr>
          <w:cantSplit/>
        </w:trPr>
        <w:tc>
          <w:tcPr>
            <w:tcW w:w="851" w:type="dxa"/>
            <w:tcBorders>
              <w:top w:val="single" w:sz="4" w:space="0" w:color="auto"/>
              <w:bottom w:val="single" w:sz="4" w:space="0" w:color="auto"/>
              <w:right w:val="nil"/>
            </w:tcBorders>
          </w:tcPr>
          <w:p w:rsidR="007F1A9E" w:rsidRPr="000F30AA" w:rsidRDefault="007F1A9E" w:rsidP="00331FA5">
            <w:pPr>
              <w:pStyle w:val="Tablehead1"/>
            </w:pPr>
            <w:r w:rsidRPr="000F30AA">
              <w:t>Year</w:t>
            </w:r>
          </w:p>
        </w:tc>
        <w:tc>
          <w:tcPr>
            <w:tcW w:w="1523" w:type="dxa"/>
            <w:tcBorders>
              <w:top w:val="single" w:sz="4" w:space="0" w:color="auto"/>
              <w:left w:val="nil"/>
              <w:bottom w:val="single" w:sz="4" w:space="0" w:color="auto"/>
              <w:right w:val="nil"/>
            </w:tcBorders>
          </w:tcPr>
          <w:p w:rsidR="007F1A9E" w:rsidRPr="000F30AA" w:rsidRDefault="007F1A9E" w:rsidP="00331FA5">
            <w:pPr>
              <w:pStyle w:val="Tablehead1"/>
              <w:jc w:val="center"/>
            </w:pPr>
            <w:r w:rsidRPr="000F30AA">
              <w:t xml:space="preserve">Awareness of </w:t>
            </w:r>
            <w:proofErr w:type="spellStart"/>
            <w:r w:rsidRPr="000F30AA">
              <w:t>uni.</w:t>
            </w:r>
            <w:proofErr w:type="spellEnd"/>
            <w:r w:rsidRPr="000F30AA">
              <w:t xml:space="preserve"> </w:t>
            </w:r>
            <w:r w:rsidR="00331FA5" w:rsidRPr="000F30AA">
              <w:t>options</w:t>
            </w:r>
            <w:r w:rsidR="00331FA5">
              <w:br/>
            </w:r>
            <w:r w:rsidRPr="000F30AA">
              <w:t xml:space="preserve">(Week 3 for 2007, </w:t>
            </w:r>
            <w:r w:rsidR="00331FA5" w:rsidRPr="000F30AA">
              <w:t xml:space="preserve">week </w:t>
            </w:r>
            <w:r w:rsidRPr="000F30AA">
              <w:t>2 for</w:t>
            </w:r>
            <w:r w:rsidR="00331FA5">
              <w:t> </w:t>
            </w:r>
            <w:r w:rsidRPr="000F30AA">
              <w:t>2014)</w:t>
            </w:r>
          </w:p>
        </w:tc>
        <w:tc>
          <w:tcPr>
            <w:tcW w:w="1524" w:type="dxa"/>
            <w:tcBorders>
              <w:top w:val="single" w:sz="4" w:space="0" w:color="auto"/>
              <w:left w:val="nil"/>
              <w:bottom w:val="single" w:sz="4" w:space="0" w:color="auto"/>
              <w:right w:val="nil"/>
            </w:tcBorders>
          </w:tcPr>
          <w:p w:rsidR="007F1A9E" w:rsidRPr="000F30AA" w:rsidRDefault="007F1A9E" w:rsidP="00331FA5">
            <w:pPr>
              <w:pStyle w:val="Tablehead1"/>
              <w:jc w:val="center"/>
            </w:pPr>
            <w:r w:rsidRPr="000F30AA">
              <w:t xml:space="preserve">Consider </w:t>
            </w:r>
            <w:proofErr w:type="spellStart"/>
            <w:r w:rsidRPr="000F30AA">
              <w:t>uni.</w:t>
            </w:r>
            <w:proofErr w:type="spellEnd"/>
            <w:r w:rsidRPr="000F30AA">
              <w:t xml:space="preserve"> study </w:t>
            </w:r>
            <w:r w:rsidR="00331FA5">
              <w:br/>
            </w:r>
            <w:r w:rsidRPr="000F30AA">
              <w:t xml:space="preserve">(Week 3 for 2007, </w:t>
            </w:r>
            <w:r w:rsidR="00331FA5" w:rsidRPr="000F30AA">
              <w:t xml:space="preserve">week </w:t>
            </w:r>
            <w:r w:rsidRPr="000F30AA">
              <w:t>2 for</w:t>
            </w:r>
            <w:r w:rsidR="00331FA5">
              <w:t> </w:t>
            </w:r>
            <w:r w:rsidRPr="000F30AA">
              <w:t>2014)</w:t>
            </w:r>
          </w:p>
        </w:tc>
        <w:tc>
          <w:tcPr>
            <w:tcW w:w="1524" w:type="dxa"/>
            <w:tcBorders>
              <w:top w:val="single" w:sz="4" w:space="0" w:color="auto"/>
              <w:left w:val="nil"/>
              <w:bottom w:val="single" w:sz="4" w:space="0" w:color="auto"/>
              <w:right w:val="nil"/>
            </w:tcBorders>
          </w:tcPr>
          <w:p w:rsidR="007F1A9E" w:rsidRPr="000F30AA" w:rsidRDefault="007F1A9E" w:rsidP="00331FA5">
            <w:pPr>
              <w:pStyle w:val="Tablehead1"/>
              <w:jc w:val="center"/>
            </w:pPr>
            <w:r w:rsidRPr="000F30AA">
              <w:t xml:space="preserve">Awareness of </w:t>
            </w:r>
            <w:proofErr w:type="spellStart"/>
            <w:r w:rsidRPr="000F30AA">
              <w:t>uni.</w:t>
            </w:r>
            <w:proofErr w:type="spellEnd"/>
            <w:r w:rsidRPr="000F30AA">
              <w:t xml:space="preserve"> </w:t>
            </w:r>
            <w:r w:rsidR="00331FA5" w:rsidRPr="000F30AA">
              <w:t>options</w:t>
            </w:r>
            <w:r w:rsidR="00331FA5">
              <w:br/>
            </w:r>
            <w:r w:rsidRPr="000F30AA">
              <w:t>(Week 8)</w:t>
            </w:r>
          </w:p>
        </w:tc>
        <w:tc>
          <w:tcPr>
            <w:tcW w:w="1524" w:type="dxa"/>
            <w:tcBorders>
              <w:top w:val="single" w:sz="4" w:space="0" w:color="auto"/>
              <w:left w:val="nil"/>
              <w:bottom w:val="single" w:sz="4" w:space="0" w:color="auto"/>
            </w:tcBorders>
          </w:tcPr>
          <w:p w:rsidR="007F1A9E" w:rsidRPr="000F30AA" w:rsidRDefault="007F1A9E" w:rsidP="00331FA5">
            <w:pPr>
              <w:pStyle w:val="Tablehead1"/>
              <w:jc w:val="center"/>
            </w:pPr>
            <w:r w:rsidRPr="000F30AA">
              <w:t xml:space="preserve">Consider </w:t>
            </w:r>
            <w:proofErr w:type="spellStart"/>
            <w:r w:rsidRPr="000F30AA">
              <w:t>uni.</w:t>
            </w:r>
            <w:proofErr w:type="spellEnd"/>
            <w:r w:rsidRPr="000F30AA">
              <w:t xml:space="preserve"> study </w:t>
            </w:r>
            <w:r w:rsidR="00331FA5">
              <w:br/>
            </w:r>
            <w:r w:rsidRPr="000F30AA">
              <w:t xml:space="preserve">(Week 18 for 2007, </w:t>
            </w:r>
            <w:r w:rsidR="00331FA5" w:rsidRPr="000F30AA">
              <w:t xml:space="preserve">week </w:t>
            </w:r>
            <w:r w:rsidRPr="000F30AA">
              <w:t>8 for</w:t>
            </w:r>
            <w:r w:rsidR="00331FA5">
              <w:t> </w:t>
            </w:r>
            <w:r w:rsidRPr="000F30AA">
              <w:t>2014)</w:t>
            </w:r>
          </w:p>
        </w:tc>
      </w:tr>
      <w:tr w:rsidR="007F1A9E" w:rsidTr="00331FA5">
        <w:trPr>
          <w:cantSplit/>
        </w:trPr>
        <w:tc>
          <w:tcPr>
            <w:tcW w:w="851" w:type="dxa"/>
            <w:tcBorders>
              <w:top w:val="nil"/>
              <w:bottom w:val="nil"/>
              <w:right w:val="nil"/>
            </w:tcBorders>
          </w:tcPr>
          <w:p w:rsidR="007F1A9E" w:rsidRPr="000F30AA" w:rsidRDefault="007F1A9E" w:rsidP="00331FA5">
            <w:pPr>
              <w:pStyle w:val="Tabletext"/>
            </w:pPr>
            <w:r w:rsidRPr="000F30AA">
              <w:t>2007</w:t>
            </w:r>
          </w:p>
        </w:tc>
        <w:tc>
          <w:tcPr>
            <w:tcW w:w="1523" w:type="dxa"/>
            <w:tcBorders>
              <w:top w:val="nil"/>
              <w:left w:val="nil"/>
              <w:bottom w:val="nil"/>
              <w:right w:val="nil"/>
            </w:tcBorders>
          </w:tcPr>
          <w:p w:rsidR="007F1A9E" w:rsidRPr="000F30AA" w:rsidRDefault="007F1A9E" w:rsidP="00331FA5">
            <w:pPr>
              <w:pStyle w:val="Tabletext"/>
              <w:tabs>
                <w:tab w:val="decimal" w:pos="680"/>
              </w:tabs>
            </w:pPr>
            <w:r w:rsidRPr="000F30AA">
              <w:t>95%</w:t>
            </w:r>
          </w:p>
        </w:tc>
        <w:tc>
          <w:tcPr>
            <w:tcW w:w="1524" w:type="dxa"/>
            <w:tcBorders>
              <w:top w:val="nil"/>
              <w:left w:val="nil"/>
              <w:bottom w:val="nil"/>
              <w:right w:val="nil"/>
            </w:tcBorders>
          </w:tcPr>
          <w:p w:rsidR="007F1A9E" w:rsidRPr="00612D79" w:rsidRDefault="007F1A9E" w:rsidP="00331FA5">
            <w:pPr>
              <w:pStyle w:val="Tabletext"/>
              <w:tabs>
                <w:tab w:val="decimal" w:pos="680"/>
              </w:tabs>
            </w:pPr>
            <w:r w:rsidRPr="00612D79">
              <w:t>80%</w:t>
            </w:r>
          </w:p>
        </w:tc>
        <w:tc>
          <w:tcPr>
            <w:tcW w:w="1524" w:type="dxa"/>
            <w:tcBorders>
              <w:top w:val="nil"/>
              <w:left w:val="nil"/>
              <w:bottom w:val="nil"/>
              <w:right w:val="nil"/>
            </w:tcBorders>
          </w:tcPr>
          <w:p w:rsidR="007F1A9E" w:rsidRPr="00612D79" w:rsidRDefault="007F1A9E" w:rsidP="00331FA5">
            <w:pPr>
              <w:pStyle w:val="Tabletext"/>
              <w:tabs>
                <w:tab w:val="decimal" w:pos="680"/>
              </w:tabs>
            </w:pPr>
            <w:r w:rsidRPr="00612D79">
              <w:t>≥ 95%</w:t>
            </w:r>
          </w:p>
        </w:tc>
        <w:tc>
          <w:tcPr>
            <w:tcW w:w="1524" w:type="dxa"/>
            <w:tcBorders>
              <w:top w:val="nil"/>
              <w:left w:val="nil"/>
              <w:bottom w:val="nil"/>
            </w:tcBorders>
          </w:tcPr>
          <w:p w:rsidR="007F1A9E" w:rsidRPr="000F30AA" w:rsidRDefault="007F1A9E" w:rsidP="00331FA5">
            <w:pPr>
              <w:pStyle w:val="Tabletext"/>
              <w:tabs>
                <w:tab w:val="decimal" w:pos="680"/>
              </w:tabs>
            </w:pPr>
            <w:r w:rsidRPr="000F30AA">
              <w:t>69%</w:t>
            </w:r>
          </w:p>
          <w:p w:rsidR="007F1A9E" w:rsidRPr="000F30AA" w:rsidRDefault="007F1A9E" w:rsidP="00331FA5">
            <w:pPr>
              <w:pStyle w:val="Tabletext"/>
              <w:jc w:val="center"/>
            </w:pPr>
            <w:r w:rsidRPr="000F30AA">
              <w:t>49 students</w:t>
            </w:r>
          </w:p>
        </w:tc>
      </w:tr>
      <w:tr w:rsidR="007F1A9E" w:rsidTr="00331FA5">
        <w:trPr>
          <w:cantSplit/>
        </w:trPr>
        <w:tc>
          <w:tcPr>
            <w:tcW w:w="851" w:type="dxa"/>
            <w:tcBorders>
              <w:top w:val="nil"/>
              <w:bottom w:val="single" w:sz="4" w:space="0" w:color="auto"/>
              <w:right w:val="nil"/>
            </w:tcBorders>
          </w:tcPr>
          <w:p w:rsidR="007F1A9E" w:rsidRPr="000F30AA" w:rsidRDefault="007F1A9E" w:rsidP="00331FA5">
            <w:pPr>
              <w:pStyle w:val="Tabletext"/>
            </w:pPr>
            <w:r w:rsidRPr="00E913F9">
              <w:t>2014</w:t>
            </w:r>
          </w:p>
        </w:tc>
        <w:tc>
          <w:tcPr>
            <w:tcW w:w="1523" w:type="dxa"/>
            <w:tcBorders>
              <w:top w:val="nil"/>
              <w:left w:val="nil"/>
              <w:bottom w:val="single" w:sz="4" w:space="0" w:color="auto"/>
              <w:right w:val="nil"/>
            </w:tcBorders>
          </w:tcPr>
          <w:p w:rsidR="007F1A9E" w:rsidRPr="000F30AA" w:rsidRDefault="007F1A9E" w:rsidP="00331FA5">
            <w:pPr>
              <w:pStyle w:val="Tabletext"/>
              <w:tabs>
                <w:tab w:val="decimal" w:pos="680"/>
              </w:tabs>
            </w:pPr>
            <w:r w:rsidRPr="000F30AA">
              <w:t>51%</w:t>
            </w:r>
          </w:p>
        </w:tc>
        <w:tc>
          <w:tcPr>
            <w:tcW w:w="1524" w:type="dxa"/>
            <w:tcBorders>
              <w:top w:val="nil"/>
              <w:left w:val="nil"/>
              <w:bottom w:val="single" w:sz="4" w:space="0" w:color="auto"/>
              <w:right w:val="nil"/>
            </w:tcBorders>
          </w:tcPr>
          <w:p w:rsidR="007F1A9E" w:rsidRPr="000F30AA" w:rsidRDefault="007F1A9E" w:rsidP="00331FA5">
            <w:pPr>
              <w:pStyle w:val="Tabletext"/>
              <w:tabs>
                <w:tab w:val="decimal" w:pos="680"/>
              </w:tabs>
            </w:pPr>
            <w:r w:rsidRPr="000F30AA">
              <w:t>37%</w:t>
            </w:r>
          </w:p>
        </w:tc>
        <w:tc>
          <w:tcPr>
            <w:tcW w:w="1524" w:type="dxa"/>
            <w:tcBorders>
              <w:top w:val="nil"/>
              <w:left w:val="nil"/>
              <w:bottom w:val="single" w:sz="4" w:space="0" w:color="auto"/>
              <w:right w:val="nil"/>
            </w:tcBorders>
          </w:tcPr>
          <w:p w:rsidR="007F1A9E" w:rsidRPr="000F30AA" w:rsidRDefault="007F1A9E" w:rsidP="00331FA5">
            <w:pPr>
              <w:pStyle w:val="Tabletext"/>
              <w:tabs>
                <w:tab w:val="decimal" w:pos="680"/>
              </w:tabs>
            </w:pPr>
            <w:r w:rsidRPr="000F30AA">
              <w:t>67%</w:t>
            </w:r>
          </w:p>
        </w:tc>
        <w:tc>
          <w:tcPr>
            <w:tcW w:w="1524" w:type="dxa"/>
            <w:tcBorders>
              <w:top w:val="nil"/>
              <w:left w:val="nil"/>
              <w:bottom w:val="single" w:sz="4" w:space="0" w:color="auto"/>
            </w:tcBorders>
          </w:tcPr>
          <w:p w:rsidR="007F1A9E" w:rsidRPr="000F30AA" w:rsidRDefault="007F1A9E" w:rsidP="00331FA5">
            <w:pPr>
              <w:pStyle w:val="Tabletext"/>
              <w:tabs>
                <w:tab w:val="decimal" w:pos="680"/>
              </w:tabs>
            </w:pPr>
            <w:r w:rsidRPr="000F30AA">
              <w:t>42%</w:t>
            </w:r>
          </w:p>
          <w:p w:rsidR="007F1A9E" w:rsidRPr="000F30AA" w:rsidRDefault="007F1A9E" w:rsidP="00331FA5">
            <w:pPr>
              <w:pStyle w:val="Tabletext"/>
              <w:jc w:val="center"/>
            </w:pPr>
            <w:r w:rsidRPr="000F30AA">
              <w:t>21 students</w:t>
            </w:r>
          </w:p>
        </w:tc>
      </w:tr>
    </w:tbl>
    <w:p w:rsidR="00F003CC" w:rsidRPr="00F003CC" w:rsidRDefault="00F003CC" w:rsidP="00331FA5">
      <w:pPr>
        <w:pStyle w:val="Source"/>
        <w:rPr>
          <w:lang w:eastAsia="en-AU"/>
        </w:rPr>
      </w:pPr>
      <w:r w:rsidRPr="00F003CC">
        <w:rPr>
          <w:lang w:eastAsia="en-AU"/>
        </w:rPr>
        <w:t>Sources:</w:t>
      </w:r>
      <w:r w:rsidR="00331FA5">
        <w:rPr>
          <w:lang w:eastAsia="en-AU"/>
        </w:rPr>
        <w:tab/>
      </w:r>
      <w:r w:rsidRPr="00F003CC">
        <w:rPr>
          <w:lang w:eastAsia="en-AU"/>
        </w:rPr>
        <w:t xml:space="preserve">Poole </w:t>
      </w:r>
      <w:r>
        <w:rPr>
          <w:lang w:eastAsia="en-AU"/>
        </w:rPr>
        <w:t xml:space="preserve">&amp; </w:t>
      </w:r>
      <w:proofErr w:type="spellStart"/>
      <w:r>
        <w:rPr>
          <w:lang w:eastAsia="en-AU"/>
        </w:rPr>
        <w:t>Toohey</w:t>
      </w:r>
      <w:proofErr w:type="spellEnd"/>
      <w:r>
        <w:rPr>
          <w:lang w:eastAsia="en-AU"/>
        </w:rPr>
        <w:t xml:space="preserve"> (2007);</w:t>
      </w:r>
      <w:r w:rsidRPr="00F003CC">
        <w:rPr>
          <w:lang w:eastAsia="en-AU"/>
        </w:rPr>
        <w:t xml:space="preserve"> 2014 SBIT class surveys and enrolment information</w:t>
      </w:r>
      <w:r>
        <w:rPr>
          <w:lang w:eastAsia="en-AU"/>
        </w:rPr>
        <w:t>.</w:t>
      </w:r>
    </w:p>
    <w:p w:rsidR="007F1A9E" w:rsidRDefault="007F1A9E" w:rsidP="000F6D8E">
      <w:pPr>
        <w:pStyle w:val="StyleHeading4Before18ptLinespacingExactly14pt"/>
      </w:pPr>
      <w:r>
        <w:t xml:space="preserve">University of Southern Queensland </w:t>
      </w:r>
      <w:r w:rsidR="00F003CC">
        <w:t xml:space="preserve">dual-award data </w:t>
      </w:r>
    </w:p>
    <w:p w:rsidR="007F1A9E" w:rsidRPr="00AC25BD" w:rsidRDefault="00E131D3" w:rsidP="00331FA5">
      <w:pPr>
        <w:pStyle w:val="Textlessbefore"/>
      </w:pPr>
      <w:r>
        <w:t xml:space="preserve">Further investigation </w:t>
      </w:r>
      <w:r w:rsidR="007F1A9E" w:rsidRPr="00AC25BD">
        <w:t>found t</w:t>
      </w:r>
      <w:r w:rsidR="00F003CC">
        <w:t>hat student enrolments via dual-</w:t>
      </w:r>
      <w:r w:rsidR="007F1A9E" w:rsidRPr="00AC25BD">
        <w:t xml:space="preserve">award pathways trended upwards over time when viewed from the perspective of a </w:t>
      </w:r>
      <w:r w:rsidR="00171F8A">
        <w:t>higher education</w:t>
      </w:r>
      <w:r w:rsidR="007F1A9E" w:rsidRPr="00AC25BD">
        <w:t xml:space="preserve"> provider such as the Universi</w:t>
      </w:r>
      <w:r w:rsidR="00F003CC">
        <w:t>ty of Southern Queensland (USQ)</w:t>
      </w:r>
      <w:r w:rsidR="007F1A9E" w:rsidRPr="00AC25BD">
        <w:t xml:space="preserve"> </w:t>
      </w:r>
      <w:r w:rsidR="00F003CC">
        <w:t>(</w:t>
      </w:r>
      <w:r w:rsidR="005C1885">
        <w:t>see table 4</w:t>
      </w:r>
      <w:r w:rsidR="00F003CC">
        <w:t>)</w:t>
      </w:r>
      <w:r w:rsidR="007F1A9E" w:rsidRPr="00AC25BD">
        <w:t>.</w:t>
      </w:r>
      <w:r w:rsidR="00611BDD">
        <w:t xml:space="preserve"> </w:t>
      </w:r>
      <w:r w:rsidR="007F1A9E" w:rsidRPr="00AC25BD">
        <w:t>In other words, the movement of students across the sectors is also visible at the destination organisation</w:t>
      </w:r>
      <w:r w:rsidR="00F003CC">
        <w:t>,</w:t>
      </w:r>
      <w:r w:rsidR="007F1A9E" w:rsidRPr="00AC25BD">
        <w:t xml:space="preserve"> which is able to track and plan for the </w:t>
      </w:r>
      <w:r w:rsidR="00F003CC">
        <w:t>arrival of students in the dual-</w:t>
      </w:r>
      <w:r w:rsidR="007F1A9E" w:rsidRPr="00AC25BD">
        <w:t>award pipeline.</w:t>
      </w:r>
      <w:r w:rsidR="00611BDD">
        <w:t xml:space="preserve"> </w:t>
      </w:r>
    </w:p>
    <w:p w:rsidR="00EE29A0" w:rsidRDefault="00EE29A0">
      <w:pPr>
        <w:spacing w:before="0" w:line="240" w:lineRule="auto"/>
        <w:rPr>
          <w:rFonts w:ascii="Tahoma" w:hAnsi="Tahoma"/>
          <w:b/>
          <w:sz w:val="17"/>
        </w:rPr>
      </w:pPr>
      <w:bookmarkStart w:id="129" w:name="_Toc395248437"/>
      <w:r>
        <w:br w:type="page"/>
      </w:r>
    </w:p>
    <w:p w:rsidR="007F1A9E" w:rsidRDefault="007F1A9E" w:rsidP="00EE29A0">
      <w:pPr>
        <w:pStyle w:val="tabletitle"/>
        <w:ind w:right="283"/>
      </w:pPr>
      <w:r w:rsidRPr="00BC5ED7">
        <w:lastRenderedPageBreak/>
        <w:t xml:space="preserve">Table </w:t>
      </w:r>
      <w:r w:rsidR="00671C09" w:rsidRPr="00BC5ED7">
        <w:fldChar w:fldCharType="begin"/>
      </w:r>
      <w:r w:rsidRPr="00BC5ED7">
        <w:instrText xml:space="preserve"> SEQ Table \* ARABIC </w:instrText>
      </w:r>
      <w:r w:rsidR="00671C09" w:rsidRPr="00BC5ED7">
        <w:fldChar w:fldCharType="separate"/>
      </w:r>
      <w:r w:rsidR="0065637A">
        <w:rPr>
          <w:noProof/>
        </w:rPr>
        <w:t>4</w:t>
      </w:r>
      <w:r w:rsidR="00671C09" w:rsidRPr="00BC5ED7">
        <w:fldChar w:fldCharType="end"/>
      </w:r>
      <w:r w:rsidR="00EE29A0">
        <w:tab/>
      </w:r>
      <w:r w:rsidRPr="00BC5ED7">
        <w:t xml:space="preserve">Student </w:t>
      </w:r>
      <w:r w:rsidR="00E131D3">
        <w:t>e</w:t>
      </w:r>
      <w:r>
        <w:t>nrolments</w:t>
      </w:r>
      <w:r w:rsidRPr="00C57BC8">
        <w:t xml:space="preserve"> </w:t>
      </w:r>
      <w:r>
        <w:t xml:space="preserve">via </w:t>
      </w:r>
      <w:r w:rsidRPr="00BC5ED7">
        <w:t xml:space="preserve">QTAC </w:t>
      </w:r>
      <w:r>
        <w:t>d</w:t>
      </w:r>
      <w:r w:rsidRPr="00BC5ED7">
        <w:t xml:space="preserve">ual </w:t>
      </w:r>
      <w:r>
        <w:t>a</w:t>
      </w:r>
      <w:r w:rsidRPr="00BC5ED7">
        <w:t xml:space="preserve">wards </w:t>
      </w:r>
      <w:r>
        <w:t xml:space="preserve">across </w:t>
      </w:r>
      <w:bookmarkEnd w:id="129"/>
      <w:r w:rsidR="00E131D3">
        <w:t>University of Southern Queensland study areas</w:t>
      </w:r>
    </w:p>
    <w:tbl>
      <w:tblPr>
        <w:tblW w:w="8789" w:type="dxa"/>
        <w:tblInd w:w="108" w:type="dxa"/>
        <w:tblLayout w:type="fixed"/>
        <w:tblLook w:val="04A0" w:firstRow="1" w:lastRow="0" w:firstColumn="1" w:lastColumn="0" w:noHBand="0" w:noVBand="1"/>
      </w:tblPr>
      <w:tblGrid>
        <w:gridCol w:w="851"/>
        <w:gridCol w:w="1323"/>
        <w:gridCol w:w="1323"/>
        <w:gridCol w:w="1323"/>
        <w:gridCol w:w="1323"/>
        <w:gridCol w:w="1323"/>
        <w:gridCol w:w="1323"/>
      </w:tblGrid>
      <w:tr w:rsidR="007F1A9E" w:rsidTr="00EE29A0">
        <w:tc>
          <w:tcPr>
            <w:tcW w:w="851" w:type="dxa"/>
            <w:tcBorders>
              <w:top w:val="single" w:sz="4" w:space="0" w:color="auto"/>
              <w:left w:val="nil"/>
              <w:bottom w:val="single" w:sz="4" w:space="0" w:color="000000" w:themeColor="text1"/>
              <w:right w:val="nil"/>
            </w:tcBorders>
          </w:tcPr>
          <w:p w:rsidR="007F1A9E" w:rsidRPr="00E13A12" w:rsidRDefault="007F1A9E" w:rsidP="00EE29A0">
            <w:pPr>
              <w:pStyle w:val="Tablehead1"/>
            </w:pPr>
            <w:r w:rsidRPr="00E13A12">
              <w:t>Year</w:t>
            </w:r>
          </w:p>
        </w:tc>
        <w:tc>
          <w:tcPr>
            <w:tcW w:w="1323"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t>Arts</w:t>
            </w:r>
          </w:p>
        </w:tc>
        <w:tc>
          <w:tcPr>
            <w:tcW w:w="1323"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t>Business</w:t>
            </w:r>
          </w:p>
        </w:tc>
        <w:tc>
          <w:tcPr>
            <w:tcW w:w="1323"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t>Engineering</w:t>
            </w:r>
          </w:p>
        </w:tc>
        <w:tc>
          <w:tcPr>
            <w:tcW w:w="1323"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t>Education</w:t>
            </w:r>
          </w:p>
        </w:tc>
        <w:tc>
          <w:tcPr>
            <w:tcW w:w="1323"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t>Science</w:t>
            </w:r>
          </w:p>
        </w:tc>
        <w:tc>
          <w:tcPr>
            <w:tcW w:w="1323" w:type="dxa"/>
            <w:tcBorders>
              <w:top w:val="single" w:sz="4" w:space="0" w:color="auto"/>
              <w:left w:val="nil"/>
              <w:bottom w:val="single" w:sz="4" w:space="0" w:color="000000" w:themeColor="text1"/>
              <w:right w:val="nil"/>
            </w:tcBorders>
          </w:tcPr>
          <w:p w:rsidR="007F1A9E" w:rsidRDefault="007F1A9E" w:rsidP="00EE29A0">
            <w:pPr>
              <w:pStyle w:val="Tablehead1"/>
              <w:jc w:val="center"/>
            </w:pPr>
            <w:r>
              <w:t xml:space="preserve">Grand </w:t>
            </w:r>
            <w:r w:rsidR="00EE29A0">
              <w:t>total</w:t>
            </w:r>
          </w:p>
        </w:tc>
      </w:tr>
      <w:tr w:rsidR="007F1A9E" w:rsidTr="00EE29A0">
        <w:tc>
          <w:tcPr>
            <w:tcW w:w="851" w:type="dxa"/>
            <w:tcBorders>
              <w:left w:val="nil"/>
              <w:bottom w:val="nil"/>
              <w:right w:val="nil"/>
            </w:tcBorders>
          </w:tcPr>
          <w:p w:rsidR="007F1A9E" w:rsidRPr="005A7744" w:rsidRDefault="007F1A9E" w:rsidP="00EE29A0">
            <w:pPr>
              <w:pStyle w:val="Tabletext"/>
            </w:pPr>
            <w:r>
              <w:t>2010</w:t>
            </w:r>
            <w:r w:rsidR="00611BDD">
              <w:t xml:space="preserve"> </w:t>
            </w:r>
            <w:r>
              <w:t xml:space="preserve">             </w:t>
            </w:r>
          </w:p>
        </w:tc>
        <w:tc>
          <w:tcPr>
            <w:tcW w:w="1323" w:type="dxa"/>
            <w:tcBorders>
              <w:left w:val="nil"/>
              <w:bottom w:val="nil"/>
              <w:right w:val="nil"/>
            </w:tcBorders>
          </w:tcPr>
          <w:p w:rsidR="007F1A9E" w:rsidRPr="005A7744" w:rsidRDefault="007F1A9E" w:rsidP="00EE29A0">
            <w:pPr>
              <w:pStyle w:val="Tabletext"/>
              <w:tabs>
                <w:tab w:val="decimal" w:pos="595"/>
              </w:tabs>
            </w:pPr>
            <w:r>
              <w:t>0</w:t>
            </w:r>
          </w:p>
        </w:tc>
        <w:tc>
          <w:tcPr>
            <w:tcW w:w="1323" w:type="dxa"/>
            <w:tcBorders>
              <w:left w:val="nil"/>
              <w:bottom w:val="nil"/>
              <w:right w:val="nil"/>
            </w:tcBorders>
          </w:tcPr>
          <w:p w:rsidR="007F1A9E" w:rsidRPr="005A7744" w:rsidRDefault="007F1A9E" w:rsidP="00EE29A0">
            <w:pPr>
              <w:pStyle w:val="Tabletext"/>
              <w:tabs>
                <w:tab w:val="decimal" w:pos="595"/>
              </w:tabs>
            </w:pPr>
            <w:r>
              <w:t>29</w:t>
            </w:r>
          </w:p>
        </w:tc>
        <w:tc>
          <w:tcPr>
            <w:tcW w:w="1323" w:type="dxa"/>
            <w:tcBorders>
              <w:left w:val="nil"/>
              <w:bottom w:val="nil"/>
              <w:right w:val="nil"/>
            </w:tcBorders>
          </w:tcPr>
          <w:p w:rsidR="007F1A9E" w:rsidRPr="005A7744" w:rsidRDefault="007F1A9E" w:rsidP="00EE29A0">
            <w:pPr>
              <w:pStyle w:val="Tabletext"/>
              <w:tabs>
                <w:tab w:val="decimal" w:pos="595"/>
              </w:tabs>
            </w:pPr>
            <w:r>
              <w:t>0</w:t>
            </w:r>
          </w:p>
        </w:tc>
        <w:tc>
          <w:tcPr>
            <w:tcW w:w="1323" w:type="dxa"/>
            <w:tcBorders>
              <w:left w:val="nil"/>
              <w:bottom w:val="nil"/>
              <w:right w:val="nil"/>
            </w:tcBorders>
          </w:tcPr>
          <w:p w:rsidR="007F1A9E" w:rsidRPr="005A7744" w:rsidRDefault="007F1A9E" w:rsidP="00EE29A0">
            <w:pPr>
              <w:pStyle w:val="Tabletext"/>
              <w:tabs>
                <w:tab w:val="decimal" w:pos="595"/>
              </w:tabs>
            </w:pPr>
            <w:r>
              <w:t>0</w:t>
            </w:r>
          </w:p>
        </w:tc>
        <w:tc>
          <w:tcPr>
            <w:tcW w:w="1323" w:type="dxa"/>
            <w:tcBorders>
              <w:left w:val="nil"/>
              <w:bottom w:val="nil"/>
              <w:right w:val="nil"/>
            </w:tcBorders>
          </w:tcPr>
          <w:p w:rsidR="007F1A9E" w:rsidRPr="005A7744" w:rsidRDefault="007F1A9E" w:rsidP="00EE29A0">
            <w:pPr>
              <w:pStyle w:val="Tabletext"/>
              <w:tabs>
                <w:tab w:val="decimal" w:pos="595"/>
              </w:tabs>
            </w:pPr>
            <w:r>
              <w:t>0</w:t>
            </w:r>
          </w:p>
        </w:tc>
        <w:tc>
          <w:tcPr>
            <w:tcW w:w="1323" w:type="dxa"/>
            <w:tcBorders>
              <w:left w:val="nil"/>
              <w:bottom w:val="nil"/>
              <w:right w:val="nil"/>
            </w:tcBorders>
          </w:tcPr>
          <w:p w:rsidR="007F1A9E" w:rsidRDefault="007F1A9E" w:rsidP="00EE29A0">
            <w:pPr>
              <w:pStyle w:val="Tabletext"/>
              <w:tabs>
                <w:tab w:val="decimal" w:pos="595"/>
              </w:tabs>
            </w:pPr>
          </w:p>
        </w:tc>
      </w:tr>
      <w:tr w:rsidR="007F1A9E" w:rsidTr="00EE29A0">
        <w:tc>
          <w:tcPr>
            <w:tcW w:w="851" w:type="dxa"/>
            <w:tcBorders>
              <w:top w:val="nil"/>
              <w:left w:val="nil"/>
              <w:bottom w:val="nil"/>
              <w:right w:val="nil"/>
            </w:tcBorders>
          </w:tcPr>
          <w:p w:rsidR="007F1A9E" w:rsidRPr="005A7744" w:rsidRDefault="007F1A9E" w:rsidP="00EE29A0">
            <w:pPr>
              <w:pStyle w:val="Tabletext"/>
            </w:pPr>
            <w:r>
              <w:t xml:space="preserve">2011  </w:t>
            </w:r>
          </w:p>
        </w:tc>
        <w:tc>
          <w:tcPr>
            <w:tcW w:w="1323" w:type="dxa"/>
            <w:tcBorders>
              <w:top w:val="nil"/>
              <w:left w:val="nil"/>
              <w:bottom w:val="nil"/>
              <w:right w:val="nil"/>
            </w:tcBorders>
          </w:tcPr>
          <w:p w:rsidR="007F1A9E" w:rsidRPr="005A7744" w:rsidRDefault="007F1A9E" w:rsidP="00EE29A0">
            <w:pPr>
              <w:pStyle w:val="Tabletext"/>
              <w:tabs>
                <w:tab w:val="decimal" w:pos="595"/>
              </w:tabs>
            </w:pPr>
            <w:r>
              <w:t>15</w:t>
            </w:r>
          </w:p>
        </w:tc>
        <w:tc>
          <w:tcPr>
            <w:tcW w:w="1323" w:type="dxa"/>
            <w:tcBorders>
              <w:top w:val="nil"/>
              <w:left w:val="nil"/>
              <w:bottom w:val="nil"/>
              <w:right w:val="nil"/>
            </w:tcBorders>
          </w:tcPr>
          <w:p w:rsidR="007F1A9E" w:rsidRPr="005A7744" w:rsidRDefault="007F1A9E" w:rsidP="00EE29A0">
            <w:pPr>
              <w:pStyle w:val="Tabletext"/>
              <w:tabs>
                <w:tab w:val="decimal" w:pos="595"/>
              </w:tabs>
            </w:pPr>
            <w:r>
              <w:t>52</w:t>
            </w:r>
          </w:p>
        </w:tc>
        <w:tc>
          <w:tcPr>
            <w:tcW w:w="1323" w:type="dxa"/>
            <w:tcBorders>
              <w:top w:val="nil"/>
              <w:left w:val="nil"/>
              <w:bottom w:val="nil"/>
              <w:right w:val="nil"/>
            </w:tcBorders>
          </w:tcPr>
          <w:p w:rsidR="007F1A9E" w:rsidRPr="005A7744" w:rsidRDefault="007F1A9E" w:rsidP="00EE29A0">
            <w:pPr>
              <w:pStyle w:val="Tabletext"/>
              <w:tabs>
                <w:tab w:val="decimal" w:pos="595"/>
              </w:tabs>
            </w:pPr>
            <w:r>
              <w:t>21</w:t>
            </w:r>
          </w:p>
        </w:tc>
        <w:tc>
          <w:tcPr>
            <w:tcW w:w="1323" w:type="dxa"/>
            <w:tcBorders>
              <w:top w:val="nil"/>
              <w:left w:val="nil"/>
              <w:bottom w:val="nil"/>
              <w:right w:val="nil"/>
            </w:tcBorders>
          </w:tcPr>
          <w:p w:rsidR="007F1A9E" w:rsidRPr="005A7744" w:rsidRDefault="007F1A9E" w:rsidP="00EE29A0">
            <w:pPr>
              <w:pStyle w:val="Tabletext"/>
              <w:tabs>
                <w:tab w:val="decimal" w:pos="595"/>
              </w:tabs>
            </w:pPr>
            <w:r>
              <w:t>30</w:t>
            </w:r>
          </w:p>
        </w:tc>
        <w:tc>
          <w:tcPr>
            <w:tcW w:w="1323" w:type="dxa"/>
            <w:tcBorders>
              <w:top w:val="nil"/>
              <w:left w:val="nil"/>
              <w:bottom w:val="nil"/>
              <w:right w:val="nil"/>
            </w:tcBorders>
          </w:tcPr>
          <w:p w:rsidR="007F1A9E" w:rsidRPr="005A7744" w:rsidRDefault="007F1A9E" w:rsidP="00EE29A0">
            <w:pPr>
              <w:pStyle w:val="Tabletext"/>
              <w:tabs>
                <w:tab w:val="decimal" w:pos="595"/>
              </w:tabs>
            </w:pPr>
            <w:r>
              <w:t>36</w:t>
            </w:r>
          </w:p>
        </w:tc>
        <w:tc>
          <w:tcPr>
            <w:tcW w:w="1323" w:type="dxa"/>
            <w:tcBorders>
              <w:top w:val="nil"/>
              <w:left w:val="nil"/>
              <w:bottom w:val="nil"/>
              <w:right w:val="nil"/>
            </w:tcBorders>
          </w:tcPr>
          <w:p w:rsidR="007F1A9E" w:rsidRDefault="007F1A9E" w:rsidP="00EE29A0">
            <w:pPr>
              <w:pStyle w:val="Tabletext"/>
              <w:tabs>
                <w:tab w:val="decimal" w:pos="595"/>
              </w:tabs>
            </w:pPr>
          </w:p>
        </w:tc>
      </w:tr>
      <w:tr w:rsidR="007F1A9E" w:rsidTr="00EE29A0">
        <w:tc>
          <w:tcPr>
            <w:tcW w:w="851" w:type="dxa"/>
            <w:tcBorders>
              <w:top w:val="nil"/>
              <w:left w:val="nil"/>
              <w:bottom w:val="nil"/>
              <w:right w:val="nil"/>
            </w:tcBorders>
          </w:tcPr>
          <w:p w:rsidR="007F1A9E" w:rsidRDefault="007F1A9E" w:rsidP="00EE29A0">
            <w:pPr>
              <w:pStyle w:val="Tabletext"/>
            </w:pPr>
            <w:r>
              <w:t>2012</w:t>
            </w:r>
          </w:p>
        </w:tc>
        <w:tc>
          <w:tcPr>
            <w:tcW w:w="1323" w:type="dxa"/>
            <w:tcBorders>
              <w:top w:val="nil"/>
              <w:left w:val="nil"/>
              <w:bottom w:val="nil"/>
              <w:right w:val="nil"/>
            </w:tcBorders>
          </w:tcPr>
          <w:p w:rsidR="007F1A9E" w:rsidRDefault="007F1A9E" w:rsidP="00EE29A0">
            <w:pPr>
              <w:pStyle w:val="Tabletext"/>
              <w:tabs>
                <w:tab w:val="decimal" w:pos="595"/>
              </w:tabs>
            </w:pPr>
            <w:r>
              <w:t>81</w:t>
            </w:r>
          </w:p>
        </w:tc>
        <w:tc>
          <w:tcPr>
            <w:tcW w:w="1323" w:type="dxa"/>
            <w:tcBorders>
              <w:top w:val="nil"/>
              <w:left w:val="nil"/>
              <w:bottom w:val="nil"/>
              <w:right w:val="nil"/>
            </w:tcBorders>
          </w:tcPr>
          <w:p w:rsidR="007F1A9E" w:rsidRDefault="007F1A9E" w:rsidP="00EE29A0">
            <w:pPr>
              <w:pStyle w:val="Tabletext"/>
              <w:tabs>
                <w:tab w:val="decimal" w:pos="595"/>
              </w:tabs>
            </w:pPr>
            <w:r>
              <w:t>83</w:t>
            </w:r>
          </w:p>
        </w:tc>
        <w:tc>
          <w:tcPr>
            <w:tcW w:w="1323" w:type="dxa"/>
            <w:tcBorders>
              <w:top w:val="nil"/>
              <w:left w:val="nil"/>
              <w:bottom w:val="nil"/>
              <w:right w:val="nil"/>
            </w:tcBorders>
          </w:tcPr>
          <w:p w:rsidR="007F1A9E" w:rsidRDefault="007F1A9E" w:rsidP="00EE29A0">
            <w:pPr>
              <w:pStyle w:val="Tabletext"/>
              <w:tabs>
                <w:tab w:val="decimal" w:pos="595"/>
              </w:tabs>
            </w:pPr>
            <w:r>
              <w:t>24</w:t>
            </w:r>
          </w:p>
        </w:tc>
        <w:tc>
          <w:tcPr>
            <w:tcW w:w="1323" w:type="dxa"/>
            <w:tcBorders>
              <w:top w:val="nil"/>
              <w:left w:val="nil"/>
              <w:bottom w:val="nil"/>
              <w:right w:val="nil"/>
            </w:tcBorders>
          </w:tcPr>
          <w:p w:rsidR="007F1A9E" w:rsidRDefault="007F1A9E" w:rsidP="00EE29A0">
            <w:pPr>
              <w:pStyle w:val="Tabletext"/>
              <w:tabs>
                <w:tab w:val="decimal" w:pos="595"/>
              </w:tabs>
            </w:pPr>
            <w:r>
              <w:t>134</w:t>
            </w:r>
          </w:p>
        </w:tc>
        <w:tc>
          <w:tcPr>
            <w:tcW w:w="1323" w:type="dxa"/>
            <w:tcBorders>
              <w:top w:val="nil"/>
              <w:left w:val="nil"/>
              <w:bottom w:val="nil"/>
              <w:right w:val="nil"/>
            </w:tcBorders>
          </w:tcPr>
          <w:p w:rsidR="007F1A9E" w:rsidRDefault="007F1A9E" w:rsidP="00EE29A0">
            <w:pPr>
              <w:pStyle w:val="Tabletext"/>
              <w:tabs>
                <w:tab w:val="decimal" w:pos="595"/>
              </w:tabs>
            </w:pPr>
            <w:r>
              <w:t>165</w:t>
            </w:r>
          </w:p>
        </w:tc>
        <w:tc>
          <w:tcPr>
            <w:tcW w:w="1323" w:type="dxa"/>
            <w:tcBorders>
              <w:top w:val="nil"/>
              <w:left w:val="nil"/>
              <w:bottom w:val="nil"/>
              <w:right w:val="nil"/>
            </w:tcBorders>
          </w:tcPr>
          <w:p w:rsidR="007F1A9E" w:rsidRDefault="007F1A9E" w:rsidP="00EE29A0">
            <w:pPr>
              <w:pStyle w:val="Tabletext"/>
              <w:tabs>
                <w:tab w:val="decimal" w:pos="595"/>
              </w:tabs>
            </w:pPr>
          </w:p>
        </w:tc>
      </w:tr>
      <w:tr w:rsidR="007F1A9E" w:rsidTr="00EE29A0">
        <w:tc>
          <w:tcPr>
            <w:tcW w:w="851" w:type="dxa"/>
            <w:tcBorders>
              <w:top w:val="nil"/>
              <w:left w:val="nil"/>
              <w:right w:val="nil"/>
            </w:tcBorders>
          </w:tcPr>
          <w:p w:rsidR="007F1A9E" w:rsidRDefault="007F1A9E" w:rsidP="00EE29A0">
            <w:pPr>
              <w:pStyle w:val="Tabletext"/>
            </w:pPr>
            <w:r>
              <w:t>2013</w:t>
            </w:r>
          </w:p>
        </w:tc>
        <w:tc>
          <w:tcPr>
            <w:tcW w:w="1323" w:type="dxa"/>
            <w:tcBorders>
              <w:top w:val="nil"/>
              <w:left w:val="nil"/>
              <w:right w:val="nil"/>
            </w:tcBorders>
          </w:tcPr>
          <w:p w:rsidR="007F1A9E" w:rsidRDefault="007F1A9E" w:rsidP="00EE29A0">
            <w:pPr>
              <w:pStyle w:val="Tabletext"/>
              <w:tabs>
                <w:tab w:val="decimal" w:pos="595"/>
              </w:tabs>
            </w:pPr>
            <w:r>
              <w:t>96</w:t>
            </w:r>
          </w:p>
        </w:tc>
        <w:tc>
          <w:tcPr>
            <w:tcW w:w="1323" w:type="dxa"/>
            <w:tcBorders>
              <w:top w:val="nil"/>
              <w:left w:val="nil"/>
              <w:right w:val="nil"/>
            </w:tcBorders>
          </w:tcPr>
          <w:p w:rsidR="007F1A9E" w:rsidRDefault="007F1A9E" w:rsidP="00EE29A0">
            <w:pPr>
              <w:pStyle w:val="Tabletext"/>
              <w:tabs>
                <w:tab w:val="decimal" w:pos="595"/>
              </w:tabs>
            </w:pPr>
            <w:r>
              <w:t>99</w:t>
            </w:r>
          </w:p>
        </w:tc>
        <w:tc>
          <w:tcPr>
            <w:tcW w:w="1323" w:type="dxa"/>
            <w:tcBorders>
              <w:top w:val="nil"/>
              <w:left w:val="nil"/>
              <w:right w:val="nil"/>
            </w:tcBorders>
          </w:tcPr>
          <w:p w:rsidR="007F1A9E" w:rsidRDefault="007F1A9E" w:rsidP="00EE29A0">
            <w:pPr>
              <w:pStyle w:val="Tabletext"/>
              <w:tabs>
                <w:tab w:val="decimal" w:pos="595"/>
              </w:tabs>
            </w:pPr>
            <w:r>
              <w:t>98</w:t>
            </w:r>
          </w:p>
        </w:tc>
        <w:tc>
          <w:tcPr>
            <w:tcW w:w="1323" w:type="dxa"/>
            <w:tcBorders>
              <w:top w:val="nil"/>
              <w:left w:val="nil"/>
              <w:right w:val="nil"/>
            </w:tcBorders>
          </w:tcPr>
          <w:p w:rsidR="007F1A9E" w:rsidRDefault="007F1A9E" w:rsidP="00EE29A0">
            <w:pPr>
              <w:pStyle w:val="Tabletext"/>
              <w:tabs>
                <w:tab w:val="decimal" w:pos="595"/>
              </w:tabs>
            </w:pPr>
            <w:r>
              <w:t>173</w:t>
            </w:r>
          </w:p>
        </w:tc>
        <w:tc>
          <w:tcPr>
            <w:tcW w:w="1323" w:type="dxa"/>
            <w:tcBorders>
              <w:top w:val="nil"/>
              <w:left w:val="nil"/>
              <w:right w:val="nil"/>
            </w:tcBorders>
          </w:tcPr>
          <w:p w:rsidR="007F1A9E" w:rsidRDefault="007F1A9E" w:rsidP="00EE29A0">
            <w:pPr>
              <w:pStyle w:val="Tabletext"/>
              <w:tabs>
                <w:tab w:val="decimal" w:pos="595"/>
              </w:tabs>
            </w:pPr>
            <w:r>
              <w:t>205</w:t>
            </w:r>
          </w:p>
        </w:tc>
        <w:tc>
          <w:tcPr>
            <w:tcW w:w="1323" w:type="dxa"/>
            <w:tcBorders>
              <w:top w:val="nil"/>
              <w:left w:val="nil"/>
              <w:right w:val="nil"/>
            </w:tcBorders>
          </w:tcPr>
          <w:p w:rsidR="007F1A9E" w:rsidRDefault="007F1A9E" w:rsidP="00EE29A0">
            <w:pPr>
              <w:pStyle w:val="Tabletext"/>
              <w:tabs>
                <w:tab w:val="decimal" w:pos="595"/>
              </w:tabs>
            </w:pPr>
          </w:p>
        </w:tc>
      </w:tr>
      <w:tr w:rsidR="007F1A9E" w:rsidRPr="00EE29A0" w:rsidTr="00EE29A0">
        <w:tc>
          <w:tcPr>
            <w:tcW w:w="851" w:type="dxa"/>
            <w:tcBorders>
              <w:top w:val="nil"/>
              <w:left w:val="nil"/>
              <w:bottom w:val="single" w:sz="4" w:space="0" w:color="auto"/>
              <w:right w:val="nil"/>
            </w:tcBorders>
          </w:tcPr>
          <w:p w:rsidR="007F1A9E" w:rsidRPr="00EE29A0" w:rsidRDefault="007F1A9E" w:rsidP="00EE29A0">
            <w:pPr>
              <w:pStyle w:val="Tabletext"/>
              <w:rPr>
                <w:b/>
              </w:rPr>
            </w:pPr>
            <w:r w:rsidRPr="00EE29A0">
              <w:rPr>
                <w:b/>
              </w:rPr>
              <w:t>Total</w:t>
            </w:r>
          </w:p>
        </w:tc>
        <w:tc>
          <w:tcPr>
            <w:tcW w:w="1323" w:type="dxa"/>
            <w:tcBorders>
              <w:top w:val="nil"/>
              <w:left w:val="nil"/>
              <w:bottom w:val="single" w:sz="4" w:space="0" w:color="auto"/>
              <w:right w:val="nil"/>
            </w:tcBorders>
          </w:tcPr>
          <w:p w:rsidR="007F1A9E" w:rsidRPr="00EE29A0" w:rsidRDefault="007F1A9E" w:rsidP="00EE29A0">
            <w:pPr>
              <w:pStyle w:val="Tabletext"/>
              <w:tabs>
                <w:tab w:val="decimal" w:pos="595"/>
              </w:tabs>
              <w:rPr>
                <w:b/>
              </w:rPr>
            </w:pPr>
            <w:r w:rsidRPr="00EE29A0">
              <w:rPr>
                <w:b/>
              </w:rPr>
              <w:t>192</w:t>
            </w:r>
          </w:p>
        </w:tc>
        <w:tc>
          <w:tcPr>
            <w:tcW w:w="1323" w:type="dxa"/>
            <w:tcBorders>
              <w:top w:val="nil"/>
              <w:left w:val="nil"/>
              <w:bottom w:val="single" w:sz="4" w:space="0" w:color="auto"/>
              <w:right w:val="nil"/>
            </w:tcBorders>
          </w:tcPr>
          <w:p w:rsidR="007F1A9E" w:rsidRPr="00EE29A0" w:rsidRDefault="007F1A9E" w:rsidP="00EE29A0">
            <w:pPr>
              <w:pStyle w:val="Tabletext"/>
              <w:tabs>
                <w:tab w:val="decimal" w:pos="595"/>
              </w:tabs>
              <w:rPr>
                <w:b/>
              </w:rPr>
            </w:pPr>
            <w:r w:rsidRPr="00EE29A0">
              <w:rPr>
                <w:b/>
              </w:rPr>
              <w:t>263</w:t>
            </w:r>
          </w:p>
        </w:tc>
        <w:tc>
          <w:tcPr>
            <w:tcW w:w="1323" w:type="dxa"/>
            <w:tcBorders>
              <w:top w:val="nil"/>
              <w:left w:val="nil"/>
              <w:bottom w:val="single" w:sz="4" w:space="0" w:color="auto"/>
              <w:right w:val="nil"/>
            </w:tcBorders>
          </w:tcPr>
          <w:p w:rsidR="007F1A9E" w:rsidRPr="00EE29A0" w:rsidRDefault="007F1A9E" w:rsidP="00EE29A0">
            <w:pPr>
              <w:pStyle w:val="Tabletext"/>
              <w:tabs>
                <w:tab w:val="decimal" w:pos="595"/>
              </w:tabs>
              <w:rPr>
                <w:b/>
              </w:rPr>
            </w:pPr>
            <w:r w:rsidRPr="00EE29A0">
              <w:rPr>
                <w:b/>
              </w:rPr>
              <w:t>143</w:t>
            </w:r>
          </w:p>
        </w:tc>
        <w:tc>
          <w:tcPr>
            <w:tcW w:w="1323" w:type="dxa"/>
            <w:tcBorders>
              <w:top w:val="nil"/>
              <w:left w:val="nil"/>
              <w:bottom w:val="single" w:sz="4" w:space="0" w:color="auto"/>
              <w:right w:val="nil"/>
            </w:tcBorders>
          </w:tcPr>
          <w:p w:rsidR="007F1A9E" w:rsidRPr="00EE29A0" w:rsidRDefault="007F1A9E" w:rsidP="00EE29A0">
            <w:pPr>
              <w:pStyle w:val="Tabletext"/>
              <w:tabs>
                <w:tab w:val="decimal" w:pos="595"/>
              </w:tabs>
              <w:rPr>
                <w:b/>
              </w:rPr>
            </w:pPr>
            <w:r w:rsidRPr="00EE29A0">
              <w:rPr>
                <w:b/>
              </w:rPr>
              <w:t>337</w:t>
            </w:r>
          </w:p>
        </w:tc>
        <w:tc>
          <w:tcPr>
            <w:tcW w:w="1323" w:type="dxa"/>
            <w:tcBorders>
              <w:top w:val="nil"/>
              <w:left w:val="nil"/>
              <w:bottom w:val="single" w:sz="4" w:space="0" w:color="auto"/>
              <w:right w:val="nil"/>
            </w:tcBorders>
          </w:tcPr>
          <w:p w:rsidR="007F1A9E" w:rsidRPr="00EE29A0" w:rsidRDefault="007F1A9E" w:rsidP="00EE29A0">
            <w:pPr>
              <w:pStyle w:val="Tabletext"/>
              <w:tabs>
                <w:tab w:val="decimal" w:pos="595"/>
              </w:tabs>
              <w:rPr>
                <w:b/>
              </w:rPr>
            </w:pPr>
            <w:r w:rsidRPr="00EE29A0">
              <w:rPr>
                <w:b/>
              </w:rPr>
              <w:t>406</w:t>
            </w:r>
          </w:p>
        </w:tc>
        <w:tc>
          <w:tcPr>
            <w:tcW w:w="1323" w:type="dxa"/>
            <w:tcBorders>
              <w:top w:val="nil"/>
              <w:left w:val="nil"/>
              <w:bottom w:val="single" w:sz="4" w:space="0" w:color="auto"/>
              <w:right w:val="nil"/>
            </w:tcBorders>
          </w:tcPr>
          <w:p w:rsidR="007F1A9E" w:rsidRPr="00EE29A0" w:rsidRDefault="007F1A9E" w:rsidP="00EE29A0">
            <w:pPr>
              <w:pStyle w:val="Tabletext"/>
              <w:tabs>
                <w:tab w:val="decimal" w:pos="595"/>
              </w:tabs>
              <w:rPr>
                <w:b/>
              </w:rPr>
            </w:pPr>
            <w:r w:rsidRPr="00EE29A0">
              <w:rPr>
                <w:b/>
              </w:rPr>
              <w:t>1341</w:t>
            </w:r>
          </w:p>
        </w:tc>
      </w:tr>
    </w:tbl>
    <w:p w:rsidR="007F1A9E" w:rsidRPr="00E131D3" w:rsidRDefault="007F1A9E" w:rsidP="00EE29A0">
      <w:pPr>
        <w:pStyle w:val="Source"/>
      </w:pPr>
      <w:r w:rsidRPr="00E131D3">
        <w:t>Source:</w:t>
      </w:r>
      <w:r w:rsidR="00EE29A0">
        <w:tab/>
      </w:r>
      <w:r w:rsidR="00E131D3">
        <w:t>University of Southern Que</w:t>
      </w:r>
      <w:r w:rsidR="00E131D3" w:rsidRPr="00E131D3">
        <w:t>ensland</w:t>
      </w:r>
      <w:r w:rsidR="004C5471">
        <w:t>’</w:t>
      </w:r>
      <w:r w:rsidR="00E131D3" w:rsidRPr="00E131D3">
        <w:t>s</w:t>
      </w:r>
      <w:r w:rsidR="00E131D3">
        <w:t xml:space="preserve"> </w:t>
      </w:r>
      <w:r w:rsidRPr="00E131D3">
        <w:t>Australian Tertiary Educatio</w:t>
      </w:r>
      <w:r w:rsidR="00E131D3">
        <w:t>n Participation Network Project.</w:t>
      </w:r>
    </w:p>
    <w:p w:rsidR="007F1A9E" w:rsidRPr="00AC25BD" w:rsidRDefault="007F1A9E" w:rsidP="000F6D8E">
      <w:pPr>
        <w:pStyle w:val="StyleHeading4Before18pt"/>
      </w:pPr>
      <w:r w:rsidRPr="00AC25BD">
        <w:t xml:space="preserve">TAFE South Australia </w:t>
      </w:r>
      <w:r w:rsidR="00E131D3">
        <w:t>dual-</w:t>
      </w:r>
      <w:r w:rsidR="00E131D3" w:rsidRPr="00AC25BD">
        <w:t>award data</w:t>
      </w:r>
    </w:p>
    <w:p w:rsidR="007F1A9E" w:rsidRDefault="00E131D3" w:rsidP="00EE29A0">
      <w:pPr>
        <w:pStyle w:val="Textlessbefore"/>
      </w:pPr>
      <w:r>
        <w:t>Finally, when dual-</w:t>
      </w:r>
      <w:r w:rsidR="007F1A9E">
        <w:t xml:space="preserve">award pathways were made available to potential applicants in South Australia in 2013, through </w:t>
      </w:r>
      <w:r>
        <w:t>the South Australian Tertiary Admissions Centre</w:t>
      </w:r>
      <w:r w:rsidR="008B0D94">
        <w:t xml:space="preserve"> (SATAC)</w:t>
      </w:r>
      <w:r w:rsidR="007F1A9E">
        <w:t>, demand was very strong. This trend is also re</w:t>
      </w:r>
      <w:r>
        <w:t>flected in the 2014 Semester 1 data (</w:t>
      </w:r>
      <w:r w:rsidR="007F1A9E">
        <w:t xml:space="preserve">see </w:t>
      </w:r>
      <w:r>
        <w:t>t</w:t>
      </w:r>
      <w:r w:rsidR="00AC25BD">
        <w:t>able 5</w:t>
      </w:r>
      <w:r>
        <w:t>)</w:t>
      </w:r>
      <w:r w:rsidR="00AC25BD">
        <w:t>. The popularity of dual awards therefore appears evident across state jurisdictions.</w:t>
      </w:r>
      <w:r w:rsidR="007F1A9E">
        <w:t xml:space="preserve"> </w:t>
      </w:r>
    </w:p>
    <w:p w:rsidR="007F1A9E" w:rsidRDefault="007F1A9E" w:rsidP="00EE29A0">
      <w:pPr>
        <w:pStyle w:val="tabletitle"/>
      </w:pPr>
      <w:bookmarkStart w:id="130" w:name="_Ref387069995"/>
      <w:bookmarkStart w:id="131" w:name="_Toc387070900"/>
      <w:bookmarkStart w:id="132" w:name="_Toc395248438"/>
      <w:r w:rsidRPr="005A7744">
        <w:t xml:space="preserve">Table </w:t>
      </w:r>
      <w:r w:rsidR="00671C09" w:rsidRPr="005A7744">
        <w:fldChar w:fldCharType="begin"/>
      </w:r>
      <w:r w:rsidRPr="005A7744">
        <w:instrText xml:space="preserve"> SEQ Table \* ARABIC </w:instrText>
      </w:r>
      <w:r w:rsidR="00671C09" w:rsidRPr="005A7744">
        <w:fldChar w:fldCharType="separate"/>
      </w:r>
      <w:r w:rsidR="0065637A">
        <w:rPr>
          <w:noProof/>
        </w:rPr>
        <w:t>5</w:t>
      </w:r>
      <w:r w:rsidR="00671C09" w:rsidRPr="005A7744">
        <w:fldChar w:fldCharType="end"/>
      </w:r>
      <w:bookmarkEnd w:id="130"/>
      <w:r w:rsidR="00EE29A0">
        <w:tab/>
      </w:r>
      <w:r w:rsidRPr="005A7744">
        <w:t xml:space="preserve">TAFE South Australia </w:t>
      </w:r>
      <w:r>
        <w:t>dual award</w:t>
      </w:r>
      <w:r w:rsidRPr="005A7744">
        <w:t xml:space="preserve"> </w:t>
      </w:r>
      <w:r>
        <w:t>a</w:t>
      </w:r>
      <w:r w:rsidRPr="005A7744">
        <w:t>pplications</w:t>
      </w:r>
      <w:bookmarkEnd w:id="131"/>
      <w:bookmarkEnd w:id="132"/>
    </w:p>
    <w:tbl>
      <w:tblPr>
        <w:tblW w:w="8789" w:type="dxa"/>
        <w:tblInd w:w="108" w:type="dxa"/>
        <w:tblLayout w:type="fixed"/>
        <w:tblLook w:val="04A0" w:firstRow="1" w:lastRow="0" w:firstColumn="1" w:lastColumn="0" w:noHBand="0" w:noVBand="1"/>
      </w:tblPr>
      <w:tblGrid>
        <w:gridCol w:w="851"/>
        <w:gridCol w:w="1587"/>
        <w:gridCol w:w="1588"/>
        <w:gridCol w:w="1587"/>
        <w:gridCol w:w="1588"/>
        <w:gridCol w:w="1588"/>
      </w:tblGrid>
      <w:tr w:rsidR="007F1A9E" w:rsidTr="00EE29A0">
        <w:tc>
          <w:tcPr>
            <w:tcW w:w="851" w:type="dxa"/>
            <w:tcBorders>
              <w:top w:val="single" w:sz="4" w:space="0" w:color="auto"/>
              <w:left w:val="nil"/>
              <w:bottom w:val="single" w:sz="4" w:space="0" w:color="000000" w:themeColor="text1"/>
              <w:right w:val="nil"/>
            </w:tcBorders>
          </w:tcPr>
          <w:p w:rsidR="007F1A9E" w:rsidRPr="00E13A12" w:rsidRDefault="007F1A9E" w:rsidP="00EE29A0">
            <w:pPr>
              <w:pStyle w:val="Tablehead1"/>
            </w:pPr>
            <w:r w:rsidRPr="00E13A12">
              <w:t>Year</w:t>
            </w:r>
          </w:p>
        </w:tc>
        <w:tc>
          <w:tcPr>
            <w:tcW w:w="1587"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rsidRPr="00E13A12">
              <w:t xml:space="preserve">Number of </w:t>
            </w:r>
            <w:r>
              <w:t>dual</w:t>
            </w:r>
            <w:r w:rsidR="00EE29A0">
              <w:t> </w:t>
            </w:r>
            <w:r>
              <w:t>award</w:t>
            </w:r>
            <w:r w:rsidRPr="00E13A12">
              <w:t>s</w:t>
            </w:r>
          </w:p>
        </w:tc>
        <w:tc>
          <w:tcPr>
            <w:tcW w:w="1588"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t>First preference a</w:t>
            </w:r>
            <w:r w:rsidRPr="00E13A12">
              <w:t>pplications</w:t>
            </w:r>
          </w:p>
        </w:tc>
        <w:tc>
          <w:tcPr>
            <w:tcW w:w="1587"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rsidRPr="00E13A12">
              <w:t>Offers made to</w:t>
            </w:r>
            <w:r w:rsidR="00EE29A0">
              <w:t> </w:t>
            </w:r>
            <w:r>
              <w:t>dual award</w:t>
            </w:r>
            <w:r w:rsidRPr="00E13A12">
              <w:t xml:space="preserve"> </w:t>
            </w:r>
            <w:r>
              <w:t>p</w:t>
            </w:r>
            <w:r w:rsidRPr="00E13A12">
              <w:t>rograms</w:t>
            </w:r>
          </w:p>
        </w:tc>
        <w:tc>
          <w:tcPr>
            <w:tcW w:w="1588"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rsidRPr="00E13A12">
              <w:t xml:space="preserve">Enrolments in </w:t>
            </w:r>
            <w:r>
              <w:t>dual award</w:t>
            </w:r>
            <w:r w:rsidRPr="00E13A12">
              <w:t>s</w:t>
            </w:r>
          </w:p>
        </w:tc>
        <w:tc>
          <w:tcPr>
            <w:tcW w:w="1588" w:type="dxa"/>
            <w:tcBorders>
              <w:top w:val="single" w:sz="4" w:space="0" w:color="auto"/>
              <w:left w:val="nil"/>
              <w:bottom w:val="single" w:sz="4" w:space="0" w:color="000000" w:themeColor="text1"/>
              <w:right w:val="nil"/>
            </w:tcBorders>
          </w:tcPr>
          <w:p w:rsidR="007F1A9E" w:rsidRPr="00E13A12" w:rsidRDefault="007F1A9E" w:rsidP="00EE29A0">
            <w:pPr>
              <w:pStyle w:val="Tablehead1"/>
              <w:jc w:val="center"/>
            </w:pPr>
            <w:r>
              <w:t>Page v</w:t>
            </w:r>
            <w:r w:rsidRPr="00E13A12">
              <w:t>iews on</w:t>
            </w:r>
            <w:r w:rsidR="00EE29A0">
              <w:t> </w:t>
            </w:r>
            <w:r>
              <w:t>TAFE SA</w:t>
            </w:r>
            <w:r w:rsidRPr="00E13A12">
              <w:t xml:space="preserve"> </w:t>
            </w:r>
            <w:r>
              <w:t>dual award</w:t>
            </w:r>
            <w:r w:rsidRPr="00E13A12">
              <w:t xml:space="preserve"> related pages</w:t>
            </w:r>
          </w:p>
        </w:tc>
      </w:tr>
      <w:tr w:rsidR="007F1A9E" w:rsidTr="00EE29A0">
        <w:tc>
          <w:tcPr>
            <w:tcW w:w="851" w:type="dxa"/>
            <w:tcBorders>
              <w:left w:val="nil"/>
              <w:bottom w:val="nil"/>
              <w:right w:val="nil"/>
            </w:tcBorders>
          </w:tcPr>
          <w:p w:rsidR="007F1A9E" w:rsidRPr="005A7744" w:rsidRDefault="007F1A9E" w:rsidP="00EE29A0">
            <w:pPr>
              <w:pStyle w:val="Tabletext"/>
            </w:pPr>
            <w:r>
              <w:t>2013</w:t>
            </w:r>
            <w:r w:rsidR="00EE29A0">
              <w:br/>
            </w:r>
            <w:r>
              <w:t>(S1/S2)</w:t>
            </w:r>
          </w:p>
        </w:tc>
        <w:tc>
          <w:tcPr>
            <w:tcW w:w="1587" w:type="dxa"/>
            <w:tcBorders>
              <w:left w:val="nil"/>
              <w:bottom w:val="nil"/>
              <w:right w:val="nil"/>
            </w:tcBorders>
          </w:tcPr>
          <w:p w:rsidR="007F1A9E" w:rsidRPr="005A7744" w:rsidRDefault="007F1A9E" w:rsidP="00EE29A0">
            <w:pPr>
              <w:pStyle w:val="Tabletext"/>
              <w:tabs>
                <w:tab w:val="decimal" w:pos="737"/>
              </w:tabs>
            </w:pPr>
            <w:r>
              <w:t>41</w:t>
            </w:r>
          </w:p>
        </w:tc>
        <w:tc>
          <w:tcPr>
            <w:tcW w:w="1588" w:type="dxa"/>
            <w:tcBorders>
              <w:left w:val="nil"/>
              <w:bottom w:val="nil"/>
              <w:right w:val="nil"/>
            </w:tcBorders>
          </w:tcPr>
          <w:p w:rsidR="007F1A9E" w:rsidRPr="005A7744" w:rsidRDefault="007F1A9E" w:rsidP="00EE29A0">
            <w:pPr>
              <w:pStyle w:val="Tabletext"/>
              <w:tabs>
                <w:tab w:val="decimal" w:pos="794"/>
              </w:tabs>
            </w:pPr>
            <w:r>
              <w:t>636</w:t>
            </w:r>
          </w:p>
        </w:tc>
        <w:tc>
          <w:tcPr>
            <w:tcW w:w="1587" w:type="dxa"/>
            <w:tcBorders>
              <w:left w:val="nil"/>
              <w:bottom w:val="nil"/>
              <w:right w:val="nil"/>
            </w:tcBorders>
          </w:tcPr>
          <w:p w:rsidR="007F1A9E" w:rsidRPr="005A7744" w:rsidRDefault="007F1A9E" w:rsidP="00EE29A0">
            <w:pPr>
              <w:pStyle w:val="Tabletext"/>
              <w:tabs>
                <w:tab w:val="decimal" w:pos="794"/>
              </w:tabs>
            </w:pPr>
            <w:r>
              <w:t>511</w:t>
            </w:r>
          </w:p>
        </w:tc>
        <w:tc>
          <w:tcPr>
            <w:tcW w:w="1588" w:type="dxa"/>
            <w:tcBorders>
              <w:left w:val="nil"/>
              <w:bottom w:val="nil"/>
              <w:right w:val="nil"/>
            </w:tcBorders>
          </w:tcPr>
          <w:p w:rsidR="007F1A9E" w:rsidRPr="005A7744" w:rsidRDefault="007F1A9E" w:rsidP="00EE29A0">
            <w:pPr>
              <w:pStyle w:val="Tabletext"/>
              <w:tabs>
                <w:tab w:val="decimal" w:pos="794"/>
              </w:tabs>
            </w:pPr>
            <w:r>
              <w:t>283</w:t>
            </w:r>
          </w:p>
        </w:tc>
        <w:tc>
          <w:tcPr>
            <w:tcW w:w="1588" w:type="dxa"/>
            <w:tcBorders>
              <w:left w:val="nil"/>
              <w:bottom w:val="nil"/>
              <w:right w:val="nil"/>
            </w:tcBorders>
          </w:tcPr>
          <w:p w:rsidR="007F1A9E" w:rsidRPr="005A7744" w:rsidRDefault="007F1A9E" w:rsidP="00EE29A0">
            <w:pPr>
              <w:pStyle w:val="Tabletext"/>
              <w:ind w:right="454"/>
              <w:jc w:val="right"/>
            </w:pPr>
            <w:r>
              <w:t>93 727</w:t>
            </w:r>
          </w:p>
        </w:tc>
      </w:tr>
      <w:tr w:rsidR="007F1A9E" w:rsidTr="00EE29A0">
        <w:tc>
          <w:tcPr>
            <w:tcW w:w="851" w:type="dxa"/>
            <w:tcBorders>
              <w:top w:val="nil"/>
              <w:left w:val="nil"/>
              <w:bottom w:val="single" w:sz="4" w:space="0" w:color="auto"/>
              <w:right w:val="nil"/>
            </w:tcBorders>
            <w:tcMar>
              <w:right w:w="0" w:type="dxa"/>
            </w:tcMar>
          </w:tcPr>
          <w:p w:rsidR="007F1A9E" w:rsidRPr="005A7744" w:rsidRDefault="007F1A9E" w:rsidP="00EE29A0">
            <w:pPr>
              <w:pStyle w:val="Tabletext"/>
            </w:pPr>
            <w:r>
              <w:t>2014</w:t>
            </w:r>
            <w:r w:rsidR="00EE29A0">
              <w:br/>
            </w:r>
            <w:r>
              <w:t xml:space="preserve">(S1 </w:t>
            </w:r>
            <w:r w:rsidR="00EE29A0">
              <w:t>only</w:t>
            </w:r>
            <w:r>
              <w:t>)</w:t>
            </w:r>
          </w:p>
        </w:tc>
        <w:tc>
          <w:tcPr>
            <w:tcW w:w="1587" w:type="dxa"/>
            <w:tcBorders>
              <w:top w:val="nil"/>
              <w:left w:val="nil"/>
              <w:bottom w:val="single" w:sz="4" w:space="0" w:color="auto"/>
              <w:right w:val="nil"/>
            </w:tcBorders>
          </w:tcPr>
          <w:p w:rsidR="007F1A9E" w:rsidRPr="005A7744" w:rsidRDefault="007F1A9E" w:rsidP="00EE29A0">
            <w:pPr>
              <w:pStyle w:val="Tabletext"/>
              <w:tabs>
                <w:tab w:val="decimal" w:pos="737"/>
              </w:tabs>
            </w:pPr>
            <w:r>
              <w:t>37</w:t>
            </w:r>
          </w:p>
        </w:tc>
        <w:tc>
          <w:tcPr>
            <w:tcW w:w="1588" w:type="dxa"/>
            <w:tcBorders>
              <w:top w:val="nil"/>
              <w:left w:val="nil"/>
              <w:bottom w:val="single" w:sz="4" w:space="0" w:color="auto"/>
              <w:right w:val="nil"/>
            </w:tcBorders>
          </w:tcPr>
          <w:p w:rsidR="007F1A9E" w:rsidRPr="005A7744" w:rsidRDefault="007F1A9E" w:rsidP="00EE29A0">
            <w:pPr>
              <w:pStyle w:val="Tabletext"/>
              <w:tabs>
                <w:tab w:val="decimal" w:pos="794"/>
              </w:tabs>
            </w:pPr>
            <w:r>
              <w:t>478</w:t>
            </w:r>
          </w:p>
        </w:tc>
        <w:tc>
          <w:tcPr>
            <w:tcW w:w="1587" w:type="dxa"/>
            <w:tcBorders>
              <w:top w:val="nil"/>
              <w:left w:val="nil"/>
              <w:bottom w:val="single" w:sz="4" w:space="0" w:color="auto"/>
              <w:right w:val="nil"/>
            </w:tcBorders>
          </w:tcPr>
          <w:p w:rsidR="007F1A9E" w:rsidRPr="005A7744" w:rsidRDefault="007F1A9E" w:rsidP="00EE29A0">
            <w:pPr>
              <w:pStyle w:val="Tabletext"/>
              <w:tabs>
                <w:tab w:val="decimal" w:pos="794"/>
              </w:tabs>
            </w:pPr>
            <w:r>
              <w:t>345</w:t>
            </w:r>
          </w:p>
        </w:tc>
        <w:tc>
          <w:tcPr>
            <w:tcW w:w="1588" w:type="dxa"/>
            <w:tcBorders>
              <w:top w:val="nil"/>
              <w:left w:val="nil"/>
              <w:bottom w:val="single" w:sz="4" w:space="0" w:color="auto"/>
              <w:right w:val="nil"/>
            </w:tcBorders>
          </w:tcPr>
          <w:p w:rsidR="007F1A9E" w:rsidRPr="005A7744" w:rsidRDefault="007F1A9E" w:rsidP="00EE29A0">
            <w:pPr>
              <w:pStyle w:val="Tabletext"/>
              <w:tabs>
                <w:tab w:val="decimal" w:pos="794"/>
              </w:tabs>
            </w:pPr>
            <w:r>
              <w:t>N/A</w:t>
            </w:r>
          </w:p>
        </w:tc>
        <w:tc>
          <w:tcPr>
            <w:tcW w:w="1588" w:type="dxa"/>
            <w:tcBorders>
              <w:top w:val="nil"/>
              <w:left w:val="nil"/>
              <w:bottom w:val="single" w:sz="4" w:space="0" w:color="auto"/>
              <w:right w:val="nil"/>
            </w:tcBorders>
          </w:tcPr>
          <w:p w:rsidR="007F1A9E" w:rsidRPr="005A7744" w:rsidRDefault="007F1A9E" w:rsidP="00EE29A0">
            <w:pPr>
              <w:pStyle w:val="Tabletext"/>
              <w:ind w:right="454"/>
              <w:jc w:val="right"/>
            </w:pPr>
            <w:r>
              <w:t>24</w:t>
            </w:r>
            <w:r w:rsidR="00EE29A0">
              <w:t xml:space="preserve"> </w:t>
            </w:r>
            <w:r>
              <w:t>908</w:t>
            </w:r>
          </w:p>
        </w:tc>
      </w:tr>
    </w:tbl>
    <w:p w:rsidR="007F1A9E" w:rsidRPr="00E131D3" w:rsidRDefault="007F1A9E" w:rsidP="00EE29A0">
      <w:pPr>
        <w:pStyle w:val="Source"/>
        <w:rPr>
          <w:lang w:eastAsia="en-AU"/>
        </w:rPr>
      </w:pPr>
      <w:r w:rsidRPr="00E131D3">
        <w:rPr>
          <w:lang w:eastAsia="en-AU"/>
        </w:rPr>
        <w:t>Source:</w:t>
      </w:r>
      <w:r w:rsidR="00EE29A0">
        <w:rPr>
          <w:lang w:eastAsia="en-AU"/>
        </w:rPr>
        <w:tab/>
      </w:r>
      <w:r w:rsidRPr="00E131D3">
        <w:rPr>
          <w:lang w:eastAsia="en-AU"/>
        </w:rPr>
        <w:t>TAFE SA Higher Education Services</w:t>
      </w:r>
      <w:r w:rsidR="00E131D3">
        <w:rPr>
          <w:lang w:eastAsia="en-AU"/>
        </w:rPr>
        <w:t>.</w:t>
      </w:r>
    </w:p>
    <w:p w:rsidR="007F1A9E" w:rsidRDefault="007F1A9E" w:rsidP="00AC25BD">
      <w:pPr>
        <w:pStyle w:val="Heading3"/>
      </w:pPr>
      <w:bookmarkStart w:id="133" w:name="_Toc395248398"/>
      <w:r w:rsidRPr="008B2844">
        <w:t xml:space="preserve">The </w:t>
      </w:r>
      <w:r w:rsidR="00E131D3">
        <w:t>r</w:t>
      </w:r>
      <w:r w:rsidR="00E131D3" w:rsidRPr="008B2844">
        <w:t xml:space="preserve">oles and </w:t>
      </w:r>
      <w:r w:rsidR="00E131D3">
        <w:t>j</w:t>
      </w:r>
      <w:r w:rsidR="00E131D3" w:rsidRPr="008B2844">
        <w:t xml:space="preserve">urisdictions </w:t>
      </w:r>
      <w:r w:rsidRPr="008B2844">
        <w:t xml:space="preserve">of Australian </w:t>
      </w:r>
      <w:bookmarkEnd w:id="133"/>
      <w:r w:rsidR="00E131D3">
        <w:t>tertiary admissions centres</w:t>
      </w:r>
    </w:p>
    <w:p w:rsidR="007F1A9E" w:rsidRPr="00AC25BD" w:rsidRDefault="00E131D3" w:rsidP="00EE29A0">
      <w:pPr>
        <w:pStyle w:val="Textlessbefore"/>
      </w:pPr>
      <w:r>
        <w:t>Given the success of dual-</w:t>
      </w:r>
      <w:r w:rsidR="007F1A9E" w:rsidRPr="00AC25BD">
        <w:t>award pathways</w:t>
      </w:r>
      <w:r>
        <w:t>,</w:t>
      </w:r>
      <w:r w:rsidR="007F1A9E" w:rsidRPr="00AC25BD">
        <w:t xml:space="preserve"> as indicated by the data above, it was necessary to investigate the roles of </w:t>
      </w:r>
      <w:r>
        <w:t>tertiary admissions centres</w:t>
      </w:r>
      <w:r w:rsidR="007F1A9E" w:rsidRPr="00AC25BD">
        <w:t xml:space="preserve"> in other states and to establish whether they also have the capability to facilitate cross-sectoral articulation such </w:t>
      </w:r>
      <w:r>
        <w:t xml:space="preserve">as through the creation of dual-award offerings. </w:t>
      </w:r>
      <w:r w:rsidR="007F1A9E" w:rsidRPr="00AC25BD">
        <w:t>While the authors acknowledge that university policy is clearly instrumental in facilitating the movement of students between sectors, as comprehensively documented in</w:t>
      </w:r>
      <w:r w:rsidR="007F1A9E" w:rsidRPr="007C3F92">
        <w:t xml:space="preserve"> </w:t>
      </w:r>
      <w:r w:rsidR="007F1A9E">
        <w:t>the NCVER research report</w:t>
      </w:r>
      <w:r>
        <w:t>,</w:t>
      </w:r>
      <w:r w:rsidR="007F1A9E">
        <w:t xml:space="preserve"> </w:t>
      </w:r>
      <w:r w:rsidR="007F1A9E" w:rsidRPr="00E131D3">
        <w:rPr>
          <w:i/>
        </w:rPr>
        <w:t>A half-open door</w:t>
      </w:r>
      <w:r w:rsidR="007F1A9E" w:rsidRPr="00AC25BD">
        <w:t xml:space="preserve"> (Watson</w:t>
      </w:r>
      <w:r>
        <w:t xml:space="preserve">, Hagel &amp; </w:t>
      </w:r>
      <w:proofErr w:type="spellStart"/>
      <w:r>
        <w:t>Chesters</w:t>
      </w:r>
      <w:proofErr w:type="spellEnd"/>
      <w:r w:rsidR="007F1A9E" w:rsidRPr="00AC25BD">
        <w:t xml:space="preserve"> 2013), the evidence of the success of dual awards indicates that other systems can </w:t>
      </w:r>
      <w:r>
        <w:t>play</w:t>
      </w:r>
      <w:r w:rsidR="007F1A9E" w:rsidRPr="00AC25BD">
        <w:t xml:space="preserve"> an equally valuable role in enabling student mobility across the sectors.</w:t>
      </w:r>
      <w:r w:rsidR="00611BDD">
        <w:t xml:space="preserve"> </w:t>
      </w:r>
      <w:r w:rsidR="007F1A9E" w:rsidRPr="00AC25BD">
        <w:t>The section below explores the TAC factor in further detail.</w:t>
      </w:r>
      <w:r w:rsidR="00611BDD">
        <w:t xml:space="preserve"> </w:t>
      </w:r>
    </w:p>
    <w:p w:rsidR="007F1A9E" w:rsidRPr="00AC25BD" w:rsidRDefault="007F1A9E" w:rsidP="00AC25BD">
      <w:pPr>
        <w:pStyle w:val="Text"/>
      </w:pPr>
      <w:r w:rsidRPr="00AC25BD">
        <w:t xml:space="preserve">Most tertiary education providers across Australia utilise the services of </w:t>
      </w:r>
      <w:r w:rsidR="00422A7F">
        <w:t>tertiary admissions centres;</w:t>
      </w:r>
      <w:r w:rsidRPr="00AC25BD">
        <w:t xml:space="preserve"> however</w:t>
      </w:r>
      <w:r w:rsidR="008B0D94">
        <w:t>,</w:t>
      </w:r>
      <w:r w:rsidRPr="00AC25BD">
        <w:t xml:space="preserve"> the roles of these centres differ from state to state. Some of the </w:t>
      </w:r>
      <w:r w:rsidR="00422A7F">
        <w:t>centres</w:t>
      </w:r>
      <w:r w:rsidRPr="00AC25BD">
        <w:t xml:space="preserve"> focus only on university entry</w:t>
      </w:r>
      <w:r w:rsidR="008B0D94">
        <w:t>,</w:t>
      </w:r>
      <w:r w:rsidRPr="00AC25BD">
        <w:t xml:space="preserve"> while others process applications for VET providers and universities; of those that process VET applications</w:t>
      </w:r>
      <w:r w:rsidR="005C1885">
        <w:t>,</w:t>
      </w:r>
      <w:r w:rsidRPr="00AC25BD">
        <w:t xml:space="preserve"> some are limited to diplomas and advanced diplomas, while others will deal with qualifications at all levels. </w:t>
      </w:r>
    </w:p>
    <w:p w:rsidR="007F1A9E" w:rsidRPr="00AC25BD" w:rsidRDefault="00422A7F" w:rsidP="00AC25BD">
      <w:pPr>
        <w:pStyle w:val="Text"/>
      </w:pPr>
      <w:r>
        <w:t>The Queensland Tertiary Admissions Centre</w:t>
      </w:r>
      <w:r w:rsidRPr="00AC25BD">
        <w:t xml:space="preserve"> </w:t>
      </w:r>
      <w:r w:rsidR="007F1A9E" w:rsidRPr="00AC25BD">
        <w:t>processes applications for undergraduate university programs and diploma and advanced diploma qualifications for many VET providers in Queensland, as well as some education providers in northern New South Wales and the Australian Maritime College in Tasmania (</w:t>
      </w:r>
      <w:r>
        <w:t>Queensland Tertiary Admissions Centre</w:t>
      </w:r>
      <w:r w:rsidR="007F1A9E" w:rsidRPr="00AC25BD">
        <w:t xml:space="preserve"> 2014). On behalf of universities, QTAC applies a series of schedules to diploma and advanced diploma holders</w:t>
      </w:r>
      <w:r w:rsidR="008B0D94">
        <w:t>,</w:t>
      </w:r>
      <w:r w:rsidR="007F1A9E" w:rsidRPr="00AC25BD">
        <w:t xml:space="preserve"> such that these applicants will receive a minimum QTAC Selection Rank of 82 and 91 respectively (where 99 is the highest rank). Since the mid-1990s, </w:t>
      </w:r>
      <w:r w:rsidR="008B0D94">
        <w:t xml:space="preserve">the </w:t>
      </w:r>
      <w:r>
        <w:t>Queensland Tertiary Admissions Centre has been able to process dual-</w:t>
      </w:r>
      <w:r w:rsidR="007F1A9E" w:rsidRPr="00AC25BD">
        <w:t xml:space="preserve">award </w:t>
      </w:r>
      <w:r w:rsidR="007F1A9E" w:rsidRPr="00AC25BD">
        <w:lastRenderedPageBreak/>
        <w:t xml:space="preserve">applications for participating Queensland universities and TAFE Queensland; these pathways are included in the annual QTAC Guide. </w:t>
      </w:r>
    </w:p>
    <w:p w:rsidR="007F1A9E" w:rsidRPr="00AC25BD" w:rsidRDefault="00422A7F" w:rsidP="00AC25BD">
      <w:pPr>
        <w:pStyle w:val="Text"/>
      </w:pPr>
      <w:r>
        <w:t xml:space="preserve">The </w:t>
      </w:r>
      <w:r w:rsidR="007F1A9E" w:rsidRPr="00AC25BD">
        <w:t>South Austral</w:t>
      </w:r>
      <w:r w:rsidR="0029577C">
        <w:t xml:space="preserve">ian Tertiary Admissions Centre </w:t>
      </w:r>
      <w:r w:rsidR="007F1A9E" w:rsidRPr="00AC25BD">
        <w:t xml:space="preserve">is responsible for processing applications for courses with TAFE SA, Flinders University, </w:t>
      </w:r>
      <w:r>
        <w:t xml:space="preserve">the </w:t>
      </w:r>
      <w:r w:rsidR="007F1A9E" w:rsidRPr="00AC25BD">
        <w:t>University of South Australia and the University of Adelaide</w:t>
      </w:r>
      <w:r w:rsidR="008B0D94">
        <w:t>,</w:t>
      </w:r>
      <w:r w:rsidR="007F1A9E" w:rsidRPr="00AC25BD">
        <w:t xml:space="preserve"> as well as </w:t>
      </w:r>
      <w:r>
        <w:t xml:space="preserve">Charles Darwin University </w:t>
      </w:r>
      <w:r w:rsidR="007F1A9E" w:rsidRPr="00AC25BD">
        <w:t>in the Northern Territory. SATAC manages applications for certif</w:t>
      </w:r>
      <w:r>
        <w:t>icate I courses through to post</w:t>
      </w:r>
      <w:r w:rsidR="008B0D94">
        <w:t>graduate-</w:t>
      </w:r>
      <w:r w:rsidR="007F1A9E" w:rsidRPr="00AC25BD">
        <w:t>level</w:t>
      </w:r>
      <w:r w:rsidR="0029577C">
        <w:t xml:space="preserve"> university courses (</w:t>
      </w:r>
      <w:r w:rsidRPr="00AC25BD">
        <w:t>South Austral</w:t>
      </w:r>
      <w:r>
        <w:t>ian Tertiary Admissions Centre</w:t>
      </w:r>
      <w:r w:rsidR="007F1A9E" w:rsidRPr="00AC25BD">
        <w:t xml:space="preserve"> 2014).</w:t>
      </w:r>
      <w:r w:rsidR="00611BDD">
        <w:t xml:space="preserve"> </w:t>
      </w:r>
      <w:r w:rsidR="007F1A9E" w:rsidRPr="00AC25BD">
        <w:t xml:space="preserve">In 2013, dual awards were introduced in South </w:t>
      </w:r>
      <w:r>
        <w:t>Australia and SATAC processed</w:t>
      </w:r>
      <w:r w:rsidR="007F1A9E" w:rsidRPr="00AC25BD">
        <w:t xml:space="preserve"> these applicatio</w:t>
      </w:r>
      <w:r>
        <w:t>ns. There are currently 37 dual-</w:t>
      </w:r>
      <w:r w:rsidR="007F1A9E" w:rsidRPr="00AC25BD">
        <w:t>award pathways available through SATAC,</w:t>
      </w:r>
      <w:r>
        <w:t xml:space="preserve"> and</w:t>
      </w:r>
      <w:r w:rsidR="007F1A9E" w:rsidRPr="00AC25BD">
        <w:t xml:space="preserve"> although these are predominantly with TAFE SA and Flinders University there is a small number offered with the University of Adelaide (</w:t>
      </w:r>
      <w:r w:rsidRPr="00AC25BD">
        <w:t>South Austral</w:t>
      </w:r>
      <w:r>
        <w:t>ian Tertiary Admissions Centre</w:t>
      </w:r>
      <w:r w:rsidR="007F1A9E" w:rsidRPr="00AC25BD">
        <w:t xml:space="preserve"> 2014). These and other pathways to university are promoted on the </w:t>
      </w:r>
      <w:r>
        <w:t>centre</w:t>
      </w:r>
      <w:r w:rsidR="004C5471">
        <w:t>’</w:t>
      </w:r>
      <w:r>
        <w:t>s</w:t>
      </w:r>
      <w:r w:rsidR="007F1A9E" w:rsidRPr="00AC25BD">
        <w:t xml:space="preserve"> website.</w:t>
      </w:r>
    </w:p>
    <w:p w:rsidR="007F1A9E" w:rsidRPr="00AC25BD" w:rsidRDefault="007F1A9E" w:rsidP="00AC25BD">
      <w:pPr>
        <w:pStyle w:val="Text"/>
      </w:pPr>
      <w:r w:rsidRPr="00AC25BD">
        <w:t>T</w:t>
      </w:r>
      <w:r w:rsidR="00422A7F">
        <w:t>he T</w:t>
      </w:r>
      <w:r w:rsidRPr="00AC25BD">
        <w:t xml:space="preserve">ertiary Institutions </w:t>
      </w:r>
      <w:r w:rsidR="002220F5">
        <w:t>Admissions</w:t>
      </w:r>
      <w:r w:rsidRPr="00AC25BD">
        <w:t xml:space="preserve"> Centre</w:t>
      </w:r>
      <w:r w:rsidR="002220F5">
        <w:t xml:space="preserve"> (</w:t>
      </w:r>
      <w:r w:rsidRPr="00AC25BD">
        <w:t>TISC</w:t>
      </w:r>
      <w:r w:rsidR="002220F5">
        <w:t>)</w:t>
      </w:r>
      <w:r w:rsidRPr="00AC25BD">
        <w:t xml:space="preserve"> is the Western Australian </w:t>
      </w:r>
      <w:r w:rsidR="00422A7F">
        <w:t>version</w:t>
      </w:r>
      <w:r w:rsidRPr="00AC25BD">
        <w:t xml:space="preserve"> of a tertiary admission</w:t>
      </w:r>
      <w:r w:rsidR="008B0D94">
        <w:t>s</w:t>
      </w:r>
      <w:r w:rsidRPr="00AC25BD">
        <w:t xml:space="preserve"> centre and only processes applications for university programs at Edith Cowan University, Curtin University, Murdoch University and the University of Western Australia (</w:t>
      </w:r>
      <w:r w:rsidR="00422A7F" w:rsidRPr="00AC25BD">
        <w:t xml:space="preserve">Tertiary Institutions </w:t>
      </w:r>
      <w:r w:rsidR="00422A7F">
        <w:t>Admissions</w:t>
      </w:r>
      <w:r w:rsidR="00422A7F" w:rsidRPr="00AC25BD">
        <w:t xml:space="preserve"> Centre</w:t>
      </w:r>
      <w:r w:rsidRPr="00AC25BD">
        <w:t xml:space="preserve"> 2014). </w:t>
      </w:r>
      <w:r w:rsidR="00422A7F">
        <w:t>A</w:t>
      </w:r>
      <w:r w:rsidRPr="00AC25BD">
        <w:t xml:space="preserve"> separate entity processes TAFE applications in Western Australia </w:t>
      </w:r>
      <w:r w:rsidR="00422A7F">
        <w:t>—</w:t>
      </w:r>
      <w:r w:rsidRPr="00AC25BD">
        <w:t xml:space="preserve"> the TAFE Admissions Centre. This centre proce</w:t>
      </w:r>
      <w:r w:rsidR="005C1885">
        <w:t>sses applications for full-time</w:t>
      </w:r>
      <w:r w:rsidRPr="00AC25BD">
        <w:t xml:space="preserve"> state-funded places across all levels of study from certificate I to advanced diploma (</w:t>
      </w:r>
      <w:r w:rsidR="00660B1A" w:rsidRPr="00AC25BD">
        <w:t>J Blacker pers</w:t>
      </w:r>
      <w:r w:rsidR="00660B1A">
        <w:t>.</w:t>
      </w:r>
      <w:r w:rsidR="00660B1A" w:rsidRPr="00AC25BD">
        <w:t xml:space="preserve"> comm</w:t>
      </w:r>
      <w:r w:rsidR="00660B1A">
        <w:t>.</w:t>
      </w:r>
      <w:r w:rsidR="00660B1A" w:rsidRPr="00AC25BD">
        <w:t xml:space="preserve"> with </w:t>
      </w:r>
      <w:r w:rsidR="00660B1A">
        <w:t xml:space="preserve">M </w:t>
      </w:r>
      <w:proofErr w:type="spellStart"/>
      <w:r w:rsidR="00660B1A">
        <w:t>Poepjes</w:t>
      </w:r>
      <w:proofErr w:type="spellEnd"/>
      <w:r w:rsidR="00660B1A">
        <w:t xml:space="preserve">, </w:t>
      </w:r>
      <w:r w:rsidR="00660B1A" w:rsidRPr="00AC25BD">
        <w:t>1</w:t>
      </w:r>
      <w:r w:rsidR="00EE29A0">
        <w:t> </w:t>
      </w:r>
      <w:r w:rsidR="00660B1A" w:rsidRPr="00AC25BD">
        <w:t>May 2014</w:t>
      </w:r>
      <w:r w:rsidRPr="00AC25BD">
        <w:t xml:space="preserve">). </w:t>
      </w:r>
    </w:p>
    <w:p w:rsidR="007F1A9E" w:rsidRPr="00AC25BD" w:rsidRDefault="0070214F" w:rsidP="00AC25BD">
      <w:pPr>
        <w:pStyle w:val="Text"/>
      </w:pPr>
      <w:r>
        <w:t>T</w:t>
      </w:r>
      <w:r w:rsidR="00422A7F">
        <w:t xml:space="preserve">he </w:t>
      </w:r>
      <w:r w:rsidR="00D32BEB">
        <w:t>University Admissions Centre (</w:t>
      </w:r>
      <w:r w:rsidR="007F1A9E" w:rsidRPr="00AC25BD">
        <w:t>UAC</w:t>
      </w:r>
      <w:r w:rsidR="00D32BEB">
        <w:t>)</w:t>
      </w:r>
      <w:r w:rsidR="007F1A9E" w:rsidRPr="00AC25BD">
        <w:t xml:space="preserve"> processes applications for undergraduate and postgraduate programs at universities in New South Wales and </w:t>
      </w:r>
      <w:r w:rsidR="005C1885">
        <w:t>the Australian Capital Territory</w:t>
      </w:r>
      <w:r w:rsidR="007F1A9E" w:rsidRPr="00AC25BD">
        <w:t xml:space="preserve"> (</w:t>
      </w:r>
      <w:r w:rsidR="008B0D94">
        <w:t xml:space="preserve">University Admissions Centre </w:t>
      </w:r>
      <w:r w:rsidR="007F1A9E" w:rsidRPr="00AC25BD">
        <w:t>2014). While UAC calculates the Australian Tertiary Ad</w:t>
      </w:r>
      <w:r w:rsidR="00173BCA">
        <w:t xml:space="preserve">mission Rank </w:t>
      </w:r>
      <w:r>
        <w:t xml:space="preserve">for school </w:t>
      </w:r>
      <w:r w:rsidR="007F1A9E" w:rsidRPr="00AC25BD">
        <w:t xml:space="preserve">leavers, it does not calculate equivalencies for relevant VET qualifications and this information needs to be sourced from individual VET and </w:t>
      </w:r>
      <w:r w:rsidR="00171F8A">
        <w:t>higher education</w:t>
      </w:r>
      <w:r w:rsidR="007F1A9E" w:rsidRPr="00AC25BD">
        <w:t xml:space="preserve"> providers such as Southern Cross University</w:t>
      </w:r>
      <w:bookmarkStart w:id="134" w:name="_Ref386796901"/>
      <w:bookmarkStart w:id="135" w:name="_Toc386797285"/>
      <w:r w:rsidR="007F1A9E" w:rsidRPr="00AC25BD">
        <w:t xml:space="preserve"> </w:t>
      </w:r>
      <w:r w:rsidR="002B7C02">
        <w:t>(SCU)</w:t>
      </w:r>
      <w:r w:rsidR="00173BCA">
        <w:t>,</w:t>
      </w:r>
      <w:r w:rsidR="002B7C02">
        <w:t xml:space="preserve"> </w:t>
      </w:r>
      <w:r w:rsidR="007F1A9E" w:rsidRPr="00AC25BD">
        <w:t>which publishes the ATARs for a range of VET qualifications on its website.</w:t>
      </w:r>
    </w:p>
    <w:bookmarkEnd w:id="134"/>
    <w:bookmarkEnd w:id="135"/>
    <w:p w:rsidR="007F1A9E" w:rsidRDefault="0070214F" w:rsidP="00AC25BD">
      <w:pPr>
        <w:pStyle w:val="Text"/>
      </w:pPr>
      <w:r>
        <w:t xml:space="preserve">The </w:t>
      </w:r>
      <w:r w:rsidR="007F1A9E" w:rsidRPr="00AC25BD">
        <w:t>Victorian</w:t>
      </w:r>
      <w:r w:rsidR="002220F5">
        <w:t xml:space="preserve"> Tertiary</w:t>
      </w:r>
      <w:r w:rsidR="007F1A9E" w:rsidRPr="00AC25BD">
        <w:t xml:space="preserve"> Admissions Centre</w:t>
      </w:r>
      <w:r w:rsidR="002220F5">
        <w:t xml:space="preserve"> (</w:t>
      </w:r>
      <w:r w:rsidR="007F1A9E" w:rsidRPr="00AC25BD">
        <w:t>VTAC</w:t>
      </w:r>
      <w:r w:rsidR="002220F5">
        <w:t>)</w:t>
      </w:r>
      <w:r w:rsidR="007F1A9E" w:rsidRPr="00AC25BD">
        <w:t xml:space="preserve"> </w:t>
      </w:r>
      <w:r w:rsidR="007F1A9E">
        <w:t>administers entry to courses from certificate II to masters at universities, TAFE</w:t>
      </w:r>
      <w:r>
        <w:t xml:space="preserve"> institution</w:t>
      </w:r>
      <w:r w:rsidR="007F1A9E">
        <w:t>s and independent colleges in Victoria (</w:t>
      </w:r>
      <w:r w:rsidRPr="00AC25BD">
        <w:t>Victorian</w:t>
      </w:r>
      <w:r>
        <w:t xml:space="preserve"> Tertiary</w:t>
      </w:r>
      <w:r w:rsidRPr="00AC25BD">
        <w:t xml:space="preserve"> Admissions Centre</w:t>
      </w:r>
      <w:r w:rsidR="007F1A9E">
        <w:t xml:space="preserve"> 2014). Like </w:t>
      </w:r>
      <w:r>
        <w:t xml:space="preserve">its counterpart in New South Wales, the </w:t>
      </w:r>
      <w:r w:rsidRPr="00AC25BD">
        <w:t>Victorian</w:t>
      </w:r>
      <w:r>
        <w:t xml:space="preserve"> Tertiary</w:t>
      </w:r>
      <w:r w:rsidRPr="00AC25BD">
        <w:t xml:space="preserve"> Admissions Centre</w:t>
      </w:r>
      <w:r w:rsidR="007F1A9E">
        <w:t xml:space="preserve"> does not calculate ATAR</w:t>
      </w:r>
      <w:r w:rsidR="00173BCA">
        <w:t>s</w:t>
      </w:r>
      <w:r w:rsidR="007F1A9E">
        <w:t xml:space="preserve"> or Tertiary Selection Ranks or equivalencies for TAFE qualifications. This information needs to be sourced from individual institutions. Pathways into university courses are promoted on the VTAC website.</w:t>
      </w:r>
      <w:bookmarkStart w:id="136" w:name="_Toc395248399"/>
    </w:p>
    <w:p w:rsidR="007F1A9E" w:rsidRPr="00AC25BD" w:rsidRDefault="007F1A9E" w:rsidP="00AC25BD">
      <w:pPr>
        <w:pStyle w:val="Heading3"/>
      </w:pPr>
      <w:r w:rsidRPr="00151373">
        <w:t xml:space="preserve">Scope of Australian TACs in </w:t>
      </w:r>
      <w:r w:rsidR="0070214F" w:rsidRPr="00151373">
        <w:t>cross-sectoral pathways</w:t>
      </w:r>
      <w:bookmarkEnd w:id="136"/>
    </w:p>
    <w:p w:rsidR="007F1A9E" w:rsidRPr="00AC25BD" w:rsidRDefault="007F1A9E" w:rsidP="0091749B">
      <w:pPr>
        <w:pStyle w:val="Textlessbefore"/>
      </w:pPr>
      <w:r w:rsidRPr="00AC25BD">
        <w:t>While these tertiary admissions centres are designed to centralise the receipt and processing of applications, it is interesting to note that their roles vary significantly from state to state. There appear</w:t>
      </w:r>
      <w:r w:rsidR="0070214F">
        <w:t>s</w:t>
      </w:r>
      <w:r w:rsidRPr="00AC25BD">
        <w:t xml:space="preserve"> to be a consistent approach to </w:t>
      </w:r>
      <w:r w:rsidR="0070214F">
        <w:t xml:space="preserve">the way that </w:t>
      </w:r>
      <w:r w:rsidRPr="00AC25BD">
        <w:t>TACs either process applications or develop VET to university</w:t>
      </w:r>
      <w:r w:rsidR="0070214F">
        <w:t xml:space="preserve"> pathways at a national level. </w:t>
      </w:r>
      <w:r w:rsidRPr="00AC25BD">
        <w:t>However, as articulation agreements become more commonplace and education providers s</w:t>
      </w:r>
      <w:r w:rsidR="0070214F">
        <w:t>eek to be i</w:t>
      </w:r>
      <w:r w:rsidR="00173BCA">
        <w:t>nnovative in an ever-</w:t>
      </w:r>
      <w:r w:rsidRPr="00AC25BD">
        <w:t xml:space="preserve">changing and competitive market, there may be an opportunity for TACs to play an </w:t>
      </w:r>
      <w:r w:rsidR="00173BCA">
        <w:t xml:space="preserve">enhanced </w:t>
      </w:r>
      <w:r w:rsidRPr="00AC25BD">
        <w:t>role in this area. The development and implementation of dual awards, for example, seems an obvious choice</w:t>
      </w:r>
      <w:r w:rsidR="0070214F">
        <w:t>,</w:t>
      </w:r>
      <w:r w:rsidRPr="00AC25BD">
        <w:t xml:space="preserve"> especially when considered </w:t>
      </w:r>
      <w:r w:rsidR="00173BCA">
        <w:t>in the context of</w:t>
      </w:r>
      <w:r w:rsidRPr="00AC25BD">
        <w:t xml:space="preserve"> the Bradley Review (2008) and the findings of the Phillips KPA </w:t>
      </w:r>
      <w:r w:rsidRPr="005C1885">
        <w:rPr>
          <w:i/>
        </w:rPr>
        <w:t xml:space="preserve">Credit </w:t>
      </w:r>
      <w:r w:rsidR="005C1885">
        <w:rPr>
          <w:i/>
        </w:rPr>
        <w:t>w</w:t>
      </w:r>
      <w:r w:rsidRPr="005C1885">
        <w:rPr>
          <w:i/>
        </w:rPr>
        <w:t xml:space="preserve">here </w:t>
      </w:r>
      <w:r w:rsidR="005C1885">
        <w:rPr>
          <w:i/>
        </w:rPr>
        <w:t>c</w:t>
      </w:r>
      <w:r w:rsidRPr="005C1885">
        <w:rPr>
          <w:i/>
        </w:rPr>
        <w:t xml:space="preserve">redit is </w:t>
      </w:r>
      <w:r w:rsidR="005C1885">
        <w:rPr>
          <w:i/>
        </w:rPr>
        <w:t>d</w:t>
      </w:r>
      <w:r w:rsidRPr="005C1885">
        <w:rPr>
          <w:i/>
        </w:rPr>
        <w:t xml:space="preserve">ue </w:t>
      </w:r>
      <w:r w:rsidRPr="00AC25BD">
        <w:t>(2006) report</w:t>
      </w:r>
      <w:r w:rsidR="0070214F">
        <w:t>,</w:t>
      </w:r>
      <w:r w:rsidRPr="00AC25BD">
        <w:t xml:space="preserve"> </w:t>
      </w:r>
      <w:r w:rsidR="0070214F">
        <w:t xml:space="preserve">both of </w:t>
      </w:r>
      <w:r w:rsidRPr="00AC25BD">
        <w:t xml:space="preserve">which both advocate for seamless, transparent pathways from VET to </w:t>
      </w:r>
      <w:r w:rsidR="00171F8A">
        <w:t>higher education</w:t>
      </w:r>
      <w:r w:rsidRPr="00AC25BD">
        <w:t>.</w:t>
      </w:r>
      <w:r w:rsidR="00611BDD">
        <w:t xml:space="preserve"> </w:t>
      </w:r>
    </w:p>
    <w:p w:rsidR="007F1A9E" w:rsidRPr="00AC25BD" w:rsidRDefault="0070214F" w:rsidP="00AC25BD">
      <w:pPr>
        <w:pStyle w:val="Text"/>
      </w:pPr>
      <w:r>
        <w:t>The transparency that dual-</w:t>
      </w:r>
      <w:r w:rsidR="007F1A9E" w:rsidRPr="00AC25BD">
        <w:t xml:space="preserve">award pathways provide for students is significant: students are able to make a commitment from the outset of their studies to undertake a VET qualification as well as a </w:t>
      </w:r>
      <w:r w:rsidR="007F1A9E" w:rsidRPr="00AC25BD">
        <w:lastRenderedPageBreak/>
        <w:t xml:space="preserve">university degree </w:t>
      </w:r>
      <w:r w:rsidR="00802E57">
        <w:t>while having</w:t>
      </w:r>
      <w:r w:rsidR="007F1A9E" w:rsidRPr="00AC25BD">
        <w:t xml:space="preserve"> assurances </w:t>
      </w:r>
      <w:r w:rsidR="00173BCA">
        <w:t>about</w:t>
      </w:r>
      <w:r w:rsidR="007F1A9E" w:rsidRPr="00AC25BD">
        <w:t xml:space="preserve"> meeting university entry requirements. </w:t>
      </w:r>
      <w:r w:rsidR="00366EE1">
        <w:t>In addition</w:t>
      </w:r>
      <w:r w:rsidR="007F1A9E" w:rsidRPr="00AC25BD">
        <w:t>, such pathways enable un</w:t>
      </w:r>
      <w:r w:rsidR="00173BCA">
        <w:t>iversities to undertake forward-</w:t>
      </w:r>
      <w:r w:rsidR="007F1A9E" w:rsidRPr="00AC25BD">
        <w:t xml:space="preserve">planning </w:t>
      </w:r>
      <w:r w:rsidR="007F1A9E" w:rsidRPr="009812F6">
        <w:t>exercises</w:t>
      </w:r>
      <w:r w:rsidR="00802E57" w:rsidRPr="009812F6">
        <w:t>:</w:t>
      </w:r>
      <w:r w:rsidR="00802E57">
        <w:t xml:space="preserve"> </w:t>
      </w:r>
      <w:r w:rsidR="007F1A9E" w:rsidRPr="00AC25BD">
        <w:t>they can assess and prepare for this pipeline of students from the VET sector (</w:t>
      </w:r>
      <w:r w:rsidR="00366EE1">
        <w:t>Southbank Institute of Technology</w:t>
      </w:r>
      <w:r w:rsidR="007F1A9E" w:rsidRPr="00AC25BD">
        <w:t xml:space="preserve"> 2010). Currently, only Queensland and South Australia facilitate dual awards but there is scope for the development of these pathways across the country.</w:t>
      </w:r>
    </w:p>
    <w:p w:rsidR="007F1A9E" w:rsidRPr="00AC25BD" w:rsidRDefault="007F1A9E" w:rsidP="00AC25BD">
      <w:pPr>
        <w:pStyle w:val="Text"/>
      </w:pPr>
      <w:r w:rsidRPr="00AC25BD">
        <w:t>In states such as Tasmania</w:t>
      </w:r>
      <w:r w:rsidR="00173BCA">
        <w:t>,</w:t>
      </w:r>
      <w:r w:rsidRPr="00AC25BD">
        <w:t xml:space="preserve"> where there is no tertiary admission</w:t>
      </w:r>
      <w:r w:rsidR="00366EE1">
        <w:t>s centre, the highly co</w:t>
      </w:r>
      <w:r w:rsidRPr="00AC25BD">
        <w:t xml:space="preserve">operative relationship between TASTAFE and the University of Tasmania allows for the development of </w:t>
      </w:r>
      <w:r w:rsidR="00366EE1">
        <w:t>dual-</w:t>
      </w:r>
      <w:r w:rsidRPr="00AC25BD">
        <w:t xml:space="preserve">award pathways or similar, especially </w:t>
      </w:r>
      <w:r w:rsidR="00173BCA">
        <w:t>given</w:t>
      </w:r>
      <w:r w:rsidRPr="00AC25BD">
        <w:t xml:space="preserve"> that the University of Tasmania already has links with QTAC through the Australian Maritime College.</w:t>
      </w:r>
      <w:r w:rsidR="00611BDD">
        <w:t xml:space="preserve"> </w:t>
      </w:r>
      <w:r w:rsidRPr="00AC25BD">
        <w:t xml:space="preserve">In Western Australia, there are two distinct entities that process VET and </w:t>
      </w:r>
      <w:r w:rsidR="00171F8A">
        <w:t>higher education</w:t>
      </w:r>
      <w:r w:rsidRPr="00AC25BD">
        <w:t xml:space="preserve"> applications; however</w:t>
      </w:r>
      <w:r w:rsidR="00366EE1">
        <w:t>,</w:t>
      </w:r>
      <w:r w:rsidRPr="00AC25BD">
        <w:t xml:space="preserve"> a good working relationship is maintained. The timely transfer of information from one organisa</w:t>
      </w:r>
      <w:r w:rsidR="00366EE1">
        <w:t>tion to the other aids decision-</w:t>
      </w:r>
      <w:r w:rsidRPr="00AC25BD">
        <w:t>making processes and helps to foster collaboration between the two sectors (</w:t>
      </w:r>
      <w:r w:rsidR="00660B1A" w:rsidRPr="00AC25BD">
        <w:t>J Blacker pers</w:t>
      </w:r>
      <w:r w:rsidR="00660B1A">
        <w:t>.</w:t>
      </w:r>
      <w:r w:rsidR="00660B1A" w:rsidRPr="00AC25BD">
        <w:t xml:space="preserve"> comm</w:t>
      </w:r>
      <w:r w:rsidR="00660B1A">
        <w:t>.</w:t>
      </w:r>
      <w:r w:rsidR="00660B1A" w:rsidRPr="00AC25BD">
        <w:t xml:space="preserve"> with </w:t>
      </w:r>
      <w:r w:rsidR="00660B1A">
        <w:t xml:space="preserve">M </w:t>
      </w:r>
      <w:proofErr w:type="spellStart"/>
      <w:r w:rsidR="00660B1A">
        <w:t>Poepjes</w:t>
      </w:r>
      <w:proofErr w:type="spellEnd"/>
      <w:r w:rsidR="00660B1A">
        <w:t xml:space="preserve">, </w:t>
      </w:r>
      <w:r w:rsidR="00660B1A" w:rsidRPr="00AC25BD">
        <w:t>1 May 2014</w:t>
      </w:r>
      <w:r w:rsidRPr="00AC25BD">
        <w:t xml:space="preserve">). While the development of articulation arrangements is still </w:t>
      </w:r>
      <w:r w:rsidR="00173BCA">
        <w:t>largely</w:t>
      </w:r>
      <w:r w:rsidRPr="00AC25BD">
        <w:t xml:space="preserve"> individualised, there</w:t>
      </w:r>
      <w:r w:rsidR="00366EE1">
        <w:t xml:space="preserve"> is </w:t>
      </w:r>
      <w:r w:rsidR="00173BCA">
        <w:t xml:space="preserve">an </w:t>
      </w:r>
      <w:r w:rsidR="00366EE1">
        <w:t>opportunity to develop dual-</w:t>
      </w:r>
      <w:r w:rsidRPr="00AC25BD">
        <w:t>award pathways</w:t>
      </w:r>
      <w:r w:rsidR="00366EE1">
        <w:t>,</w:t>
      </w:r>
      <w:r w:rsidRPr="00AC25BD">
        <w:t xml:space="preserve"> given </w:t>
      </w:r>
      <w:r w:rsidR="00366EE1">
        <w:t xml:space="preserve">that </w:t>
      </w:r>
      <w:r w:rsidRPr="00AC25BD">
        <w:t>the two admission organisations already work closely together.</w:t>
      </w:r>
    </w:p>
    <w:p w:rsidR="007F1A9E" w:rsidRPr="00AC25BD" w:rsidRDefault="007F1A9E" w:rsidP="00AC25BD">
      <w:pPr>
        <w:pStyle w:val="Text"/>
      </w:pPr>
      <w:r w:rsidRPr="00AC25BD">
        <w:t>Another prime examp</w:t>
      </w:r>
      <w:r w:rsidR="00366EE1">
        <w:t xml:space="preserve">le is Charles Darwin University, </w:t>
      </w:r>
      <w:r w:rsidRPr="00AC25BD">
        <w:t>which, as a d</w:t>
      </w:r>
      <w:r w:rsidR="00366EE1">
        <w:t>ual-</w:t>
      </w:r>
      <w:r w:rsidRPr="00AC25BD">
        <w:t xml:space="preserve">sector organisation, enables students to undertake both VET and </w:t>
      </w:r>
      <w:r w:rsidR="00171F8A">
        <w:t>higher education</w:t>
      </w:r>
      <w:r w:rsidR="00366EE1">
        <w:t xml:space="preserve"> qualifications (</w:t>
      </w:r>
      <w:r w:rsidRPr="00AC25BD">
        <w:t xml:space="preserve">2014). Given that applications to </w:t>
      </w:r>
      <w:r w:rsidR="00366EE1">
        <w:t>Charles Darwin University</w:t>
      </w:r>
      <w:r w:rsidRPr="00AC25BD">
        <w:t xml:space="preserve"> are processed by SATAC, an entity which already administers du</w:t>
      </w:r>
      <w:r w:rsidR="00173BCA">
        <w:t>al awards for South Australian u</w:t>
      </w:r>
      <w:r w:rsidRPr="00AC25BD">
        <w:t xml:space="preserve">niversities, CDU is well positioned </w:t>
      </w:r>
      <w:r w:rsidR="00366EE1">
        <w:t>to implement dual awards. Dual-s</w:t>
      </w:r>
      <w:r w:rsidRPr="00AC25BD">
        <w:t xml:space="preserve">ector organisations </w:t>
      </w:r>
      <w:r w:rsidR="00802E57">
        <w:t>exist</w:t>
      </w:r>
      <w:r w:rsidRPr="00AC25BD">
        <w:t xml:space="preserve"> or are being developed in most Australian states, which again supports the implementation of these types of pathways at a</w:t>
      </w:r>
      <w:r w:rsidR="00366EE1">
        <w:t xml:space="preserve"> national level. Utilising dual-</w:t>
      </w:r>
      <w:r w:rsidRPr="00AC25BD">
        <w:t>award pathways in such organisations will help to facilitate seamless transition between the tw</w:t>
      </w:r>
      <w:r w:rsidR="00366EE1">
        <w:t xml:space="preserve">o elements of the organisation, a situation that </w:t>
      </w:r>
      <w:r w:rsidRPr="00AC25BD">
        <w:t>is currently very limited.</w:t>
      </w:r>
    </w:p>
    <w:p w:rsidR="007F1A9E" w:rsidRPr="00AC25BD" w:rsidRDefault="007F1A9E" w:rsidP="00AC25BD">
      <w:pPr>
        <w:pStyle w:val="Text"/>
      </w:pPr>
      <w:r w:rsidRPr="00AC25BD">
        <w:t>Education providers with strong links to industry,</w:t>
      </w:r>
      <w:r w:rsidR="00173BCA">
        <w:t xml:space="preserve"> such as CDU and USQ</w:t>
      </w:r>
      <w:r w:rsidRPr="00AC25BD">
        <w:t xml:space="preserve">, are able to maximise opportunities for students by providing cross-sectoral articulation pathways. The combination of skills and knowledge from </w:t>
      </w:r>
      <w:r w:rsidR="00802E57">
        <w:t xml:space="preserve">both </w:t>
      </w:r>
      <w:r w:rsidRPr="00AC25BD">
        <w:t xml:space="preserve">VET and </w:t>
      </w:r>
      <w:r w:rsidR="00171F8A">
        <w:t>higher education</w:t>
      </w:r>
      <w:r w:rsidRPr="00AC25BD">
        <w:t xml:space="preserve"> that are central to articulation arrangements makes graduates from these qualifications very highly employable (</w:t>
      </w:r>
      <w:proofErr w:type="spellStart"/>
      <w:r w:rsidRPr="00AC25BD">
        <w:t>Paez</w:t>
      </w:r>
      <w:proofErr w:type="spellEnd"/>
      <w:r w:rsidR="00366EE1">
        <w:t xml:space="preserve"> et </w:t>
      </w:r>
      <w:r w:rsidR="00366EE1" w:rsidRPr="009E7072">
        <w:t>al.</w:t>
      </w:r>
      <w:r w:rsidRPr="009E7072">
        <w:t xml:space="preserve"> 2011</w:t>
      </w:r>
      <w:r w:rsidR="009E7072" w:rsidRPr="009E7072">
        <w:t>b</w:t>
      </w:r>
      <w:r w:rsidRPr="00AC25BD">
        <w:t>).</w:t>
      </w:r>
    </w:p>
    <w:p w:rsidR="007F1A9E" w:rsidRPr="00DD5DEB" w:rsidRDefault="007F1A9E" w:rsidP="00AC25BD">
      <w:pPr>
        <w:pStyle w:val="Text"/>
      </w:pPr>
      <w:r w:rsidRPr="00AC25BD">
        <w:t xml:space="preserve">Finally, the scan of the different </w:t>
      </w:r>
      <w:r w:rsidR="00366EE1">
        <w:t xml:space="preserve">tertiary admissions centre </w:t>
      </w:r>
      <w:r w:rsidRPr="00AC25BD">
        <w:t xml:space="preserve">functions also revealed that some act as a centralised repository of </w:t>
      </w:r>
      <w:r w:rsidR="00802E57">
        <w:t xml:space="preserve">the </w:t>
      </w:r>
      <w:r w:rsidR="00173BCA">
        <w:t>ATAR</w:t>
      </w:r>
      <w:r w:rsidR="00366EE1">
        <w:t xml:space="preserve"> scores</w:t>
      </w:r>
      <w:r w:rsidRPr="00AC25BD">
        <w:t xml:space="preserve"> used </w:t>
      </w:r>
      <w:r w:rsidR="00366EE1">
        <w:t>by different universities</w:t>
      </w:r>
      <w:r w:rsidR="00EB4C03" w:rsidRPr="00EB4C03">
        <w:t xml:space="preserve"> </w:t>
      </w:r>
      <w:r w:rsidR="00EB4C03" w:rsidRPr="00AC25BD">
        <w:t xml:space="preserve">within </w:t>
      </w:r>
      <w:r w:rsidR="00EB4C03">
        <w:t>the</w:t>
      </w:r>
      <w:r w:rsidR="00EB4C03" w:rsidRPr="00AC25BD">
        <w:t xml:space="preserve"> jurisdict</w:t>
      </w:r>
      <w:r w:rsidR="00EB4C03">
        <w:t>ion</w:t>
      </w:r>
      <w:r w:rsidR="00366EE1">
        <w:t xml:space="preserve">. </w:t>
      </w:r>
      <w:r w:rsidRPr="00AC25BD">
        <w:t>Importantly, these TACs coordinate the issuing of</w:t>
      </w:r>
      <w:r w:rsidR="00173BCA">
        <w:t xml:space="preserve"> the</w:t>
      </w:r>
      <w:r w:rsidRPr="00AC25BD">
        <w:t xml:space="preserve"> </w:t>
      </w:r>
      <w:r w:rsidRPr="00DD5DEB">
        <w:t xml:space="preserve">ATARs </w:t>
      </w:r>
      <w:r w:rsidR="00EB4C03" w:rsidRPr="00DD5DEB">
        <w:t>conferred upon a VET award holder by</w:t>
      </w:r>
      <w:r w:rsidRPr="00DD5DEB">
        <w:t xml:space="preserve"> </w:t>
      </w:r>
      <w:r w:rsidR="00EB4C03" w:rsidRPr="00DD5DEB">
        <w:t>participating universities</w:t>
      </w:r>
      <w:r w:rsidR="001F33E7" w:rsidRPr="00DD5DEB">
        <w:t>.</w:t>
      </w:r>
      <w:r w:rsidRPr="00DD5DEB">
        <w:t xml:space="preserve"> Having this valuable information a</w:t>
      </w:r>
      <w:r w:rsidRPr="00AC25BD">
        <w:t xml:space="preserve">vailable in a central location enables applicants, particularly those who have graduated from VET sector, to make informed decisions about the further study opportunities available to them </w:t>
      </w:r>
      <w:r w:rsidRPr="00DD5DEB">
        <w:t xml:space="preserve">at each university and removes the need to source information about university entry </w:t>
      </w:r>
      <w:r w:rsidR="00DD5DEB" w:rsidRPr="00DD5DEB">
        <w:t>from</w:t>
      </w:r>
      <w:r w:rsidRPr="00DD5DEB">
        <w:t xml:space="preserve"> the individual institutions.</w:t>
      </w:r>
      <w:r w:rsidR="00611BDD" w:rsidRPr="00DD5DEB">
        <w:t xml:space="preserve"> </w:t>
      </w:r>
    </w:p>
    <w:p w:rsidR="007F1A9E" w:rsidRPr="00AC25BD" w:rsidRDefault="007F1A9E" w:rsidP="00AC25BD">
      <w:pPr>
        <w:pStyle w:val="Heading2"/>
      </w:pPr>
      <w:bookmarkStart w:id="137" w:name="_Toc395248400"/>
      <w:bookmarkStart w:id="138" w:name="_Toc412455628"/>
      <w:bookmarkStart w:id="139" w:name="_Toc416683046"/>
      <w:r w:rsidRPr="00DD5DEB">
        <w:t>Conclusions</w:t>
      </w:r>
      <w:bookmarkEnd w:id="137"/>
      <w:bookmarkEnd w:id="138"/>
      <w:bookmarkEnd w:id="139"/>
    </w:p>
    <w:p w:rsidR="007F1A9E" w:rsidRPr="00CD621A" w:rsidRDefault="00FD64CF" w:rsidP="00AC25BD">
      <w:pPr>
        <w:pStyle w:val="Text"/>
      </w:pPr>
      <w:r>
        <w:rPr>
          <w:noProof/>
          <w:lang w:eastAsia="en-AU"/>
        </w:rPr>
        <mc:AlternateContent>
          <mc:Choice Requires="wps">
            <w:drawing>
              <wp:anchor distT="0" distB="0" distL="114300" distR="114300" simplePos="0" relativeHeight="251729920" behindDoc="0" locked="0" layoutInCell="1" allowOverlap="1" wp14:anchorId="05584350" wp14:editId="261B1314">
                <wp:simplePos x="0" y="0"/>
                <wp:positionH relativeFrom="column">
                  <wp:posOffset>5649595</wp:posOffset>
                </wp:positionH>
                <wp:positionV relativeFrom="paragraph">
                  <wp:posOffset>2545080</wp:posOffset>
                </wp:positionV>
                <wp:extent cx="840105" cy="393700"/>
                <wp:effectExtent l="6350" t="7620" r="10795" b="8255"/>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393700"/>
                        </a:xfrm>
                        <a:prstGeom prst="rect">
                          <a:avLst/>
                        </a:prstGeom>
                        <a:solidFill>
                          <a:srgbClr val="FFFFFF"/>
                        </a:solidFill>
                        <a:ln w="9525">
                          <a:solidFill>
                            <a:srgbClr val="000000"/>
                          </a:solidFill>
                          <a:miter lim="800000"/>
                          <a:headEnd/>
                          <a:tailEnd/>
                        </a:ln>
                      </wps:spPr>
                      <wps:txbx>
                        <w:txbxContent>
                          <w:p w:rsidR="005219E8" w:rsidRPr="00F01060" w:rsidRDefault="005219E8" w:rsidP="00F01060">
                            <w:pPr>
                              <w:spacing w:line="240" w:lineRule="auto"/>
                              <w:rPr>
                                <w:sz w:val="16"/>
                              </w:rPr>
                            </w:pPr>
                            <w:r w:rsidRPr="00F01060">
                              <w:rPr>
                                <w:sz w:val="16"/>
                              </w:rPr>
                              <w:t>Author</w:t>
                            </w:r>
                            <w:r>
                              <w:rPr>
                                <w:sz w:val="16"/>
                              </w:rPr>
                              <w:t>s</w:t>
                            </w:r>
                            <w:r w:rsidRPr="00F01060">
                              <w:rPr>
                                <w:sz w:val="16"/>
                              </w:rPr>
                              <w:t xml:space="preserve">: </w:t>
                            </w:r>
                            <w:proofErr w:type="gramStart"/>
                            <w:r w:rsidRPr="00F01060">
                              <w:rPr>
                                <w:sz w:val="16"/>
                              </w:rPr>
                              <w:t>a or</w:t>
                            </w:r>
                            <w:proofErr w:type="gramEnd"/>
                            <w:r w:rsidRPr="00F01060">
                              <w:rPr>
                                <w:sz w:val="16"/>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444.85pt;margin-top:200.4pt;width:66.15pt;height: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">
                <v:textbox>
                  <w:txbxContent>
                    <w:p w:rsidR="005219E8" w:rsidRPr="00F01060" w:rsidRDefault="005219E8" w:rsidP="00F01060">
                      <w:pPr>
                        <w:spacing w:line="240" w:lineRule="auto"/>
                        <w:rPr>
                          <w:sz w:val="16"/>
                        </w:rPr>
                      </w:pPr>
                      <w:r w:rsidRPr="00F01060">
                        <w:rPr>
                          <w:sz w:val="16"/>
                        </w:rPr>
                        <w:t>Author</w:t>
                      </w:r>
                      <w:r>
                        <w:rPr>
                          <w:sz w:val="16"/>
                        </w:rPr>
                        <w:t>s</w:t>
                      </w:r>
                      <w:r w:rsidRPr="00F01060">
                        <w:rPr>
                          <w:sz w:val="16"/>
                        </w:rPr>
                        <w:t xml:space="preserve">: </w:t>
                      </w:r>
                      <w:proofErr w:type="gramStart"/>
                      <w:r w:rsidRPr="00F01060">
                        <w:rPr>
                          <w:sz w:val="16"/>
                        </w:rPr>
                        <w:t>a or</w:t>
                      </w:r>
                      <w:proofErr w:type="gramEnd"/>
                      <w:r w:rsidRPr="00F01060">
                        <w:rPr>
                          <w:sz w:val="16"/>
                        </w:rPr>
                        <w:t xml:space="preserve"> b?</w:t>
                      </w:r>
                    </w:p>
                  </w:txbxContent>
                </v:textbox>
              </v:shape>
            </w:pict>
          </mc:Fallback>
        </mc:AlternateContent>
      </w:r>
      <w:r w:rsidR="007F1A9E">
        <w:t xml:space="preserve">The evidence presented in this paper suggests that all state and territory </w:t>
      </w:r>
      <w:r w:rsidR="001F33E7">
        <w:t>tertiary admissions centres</w:t>
      </w:r>
      <w:r w:rsidR="007F1A9E">
        <w:t xml:space="preserve"> (or equivalent) have the capacity to play a significant role in enhancing the effectiveness </w:t>
      </w:r>
      <w:r w:rsidR="001F33E7">
        <w:t xml:space="preserve">of VET to university pathways. </w:t>
      </w:r>
      <w:r w:rsidR="007F1A9E">
        <w:t>Understandably</w:t>
      </w:r>
      <w:r w:rsidR="00EB4C03">
        <w:t>,</w:t>
      </w:r>
      <w:r w:rsidR="007F1A9E">
        <w:t xml:space="preserve"> a credit transfer arrangement needs to balance the sometimes competing demands of optimal academic progression with appropriate recognition of the learning gained by </w:t>
      </w:r>
      <w:r w:rsidR="001F33E7">
        <w:t>obtaining a VET qualification.</w:t>
      </w:r>
      <w:r w:rsidR="007F1A9E">
        <w:t xml:space="preserve"> However</w:t>
      </w:r>
      <w:r w:rsidR="001F33E7">
        <w:t>,</w:t>
      </w:r>
      <w:r w:rsidR="007F1A9E">
        <w:t xml:space="preserve"> once this has been achieved</w:t>
      </w:r>
      <w:r w:rsidR="001F33E7">
        <w:t>,</w:t>
      </w:r>
      <w:r w:rsidR="007F1A9E">
        <w:t xml:space="preserve"> it is clear that benefits flow from </w:t>
      </w:r>
      <w:r w:rsidR="001F33E7">
        <w:t>tertiary admissions</w:t>
      </w:r>
      <w:r w:rsidR="007F1A9E">
        <w:t xml:space="preserve"> </w:t>
      </w:r>
      <w:r w:rsidR="001F33E7">
        <w:t xml:space="preserve">centres </w:t>
      </w:r>
      <w:r w:rsidR="007F1A9E">
        <w:t>being able to package up and offer arti</w:t>
      </w:r>
      <w:r w:rsidR="001F33E7">
        <w:t xml:space="preserve">culation arrangements in a dual-award model. </w:t>
      </w:r>
      <w:r w:rsidR="007F1A9E">
        <w:t>The example of the difference in enrolment numbers</w:t>
      </w:r>
      <w:r w:rsidR="001F33E7">
        <w:t xml:space="preserve"> when a particular science dual-</w:t>
      </w:r>
      <w:r w:rsidR="007F1A9E">
        <w:t xml:space="preserve">award pathway was exceptionally not offered in 2014 points to the powerful </w:t>
      </w:r>
      <w:r w:rsidR="007F1A9E">
        <w:lastRenderedPageBreak/>
        <w:t xml:space="preserve">impact that these have on the broad project of improving articulation from VET to </w:t>
      </w:r>
      <w:r w:rsidR="00171F8A">
        <w:t>higher education</w:t>
      </w:r>
      <w:r w:rsidR="007F1A9E">
        <w:t>.</w:t>
      </w:r>
      <w:r w:rsidR="00611BDD">
        <w:t xml:space="preserve"> </w:t>
      </w:r>
      <w:r w:rsidR="007F1A9E">
        <w:t>It is evident that</w:t>
      </w:r>
      <w:r w:rsidR="00EB4C03">
        <w:t>,</w:t>
      </w:r>
      <w:r w:rsidR="007F1A9E">
        <w:t xml:space="preserve"> where </w:t>
      </w:r>
      <w:r w:rsidR="001F33E7">
        <w:t>tertiary admissions</w:t>
      </w:r>
      <w:r w:rsidR="007F1A9E">
        <w:t xml:space="preserve"> </w:t>
      </w:r>
      <w:r w:rsidR="001F33E7">
        <w:t xml:space="preserve">centres </w:t>
      </w:r>
      <w:r w:rsidR="007F1A9E">
        <w:t>can offer such an opportunity,</w:t>
      </w:r>
      <w:r w:rsidR="00EB4C03">
        <w:t xml:space="preserve"> the number of pathway students </w:t>
      </w:r>
      <w:r w:rsidR="007F1A9E">
        <w:t>increase</w:t>
      </w:r>
      <w:r w:rsidR="001F33E7">
        <w:t>:</w:t>
      </w:r>
      <w:r w:rsidR="007F1A9E">
        <w:t xml:space="preserve"> potential students </w:t>
      </w:r>
      <w:r w:rsidR="001F33E7">
        <w:t>are able to</w:t>
      </w:r>
      <w:r w:rsidR="007F1A9E">
        <w:t xml:space="preserve"> see the </w:t>
      </w:r>
      <w:r w:rsidR="001F33E7">
        <w:t>benefits of gaining an industry-</w:t>
      </w:r>
      <w:r w:rsidR="007F1A9E">
        <w:t xml:space="preserve">recognised VET qualification alongside a more </w:t>
      </w:r>
      <w:r w:rsidR="001F33E7">
        <w:t xml:space="preserve">theoretical university degree. </w:t>
      </w:r>
      <w:r w:rsidR="007F1A9E">
        <w:t>Furthermore</w:t>
      </w:r>
      <w:r w:rsidR="001F33E7">
        <w:t>,</w:t>
      </w:r>
      <w:r w:rsidR="007F1A9E">
        <w:t xml:space="preserve"> graduates </w:t>
      </w:r>
      <w:r w:rsidR="001F33E7">
        <w:t>with</w:t>
      </w:r>
      <w:r w:rsidR="007F1A9E">
        <w:t xml:space="preserve"> complementary qualifications from both sectors bring a broad range of skill sets to the workforce</w:t>
      </w:r>
      <w:r w:rsidR="001F33E7">
        <w:t>, which</w:t>
      </w:r>
      <w:r w:rsidR="007F1A9E">
        <w:t xml:space="preserve"> are sought after by employers and </w:t>
      </w:r>
      <w:r w:rsidR="007F1A9E" w:rsidRPr="00DD5DEB">
        <w:t>industries (</w:t>
      </w:r>
      <w:proofErr w:type="spellStart"/>
      <w:r w:rsidR="007F1A9E" w:rsidRPr="00DD5DEB">
        <w:t>Paez</w:t>
      </w:r>
      <w:proofErr w:type="spellEnd"/>
      <w:r w:rsidR="007F1A9E" w:rsidRPr="00DD5DEB">
        <w:t xml:space="preserve"> et al. 2011</w:t>
      </w:r>
      <w:r w:rsidR="00DD5DEB" w:rsidRPr="00DD5DEB">
        <w:t>a</w:t>
      </w:r>
      <w:r w:rsidR="007F1A9E">
        <w:t>).</w:t>
      </w:r>
      <w:r w:rsidR="00611BDD">
        <w:t xml:space="preserve"> </w:t>
      </w:r>
      <w:r w:rsidR="007F1A9E">
        <w:t>The Queensland and South Australian experience</w:t>
      </w:r>
      <w:r w:rsidR="00802E57">
        <w:t>s show</w:t>
      </w:r>
      <w:r w:rsidR="007F1A9E">
        <w:t xml:space="preserve"> that </w:t>
      </w:r>
      <w:r w:rsidR="001F33E7">
        <w:t>tertiary admissions</w:t>
      </w:r>
      <w:r w:rsidR="007F1A9E">
        <w:t xml:space="preserve"> </w:t>
      </w:r>
      <w:r w:rsidR="001F33E7">
        <w:t xml:space="preserve">centres </w:t>
      </w:r>
      <w:r w:rsidR="007F1A9E">
        <w:t xml:space="preserve">have a critical role to play in facilitating these cross-sectoral pathways </w:t>
      </w:r>
      <w:r w:rsidR="00F247A6">
        <w:t>and possess</w:t>
      </w:r>
      <w:r w:rsidR="007F1A9E">
        <w:t xml:space="preserve"> the capacity and resources to do so.</w:t>
      </w:r>
    </w:p>
    <w:p w:rsidR="007F1A9E" w:rsidRPr="00AC25BD" w:rsidRDefault="007F1A9E" w:rsidP="0091749B">
      <w:pPr>
        <w:pStyle w:val="Heading2"/>
      </w:pPr>
      <w:bookmarkStart w:id="140" w:name="_Toc395248401"/>
      <w:bookmarkStart w:id="141" w:name="_Toc412455629"/>
      <w:bookmarkStart w:id="142" w:name="_Toc416683047"/>
      <w:r w:rsidRPr="00AC25BD">
        <w:t>References</w:t>
      </w:r>
      <w:bookmarkEnd w:id="140"/>
      <w:bookmarkEnd w:id="141"/>
      <w:bookmarkEnd w:id="142"/>
    </w:p>
    <w:p w:rsidR="007F1A9E" w:rsidRPr="00AC25BD" w:rsidRDefault="007F1A9E" w:rsidP="0091749B">
      <w:pPr>
        <w:pStyle w:val="References"/>
      </w:pPr>
      <w:r w:rsidRPr="00AC25BD">
        <w:t>Bradley</w:t>
      </w:r>
      <w:r w:rsidR="001F33E7">
        <w:t>,</w:t>
      </w:r>
      <w:r w:rsidRPr="00AC25BD">
        <w:t xml:space="preserve"> D, Noonan</w:t>
      </w:r>
      <w:r w:rsidR="001F33E7">
        <w:t>,</w:t>
      </w:r>
      <w:r w:rsidRPr="00AC25BD">
        <w:t xml:space="preserve"> P, Nugent</w:t>
      </w:r>
      <w:r w:rsidR="001F33E7">
        <w:t>,</w:t>
      </w:r>
      <w:r w:rsidRPr="00AC25BD">
        <w:t xml:space="preserve"> H &amp; Scales</w:t>
      </w:r>
      <w:r w:rsidR="004E7610">
        <w:t>,</w:t>
      </w:r>
      <w:r w:rsidRPr="00AC25BD">
        <w:t xml:space="preserve"> B 2008, </w:t>
      </w:r>
      <w:r w:rsidRPr="00AC25BD">
        <w:rPr>
          <w:i/>
        </w:rPr>
        <w:t>Review of Australian</w:t>
      </w:r>
      <w:r w:rsidR="00AC25BD">
        <w:rPr>
          <w:i/>
        </w:rPr>
        <w:t xml:space="preserve"> higher education: final r</w:t>
      </w:r>
      <w:r w:rsidRPr="00AC25BD">
        <w:rPr>
          <w:i/>
        </w:rPr>
        <w:t>eport</w:t>
      </w:r>
      <w:r w:rsidRPr="00AC25BD">
        <w:t>, Department of Education, Employment and Workplace Relations</w:t>
      </w:r>
      <w:r w:rsidR="004E7610">
        <w:t>,</w:t>
      </w:r>
      <w:r w:rsidR="004E7610" w:rsidRPr="004E7610">
        <w:t xml:space="preserve"> </w:t>
      </w:r>
      <w:r w:rsidR="004E7610" w:rsidRPr="00AC25BD">
        <w:t>Canberra,</w:t>
      </w:r>
      <w:r w:rsidRPr="00AC25BD">
        <w:t xml:space="preserve"> viewed 25 June 2014, &lt;http://www.industry.gov.au/HigherEducation/Documents/Review/PDF/Higher%20Education%20Review_one%20document_02.pdf&gt;</w:t>
      </w:r>
      <w:r w:rsidR="004E7610">
        <w:t>.</w:t>
      </w:r>
    </w:p>
    <w:p w:rsidR="007F1A9E" w:rsidRPr="00AC25BD" w:rsidRDefault="007F1A9E" w:rsidP="0091749B">
      <w:pPr>
        <w:pStyle w:val="References"/>
      </w:pPr>
      <w:r w:rsidRPr="00AC25BD">
        <w:t xml:space="preserve">Charles Darwin University 2014, </w:t>
      </w:r>
      <w:r w:rsidRPr="00AC25BD">
        <w:rPr>
          <w:i/>
        </w:rPr>
        <w:t>Studying at CDU</w:t>
      </w:r>
      <w:r w:rsidRPr="00AC25BD">
        <w:t>, viewed 30 April 2014, &lt;http://www.cdu.edu.au/prospectivestudents/studyingatcdu&gt;</w:t>
      </w:r>
      <w:r w:rsidR="004E7610">
        <w:t>.</w:t>
      </w:r>
    </w:p>
    <w:p w:rsidR="007F1A9E" w:rsidRPr="00AC25BD" w:rsidRDefault="007F1A9E" w:rsidP="0091749B">
      <w:pPr>
        <w:pStyle w:val="References"/>
      </w:pPr>
      <w:r w:rsidRPr="00AC25BD">
        <w:t>Milne</w:t>
      </w:r>
      <w:r w:rsidR="004E7610">
        <w:t>,</w:t>
      </w:r>
      <w:r w:rsidRPr="00AC25BD">
        <w:t xml:space="preserve"> L, Keating</w:t>
      </w:r>
      <w:r w:rsidR="004E7610">
        <w:t>,</w:t>
      </w:r>
      <w:r w:rsidRPr="00AC25BD">
        <w:t xml:space="preserve"> S &amp; Holden</w:t>
      </w:r>
      <w:r w:rsidR="004E7610">
        <w:t>,</w:t>
      </w:r>
      <w:r w:rsidRPr="00AC25BD">
        <w:t xml:space="preserve"> S 2006, </w:t>
      </w:r>
      <w:r w:rsidR="004C5471">
        <w:t>‘</w:t>
      </w:r>
      <w:r w:rsidRPr="004E7610">
        <w:t>Promises but not guarantees: movement from TAFE to higher education in a dual sector university</w:t>
      </w:r>
      <w:r w:rsidR="004C5471">
        <w:t>’</w:t>
      </w:r>
      <w:r w:rsidRPr="004E7610">
        <w:t>,</w:t>
      </w:r>
      <w:r w:rsidRPr="00AC25BD">
        <w:t xml:space="preserve"> </w:t>
      </w:r>
      <w:r w:rsidR="004E7610">
        <w:t>p</w:t>
      </w:r>
      <w:r w:rsidRPr="00AC25BD">
        <w:t>aper presented at Australian Associ</w:t>
      </w:r>
      <w:r w:rsidR="004E7610">
        <w:t>ation for Research in Education</w:t>
      </w:r>
      <w:r w:rsidRPr="00AC25BD">
        <w:t xml:space="preserve"> Conference</w:t>
      </w:r>
      <w:r w:rsidR="004E7610" w:rsidRPr="004E7610">
        <w:t xml:space="preserve"> </w:t>
      </w:r>
      <w:r w:rsidR="004E7610">
        <w:t xml:space="preserve">in </w:t>
      </w:r>
      <w:r w:rsidR="004E7610" w:rsidRPr="00AC25BD">
        <w:t>Adelaide.</w:t>
      </w:r>
    </w:p>
    <w:p w:rsidR="007F1A9E" w:rsidRPr="00AC25BD" w:rsidRDefault="007F1A9E" w:rsidP="0091749B">
      <w:pPr>
        <w:pStyle w:val="References"/>
      </w:pPr>
      <w:r w:rsidRPr="00AC25BD">
        <w:t xml:space="preserve">NCVER </w:t>
      </w:r>
      <w:r w:rsidR="004E7610">
        <w:t xml:space="preserve">(National Centre for Vocational Education Research) </w:t>
      </w:r>
      <w:r w:rsidRPr="00AC25BD">
        <w:t xml:space="preserve">2013, </w:t>
      </w:r>
      <w:r w:rsidRPr="00AC25BD">
        <w:rPr>
          <w:i/>
        </w:rPr>
        <w:t>Australian vocational education and training sta</w:t>
      </w:r>
      <w:r w:rsidR="00802E57">
        <w:rPr>
          <w:i/>
        </w:rPr>
        <w:t>tistics: student outcomes 2013 i</w:t>
      </w:r>
      <w:r w:rsidRPr="00AC25BD">
        <w:rPr>
          <w:i/>
        </w:rPr>
        <w:t>nstitute report</w:t>
      </w:r>
      <w:r w:rsidR="004E7610">
        <w:rPr>
          <w:i/>
        </w:rPr>
        <w:t>:</w:t>
      </w:r>
      <w:r w:rsidRPr="00AC25BD">
        <w:t xml:space="preserve"> </w:t>
      </w:r>
      <w:r w:rsidRPr="004E7610">
        <w:rPr>
          <w:i/>
        </w:rPr>
        <w:t>Southbank Institute of Technology</w:t>
      </w:r>
      <w:r w:rsidRPr="00AC25BD">
        <w:t>, NCVER</w:t>
      </w:r>
      <w:r w:rsidR="004E7610">
        <w:t>,</w:t>
      </w:r>
      <w:r w:rsidRPr="00AC25BD">
        <w:t xml:space="preserve"> Adelaide.</w:t>
      </w:r>
    </w:p>
    <w:p w:rsidR="00660B1A" w:rsidRPr="00AC25BD" w:rsidRDefault="00660B1A" w:rsidP="0091749B">
      <w:pPr>
        <w:pStyle w:val="References"/>
      </w:pPr>
      <w:proofErr w:type="spellStart"/>
      <w:r w:rsidRPr="00AC25BD">
        <w:t>Paez</w:t>
      </w:r>
      <w:proofErr w:type="spellEnd"/>
      <w:r>
        <w:t>,</w:t>
      </w:r>
      <w:r w:rsidRPr="00AC25BD">
        <w:t xml:space="preserve"> D &amp; Blacker</w:t>
      </w:r>
      <w:r>
        <w:t>,</w:t>
      </w:r>
      <w:r w:rsidRPr="00AC25BD">
        <w:t xml:space="preserve"> J 2012</w:t>
      </w:r>
      <w:r w:rsidRPr="00AC25BD">
        <w:rPr>
          <w:i/>
        </w:rPr>
        <w:t xml:space="preserve">, </w:t>
      </w:r>
      <w:r>
        <w:rPr>
          <w:i/>
        </w:rPr>
        <w:t xml:space="preserve">3D Articulation </w:t>
      </w:r>
      <w:r w:rsidR="00802E57">
        <w:rPr>
          <w:i/>
        </w:rPr>
        <w:t>w</w:t>
      </w:r>
      <w:r>
        <w:rPr>
          <w:i/>
        </w:rPr>
        <w:t>orkshops final r</w:t>
      </w:r>
      <w:r w:rsidRPr="00AC25BD">
        <w:rPr>
          <w:i/>
        </w:rPr>
        <w:t>eport</w:t>
      </w:r>
      <w:r w:rsidRPr="00AC25BD">
        <w:t>, D</w:t>
      </w:r>
      <w:r w:rsidR="00802E57">
        <w:t xml:space="preserve">epartment of </w:t>
      </w:r>
      <w:r w:rsidRPr="00AC25BD">
        <w:t>I</w:t>
      </w:r>
      <w:r w:rsidR="00802E57">
        <w:t xml:space="preserve">ndustry, </w:t>
      </w:r>
      <w:r w:rsidRPr="00AC25BD">
        <w:t>I</w:t>
      </w:r>
      <w:r w:rsidR="00802E57">
        <w:t xml:space="preserve">nnovation, </w:t>
      </w:r>
      <w:r w:rsidRPr="00AC25BD">
        <w:t>S</w:t>
      </w:r>
      <w:r w:rsidR="00802E57">
        <w:t xml:space="preserve">cience, </w:t>
      </w:r>
      <w:r w:rsidRPr="00AC25BD">
        <w:t>R</w:t>
      </w:r>
      <w:r w:rsidR="00802E57">
        <w:t>esearch and Tertiary Education</w:t>
      </w:r>
      <w:r>
        <w:t>,</w:t>
      </w:r>
      <w:r w:rsidRPr="00AC25BD">
        <w:t xml:space="preserve"> Canberra</w:t>
      </w:r>
      <w:r>
        <w:t>.</w:t>
      </w:r>
    </w:p>
    <w:p w:rsidR="007F1A9E" w:rsidRPr="00AC25BD" w:rsidRDefault="007F1A9E" w:rsidP="0091749B">
      <w:pPr>
        <w:pStyle w:val="References"/>
      </w:pPr>
      <w:proofErr w:type="spellStart"/>
      <w:r w:rsidRPr="00AC25BD">
        <w:t>Paez</w:t>
      </w:r>
      <w:proofErr w:type="spellEnd"/>
      <w:r w:rsidR="004E7610">
        <w:t>,</w:t>
      </w:r>
      <w:r w:rsidRPr="00AC25BD">
        <w:t xml:space="preserve"> D, Byrnes</w:t>
      </w:r>
      <w:r w:rsidR="004E7610">
        <w:t>,</w:t>
      </w:r>
      <w:r w:rsidRPr="00AC25BD">
        <w:t xml:space="preserve"> J, Blacker</w:t>
      </w:r>
      <w:r w:rsidR="004E7610">
        <w:t>,</w:t>
      </w:r>
      <w:r w:rsidRPr="00AC25BD">
        <w:t xml:space="preserve"> J, Jackson</w:t>
      </w:r>
      <w:r w:rsidR="004E7610">
        <w:t>,</w:t>
      </w:r>
      <w:r w:rsidRPr="00AC25BD">
        <w:t xml:space="preserve"> A &amp; Dwyer</w:t>
      </w:r>
      <w:r w:rsidR="004E7610">
        <w:t>,</w:t>
      </w:r>
      <w:r w:rsidRPr="00AC25BD">
        <w:t xml:space="preserve"> C 2011</w:t>
      </w:r>
      <w:r w:rsidR="00660B1A">
        <w:t>a</w:t>
      </w:r>
      <w:r w:rsidRPr="00AC25BD">
        <w:t xml:space="preserve">, </w:t>
      </w:r>
      <w:r w:rsidRPr="00AC25BD">
        <w:rPr>
          <w:i/>
        </w:rPr>
        <w:t>Integrated Articulation and Credit Transfer Project</w:t>
      </w:r>
      <w:r w:rsidRPr="00AC25BD">
        <w:t xml:space="preserve">, </w:t>
      </w:r>
      <w:r w:rsidR="004E7610" w:rsidRPr="00AC25BD">
        <w:t>Department of Education, Employment and Workplace Relations</w:t>
      </w:r>
      <w:r w:rsidR="004E7610">
        <w:t>,</w:t>
      </w:r>
      <w:r w:rsidR="004E7610" w:rsidRPr="00AC25BD">
        <w:t xml:space="preserve"> </w:t>
      </w:r>
      <w:r w:rsidRPr="00AC25BD">
        <w:t>Canberra</w:t>
      </w:r>
      <w:r w:rsidR="00AC25BD">
        <w:t>.</w:t>
      </w:r>
    </w:p>
    <w:p w:rsidR="007F1A9E" w:rsidRPr="00AC25BD" w:rsidRDefault="007F1A9E" w:rsidP="0091749B">
      <w:pPr>
        <w:pStyle w:val="References"/>
      </w:pPr>
      <w:proofErr w:type="spellStart"/>
      <w:r w:rsidRPr="00AC25BD">
        <w:t>Paez</w:t>
      </w:r>
      <w:proofErr w:type="spellEnd"/>
      <w:r w:rsidR="00660B1A">
        <w:t>,</w:t>
      </w:r>
      <w:r w:rsidRPr="00AC25BD">
        <w:t xml:space="preserve"> D, Jackson</w:t>
      </w:r>
      <w:r w:rsidR="00660B1A">
        <w:t>,</w:t>
      </w:r>
      <w:r w:rsidRPr="00AC25BD">
        <w:t xml:space="preserve"> A, Byrnes</w:t>
      </w:r>
      <w:r w:rsidR="00660B1A">
        <w:t>,</w:t>
      </w:r>
      <w:r w:rsidRPr="00AC25BD">
        <w:t xml:space="preserve"> J, Dwyer</w:t>
      </w:r>
      <w:r w:rsidR="00660B1A">
        <w:t>,</w:t>
      </w:r>
      <w:r w:rsidRPr="00AC25BD">
        <w:t xml:space="preserve"> C &amp; Blacker</w:t>
      </w:r>
      <w:r w:rsidR="00660B1A">
        <w:t>,</w:t>
      </w:r>
      <w:r w:rsidRPr="00AC25BD">
        <w:t xml:space="preserve"> J 2011</w:t>
      </w:r>
      <w:r w:rsidR="00660B1A">
        <w:t>b</w:t>
      </w:r>
      <w:r w:rsidRPr="00AC25BD">
        <w:t xml:space="preserve">, </w:t>
      </w:r>
      <w:r w:rsidR="00AC25BD">
        <w:rPr>
          <w:i/>
        </w:rPr>
        <w:t>A c</w:t>
      </w:r>
      <w:r w:rsidRPr="00AC25BD">
        <w:rPr>
          <w:i/>
        </w:rPr>
        <w:t xml:space="preserve">learer </w:t>
      </w:r>
      <w:r w:rsidR="00AC25BD">
        <w:rPr>
          <w:i/>
        </w:rPr>
        <w:t>picture or a new v</w:t>
      </w:r>
      <w:r w:rsidRPr="00AC25BD">
        <w:rPr>
          <w:i/>
        </w:rPr>
        <w:t>iew?</w:t>
      </w:r>
      <w:r w:rsidRPr="00AC25BD">
        <w:t>, viewed 30</w:t>
      </w:r>
      <w:r w:rsidR="0091749B">
        <w:t> </w:t>
      </w:r>
      <w:r w:rsidRPr="00AC25BD">
        <w:t xml:space="preserve">April 2011, </w:t>
      </w:r>
      <w:r w:rsidR="00660B1A">
        <w:t>&lt;</w:t>
      </w:r>
      <w:hyperlink r:id="rId38" w:history="1">
        <w:r w:rsidRPr="00AC25BD">
          <w:t>http://3darticulation.com.au/wp-content/uploads/00-Capstone-8.pdf</w:t>
        </w:r>
      </w:hyperlink>
      <w:r w:rsidR="00660B1A">
        <w:t>&gt;.</w:t>
      </w:r>
    </w:p>
    <w:p w:rsidR="007F1A9E" w:rsidRPr="00AC25BD" w:rsidRDefault="00802E57" w:rsidP="0091749B">
      <w:pPr>
        <w:pStyle w:val="References"/>
      </w:pPr>
      <w:proofErr w:type="spellStart"/>
      <w:r>
        <w:t>PhillipsKPA</w:t>
      </w:r>
      <w:proofErr w:type="spellEnd"/>
      <w:r>
        <w:t xml:space="preserve"> 2006</w:t>
      </w:r>
      <w:r w:rsidR="007F1A9E" w:rsidRPr="00AC25BD">
        <w:t xml:space="preserve">, </w:t>
      </w:r>
      <w:r w:rsidR="007F1A9E" w:rsidRPr="00AC25BD">
        <w:rPr>
          <w:i/>
        </w:rPr>
        <w:t>Givi</w:t>
      </w:r>
      <w:r w:rsidR="00AC25BD">
        <w:rPr>
          <w:i/>
        </w:rPr>
        <w:t>ng credit where credit is due: a</w:t>
      </w:r>
      <w:r w:rsidR="007F1A9E" w:rsidRPr="00AC25BD">
        <w:rPr>
          <w:i/>
        </w:rPr>
        <w:t xml:space="preserve"> national study to improve outcomes in credit transfer and </w:t>
      </w:r>
      <w:r w:rsidR="00AC25BD">
        <w:rPr>
          <w:i/>
        </w:rPr>
        <w:t>articulation from vocational and technical education to higher e</w:t>
      </w:r>
      <w:r w:rsidR="00660B1A">
        <w:rPr>
          <w:i/>
        </w:rPr>
        <w:t>ducation —</w:t>
      </w:r>
      <w:r w:rsidR="007F1A9E" w:rsidRPr="00AC25BD">
        <w:rPr>
          <w:i/>
        </w:rPr>
        <w:t xml:space="preserve"> </w:t>
      </w:r>
      <w:r w:rsidR="00AC25BD">
        <w:rPr>
          <w:i/>
        </w:rPr>
        <w:t>stage 1 r</w:t>
      </w:r>
      <w:r w:rsidR="007F1A9E" w:rsidRPr="00AC25BD">
        <w:rPr>
          <w:i/>
        </w:rPr>
        <w:t>eport</w:t>
      </w:r>
      <w:r w:rsidR="007F1A9E" w:rsidRPr="00AC25BD">
        <w:t xml:space="preserve">, </w:t>
      </w:r>
      <w:r w:rsidR="00660B1A">
        <w:t>D</w:t>
      </w:r>
      <w:r>
        <w:t xml:space="preserve">epartment of </w:t>
      </w:r>
      <w:r w:rsidR="00660B1A">
        <w:t>E</w:t>
      </w:r>
      <w:r>
        <w:t xml:space="preserve">ducation, </w:t>
      </w:r>
      <w:r w:rsidR="00660B1A">
        <w:t>S</w:t>
      </w:r>
      <w:r>
        <w:t xml:space="preserve">cience and </w:t>
      </w:r>
      <w:r w:rsidR="00660B1A">
        <w:t>T</w:t>
      </w:r>
      <w:r>
        <w:t>raining</w:t>
      </w:r>
      <w:r w:rsidR="00660B1A">
        <w:t>,</w:t>
      </w:r>
      <w:r w:rsidR="00AC25BD">
        <w:t xml:space="preserve"> Canberra.</w:t>
      </w:r>
    </w:p>
    <w:p w:rsidR="007F1A9E" w:rsidRPr="00DD5DEB" w:rsidRDefault="007F1A9E" w:rsidP="0091749B">
      <w:pPr>
        <w:pStyle w:val="References"/>
      </w:pPr>
      <w:r w:rsidRPr="00AC25BD">
        <w:t xml:space="preserve">Poole, C &amp; </w:t>
      </w:r>
      <w:proofErr w:type="spellStart"/>
      <w:r w:rsidRPr="00AC25BD">
        <w:t>Toohey</w:t>
      </w:r>
      <w:proofErr w:type="spellEnd"/>
      <w:r w:rsidRPr="00AC25BD">
        <w:t xml:space="preserve">, A 2007, </w:t>
      </w:r>
      <w:r w:rsidR="004C5471">
        <w:t>‘</w:t>
      </w:r>
      <w:r w:rsidRPr="00660B1A">
        <w:t>Cross-sectoral dual awards: reflections on uptake and student performance</w:t>
      </w:r>
      <w:r w:rsidR="004C5471">
        <w:t>’</w:t>
      </w:r>
      <w:r w:rsidRPr="00AC25BD">
        <w:t xml:space="preserve">, </w:t>
      </w:r>
      <w:r w:rsidR="00660B1A">
        <w:t>p</w:t>
      </w:r>
      <w:r w:rsidRPr="00AC25BD">
        <w:t xml:space="preserve">aper presented at the 16th National Vocational Education and Training Research </w:t>
      </w:r>
      <w:r w:rsidRPr="00DD5DEB">
        <w:t>Conference</w:t>
      </w:r>
      <w:r w:rsidR="00DD5DEB" w:rsidRPr="00DD5DEB">
        <w:t xml:space="preserve"> in Adelaide</w:t>
      </w:r>
      <w:r w:rsidR="00660B1A" w:rsidRPr="00DD5DEB">
        <w:t>.</w:t>
      </w:r>
    </w:p>
    <w:p w:rsidR="007F1A9E" w:rsidRPr="00AC25BD" w:rsidRDefault="007F1A9E" w:rsidP="0091749B">
      <w:pPr>
        <w:pStyle w:val="References"/>
      </w:pPr>
      <w:r w:rsidRPr="00DD5DEB">
        <w:t xml:space="preserve">Queensland Tertiary Admissions Centre 2014, </w:t>
      </w:r>
      <w:r w:rsidRPr="00DD5DEB">
        <w:rPr>
          <w:i/>
        </w:rPr>
        <w:t>About QTAC</w:t>
      </w:r>
      <w:r w:rsidRPr="00DD5DEB">
        <w:t>, viewed 19 April 2014,</w:t>
      </w:r>
      <w:r w:rsidRPr="00AC25BD">
        <w:t xml:space="preserve"> &lt;http://www.qtac.edu.au/AboutQTAC/AboutQTAC.html&gt;</w:t>
      </w:r>
      <w:r w:rsidR="00A1216B">
        <w:t>.</w:t>
      </w:r>
    </w:p>
    <w:p w:rsidR="007F1A9E" w:rsidRPr="00AC25BD" w:rsidRDefault="007F1A9E" w:rsidP="0091749B">
      <w:pPr>
        <w:pStyle w:val="References"/>
      </w:pPr>
      <w:r w:rsidRPr="00AC25BD">
        <w:t xml:space="preserve">South Australian Tertiary Admissions Centre 2014, </w:t>
      </w:r>
      <w:r w:rsidRPr="00AC25BD">
        <w:rPr>
          <w:i/>
        </w:rPr>
        <w:t>About Us</w:t>
      </w:r>
      <w:r w:rsidRPr="00AC25BD">
        <w:t xml:space="preserve">, viewed 22 April 2014, </w:t>
      </w:r>
      <w:r w:rsidR="00A1216B">
        <w:t>&lt;</w:t>
      </w:r>
      <w:hyperlink r:id="rId39" w:history="1">
        <w:r w:rsidRPr="00AC25BD">
          <w:t>http://www.satac.edu.au/pages/about-us</w:t>
        </w:r>
      </w:hyperlink>
      <w:r w:rsidR="00A1216B">
        <w:t>&gt;.</w:t>
      </w:r>
    </w:p>
    <w:p w:rsidR="007F1A9E" w:rsidRPr="00AC25BD" w:rsidRDefault="007F1A9E" w:rsidP="0091749B">
      <w:pPr>
        <w:pStyle w:val="References"/>
      </w:pPr>
      <w:r w:rsidRPr="00AC25BD">
        <w:t xml:space="preserve">Southbank Institute of Technology 2010, </w:t>
      </w:r>
      <w:r w:rsidR="00AC25BD">
        <w:rPr>
          <w:i/>
        </w:rPr>
        <w:t>A best practice model of supporting credit t</w:t>
      </w:r>
      <w:r w:rsidRPr="00AC25BD">
        <w:rPr>
          <w:i/>
        </w:rPr>
        <w:t xml:space="preserve">ransfer for </w:t>
      </w:r>
      <w:r w:rsidR="00AC25BD">
        <w:rPr>
          <w:i/>
        </w:rPr>
        <w:t>students from v</w:t>
      </w:r>
      <w:r w:rsidRPr="00AC25BD">
        <w:rPr>
          <w:i/>
        </w:rPr>
        <w:t xml:space="preserve">ocational </w:t>
      </w:r>
      <w:r w:rsidR="00AC25BD">
        <w:rPr>
          <w:i/>
        </w:rPr>
        <w:t>education and t</w:t>
      </w:r>
      <w:r w:rsidRPr="00AC25BD">
        <w:rPr>
          <w:i/>
        </w:rPr>
        <w:t xml:space="preserve">raining to </w:t>
      </w:r>
      <w:r w:rsidR="00AC25BD">
        <w:rPr>
          <w:i/>
        </w:rPr>
        <w:t>higher e</w:t>
      </w:r>
      <w:r w:rsidRPr="00AC25BD">
        <w:rPr>
          <w:i/>
        </w:rPr>
        <w:t>ducation</w:t>
      </w:r>
      <w:r w:rsidRPr="00AC25BD">
        <w:t xml:space="preserve">, </w:t>
      </w:r>
      <w:r w:rsidR="0091749B" w:rsidRPr="00AC25BD">
        <w:t>p</w:t>
      </w:r>
      <w:r w:rsidR="0091749B">
        <w:t>p.7—</w:t>
      </w:r>
      <w:r w:rsidR="0091749B" w:rsidRPr="00AC25BD">
        <w:t>8</w:t>
      </w:r>
      <w:r w:rsidR="0091749B">
        <w:t xml:space="preserve">, </w:t>
      </w:r>
      <w:r w:rsidRPr="00AC25BD">
        <w:t>viewed 1 May 2014, &lt;</w:t>
      </w:r>
      <w:hyperlink r:id="rId40" w:history="1">
        <w:r w:rsidRPr="00AC25BD">
          <w:t>http://3darticulation.com.au/wp-content/uploads/SBIT-Educational-Pathways-Model</w:t>
        </w:r>
      </w:hyperlink>
      <w:r w:rsidR="0091749B">
        <w:t>.pdf&gt;</w:t>
      </w:r>
      <w:r w:rsidRPr="00AC25BD">
        <w:t>.</w:t>
      </w:r>
    </w:p>
    <w:p w:rsidR="007F1A9E" w:rsidRPr="00AC25BD" w:rsidRDefault="007F1A9E" w:rsidP="0091749B">
      <w:pPr>
        <w:pStyle w:val="References"/>
      </w:pPr>
      <w:r w:rsidRPr="00AC25BD">
        <w:t xml:space="preserve">Southern Cross University 2013, </w:t>
      </w:r>
      <w:r w:rsidRPr="00AC25BD">
        <w:rPr>
          <w:i/>
        </w:rPr>
        <w:t xml:space="preserve">SCU </w:t>
      </w:r>
      <w:r w:rsidR="0091749B" w:rsidRPr="00AC25BD">
        <w:rPr>
          <w:i/>
        </w:rPr>
        <w:t>pathway a</w:t>
      </w:r>
      <w:r w:rsidRPr="00AC25BD">
        <w:rPr>
          <w:i/>
        </w:rPr>
        <w:t>rrangements</w:t>
      </w:r>
      <w:r w:rsidRPr="00AC25BD">
        <w:t xml:space="preserve">, viewed 1 May 2014, </w:t>
      </w:r>
      <w:r w:rsidR="00A1216B">
        <w:t>&lt;</w:t>
      </w:r>
      <w:hyperlink r:id="rId41" w:history="1">
        <w:r w:rsidRPr="00AC25BD">
          <w:t>http://scu.edu.au/scupathways/</w:t>
        </w:r>
      </w:hyperlink>
      <w:r w:rsidR="00A1216B">
        <w:t>&gt;.</w:t>
      </w:r>
    </w:p>
    <w:p w:rsidR="007F1A9E" w:rsidRPr="00AC25BD" w:rsidRDefault="007F1A9E" w:rsidP="0091749B">
      <w:pPr>
        <w:pStyle w:val="References"/>
      </w:pPr>
      <w:r w:rsidRPr="00AC25BD">
        <w:t xml:space="preserve">Victorian Tertiary Admissions Centre 2014, </w:t>
      </w:r>
      <w:r w:rsidRPr="00AC25BD">
        <w:rPr>
          <w:i/>
        </w:rPr>
        <w:t>About VTAC</w:t>
      </w:r>
      <w:r w:rsidRPr="00AC25BD">
        <w:t xml:space="preserve">, viewed 22 April 2014, </w:t>
      </w:r>
      <w:r w:rsidR="00A1216B">
        <w:t>&lt;</w:t>
      </w:r>
      <w:hyperlink r:id="rId42" w:history="1">
        <w:r w:rsidRPr="00AC25BD">
          <w:t>http://www.vtac.edu.au/about-vtac/</w:t>
        </w:r>
      </w:hyperlink>
      <w:r w:rsidR="00A1216B">
        <w:t>&gt;.</w:t>
      </w:r>
    </w:p>
    <w:p w:rsidR="007F1A9E" w:rsidRPr="00AC25BD" w:rsidRDefault="007F1A9E" w:rsidP="0091749B">
      <w:pPr>
        <w:pStyle w:val="References"/>
      </w:pPr>
      <w:r w:rsidRPr="00AC25BD">
        <w:t xml:space="preserve">Watson, L, Hagel, P &amp; </w:t>
      </w:r>
      <w:proofErr w:type="spellStart"/>
      <w:r w:rsidRPr="00AC25BD">
        <w:t>Chesters</w:t>
      </w:r>
      <w:proofErr w:type="spellEnd"/>
      <w:r w:rsidRPr="00AC25BD">
        <w:t xml:space="preserve">, J 2013, </w:t>
      </w:r>
      <w:r w:rsidRPr="00AC25BD">
        <w:rPr>
          <w:i/>
        </w:rPr>
        <w:t>A half-open door: pathways for VET award holders into Australian universities</w:t>
      </w:r>
      <w:r w:rsidRPr="00AC25BD">
        <w:t>, NCVER</w:t>
      </w:r>
      <w:r w:rsidR="00A1216B">
        <w:t>,</w:t>
      </w:r>
      <w:r w:rsidRPr="00AC25BD">
        <w:t xml:space="preserve"> Adelaide</w:t>
      </w:r>
      <w:r w:rsidR="00AC25BD">
        <w:t>.</w:t>
      </w:r>
    </w:p>
    <w:p w:rsidR="0091749B" w:rsidRDefault="0091749B">
      <w:pPr>
        <w:spacing w:before="0" w:line="240" w:lineRule="auto"/>
        <w:rPr>
          <w:rFonts w:ascii="Tahoma" w:hAnsi="Tahoma" w:cs="Tahoma"/>
          <w:szCs w:val="19"/>
        </w:rPr>
      </w:pPr>
      <w:r>
        <w:rPr>
          <w:rFonts w:ascii="Tahoma" w:hAnsi="Tahoma" w:cs="Tahoma"/>
          <w:szCs w:val="19"/>
        </w:rPr>
        <w:br w:type="page"/>
      </w:r>
    </w:p>
    <w:p w:rsidR="00203026" w:rsidRPr="00203026" w:rsidRDefault="00A1216B" w:rsidP="00203026">
      <w:pPr>
        <w:pStyle w:val="Heading1"/>
        <w:ind w:right="-1"/>
      </w:pPr>
      <w:bookmarkStart w:id="143" w:name="_Toc416683048"/>
      <w:r>
        <w:lastRenderedPageBreak/>
        <w:t>V</w:t>
      </w:r>
      <w:r w:rsidR="00203026" w:rsidRPr="00203026">
        <w:t xml:space="preserve">ET </w:t>
      </w:r>
      <w:r w:rsidRPr="00203026">
        <w:t xml:space="preserve">credit transferees </w:t>
      </w:r>
      <w:r w:rsidR="00203026" w:rsidRPr="00203026">
        <w:t>enrolling directly into the second year of</w:t>
      </w:r>
      <w:r w:rsidR="00BC30AE">
        <w:t> </w:t>
      </w:r>
      <w:r w:rsidR="00203026" w:rsidRPr="00203026">
        <w:t>university</w:t>
      </w:r>
      <w:bookmarkEnd w:id="143"/>
    </w:p>
    <w:p w:rsidR="00203026" w:rsidRPr="00203026" w:rsidRDefault="00203026" w:rsidP="00F17BA9">
      <w:pPr>
        <w:pStyle w:val="StyleAuthorsLeft0cm"/>
      </w:pPr>
      <w:r w:rsidRPr="00203026">
        <w:t xml:space="preserve">Pam Delly </w:t>
      </w:r>
    </w:p>
    <w:p w:rsidR="00203026" w:rsidRPr="00203026" w:rsidRDefault="00203026" w:rsidP="00F17BA9">
      <w:pPr>
        <w:pStyle w:val="StyleAuthorsLeft0cm"/>
      </w:pPr>
      <w:r w:rsidRPr="00203026">
        <w:t xml:space="preserve">Anna </w:t>
      </w:r>
      <w:proofErr w:type="spellStart"/>
      <w:r w:rsidRPr="00203026">
        <w:t>Brunken</w:t>
      </w:r>
      <w:proofErr w:type="spellEnd"/>
    </w:p>
    <w:p w:rsidR="00203026" w:rsidRPr="00203026" w:rsidRDefault="00203026" w:rsidP="00F17BA9">
      <w:pPr>
        <w:pStyle w:val="StyleAuthorsLeft0cm"/>
      </w:pPr>
      <w:r w:rsidRPr="00203026">
        <w:t>Mike Brown</w:t>
      </w:r>
    </w:p>
    <w:p w:rsidR="00203026" w:rsidRPr="00203026" w:rsidRDefault="00203026" w:rsidP="00F17BA9">
      <w:pPr>
        <w:pStyle w:val="StyleOrganisationLeft0cmRight-0cm"/>
      </w:pPr>
      <w:r w:rsidRPr="00203026">
        <w:t>La Trobe University</w:t>
      </w:r>
    </w:p>
    <w:p w:rsidR="00203026" w:rsidRPr="00203026" w:rsidRDefault="00203026" w:rsidP="00BC30AE">
      <w:pPr>
        <w:pStyle w:val="Text"/>
        <w:spacing w:before="360"/>
        <w:ind w:right="0"/>
      </w:pPr>
      <w:r w:rsidRPr="00203026">
        <w:t xml:space="preserve">This paper discusses the experiences of </w:t>
      </w:r>
      <w:r w:rsidR="00A1216B">
        <w:t>VET</w:t>
      </w:r>
      <w:r w:rsidRPr="00203026">
        <w:t xml:space="preserve"> students who gained credit for their previous VET studies and have articulated directly into the second year of undergraduate programs. It presents evidence on how these VET </w:t>
      </w:r>
      <w:r w:rsidR="00A1216B" w:rsidRPr="00203026">
        <w:t xml:space="preserve">credit transferees </w:t>
      </w:r>
      <w:r w:rsidRPr="00203026">
        <w:t xml:space="preserve">(VCTs) negotiate university and </w:t>
      </w:r>
      <w:r w:rsidR="00802E57">
        <w:t xml:space="preserve">on </w:t>
      </w:r>
      <w:r w:rsidRPr="00203026">
        <w:t>their expectations of courses</w:t>
      </w:r>
      <w:r w:rsidR="00A1216B">
        <w:t>,</w:t>
      </w:r>
      <w:r w:rsidR="00F247A6">
        <w:t xml:space="preserve"> which were</w:t>
      </w:r>
      <w:r w:rsidRPr="00203026">
        <w:t xml:space="preserve"> reported as vastly different from </w:t>
      </w:r>
      <w:r w:rsidR="00C40D71">
        <w:t>their experiences</w:t>
      </w:r>
      <w:r w:rsidRPr="00203026">
        <w:t xml:space="preserve"> in the VET sector. Based on </w:t>
      </w:r>
      <w:r w:rsidR="00F247A6">
        <w:t>a</w:t>
      </w:r>
      <w:r w:rsidRPr="00203026">
        <w:t xml:space="preserve"> qualitative analysis of individual interviews with students, and in contrast to their previous experiences of learning within a VET environment, the students in this study report that the </w:t>
      </w:r>
      <w:r w:rsidR="00171F8A">
        <w:t>higher education</w:t>
      </w:r>
      <w:r w:rsidRPr="00203026">
        <w:t xml:space="preserve"> learning environment seems less willing, or able, to address the unique transition needs of these students. The consequence of this has been various levels of engagement and disengagement within </w:t>
      </w:r>
      <w:r w:rsidR="00171F8A">
        <w:t>higher education</w:t>
      </w:r>
      <w:r w:rsidR="00C40D71">
        <w:t xml:space="preserve">, with </w:t>
      </w:r>
      <w:r w:rsidRPr="00203026">
        <w:t xml:space="preserve">a new barrier to </w:t>
      </w:r>
      <w:r w:rsidR="004C5471">
        <w:t>‘</w:t>
      </w:r>
      <w:r w:rsidRPr="00203026">
        <w:t>seamless</w:t>
      </w:r>
      <w:r w:rsidR="004C5471">
        <w:t>’</w:t>
      </w:r>
      <w:r w:rsidRPr="00203026">
        <w:t xml:space="preserve"> transition identified.</w:t>
      </w:r>
    </w:p>
    <w:p w:rsidR="00203026" w:rsidRPr="00203026" w:rsidRDefault="00203026" w:rsidP="00203026">
      <w:pPr>
        <w:pStyle w:val="Heading2"/>
      </w:pPr>
      <w:bookmarkStart w:id="144" w:name="_Toc412455631"/>
      <w:bookmarkStart w:id="145" w:name="_Toc416683049"/>
      <w:r w:rsidRPr="00203026">
        <w:t>Introduction</w:t>
      </w:r>
      <w:bookmarkEnd w:id="144"/>
      <w:bookmarkEnd w:id="145"/>
      <w:r w:rsidRPr="00203026">
        <w:t xml:space="preserve"> </w:t>
      </w:r>
    </w:p>
    <w:p w:rsidR="00203026" w:rsidRPr="00203026" w:rsidRDefault="00203026" w:rsidP="00203026">
      <w:pPr>
        <w:pStyle w:val="Text"/>
      </w:pPr>
      <w:r w:rsidRPr="00203026">
        <w:t xml:space="preserve">The aim of this paper is to examine the experience of </w:t>
      </w:r>
      <w:r w:rsidR="00C40D71" w:rsidRPr="00203026">
        <w:t>VET credit transferees</w:t>
      </w:r>
      <w:r w:rsidRPr="00203026">
        <w:t xml:space="preserve"> (who gain credit for their VET studies) and</w:t>
      </w:r>
      <w:r w:rsidR="00F247A6">
        <w:t xml:space="preserve"> enrol in</w:t>
      </w:r>
      <w:r w:rsidR="00C40D71">
        <w:t xml:space="preserve"> the second year of </w:t>
      </w:r>
      <w:r w:rsidR="00F247A6">
        <w:t>b</w:t>
      </w:r>
      <w:r w:rsidRPr="00203026">
        <w:t>achelor degree programs. However</w:t>
      </w:r>
      <w:r w:rsidR="00C40D71">
        <w:t>,</w:t>
      </w:r>
      <w:r w:rsidRPr="00203026">
        <w:t xml:space="preserve"> by receiving credit these VET graduates miss out on the transitional first year programs that are commonly being put in place for new students entering university. These first year programs </w:t>
      </w:r>
      <w:r w:rsidRPr="003E3F69">
        <w:t>provide clarity around expectations of university courses</w:t>
      </w:r>
      <w:r w:rsidR="00C40D71" w:rsidRPr="003E3F69">
        <w:t>, as they provide in-</w:t>
      </w:r>
      <w:r w:rsidRPr="003E3F69">
        <w:t xml:space="preserve">depth engagement with threshold concepts </w:t>
      </w:r>
      <w:r w:rsidR="003E3F69">
        <w:t>(Meyer &amp; Land 2006). These threshold con</w:t>
      </w:r>
      <w:r w:rsidR="00802E57">
        <w:t>cepts are likened to</w:t>
      </w:r>
      <w:r w:rsidR="00802E57" w:rsidRPr="00AC25BD">
        <w:t xml:space="preserve"> </w:t>
      </w:r>
      <w:r w:rsidR="00802E57">
        <w:t>‘conceptual gateways’</w:t>
      </w:r>
      <w:r w:rsidR="003E3F69">
        <w:t xml:space="preserve"> (Meyer &amp; Land 2005, p.373</w:t>
      </w:r>
      <w:r w:rsidR="00802E57">
        <w:t>), which</w:t>
      </w:r>
      <w:r w:rsidR="003E3F69">
        <w:t xml:space="preserve"> lead students into </w:t>
      </w:r>
      <w:r w:rsidR="00802E57">
        <w:t>the</w:t>
      </w:r>
      <w:r w:rsidR="003E3F69">
        <w:t xml:space="preserve"> new patterns of thought and understanding that are fundamental to study within a discipline. </w:t>
      </w:r>
      <w:r w:rsidR="003E3F69" w:rsidRPr="003E3F69">
        <w:t xml:space="preserve">Examples of threshold concepts might be, </w:t>
      </w:r>
      <w:r w:rsidR="00802E57">
        <w:t>‘</w:t>
      </w:r>
      <w:r w:rsidR="003E3F69" w:rsidRPr="003E3F69">
        <w:t>precedent in Law, depr</w:t>
      </w:r>
      <w:r w:rsidR="00802E57">
        <w:t>eciation in Accounting’</w:t>
      </w:r>
      <w:r w:rsidR="003E3F69" w:rsidRPr="003E3F69">
        <w:t xml:space="preserve"> (Meyer &amp; Land 2005, p.374) or pedagogy in </w:t>
      </w:r>
      <w:r w:rsidR="00802E57">
        <w:t>e</w:t>
      </w:r>
      <w:r w:rsidR="003E3F69" w:rsidRPr="003E3F69">
        <w:t xml:space="preserve">ducation. Further to this, first year programs also explicitly address what it means to be analytical and critical, as well as teach a wide range of academic study skills (James, Krause &amp; Jennings 2010). </w:t>
      </w:r>
      <w:r w:rsidRPr="00203026">
        <w:t xml:space="preserve">The VET graduates </w:t>
      </w:r>
      <w:r w:rsidR="00C40D71">
        <w:t>in</w:t>
      </w:r>
      <w:r w:rsidRPr="00203026">
        <w:t xml:space="preserve"> this paper</w:t>
      </w:r>
      <w:r w:rsidR="00C40D71">
        <w:t>,</w:t>
      </w:r>
      <w:r w:rsidRPr="00203026">
        <w:t xml:space="preserve"> as VET </w:t>
      </w:r>
      <w:r w:rsidR="00802E57">
        <w:t>c</w:t>
      </w:r>
      <w:r w:rsidRPr="00203026">
        <w:t xml:space="preserve">redit </w:t>
      </w:r>
      <w:r w:rsidR="00802E57">
        <w:t>t</w:t>
      </w:r>
      <w:r w:rsidRPr="00203026">
        <w:t>ransferees</w:t>
      </w:r>
      <w:r w:rsidR="00C40D71">
        <w:t xml:space="preserve">, </w:t>
      </w:r>
      <w:r w:rsidRPr="00203026">
        <w:t xml:space="preserve">miss these important foundations to their studies. </w:t>
      </w:r>
    </w:p>
    <w:p w:rsidR="00203026" w:rsidRPr="00203026" w:rsidRDefault="00203026" w:rsidP="00203026">
      <w:pPr>
        <w:pStyle w:val="Text"/>
      </w:pPr>
      <w:r w:rsidRPr="00203026">
        <w:t xml:space="preserve">This paper examines different aspects of the student experience of articulation from the VET sector </w:t>
      </w:r>
      <w:r w:rsidR="00E43853">
        <w:t>to</w:t>
      </w:r>
      <w:r w:rsidRPr="00203026">
        <w:t xml:space="preserve"> </w:t>
      </w:r>
      <w:r w:rsidR="00E43853" w:rsidRPr="00203026">
        <w:t>higher education</w:t>
      </w:r>
      <w:r w:rsidRPr="00203026">
        <w:t xml:space="preserve">. The evidence discussed is derived from interviews with a total of </w:t>
      </w:r>
      <w:r w:rsidR="00E43853">
        <w:t>21</w:t>
      </w:r>
      <w:r w:rsidRPr="00203026">
        <w:t xml:space="preserve"> </w:t>
      </w:r>
      <w:r w:rsidR="00171F8A">
        <w:t>higher education</w:t>
      </w:r>
      <w:r w:rsidRPr="00203026">
        <w:t xml:space="preserve"> students who received credit for their VET studies and were subsequently enrolled directly into</w:t>
      </w:r>
      <w:r w:rsidR="00E43853">
        <w:t xml:space="preserve"> the second year of a bachelor</w:t>
      </w:r>
      <w:r w:rsidRPr="00203026">
        <w:t xml:space="preserve"> degree program. All of the students who participated in </w:t>
      </w:r>
      <w:r w:rsidR="00E43853">
        <w:t>this research articulated from TAFE</w:t>
      </w:r>
      <w:r w:rsidRPr="00203026">
        <w:t xml:space="preserve"> institutes. </w:t>
      </w:r>
      <w:r w:rsidR="003E3F69" w:rsidRPr="003E3F69">
        <w:t>The context for the study is the development of socially inclusive growth in the Australian tertiary education sector</w:t>
      </w:r>
      <w:r w:rsidR="00802E57">
        <w:t>; that is, to seek</w:t>
      </w:r>
      <w:r w:rsidR="003E3F69" w:rsidRPr="003E3F69">
        <w:t xml:space="preserve"> grea</w:t>
      </w:r>
      <w:r w:rsidR="00802E57">
        <w:t>ter egalitarianism in the system</w:t>
      </w:r>
      <w:r w:rsidR="003E3F69" w:rsidRPr="003E3F69">
        <w:t xml:space="preserve"> and the potential this may have for considerations on the pathway from VET into higher education. This is occurring at a time when there has also been movement away from an elite system of higher education towards a mass system of higher education, and the possibility of universal access </w:t>
      </w:r>
      <w:r w:rsidR="003E3F69" w:rsidRPr="003E3F69">
        <w:lastRenderedPageBreak/>
        <w:t xml:space="preserve">to higher education (Trow 2006). </w:t>
      </w:r>
      <w:r w:rsidR="00E43853">
        <w:t>Significantly, Watson, Ha</w:t>
      </w:r>
      <w:r w:rsidRPr="00203026">
        <w:t xml:space="preserve">gel and </w:t>
      </w:r>
      <w:proofErr w:type="spellStart"/>
      <w:r w:rsidRPr="00203026">
        <w:t>Chester</w:t>
      </w:r>
      <w:r w:rsidR="00E43853">
        <w:t>s</w:t>
      </w:r>
      <w:proofErr w:type="spellEnd"/>
      <w:r w:rsidRPr="00203026">
        <w:t xml:space="preserve"> (2013) reiterate that the national rate of articulation from VET into </w:t>
      </w:r>
      <w:r w:rsidR="00171F8A">
        <w:t>higher education</w:t>
      </w:r>
      <w:r w:rsidRPr="00203026">
        <w:t xml:space="preserve"> is around 10%. However</w:t>
      </w:r>
      <w:r w:rsidR="00B43DA7">
        <w:t>,</w:t>
      </w:r>
      <w:r w:rsidRPr="00203026">
        <w:t xml:space="preserve"> this is not uniform</w:t>
      </w:r>
      <w:r w:rsidR="00E43853">
        <w:t>,</w:t>
      </w:r>
      <w:r w:rsidRPr="00203026">
        <w:t xml:space="preserve"> with some elite universities taking closer to 1%</w:t>
      </w:r>
      <w:r w:rsidR="00E43853">
        <w:t>,</w:t>
      </w:r>
      <w:r w:rsidRPr="00203026">
        <w:t xml:space="preserve"> while some regional universities take</w:t>
      </w:r>
      <w:r w:rsidR="00E43853">
        <w:t xml:space="preserve"> 26%. They show that around one-</w:t>
      </w:r>
      <w:r w:rsidRPr="00203026">
        <w:t>third of Austral</w:t>
      </w:r>
      <w:r w:rsidR="00E43853">
        <w:t>ian universities take about two-</w:t>
      </w:r>
      <w:r w:rsidRPr="00203026">
        <w:t xml:space="preserve">thirds of the total </w:t>
      </w:r>
      <w:r w:rsidR="00E43853">
        <w:t xml:space="preserve">number of </w:t>
      </w:r>
      <w:r w:rsidR="00E43853" w:rsidRPr="00203026">
        <w:t>VET credit transferees</w:t>
      </w:r>
      <w:r w:rsidRPr="00203026">
        <w:t xml:space="preserve">. The </w:t>
      </w:r>
      <w:r w:rsidR="00B43DA7">
        <w:t>studies by Abbott-Chapman (2006,</w:t>
      </w:r>
      <w:r w:rsidRPr="00203026">
        <w:t xml:space="preserve"> 2011) show that VCTs succeed at around the same rate as those </w:t>
      </w:r>
      <w:r w:rsidR="00A33B98">
        <w:t>who come</w:t>
      </w:r>
      <w:r w:rsidRPr="00203026">
        <w:t xml:space="preserve"> to </w:t>
      </w:r>
      <w:r w:rsidR="00171F8A">
        <w:t>higher education</w:t>
      </w:r>
      <w:r w:rsidRPr="00203026">
        <w:t xml:space="preserve"> after Year 12.</w:t>
      </w:r>
      <w:r w:rsidR="00611BDD">
        <w:t xml:space="preserve"> </w:t>
      </w:r>
      <w:r w:rsidRPr="00203026">
        <w:t>The V</w:t>
      </w:r>
      <w:r w:rsidR="00CD4ED4">
        <w:t xml:space="preserve">ET credit transferees </w:t>
      </w:r>
      <w:r w:rsidR="00A33B98">
        <w:t xml:space="preserve">who </w:t>
      </w:r>
      <w:r w:rsidRPr="00203026">
        <w:t>are the focus of this study are just one group wi</w:t>
      </w:r>
      <w:r w:rsidR="00A33B98">
        <w:t xml:space="preserve">thin these broader statistics. </w:t>
      </w:r>
      <w:r w:rsidRPr="00203026">
        <w:t xml:space="preserve">Given the wide differences in numbers of </w:t>
      </w:r>
      <w:r w:rsidR="00A33B98" w:rsidRPr="00203026">
        <w:t>VET credit transferees</w:t>
      </w:r>
      <w:r w:rsidRPr="00203026">
        <w:t xml:space="preserve"> entering various </w:t>
      </w:r>
      <w:r w:rsidR="00171F8A">
        <w:t>higher education</w:t>
      </w:r>
      <w:r w:rsidRPr="00203026">
        <w:t xml:space="preserve"> institutes, and the different pathways they take, it is important to examine the experiences of these students. </w:t>
      </w:r>
    </w:p>
    <w:p w:rsidR="00203026" w:rsidRPr="00203026" w:rsidRDefault="0022386A" w:rsidP="00203026">
      <w:pPr>
        <w:pStyle w:val="Text"/>
      </w:pPr>
      <w:proofErr w:type="spellStart"/>
      <w:r>
        <w:t>La</w:t>
      </w:r>
      <w:r w:rsidR="00203026" w:rsidRPr="00203026">
        <w:t>a</w:t>
      </w:r>
      <w:r>
        <w:t>n</w:t>
      </w:r>
      <w:r w:rsidR="00203026" w:rsidRPr="00203026">
        <w:t>an</w:t>
      </w:r>
      <w:proofErr w:type="spellEnd"/>
      <w:r w:rsidR="00203026" w:rsidRPr="00203026">
        <w:t xml:space="preserve"> (2001) explains that one of the experiences of such students is transfer shock. This is where students experience a decline or temporary dip in their academic performance as a result of articulation across different learning environments. A number of studies report that initially </w:t>
      </w:r>
      <w:r w:rsidR="00A33B98" w:rsidRPr="00203026">
        <w:t xml:space="preserve">VET credit transferees </w:t>
      </w:r>
      <w:r w:rsidR="00CD4ED4">
        <w:t xml:space="preserve">(VCTs) </w:t>
      </w:r>
      <w:r w:rsidR="00203026" w:rsidRPr="00203026">
        <w:t>experience a great deal of stress</w:t>
      </w:r>
      <w:r w:rsidR="00A33B98">
        <w:t>,</w:t>
      </w:r>
      <w:r w:rsidR="00203026" w:rsidRPr="00203026">
        <w:t xml:space="preserve"> particularly in their first year</w:t>
      </w:r>
      <w:r w:rsidR="00B43DA7">
        <w:t>,</w:t>
      </w:r>
      <w:r w:rsidR="00203026" w:rsidRPr="00203026">
        <w:t xml:space="preserve"> until they get a realistic sense of the workload, learn to study strategically and learn to balance work and study. </w:t>
      </w:r>
      <w:proofErr w:type="spellStart"/>
      <w:r w:rsidR="00203026" w:rsidRPr="00203026">
        <w:t>Catterall</w:t>
      </w:r>
      <w:proofErr w:type="spellEnd"/>
      <w:r w:rsidR="00203026" w:rsidRPr="00203026">
        <w:t xml:space="preserve"> and Davis (2012) have noted student difficulties with registering for tutorials, understanding assessment tasks, writing in appropriate academic styles, incorporating academic conventions and coping with online learning environments.</w:t>
      </w:r>
    </w:p>
    <w:p w:rsidR="00203026" w:rsidRPr="00203026" w:rsidRDefault="00203026" w:rsidP="00203026">
      <w:pPr>
        <w:pStyle w:val="Text"/>
      </w:pPr>
      <w:r w:rsidRPr="00203026">
        <w:t xml:space="preserve">Mills, McLaughlin and Carnegie (2013) analysed articulation from VET to </w:t>
      </w:r>
      <w:r w:rsidR="00171F8A">
        <w:t>higher education</w:t>
      </w:r>
      <w:r w:rsidRPr="00203026">
        <w:t xml:space="preserve"> in the construction industry. They identified five features tha</w:t>
      </w:r>
      <w:r w:rsidR="00A33B98">
        <w:t>t enabled successful transition:</w:t>
      </w:r>
      <w:r w:rsidRPr="00203026">
        <w:t xml:space="preserve"> the sustained interventions by people, particularly VET teachers; the engagement of learners through supportive learning experi</w:t>
      </w:r>
      <w:r w:rsidR="00A33B98">
        <w:t>ences in VET</w:t>
      </w:r>
      <w:r w:rsidR="00CD4ED4">
        <w:t>, which</w:t>
      </w:r>
      <w:r w:rsidR="00A33B98">
        <w:t xml:space="preserve"> encouraged on</w:t>
      </w:r>
      <w:r w:rsidRPr="00203026">
        <w:t>going learning; building the confidence and motivation of learners through their experiences in VET programs; the recognition by universities of the value of VET learning; and the collaboration and deep communication between VET and university providers (p.6).</w:t>
      </w:r>
      <w:r w:rsidR="00611BDD">
        <w:t xml:space="preserve"> </w:t>
      </w:r>
      <w:r w:rsidRPr="00203026">
        <w:t xml:space="preserve">They also showed </w:t>
      </w:r>
      <w:r w:rsidR="00A33B98">
        <w:t>how programs designed in a dual-</w:t>
      </w:r>
      <w:r w:rsidRPr="00203026">
        <w:t xml:space="preserve">sector university could provide learning experiences that drew on the strengths of both sectors. </w:t>
      </w:r>
    </w:p>
    <w:p w:rsidR="00203026" w:rsidRPr="00203026" w:rsidRDefault="00203026" w:rsidP="004D18C0">
      <w:pPr>
        <w:pStyle w:val="Text"/>
        <w:ind w:right="-143"/>
      </w:pPr>
      <w:r w:rsidRPr="00203026">
        <w:t xml:space="preserve">Studying in </w:t>
      </w:r>
      <w:r w:rsidR="00696FE2">
        <w:t xml:space="preserve">the </w:t>
      </w:r>
      <w:r w:rsidR="00171F8A">
        <w:t>higher education</w:t>
      </w:r>
      <w:r w:rsidR="00696FE2">
        <w:t xml:space="preserve"> sector</w:t>
      </w:r>
      <w:r w:rsidRPr="00203026">
        <w:t xml:space="preserve"> is commonly understood as focusing on the abstract and dealing with the complexity of ideas in</w:t>
      </w:r>
      <w:r w:rsidR="00B43DA7">
        <w:t>herent in</w:t>
      </w:r>
      <w:r w:rsidRPr="00203026">
        <w:t xml:space="preserve"> academic work</w:t>
      </w:r>
      <w:r w:rsidR="00B43DA7">
        <w:t>,</w:t>
      </w:r>
      <w:r w:rsidRPr="00203026">
        <w:t xml:space="preserve"> along with its requirement for </w:t>
      </w:r>
      <w:r w:rsidR="004C5471">
        <w:t>‘</w:t>
      </w:r>
      <w:r w:rsidRPr="00203026">
        <w:t>deep learning</w:t>
      </w:r>
      <w:r w:rsidR="004C5471">
        <w:t>’</w:t>
      </w:r>
      <w:r w:rsidRPr="00203026">
        <w:t xml:space="preserve"> (Biggs 2011). This is seen to be quite different </w:t>
      </w:r>
      <w:r w:rsidR="00696FE2">
        <w:t>from</w:t>
      </w:r>
      <w:r w:rsidRPr="00203026">
        <w:t xml:space="preserve"> VET, where the educational focus is on a </w:t>
      </w:r>
      <w:r w:rsidR="004C5471">
        <w:t>‘</w:t>
      </w:r>
      <w:r w:rsidR="00696FE2">
        <w:t>more applied approach</w:t>
      </w:r>
      <w:r w:rsidR="004C5471">
        <w:t>’</w:t>
      </w:r>
      <w:r w:rsidR="00696FE2">
        <w:t xml:space="preserve"> (</w:t>
      </w:r>
      <w:proofErr w:type="spellStart"/>
      <w:r w:rsidR="00696FE2">
        <w:t>Goozee</w:t>
      </w:r>
      <w:proofErr w:type="spellEnd"/>
      <w:r w:rsidRPr="00203026">
        <w:t xml:space="preserve"> 2001, p.9) and appears to be one of the reasons for some of the problems and/or stress that students experience coming from the competency-based VET system. An important concept related to understanding the student experience of </w:t>
      </w:r>
      <w:r w:rsidR="00696FE2" w:rsidRPr="00203026">
        <w:t>VET credit transferees</w:t>
      </w:r>
      <w:r w:rsidRPr="00203026">
        <w:t xml:space="preserve"> is levels of engagement. This has been defined by O</w:t>
      </w:r>
      <w:r w:rsidR="004C5471">
        <w:t>’</w:t>
      </w:r>
      <w:r w:rsidRPr="00203026">
        <w:t>Donnell</w:t>
      </w:r>
      <w:r w:rsidR="00696FE2">
        <w:t xml:space="preserve"> et al.</w:t>
      </w:r>
      <w:r w:rsidRPr="00203026">
        <w:t xml:space="preserve"> (2012, p.433) as referring to, </w:t>
      </w:r>
      <w:r w:rsidR="004C5471">
        <w:t>‘</w:t>
      </w:r>
      <w:r w:rsidRPr="00203026">
        <w:t>the behavioural intensity, emotional quality and personal investment in a student</w:t>
      </w:r>
      <w:r w:rsidR="004C5471">
        <w:t>’</w:t>
      </w:r>
      <w:r w:rsidRPr="00203026">
        <w:t>s involvement during a learning activity</w:t>
      </w:r>
      <w:r w:rsidR="004C5471">
        <w:t>’</w:t>
      </w:r>
      <w:r w:rsidRPr="00203026">
        <w:t xml:space="preserve">. In contrast, Krause (2005) defines disengagement as </w:t>
      </w:r>
      <w:r w:rsidR="004C5471">
        <w:t>‘</w:t>
      </w:r>
      <w:r w:rsidRPr="00203026">
        <w:t>students who do not actively pursue opportunities to engage in their learning</w:t>
      </w:r>
      <w:r w:rsidR="004C5471">
        <w:t>’</w:t>
      </w:r>
      <w:r w:rsidRPr="00203026">
        <w:t xml:space="preserve">. It is </w:t>
      </w:r>
      <w:r w:rsidR="004C5471">
        <w:t>‘</w:t>
      </w:r>
      <w:r w:rsidRPr="00203026">
        <w:t>an active detachment</w:t>
      </w:r>
      <w:r w:rsidR="004C5471">
        <w:t>’</w:t>
      </w:r>
      <w:r w:rsidRPr="00203026">
        <w:t xml:space="preserve">. These two concepts are used in this paper to </w:t>
      </w:r>
      <w:r w:rsidR="00B43DA7">
        <w:t>investigate</w:t>
      </w:r>
      <w:r w:rsidRPr="00203026">
        <w:t xml:space="preserve"> an aspect of the student experience of the different learning environments.</w:t>
      </w:r>
    </w:p>
    <w:p w:rsidR="00203026" w:rsidRPr="00203026" w:rsidRDefault="00203026" w:rsidP="00203026">
      <w:pPr>
        <w:pStyle w:val="Text"/>
      </w:pPr>
      <w:r w:rsidRPr="00203026">
        <w:t xml:space="preserve">The findings and discussion below </w:t>
      </w:r>
      <w:r w:rsidR="00696FE2">
        <w:t xml:space="preserve">are presented in two sections. </w:t>
      </w:r>
      <w:r w:rsidRPr="00203026">
        <w:t>Th</w:t>
      </w:r>
      <w:r w:rsidR="00696FE2">
        <w:t>e</w:t>
      </w:r>
      <w:r w:rsidRPr="00203026">
        <w:t xml:space="preserve"> first section is derived from interviews with</w:t>
      </w:r>
      <w:r w:rsidR="00696FE2">
        <w:t xml:space="preserve"> </w:t>
      </w:r>
      <w:r w:rsidR="00CD4ED4">
        <w:t>11</w:t>
      </w:r>
      <w:r w:rsidR="00696FE2">
        <w:t xml:space="preserve"> VCTs attending a single-</w:t>
      </w:r>
      <w:r w:rsidRPr="00203026">
        <w:t xml:space="preserve">sector university, one which provides most of its education in </w:t>
      </w:r>
      <w:r w:rsidR="00171F8A">
        <w:t>higher education</w:t>
      </w:r>
      <w:r w:rsidRPr="00203026">
        <w:t>. These students came from many different TAFE institutes into</w:t>
      </w:r>
      <w:r w:rsidR="00696FE2">
        <w:t xml:space="preserve"> one of two courses at a single-</w:t>
      </w:r>
      <w:r w:rsidRPr="00203026">
        <w:t>sector suburban university. The second shorter section explains what appear to be atypical r</w:t>
      </w:r>
      <w:r w:rsidR="00696FE2">
        <w:t>esults in the context of a dual-</w:t>
      </w:r>
      <w:r w:rsidRPr="00203026">
        <w:t xml:space="preserve">sector university, </w:t>
      </w:r>
      <w:r w:rsidR="00696FE2">
        <w:t xml:space="preserve">in which </w:t>
      </w:r>
      <w:r w:rsidRPr="00203026">
        <w:t xml:space="preserve">both vocational education and </w:t>
      </w:r>
      <w:r w:rsidR="00171F8A">
        <w:t>higher education</w:t>
      </w:r>
      <w:r w:rsidR="00B43DA7">
        <w:t xml:space="preserve"> are delivered </w:t>
      </w:r>
      <w:r w:rsidRPr="00203026">
        <w:t xml:space="preserve">in the one university. </w:t>
      </w:r>
    </w:p>
    <w:p w:rsidR="00203026" w:rsidRPr="00203026" w:rsidRDefault="00203026" w:rsidP="00203026">
      <w:pPr>
        <w:pStyle w:val="Heading2"/>
      </w:pPr>
      <w:bookmarkStart w:id="146" w:name="_Toc412455632"/>
      <w:bookmarkStart w:id="147" w:name="_Toc416683050"/>
      <w:r w:rsidRPr="00203026">
        <w:lastRenderedPageBreak/>
        <w:t>Findings and discussion</w:t>
      </w:r>
      <w:bookmarkEnd w:id="146"/>
      <w:bookmarkEnd w:id="147"/>
    </w:p>
    <w:p w:rsidR="00203026" w:rsidRPr="00203026" w:rsidRDefault="00203026" w:rsidP="004D18C0">
      <w:pPr>
        <w:pStyle w:val="Heading3"/>
        <w:spacing w:before="120"/>
      </w:pPr>
      <w:r w:rsidRPr="00203026">
        <w:t>Experiences in the single-sector university</w:t>
      </w:r>
    </w:p>
    <w:p w:rsidR="00203026" w:rsidRPr="00203026" w:rsidRDefault="00203026" w:rsidP="004D18C0">
      <w:pPr>
        <w:pStyle w:val="Textlessbefore"/>
      </w:pPr>
      <w:r w:rsidRPr="00203026">
        <w:t xml:space="preserve">The eleven students who enrolled directly into the second year of a three-year program </w:t>
      </w:r>
      <w:r w:rsidR="00B43DA7">
        <w:t>were undertaking</w:t>
      </w:r>
      <w:r w:rsidRPr="00203026">
        <w:t xml:space="preserve"> either a Bachelor of Business or a Bachelor of Nursing (Divis</w:t>
      </w:r>
      <w:r w:rsidR="00696FE2">
        <w:t>ion 2 conversion) at the single-</w:t>
      </w:r>
      <w:r w:rsidRPr="00203026">
        <w:t>sector university. These students revealed varying degrees of both engagement and disengagement. Two features that appear to strongly influence engagement and/or disengagement for these participants are their previous experience of studying in VET and their development of academic skills.</w:t>
      </w:r>
    </w:p>
    <w:p w:rsidR="00203026" w:rsidRPr="00203026" w:rsidRDefault="00203026" w:rsidP="00203026">
      <w:pPr>
        <w:pStyle w:val="Heading4"/>
      </w:pPr>
      <w:r w:rsidRPr="00203026">
        <w:t xml:space="preserve">VET experiences and </w:t>
      </w:r>
      <w:r w:rsidR="00171F8A">
        <w:t>higher education</w:t>
      </w:r>
    </w:p>
    <w:p w:rsidR="00203026" w:rsidRPr="00203026" w:rsidRDefault="00203026" w:rsidP="004D18C0">
      <w:pPr>
        <w:pStyle w:val="Textlessbefore"/>
      </w:pPr>
      <w:r w:rsidRPr="00203026">
        <w:t xml:space="preserve">The eleven participants came from seven different TAFE institutes, both metropolitan and regional. When asked whether they felt VET had prepared them for study at </w:t>
      </w:r>
      <w:r w:rsidR="00171F8A">
        <w:t>higher education</w:t>
      </w:r>
      <w:r w:rsidRPr="00203026">
        <w:t xml:space="preserve">, all reported that in terms of content they felt VET had prepared them. All four of the nursing students believed the nursing skills </w:t>
      </w:r>
      <w:r w:rsidR="00A236C0">
        <w:t>they had acquired</w:t>
      </w:r>
      <w:r w:rsidRPr="00203026">
        <w:t xml:space="preserve"> in VET were much stronger than </w:t>
      </w:r>
      <w:r w:rsidR="00A236C0">
        <w:t xml:space="preserve">those of </w:t>
      </w:r>
      <w:r w:rsidRPr="00203026">
        <w:t>their peers</w:t>
      </w:r>
      <w:r w:rsidR="00081B8B">
        <w:t>,</w:t>
      </w:r>
      <w:r w:rsidRPr="00203026">
        <w:t xml:space="preserve"> who had completed first year of the degree program. This reflects and reinforces that the main intended purpose of all VET programs is the achievement of what is considered competency in the workplace.</w:t>
      </w:r>
    </w:p>
    <w:p w:rsidR="00203026" w:rsidRPr="00203026" w:rsidRDefault="00203026" w:rsidP="00203026">
      <w:pPr>
        <w:pStyle w:val="Heading4"/>
      </w:pPr>
      <w:r w:rsidRPr="00203026">
        <w:t>Different learning environments</w:t>
      </w:r>
    </w:p>
    <w:p w:rsidR="00203026" w:rsidRPr="00203026" w:rsidRDefault="00203026" w:rsidP="004D18C0">
      <w:pPr>
        <w:pStyle w:val="Textlessbefore"/>
      </w:pPr>
      <w:r w:rsidRPr="00203026">
        <w:t>The participants in this study report that the learning environments in VET and those at the university are different and this influenced their engagement. Many participants in this study reported that they enjoyed their VET studies</w:t>
      </w:r>
      <w:r w:rsidR="00696FE2">
        <w:t>,</w:t>
      </w:r>
      <w:r w:rsidRPr="00203026">
        <w:t xml:space="preserve"> with many citing the smaller cohorts and teaching staff as contributing to this. One student commented that VET classes were, </w:t>
      </w:r>
      <w:r w:rsidR="004C5471">
        <w:t>‘</w:t>
      </w:r>
      <w:r w:rsidRPr="00203026">
        <w:t xml:space="preserve">intimate-like </w:t>
      </w:r>
      <w:r w:rsidR="00081B8B">
        <w:t>…</w:t>
      </w:r>
      <w:r w:rsidRPr="00203026">
        <w:t xml:space="preserve"> we could talk about anything </w:t>
      </w:r>
      <w:r w:rsidR="00696FE2">
        <w:t>…</w:t>
      </w:r>
      <w:r w:rsidRPr="00203026">
        <w:t xml:space="preserve"> related to the subject</w:t>
      </w:r>
      <w:r w:rsidR="004C5471">
        <w:t>’</w:t>
      </w:r>
      <w:r w:rsidR="00696FE2">
        <w:t xml:space="preserve">. </w:t>
      </w:r>
      <w:r w:rsidRPr="00203026">
        <w:t xml:space="preserve">In contrast, she felt that at university, </w:t>
      </w:r>
      <w:r w:rsidR="004C5471">
        <w:t>‘</w:t>
      </w:r>
      <w:r w:rsidRPr="00203026">
        <w:t>you don</w:t>
      </w:r>
      <w:r w:rsidR="004C5471">
        <w:t>’</w:t>
      </w:r>
      <w:r w:rsidRPr="00203026">
        <w:t>t really get to talk much</w:t>
      </w:r>
      <w:r w:rsidR="004C5471">
        <w:t>’</w:t>
      </w:r>
      <w:r w:rsidR="00696FE2">
        <w:t>.</w:t>
      </w:r>
      <w:r w:rsidR="00C01014">
        <w:t xml:space="preserve"> </w:t>
      </w:r>
      <w:r w:rsidRPr="00203026">
        <w:t>She also reported this was a significant problem for her and had c</w:t>
      </w:r>
      <w:r w:rsidR="00A236C0">
        <w:t>ontributed to her disengagement:</w:t>
      </w:r>
      <w:r w:rsidRPr="00203026">
        <w:t xml:space="preserve"> she was </w:t>
      </w:r>
      <w:r w:rsidR="004C5471">
        <w:t>‘</w:t>
      </w:r>
      <w:r w:rsidRPr="00203026">
        <w:t>not really enjoying [university studies] that much</w:t>
      </w:r>
      <w:r w:rsidR="004C5471">
        <w:t>’</w:t>
      </w:r>
      <w:r w:rsidRPr="00203026">
        <w:t>.</w:t>
      </w:r>
    </w:p>
    <w:p w:rsidR="00203026" w:rsidRPr="00203026" w:rsidRDefault="00203026" w:rsidP="00203026">
      <w:pPr>
        <w:pStyle w:val="Text"/>
      </w:pPr>
      <w:r w:rsidRPr="00203026">
        <w:t>Three participants likened their studies at VET to being at high school, referring to the daily compulsory attendance, the small class sizes, being with the same group for all sub</w:t>
      </w:r>
      <w:r w:rsidR="00081B8B">
        <w:t>jects, having the same teachers and</w:t>
      </w:r>
      <w:r w:rsidRPr="00203026">
        <w:t xml:space="preserve"> developing a study routine. One student was certain that the routines learnt at VET had prepared her for the challenges of university. Other students discussed the more supportive environments provided by VET</w:t>
      </w:r>
      <w:r w:rsidR="00C01014">
        <w:t>,</w:t>
      </w:r>
      <w:r w:rsidRPr="00203026">
        <w:t xml:space="preserve"> where, </w:t>
      </w:r>
      <w:r w:rsidR="004C5471">
        <w:t>‘</w:t>
      </w:r>
      <w:r w:rsidRPr="00203026">
        <w:t>they would show you exactly what to do</w:t>
      </w:r>
      <w:r w:rsidR="004C5471">
        <w:t>’</w:t>
      </w:r>
      <w:r w:rsidRPr="00203026">
        <w:t xml:space="preserve">, which was reinforced by another participant who believed that in VET, </w:t>
      </w:r>
      <w:r w:rsidR="004C5471">
        <w:t>‘</w:t>
      </w:r>
      <w:r w:rsidRPr="00203026">
        <w:t>we were a little-bit more spoon fed</w:t>
      </w:r>
      <w:r w:rsidR="004C5471">
        <w:t>’</w:t>
      </w:r>
      <w:r w:rsidR="00696FE2">
        <w:t xml:space="preserve">. </w:t>
      </w:r>
      <w:r w:rsidRPr="00203026">
        <w:t>These students valued this</w:t>
      </w:r>
      <w:r w:rsidR="00081B8B">
        <w:t>,</w:t>
      </w:r>
      <w:r w:rsidRPr="00203026">
        <w:t xml:space="preserve"> as these levels of support facilitated their understanding of the task and what was expected. At VET too, because of the smaller classes and fewer teachers, two participants noted that students who were struggling with their studies were more easily identified and then supported. They contrasted this to university</w:t>
      </w:r>
      <w:r w:rsidR="00081B8B">
        <w:t>,</w:t>
      </w:r>
      <w:r w:rsidRPr="00203026">
        <w:t xml:space="preserve"> where if a student was experiencing difficulties, they were largely left to manage on their own, </w:t>
      </w:r>
      <w:r w:rsidR="004C5471">
        <w:t>‘</w:t>
      </w:r>
      <w:r w:rsidRPr="00203026">
        <w:t>there</w:t>
      </w:r>
      <w:r w:rsidR="004C5471">
        <w:t>’</w:t>
      </w:r>
      <w:r w:rsidRPr="00203026">
        <w:t>s not a lot of help given</w:t>
      </w:r>
      <w:r w:rsidR="004C5471">
        <w:t>’</w:t>
      </w:r>
      <w:r w:rsidR="00696FE2">
        <w:t xml:space="preserve">. </w:t>
      </w:r>
      <w:r w:rsidRPr="00203026">
        <w:t xml:space="preserve">One student cynically noted, </w:t>
      </w:r>
      <w:r w:rsidR="004C5471">
        <w:t>‘</w:t>
      </w:r>
      <w:r w:rsidRPr="00203026">
        <w:t>the only support I got … was when I was enrolling</w:t>
      </w:r>
      <w:r w:rsidR="004C5471">
        <w:t>’</w:t>
      </w:r>
      <w:r w:rsidR="00696FE2">
        <w:t xml:space="preserve">. </w:t>
      </w:r>
      <w:r w:rsidRPr="00203026">
        <w:t xml:space="preserve">All participants indicated that they overcame their struggles generally on their own. However, some students took </w:t>
      </w:r>
      <w:r w:rsidR="00081B8B">
        <w:t>a</w:t>
      </w:r>
      <w:r w:rsidRPr="00203026">
        <w:t xml:space="preserve"> pragmatic view of this, suggesting that they understood the difficulties in providing the same levels of support and att</w:t>
      </w:r>
      <w:r w:rsidR="00C01014">
        <w:t>ention they had received in VET</w:t>
      </w:r>
      <w:r w:rsidR="00081B8B">
        <w:t>, given the larger numbers of students</w:t>
      </w:r>
      <w:r w:rsidR="00C01014">
        <w:t>:</w:t>
      </w:r>
      <w:r w:rsidRPr="00203026">
        <w:t xml:space="preserve"> </w:t>
      </w:r>
      <w:r w:rsidR="004C5471">
        <w:t>‘</w:t>
      </w:r>
      <w:r w:rsidRPr="00203026">
        <w:t>You</w:t>
      </w:r>
      <w:r w:rsidR="004C5471">
        <w:t>’</w:t>
      </w:r>
      <w:r w:rsidRPr="00203026">
        <w:t>ve got to understand that you</w:t>
      </w:r>
      <w:r w:rsidR="004C5471">
        <w:t>’</w:t>
      </w:r>
      <w:r w:rsidRPr="00203026">
        <w:t xml:space="preserve">ve got thousands of students </w:t>
      </w:r>
      <w:r w:rsidR="00081B8B">
        <w:t>…</w:t>
      </w:r>
      <w:r w:rsidRPr="00203026">
        <w:t xml:space="preserve"> there</w:t>
      </w:r>
      <w:r w:rsidR="004C5471">
        <w:t>’</w:t>
      </w:r>
      <w:r w:rsidRPr="00203026">
        <w:t>s often two co-ordinators for one subject</w:t>
      </w:r>
      <w:r w:rsidR="004C5471">
        <w:t>’</w:t>
      </w:r>
      <w:r w:rsidR="00696FE2">
        <w:t xml:space="preserve">. </w:t>
      </w:r>
      <w:r w:rsidRPr="00203026">
        <w:t xml:space="preserve">Another interviewee believed the onus was on the student, </w:t>
      </w:r>
      <w:r w:rsidR="004C5471">
        <w:t>‘</w:t>
      </w:r>
      <w:r w:rsidRPr="00203026">
        <w:t>you really have to step up, t</w:t>
      </w:r>
      <w:r w:rsidR="00C01014">
        <w:t>here</w:t>
      </w:r>
      <w:r w:rsidR="004C5471">
        <w:t>’</w:t>
      </w:r>
      <w:r w:rsidR="00C01014">
        <w:t>s lots more responsibility</w:t>
      </w:r>
      <w:r w:rsidR="004C5471">
        <w:t>’</w:t>
      </w:r>
      <w:r w:rsidR="00C01014">
        <w:t>. S</w:t>
      </w:r>
      <w:r w:rsidRPr="00203026">
        <w:t>he suggested that the student becomes accountable.</w:t>
      </w:r>
    </w:p>
    <w:p w:rsidR="00203026" w:rsidRPr="00203026" w:rsidRDefault="00203026" w:rsidP="00203026">
      <w:pPr>
        <w:pStyle w:val="Text"/>
      </w:pPr>
      <w:r w:rsidRPr="00203026">
        <w:t xml:space="preserve">Another issue identified by the VCTs was that they felt their lecturers and tutors did not know that they had not completed first year and that this created problems for them. One student expressed a </w:t>
      </w:r>
      <w:r w:rsidRPr="00203026">
        <w:lastRenderedPageBreak/>
        <w:t xml:space="preserve">desire for more </w:t>
      </w:r>
      <w:r w:rsidR="004C5471">
        <w:t>‘</w:t>
      </w:r>
      <w:r w:rsidRPr="00203026">
        <w:t>compassion</w:t>
      </w:r>
      <w:r w:rsidR="004C5471">
        <w:t>’</w:t>
      </w:r>
      <w:r w:rsidR="00C01014">
        <w:t xml:space="preserve"> from her university lecturers</w:t>
      </w:r>
      <w:r w:rsidRPr="00203026">
        <w:t xml:space="preserve"> for the students who had not completed first year. The lecturers</w:t>
      </w:r>
      <w:r w:rsidR="004C5471">
        <w:t>’</w:t>
      </w:r>
      <w:r w:rsidRPr="00203026">
        <w:t xml:space="preserve"> assumptions that the second year cohort </w:t>
      </w:r>
      <w:r w:rsidR="00A236C0">
        <w:t>all</w:t>
      </w:r>
      <w:r w:rsidRPr="00203026">
        <w:t xml:space="preserve"> had the same fi</w:t>
      </w:r>
      <w:r w:rsidR="00C01014">
        <w:t>rst year educational experience</w:t>
      </w:r>
      <w:r w:rsidRPr="00203026">
        <w:t xml:space="preserve"> was also raised by other participants as a problem. One student observed, </w:t>
      </w:r>
      <w:r w:rsidR="004C5471">
        <w:t>‘</w:t>
      </w:r>
      <w:r w:rsidRPr="00203026">
        <w:t>they just expect you to have that knowledge and background [from first year</w:t>
      </w:r>
      <w:r w:rsidR="00C01014">
        <w:t>]</w:t>
      </w:r>
      <w:r w:rsidR="004C5471">
        <w:t>’</w:t>
      </w:r>
      <w:r w:rsidR="00C01014">
        <w:t>,</w:t>
      </w:r>
      <w:r w:rsidRPr="00203026">
        <w:t xml:space="preserve"> and so her marks started </w:t>
      </w:r>
      <w:r w:rsidR="004C5471">
        <w:t>‘</w:t>
      </w:r>
      <w:r w:rsidR="00C01014">
        <w:t>slipping</w:t>
      </w:r>
      <w:r w:rsidR="004C5471">
        <w:t>’</w:t>
      </w:r>
      <w:r w:rsidR="00C01014">
        <w:t>,</w:t>
      </w:r>
      <w:r w:rsidRPr="00203026">
        <w:t xml:space="preserve"> because she did not have the necessary academic skills to adequately cope with the expectations and the quality of work required in </w:t>
      </w:r>
      <w:r w:rsidR="00081B8B">
        <w:t>the second year</w:t>
      </w:r>
      <w:r w:rsidRPr="00203026">
        <w:t xml:space="preserve"> of the university program.</w:t>
      </w:r>
    </w:p>
    <w:p w:rsidR="00203026" w:rsidRPr="00203026" w:rsidRDefault="00203026" w:rsidP="00203026">
      <w:pPr>
        <w:pStyle w:val="Heading4"/>
      </w:pPr>
      <w:r w:rsidRPr="00203026">
        <w:t>Teachers in VET</w:t>
      </w:r>
    </w:p>
    <w:p w:rsidR="00203026" w:rsidRPr="00203026" w:rsidRDefault="00203026" w:rsidP="004D18C0">
      <w:pPr>
        <w:pStyle w:val="Textlessbefore"/>
      </w:pPr>
      <w:r w:rsidRPr="00203026">
        <w:t xml:space="preserve">Of the </w:t>
      </w:r>
      <w:r w:rsidR="00C01014">
        <w:t>11</w:t>
      </w:r>
      <w:r w:rsidRPr="00203026">
        <w:t xml:space="preserve"> participants, three believed that they were well prepared for university as a direct result of one or two of their VET teachers. One nursing student was receiving high grades in </w:t>
      </w:r>
      <w:r w:rsidR="00171F8A">
        <w:t>higher education</w:t>
      </w:r>
      <w:r w:rsidRPr="00203026">
        <w:t xml:space="preserve"> and did not experience a drop in her</w:t>
      </w:r>
      <w:r w:rsidR="00946EFD">
        <w:t xml:space="preserve"> Grade Point </w:t>
      </w:r>
      <w:r w:rsidR="00946EFD" w:rsidRPr="00946EFD">
        <w:t>Average (</w:t>
      </w:r>
      <w:r w:rsidRPr="00946EFD">
        <w:t>GPA</w:t>
      </w:r>
      <w:r w:rsidR="00946EFD" w:rsidRPr="00946EFD">
        <w:t>)</w:t>
      </w:r>
      <w:r w:rsidRPr="00946EFD">
        <w:t>.</w:t>
      </w:r>
      <w:r w:rsidRPr="00203026">
        <w:t xml:space="preserve"> She mentioned two VET teachers who </w:t>
      </w:r>
      <w:r w:rsidR="004C5471">
        <w:t>‘</w:t>
      </w:r>
      <w:r w:rsidRPr="00203026">
        <w:t>drummed in</w:t>
      </w:r>
      <w:r w:rsidR="004C5471">
        <w:t>’</w:t>
      </w:r>
      <w:r w:rsidRPr="00203026">
        <w:t xml:space="preserve"> what would be expected of them in </w:t>
      </w:r>
      <w:r w:rsidR="00171F8A">
        <w:t>higher education</w:t>
      </w:r>
      <w:r w:rsidRPr="00203026">
        <w:t xml:space="preserve">. She remembers one teacher saying, </w:t>
      </w:r>
      <w:r w:rsidR="004C5471">
        <w:t>‘</w:t>
      </w:r>
      <w:r w:rsidRPr="00203026">
        <w:t xml:space="preserve">This [VET course] is a pathway [into </w:t>
      </w:r>
      <w:r w:rsidR="00171F8A">
        <w:t>higher education</w:t>
      </w:r>
      <w:r w:rsidRPr="00203026">
        <w:t>], you don</w:t>
      </w:r>
      <w:r w:rsidR="004C5471">
        <w:t>’</w:t>
      </w:r>
      <w:r w:rsidRPr="00203026">
        <w:t>t just give an opinion without evidence</w:t>
      </w:r>
      <w:r w:rsidR="004C5471">
        <w:t>’</w:t>
      </w:r>
      <w:r w:rsidR="00696FE2">
        <w:t xml:space="preserve">. </w:t>
      </w:r>
      <w:r w:rsidRPr="00203026">
        <w:t>Consequently, she was more aware th</w:t>
      </w:r>
      <w:r w:rsidR="00081B8B">
        <w:t>an other VCTs she had spoken to</w:t>
      </w:r>
      <w:r w:rsidRPr="00203026">
        <w:t xml:space="preserve"> of the different academic expectations between VET and </w:t>
      </w:r>
      <w:r w:rsidR="00171F8A">
        <w:t>higher education</w:t>
      </w:r>
      <w:r w:rsidRPr="00203026">
        <w:t xml:space="preserve"> and she felt that</w:t>
      </w:r>
      <w:r w:rsidR="00A236C0">
        <w:t>,</w:t>
      </w:r>
      <w:r w:rsidRPr="00203026">
        <w:t xml:space="preserve"> without these VET teachers</w:t>
      </w:r>
      <w:r w:rsidR="00A236C0">
        <w:t>,</w:t>
      </w:r>
      <w:r w:rsidRPr="00203026">
        <w:t xml:space="preserve"> she would have </w:t>
      </w:r>
      <w:r w:rsidR="004C5471">
        <w:t>‘</w:t>
      </w:r>
      <w:r w:rsidRPr="00203026">
        <w:t>struggled</w:t>
      </w:r>
      <w:r w:rsidR="004C5471">
        <w:t>’</w:t>
      </w:r>
      <w:r w:rsidRPr="00203026">
        <w:t xml:space="preserve">. Another student also identified one teacher who not only motivated him but </w:t>
      </w:r>
      <w:r w:rsidR="00081B8B">
        <w:t xml:space="preserve">who </w:t>
      </w:r>
      <w:r w:rsidRPr="00203026">
        <w:t xml:space="preserve">also provided advice about </w:t>
      </w:r>
      <w:r w:rsidR="00171F8A">
        <w:t>higher education</w:t>
      </w:r>
      <w:r w:rsidRPr="00203026">
        <w:t xml:space="preserve"> and what to expect academically, as the VET teacher had followed and experienced the same pathway as this student.</w:t>
      </w:r>
    </w:p>
    <w:p w:rsidR="00203026" w:rsidRPr="00203026" w:rsidRDefault="00203026" w:rsidP="00203026">
      <w:pPr>
        <w:pStyle w:val="Heading4"/>
      </w:pPr>
      <w:r w:rsidRPr="00203026">
        <w:t xml:space="preserve">Preparation for </w:t>
      </w:r>
      <w:r w:rsidR="00171F8A">
        <w:t>higher education</w:t>
      </w:r>
    </w:p>
    <w:p w:rsidR="00203026" w:rsidRPr="00203026" w:rsidRDefault="00203026" w:rsidP="004D18C0">
      <w:pPr>
        <w:pStyle w:val="Textlessbefore"/>
      </w:pPr>
      <w:r w:rsidRPr="00203026">
        <w:t xml:space="preserve">One of the business students stated that in her first year of university (but </w:t>
      </w:r>
      <w:r w:rsidR="00081B8B">
        <w:t>the second year</w:t>
      </w:r>
      <w:r w:rsidRPr="00203026">
        <w:t xml:space="preserve"> of her undergraduate program) she did not study for exams because she was already confident in the material, as she had learnt it all previously at TAFE. Two other students believed that VET provided them with st</w:t>
      </w:r>
      <w:r w:rsidR="007C1EC9">
        <w:t>rong foundational knowledge, which</w:t>
      </w:r>
      <w:r w:rsidRPr="00203026">
        <w:t xml:space="preserve"> they were then able to build on when they came to university. All of the nursing participants were proud of their nursing knowledge and skills. Three participants specifically mentioned their knowledge of anatomy and physiology as being stronger than their peers, with one being </w:t>
      </w:r>
      <w:r w:rsidR="004C5471">
        <w:t>‘</w:t>
      </w:r>
      <w:r w:rsidRPr="00203026">
        <w:t>shocked</w:t>
      </w:r>
      <w:r w:rsidR="004C5471">
        <w:t>’</w:t>
      </w:r>
      <w:r w:rsidRPr="00203026">
        <w:t xml:space="preserve"> by the limited knowledge of their peers who had completed </w:t>
      </w:r>
      <w:r w:rsidR="009E19DF">
        <w:t xml:space="preserve">the </w:t>
      </w:r>
      <w:r w:rsidRPr="00203026">
        <w:t xml:space="preserve">first year of the </w:t>
      </w:r>
      <w:r w:rsidR="00171F8A">
        <w:t>higher education</w:t>
      </w:r>
      <w:r w:rsidRPr="00203026">
        <w:t xml:space="preserve"> program. These three also mentioned that their knowledge and skills were recognised and utilised by their workshop facilitators at </w:t>
      </w:r>
      <w:r w:rsidR="00171F8A">
        <w:t>higher education</w:t>
      </w:r>
      <w:r w:rsidRPr="00203026">
        <w:t>, where the VCTs were called upon to assist in teaching basic nursing skills to others in their class.</w:t>
      </w:r>
    </w:p>
    <w:p w:rsidR="00203026" w:rsidRPr="00203026" w:rsidRDefault="00203026" w:rsidP="00203026">
      <w:pPr>
        <w:pStyle w:val="Heading4"/>
      </w:pPr>
      <w:r w:rsidRPr="00203026">
        <w:t>Academic skills</w:t>
      </w:r>
    </w:p>
    <w:p w:rsidR="00203026" w:rsidRPr="00203026" w:rsidRDefault="00203026" w:rsidP="004D18C0">
      <w:pPr>
        <w:pStyle w:val="Textlessbefore"/>
      </w:pPr>
      <w:r w:rsidRPr="00203026">
        <w:t>In contrast to the occupational practice and knowledge, all of the VCTs felt that VET had not prepared them in terms of the academic skills they neede</w:t>
      </w:r>
      <w:r w:rsidR="007C1EC9">
        <w:t>d at university. Skills such as</w:t>
      </w:r>
      <w:r w:rsidRPr="00203026">
        <w:t xml:space="preserve"> essay and report writing, referencing conventions, and research skills were not a strength developed through VET studies. For most of the participants, the area of academic skills contributed to periods of disengagement, where they struggled to understand academic expectations and master the academic </w:t>
      </w:r>
      <w:r w:rsidR="00A236C0">
        <w:t>requirements</w:t>
      </w:r>
      <w:r w:rsidR="009E19DF">
        <w:t>. During t</w:t>
      </w:r>
      <w:r w:rsidRPr="00203026">
        <w:t xml:space="preserve">hese periods of disengagement </w:t>
      </w:r>
      <w:r w:rsidR="009E19DF">
        <w:t>the students attempted to</w:t>
      </w:r>
      <w:r w:rsidRPr="00203026">
        <w:t xml:space="preserve"> find ways </w:t>
      </w:r>
      <w:r w:rsidR="009E19DF">
        <w:t>by</w:t>
      </w:r>
      <w:r w:rsidRPr="00203026">
        <w:t xml:space="preserve"> which </w:t>
      </w:r>
      <w:r w:rsidR="009E19DF">
        <w:t>to cope with their skills gap; that is, t</w:t>
      </w:r>
      <w:r w:rsidRPr="00203026">
        <w:t xml:space="preserve">hey were less able to engage with their studies because they were preoccupied with learning the academic skills underpinning their assessment tasks. However, once they </w:t>
      </w:r>
      <w:r w:rsidR="007C1EC9">
        <w:t xml:space="preserve">had </w:t>
      </w:r>
      <w:r w:rsidRPr="00203026">
        <w:t>improved these skills, most were able to more successfully engage with their studies.</w:t>
      </w:r>
    </w:p>
    <w:p w:rsidR="00203026" w:rsidRPr="00203026" w:rsidRDefault="00203026" w:rsidP="004D18C0">
      <w:pPr>
        <w:pStyle w:val="Text"/>
      </w:pPr>
      <w:r w:rsidRPr="00203026">
        <w:t>All of the participants indicated that</w:t>
      </w:r>
      <w:r w:rsidR="007C1EC9">
        <w:t>,</w:t>
      </w:r>
      <w:r w:rsidRPr="00203026">
        <w:t xml:space="preserve"> when they entered </w:t>
      </w:r>
      <w:r w:rsidR="00171F8A">
        <w:t>higher education</w:t>
      </w:r>
      <w:r w:rsidRPr="00203026">
        <w:t xml:space="preserve">, their research skills were poor to non-existent. While they all understood the importance of research skills, they reported difficulties in knowing how to develop these. Some reported difficulties using the databases to find journal articles because they had </w:t>
      </w:r>
      <w:r w:rsidR="00A236C0">
        <w:t>little</w:t>
      </w:r>
      <w:r w:rsidRPr="00203026">
        <w:t xml:space="preserve"> experience of this in VET, while one participant complained that, </w:t>
      </w:r>
      <w:r w:rsidR="004C5471">
        <w:t>‘</w:t>
      </w:r>
      <w:r w:rsidRPr="00203026">
        <w:t>even borrowing a book was a lot more difficult than I thought</w:t>
      </w:r>
      <w:r w:rsidR="004C5471">
        <w:t>’</w:t>
      </w:r>
      <w:r w:rsidR="00696FE2">
        <w:t>.</w:t>
      </w:r>
      <w:r w:rsidR="00611BDD">
        <w:t xml:space="preserve"> </w:t>
      </w:r>
      <w:r w:rsidRPr="00203026">
        <w:t>A more common</w:t>
      </w:r>
      <w:r w:rsidR="007C1EC9">
        <w:t>ly</w:t>
      </w:r>
      <w:r w:rsidRPr="00203026">
        <w:t xml:space="preserve"> </w:t>
      </w:r>
      <w:r w:rsidR="007C1EC9" w:rsidRPr="00203026">
        <w:t xml:space="preserve">reported </w:t>
      </w:r>
      <w:r w:rsidRPr="00203026">
        <w:t xml:space="preserve">problem was that they had been able to use </w:t>
      </w:r>
      <w:r w:rsidR="007C1EC9">
        <w:t xml:space="preserve">fewer </w:t>
      </w:r>
      <w:r w:rsidRPr="00203026">
        <w:t xml:space="preserve">academic sources in their VET assessments and so </w:t>
      </w:r>
      <w:r w:rsidRPr="00203026">
        <w:lastRenderedPageBreak/>
        <w:t>there was a significant gap in the</w:t>
      </w:r>
      <w:r w:rsidR="009E19DF">
        <w:t>ir</w:t>
      </w:r>
      <w:r w:rsidRPr="00203026">
        <w:t xml:space="preserve"> </w:t>
      </w:r>
      <w:r w:rsidR="009E19DF">
        <w:t>understanding of what would be required</w:t>
      </w:r>
      <w:r w:rsidRPr="00203026">
        <w:t xml:space="preserve"> </w:t>
      </w:r>
      <w:r w:rsidR="009E19DF">
        <w:t>in</w:t>
      </w:r>
      <w:r w:rsidRPr="00203026">
        <w:t xml:space="preserve"> </w:t>
      </w:r>
      <w:r w:rsidR="00171F8A">
        <w:t>higher education</w:t>
      </w:r>
      <w:r w:rsidRPr="00203026">
        <w:t xml:space="preserve">. One student who was about to enter the final year of her degree could not understand why she had to use references at all, claiming that, </w:t>
      </w:r>
      <w:r w:rsidR="004C5471">
        <w:t>‘</w:t>
      </w:r>
      <w:r w:rsidRPr="00203026">
        <w:t>I feel like my opinion, because it</w:t>
      </w:r>
      <w:r w:rsidR="004C5471">
        <w:t>’</w:t>
      </w:r>
      <w:r w:rsidRPr="00203026">
        <w:t xml:space="preserve">s my essay </w:t>
      </w:r>
      <w:r w:rsidR="009E19DF">
        <w:t>…</w:t>
      </w:r>
      <w:r w:rsidRPr="00203026">
        <w:t xml:space="preserve"> my opinion matters more</w:t>
      </w:r>
      <w:r w:rsidR="004C5471">
        <w:t>’</w:t>
      </w:r>
      <w:r w:rsidR="00696FE2">
        <w:t xml:space="preserve">. </w:t>
      </w:r>
      <w:r w:rsidRPr="00203026">
        <w:t xml:space="preserve">Based on this, she appears to still be some way off from understanding the academic and scholarly culture of </w:t>
      </w:r>
      <w:r w:rsidR="00171F8A">
        <w:t>higher education</w:t>
      </w:r>
      <w:r w:rsidRPr="00203026">
        <w:t xml:space="preserve">. </w:t>
      </w:r>
    </w:p>
    <w:p w:rsidR="00203026" w:rsidRPr="00203026" w:rsidRDefault="00203026" w:rsidP="004D18C0">
      <w:pPr>
        <w:pStyle w:val="Text"/>
      </w:pPr>
      <w:r w:rsidRPr="00203026">
        <w:t xml:space="preserve">During </w:t>
      </w:r>
      <w:r w:rsidR="007C1EC9">
        <w:t xml:space="preserve">the </w:t>
      </w:r>
      <w:r w:rsidRPr="00203026">
        <w:t xml:space="preserve">periods where participants reported they were struggling with not really understanding what </w:t>
      </w:r>
      <w:r w:rsidR="007C1EC9">
        <w:t xml:space="preserve">the </w:t>
      </w:r>
      <w:r w:rsidRPr="00203026">
        <w:t xml:space="preserve">assessment tasks required or how they would complete longer essays or where they should find academic resources, their sense of bewilderment was apparent. Early in her studies (Semester 1 of Year 2), a nursing student describes </w:t>
      </w:r>
      <w:r w:rsidR="004C5471">
        <w:t>‘</w:t>
      </w:r>
      <w:r w:rsidRPr="00203026">
        <w:t>just going through the motions, trying to piece together and work out how I was meant to set my day out, how I was meant to understand assignments, how I was meant to understand even the workshops or labs, and what we were meant to read</w:t>
      </w:r>
      <w:r w:rsidR="004C5471">
        <w:t>’</w:t>
      </w:r>
      <w:r w:rsidR="00696FE2">
        <w:t xml:space="preserve">. </w:t>
      </w:r>
    </w:p>
    <w:p w:rsidR="00203026" w:rsidRPr="00203026" w:rsidRDefault="00203026" w:rsidP="004D18C0">
      <w:pPr>
        <w:pStyle w:val="Text"/>
        <w:ind w:right="-143"/>
      </w:pPr>
      <w:r w:rsidRPr="00203026">
        <w:t xml:space="preserve">Another problem noted by participants was that they had limited opportunities in VET to write extended essays, with most </w:t>
      </w:r>
      <w:r w:rsidR="009E19DF">
        <w:t>in</w:t>
      </w:r>
      <w:r w:rsidRPr="00203026">
        <w:t xml:space="preserve"> VET being under 500 words. Coming to university and having to complete written assess</w:t>
      </w:r>
      <w:r w:rsidR="007C1EC9">
        <w:t>ments of 1</w:t>
      </w:r>
      <w:r w:rsidRPr="00203026">
        <w:t>000 words or more became highly problematic for a number of participants. One student</w:t>
      </w:r>
      <w:r w:rsidR="004C5471">
        <w:t>’</w:t>
      </w:r>
      <w:r w:rsidRPr="00203026">
        <w:t xml:space="preserve">s reaction was, </w:t>
      </w:r>
      <w:r w:rsidR="004C5471">
        <w:t>‘</w:t>
      </w:r>
      <w:r w:rsidRPr="00203026">
        <w:t>going from 200 words to one thousand word essays, your brain just freaks out!</w:t>
      </w:r>
      <w:r w:rsidR="004C5471">
        <w:t>’</w:t>
      </w:r>
      <w:r w:rsidRPr="00203026">
        <w:t xml:space="preserve"> This particular student was so overwhelmed by her academic skills gap, and the subsequent and significant drop in her grades, that after completing one semester of second year she made the decision</w:t>
      </w:r>
      <w:r w:rsidR="004D18C0">
        <w:t> </w:t>
      </w:r>
      <w:r w:rsidRPr="00203026">
        <w:t>to enrol in first year in order to complete the i</w:t>
      </w:r>
      <w:r w:rsidR="007C1EC9">
        <w:t>ntroductory subjects she had by</w:t>
      </w:r>
      <w:r w:rsidRPr="00203026">
        <w:t xml:space="preserve">passed. As a consequence, her marks improved and she reported </w:t>
      </w:r>
      <w:r w:rsidR="004C5471">
        <w:t>‘</w:t>
      </w:r>
      <w:r w:rsidRPr="00203026">
        <w:t>loving</w:t>
      </w:r>
      <w:r w:rsidR="004C5471">
        <w:t>’</w:t>
      </w:r>
      <w:r w:rsidRPr="00203026">
        <w:t xml:space="preserve"> her studies at university. Another participant also recognised her academic skills gap, but she had no idea where she might find support. She reported not only feeling frustrated at times, and despite </w:t>
      </w:r>
      <w:r w:rsidR="004C5471">
        <w:t>‘</w:t>
      </w:r>
      <w:r w:rsidRPr="00203026">
        <w:t>learning stuff I didn</w:t>
      </w:r>
      <w:r w:rsidR="004C5471">
        <w:t>’</w:t>
      </w:r>
      <w:r w:rsidRPr="00203026">
        <w:t xml:space="preserve">t know [which was] good </w:t>
      </w:r>
      <w:r w:rsidR="009E19DF">
        <w:t>…</w:t>
      </w:r>
      <w:r w:rsidRPr="00203026">
        <w:t xml:space="preserve"> I just feel really lost sometimes</w:t>
      </w:r>
      <w:r w:rsidR="004C5471">
        <w:t>’</w:t>
      </w:r>
      <w:r w:rsidR="00696FE2">
        <w:t xml:space="preserve">. </w:t>
      </w:r>
      <w:r w:rsidRPr="00203026">
        <w:t xml:space="preserve">Two students reported temporary disengagement until they found ways to develop their academic skills. The skills </w:t>
      </w:r>
      <w:r w:rsidR="007C1EC9">
        <w:t xml:space="preserve">they </w:t>
      </w:r>
      <w:r w:rsidRPr="00203026">
        <w:t xml:space="preserve">developed included finding relevant academic texts, referencing correctly and writing an evidence-based academic essay. The students developed these skills </w:t>
      </w:r>
      <w:r w:rsidR="007C1EC9">
        <w:t>by</w:t>
      </w:r>
      <w:r w:rsidRPr="00203026">
        <w:t xml:space="preserve"> managing alone, as well as relying on their peers for information and support. Once they were able to develop these skills</w:t>
      </w:r>
      <w:r w:rsidR="009E19DF">
        <w:t>,</w:t>
      </w:r>
      <w:r w:rsidRPr="00203026">
        <w:t xml:space="preserve"> they </w:t>
      </w:r>
      <w:r w:rsidR="007C1EC9">
        <w:t>could</w:t>
      </w:r>
      <w:r w:rsidRPr="00203026">
        <w:t xml:space="preserve"> then focus their attention on discipline content rather than being preoccupied with learning the skills needed to successfully complete assessment tasks. This was not the case with the third student, who had completed second year and still felt disengaged. It is unclear why this particular stud</w:t>
      </w:r>
      <w:r w:rsidR="007C1EC9">
        <w:t>ent seemed to remain disengaged;</w:t>
      </w:r>
      <w:r w:rsidRPr="00203026">
        <w:t xml:space="preserve"> however</w:t>
      </w:r>
      <w:r w:rsidR="007C1EC9">
        <w:t>,</w:t>
      </w:r>
      <w:r w:rsidRPr="00203026">
        <w:t xml:space="preserve"> she was younger than the other participants and appeared to have few peer networks. So maturity and lack of support may have been issues contributing to her disengagement.</w:t>
      </w:r>
    </w:p>
    <w:p w:rsidR="00203026" w:rsidRPr="00203026" w:rsidRDefault="00203026" w:rsidP="00203026">
      <w:pPr>
        <w:pStyle w:val="Heading4"/>
      </w:pPr>
      <w:r w:rsidRPr="00203026">
        <w:t>Signing up for more</w:t>
      </w:r>
    </w:p>
    <w:p w:rsidR="00203026" w:rsidRPr="00203026" w:rsidRDefault="00203026" w:rsidP="004D18C0">
      <w:pPr>
        <w:pStyle w:val="Textlessbefore"/>
      </w:pPr>
      <w:r w:rsidRPr="00203026">
        <w:t xml:space="preserve">All but one of the students said they had enjoyed or were enjoying their studies. Of the </w:t>
      </w:r>
      <w:r w:rsidR="007A7500">
        <w:t>11</w:t>
      </w:r>
      <w:r w:rsidRPr="00203026">
        <w:t xml:space="preserve"> participant</w:t>
      </w:r>
      <w:r w:rsidR="007A7500">
        <w:t>s, four have gone on to undertake post</w:t>
      </w:r>
      <w:r w:rsidRPr="00203026">
        <w:t xml:space="preserve">graduate studies. It seems that the levels of engagement of </w:t>
      </w:r>
      <w:r w:rsidR="007A7500">
        <w:t>the participants in this single-</w:t>
      </w:r>
      <w:r w:rsidRPr="00203026">
        <w:t xml:space="preserve">sector example can be in part attributed to the academic skills they either possessed or needed to develop when they entered </w:t>
      </w:r>
      <w:r w:rsidR="00171F8A">
        <w:t>higher education</w:t>
      </w:r>
      <w:r w:rsidRPr="00203026">
        <w:t>. When the students report that they have the relevant academic skills to complete their assessment tasks successfully, it would appear that their engagement is stronger. Without these skills, the students indicate struggling with many asp</w:t>
      </w:r>
      <w:r w:rsidR="007A7500">
        <w:t>ects of their studies</w:t>
      </w:r>
      <w:r w:rsidR="00D25EB1">
        <w:t>,</w:t>
      </w:r>
      <w:r w:rsidR="007A7500">
        <w:t xml:space="preserve"> including</w:t>
      </w:r>
      <w:r w:rsidRPr="00203026">
        <w:t xml:space="preserve"> understandi</w:t>
      </w:r>
      <w:r w:rsidR="00D25EB1">
        <w:t>ng tasks, lecturer expectations and referencing conventions</w:t>
      </w:r>
      <w:r w:rsidR="00A236C0">
        <w:t>;</w:t>
      </w:r>
      <w:r w:rsidR="00D25EB1">
        <w:t xml:space="preserve"> </w:t>
      </w:r>
      <w:r w:rsidRPr="00203026">
        <w:t>find</w:t>
      </w:r>
      <w:r w:rsidR="00A236C0">
        <w:t>ing relevant academic resources;</w:t>
      </w:r>
      <w:r w:rsidR="00D25EB1">
        <w:t xml:space="preserve"> determining the</w:t>
      </w:r>
      <w:r w:rsidRPr="00203026">
        <w:t xml:space="preserve"> appropriate formats for assessments</w:t>
      </w:r>
      <w:r w:rsidR="00A236C0">
        <w:t>;</w:t>
      </w:r>
      <w:r w:rsidRPr="00203026">
        <w:t xml:space="preserve"> and </w:t>
      </w:r>
      <w:r w:rsidR="00A236C0">
        <w:t>coming to terms with the</w:t>
      </w:r>
      <w:r w:rsidR="00273835">
        <w:t xml:space="preserve"> </w:t>
      </w:r>
      <w:r w:rsidRPr="00203026">
        <w:t>lack of support.</w:t>
      </w:r>
    </w:p>
    <w:p w:rsidR="00203026" w:rsidRPr="00203026" w:rsidRDefault="007A7500" w:rsidP="00203026">
      <w:pPr>
        <w:pStyle w:val="Heading3"/>
      </w:pPr>
      <w:r>
        <w:t>Dual-</w:t>
      </w:r>
      <w:r w:rsidR="00203026" w:rsidRPr="00203026">
        <w:t>sector experiences: atypical experiences?</w:t>
      </w:r>
    </w:p>
    <w:p w:rsidR="00203026" w:rsidRPr="00203026" w:rsidRDefault="00203026" w:rsidP="004D18C0">
      <w:pPr>
        <w:pStyle w:val="Textlessbefore"/>
      </w:pPr>
      <w:r w:rsidRPr="00203026">
        <w:t>This section of the paper provides a snapshot of the transition experiences offered to VCTs in one department that spanned acro</w:t>
      </w:r>
      <w:r w:rsidR="007A7500">
        <w:t>ss the two sectors of this dual-</w:t>
      </w:r>
      <w:r w:rsidRPr="00203026">
        <w:t xml:space="preserve">sector university. Ten students agreed to </w:t>
      </w:r>
      <w:r w:rsidRPr="00203026">
        <w:lastRenderedPageBreak/>
        <w:t>be interviewed to explain th</w:t>
      </w:r>
      <w:r w:rsidR="007A7500">
        <w:t xml:space="preserve">eir experiences of learning </w:t>
      </w:r>
      <w:r w:rsidRPr="00203026">
        <w:t xml:space="preserve">in </w:t>
      </w:r>
      <w:r w:rsidR="00171F8A">
        <w:t>higher education</w:t>
      </w:r>
      <w:r w:rsidRPr="00203026">
        <w:t>.</w:t>
      </w:r>
      <w:r w:rsidR="00611BDD">
        <w:t xml:space="preserve"> </w:t>
      </w:r>
      <w:r w:rsidR="00A236C0">
        <w:t xml:space="preserve">Eight </w:t>
      </w:r>
      <w:r w:rsidRPr="00203026">
        <w:t xml:space="preserve">of the ten students stated that they did not find </w:t>
      </w:r>
      <w:r w:rsidR="00171F8A">
        <w:t>higher education</w:t>
      </w:r>
      <w:r w:rsidRPr="00203026">
        <w:t xml:space="preserve"> course work difficult. All the VCTs were passing.</w:t>
      </w:r>
      <w:r w:rsidR="00611BDD">
        <w:t xml:space="preserve"> </w:t>
      </w:r>
      <w:r w:rsidRPr="00203026">
        <w:t xml:space="preserve">In fact, all these students described the work in </w:t>
      </w:r>
      <w:r w:rsidR="00171F8A">
        <w:t>higher education</w:t>
      </w:r>
      <w:r w:rsidRPr="00203026">
        <w:t xml:space="preserve"> as easy, repetitive and unchallenging.</w:t>
      </w:r>
      <w:r w:rsidR="00611BDD">
        <w:t xml:space="preserve"> </w:t>
      </w:r>
      <w:r w:rsidRPr="00203026">
        <w:t>This may be an example of what is described as the opposite phenomena to transfer shock, called transfer ecstasy (</w:t>
      </w:r>
      <w:proofErr w:type="spellStart"/>
      <w:r w:rsidRPr="00203026">
        <w:t>Lanaan</w:t>
      </w:r>
      <w:proofErr w:type="spellEnd"/>
      <w:r w:rsidRPr="00203026">
        <w:t xml:space="preserve"> 2000), </w:t>
      </w:r>
      <w:r w:rsidR="00D25EB1">
        <w:t>al</w:t>
      </w:r>
      <w:r w:rsidRPr="00203026">
        <w:t xml:space="preserve">though it might also be labelled as </w:t>
      </w:r>
      <w:r w:rsidR="004C5471">
        <w:t>‘</w:t>
      </w:r>
      <w:r w:rsidRPr="00203026">
        <w:t>transfer apathy</w:t>
      </w:r>
      <w:r w:rsidR="004C5471">
        <w:t>’</w:t>
      </w:r>
      <w:r w:rsidRPr="00203026">
        <w:t>.</w:t>
      </w:r>
    </w:p>
    <w:p w:rsidR="00203026" w:rsidRPr="00203026" w:rsidRDefault="00203026" w:rsidP="004D18C0">
      <w:pPr>
        <w:pStyle w:val="Text"/>
      </w:pPr>
      <w:r w:rsidRPr="00203026">
        <w:t>Further to this, these ten students note</w:t>
      </w:r>
      <w:r w:rsidR="00A236C0">
        <w:t xml:space="preserve"> they fe</w:t>
      </w:r>
      <w:r w:rsidR="00AB145C">
        <w:t>el</w:t>
      </w:r>
      <w:r w:rsidRPr="00203026">
        <w:t xml:space="preserve"> totally safe and comfortable, and there is little sense of the</w:t>
      </w:r>
      <w:r w:rsidR="007A7500">
        <w:t>ir</w:t>
      </w:r>
      <w:r w:rsidRPr="00203026">
        <w:t xml:space="preserve"> feeling anxiety and/or worry about work requirements or passing.</w:t>
      </w:r>
      <w:r w:rsidR="00611BDD">
        <w:t xml:space="preserve"> </w:t>
      </w:r>
      <w:r w:rsidRPr="00203026">
        <w:t xml:space="preserve">In fact many of these students reported being bored with their </w:t>
      </w:r>
      <w:r w:rsidR="00171F8A">
        <w:t>higher education</w:t>
      </w:r>
      <w:r w:rsidR="007A7500">
        <w:t xml:space="preserve"> studies. </w:t>
      </w:r>
      <w:r w:rsidRPr="00203026">
        <w:t xml:space="preserve">All </w:t>
      </w:r>
      <w:r w:rsidR="00AB145C">
        <w:t xml:space="preserve">offer </w:t>
      </w:r>
      <w:r w:rsidRPr="00203026">
        <w:t>this as the reason for a notable disengagement with their work and the university as a w</w:t>
      </w:r>
      <w:r w:rsidR="007A7500">
        <w:t>hole. These students blame poor-</w:t>
      </w:r>
      <w:r w:rsidRPr="00203026">
        <w:t>quality teaching and repetitive curriculum for their boredom</w:t>
      </w:r>
    </w:p>
    <w:p w:rsidR="00203026" w:rsidRPr="00203026" w:rsidRDefault="00203026" w:rsidP="004D18C0">
      <w:pPr>
        <w:pStyle w:val="Text"/>
        <w:ind w:right="-143"/>
      </w:pPr>
      <w:r w:rsidRPr="00203026">
        <w:t xml:space="preserve">These students do not perceive </w:t>
      </w:r>
      <w:r w:rsidR="00171F8A">
        <w:t>higher education</w:t>
      </w:r>
      <w:r w:rsidRPr="00203026">
        <w:t xml:space="preserve"> teachers as being anywhere near as good as their previous TAFE counterparts, </w:t>
      </w:r>
      <w:r w:rsidR="007A7500">
        <w:t>which</w:t>
      </w:r>
      <w:r w:rsidRPr="00203026">
        <w:t xml:space="preserve"> may explain some of the reactions to </w:t>
      </w:r>
      <w:r w:rsidR="00171F8A">
        <w:t>higher education</w:t>
      </w:r>
      <w:r w:rsidRPr="00203026">
        <w:t xml:space="preserve"> these students have. In a further contrast to </w:t>
      </w:r>
      <w:r w:rsidR="00171F8A">
        <w:t>higher education</w:t>
      </w:r>
      <w:r w:rsidR="007A7500">
        <w:t>,</w:t>
      </w:r>
      <w:r w:rsidRPr="00203026">
        <w:t xml:space="preserve"> </w:t>
      </w:r>
      <w:r w:rsidR="007A7500">
        <w:t>all these students in the dual-</w:t>
      </w:r>
      <w:r w:rsidRPr="00203026">
        <w:t>sector university</w:t>
      </w:r>
      <w:r w:rsidR="004D18C0">
        <w:t xml:space="preserve"> </w:t>
      </w:r>
      <w:r w:rsidRPr="00203026">
        <w:t>speak of the VET experience as transformational. They speak about their VET teachers in glowing terms</w:t>
      </w:r>
      <w:r w:rsidR="004D18C0">
        <w:t> </w:t>
      </w:r>
      <w:r w:rsidRPr="00203026">
        <w:t xml:space="preserve">and their learning in TAFE as providing them with a passion for the industry and the work. </w:t>
      </w:r>
    </w:p>
    <w:p w:rsidR="00203026" w:rsidRPr="00203026" w:rsidRDefault="00AB145C" w:rsidP="004D18C0">
      <w:pPr>
        <w:pStyle w:val="Text"/>
      </w:pPr>
      <w:r>
        <w:t>One student spoke</w:t>
      </w:r>
      <w:r w:rsidR="00203026" w:rsidRPr="00203026">
        <w:t xml:space="preserve"> of being:</w:t>
      </w:r>
    </w:p>
    <w:p w:rsidR="00203026" w:rsidRPr="00203026" w:rsidRDefault="00203026" w:rsidP="008730B2">
      <w:pPr>
        <w:pStyle w:val="Quote"/>
      </w:pPr>
      <w:r w:rsidRPr="00203026">
        <w:t>totally motivated by TAFE staff that made sure they knew you as a person, who created high expectations for you, so I got high distinctions</w:t>
      </w:r>
      <w:r w:rsidR="007A7500">
        <w:t xml:space="preserve"> …</w:t>
      </w:r>
      <w:r w:rsidRPr="00203026">
        <w:t xml:space="preserve"> [They] worked with you to guide you into your future career</w:t>
      </w:r>
      <w:r w:rsidR="007A7500">
        <w:t xml:space="preserve"> </w:t>
      </w:r>
      <w:r w:rsidRPr="00203026">
        <w:t>… I liked the way of teaching in TAFE.</w:t>
      </w:r>
    </w:p>
    <w:p w:rsidR="00203026" w:rsidRPr="00203026" w:rsidRDefault="00AB145C" w:rsidP="004D18C0">
      <w:pPr>
        <w:pStyle w:val="Text"/>
      </w:pPr>
      <w:r>
        <w:t>A second student continued</w:t>
      </w:r>
      <w:r w:rsidR="00203026" w:rsidRPr="00203026">
        <w:t>:</w:t>
      </w:r>
    </w:p>
    <w:p w:rsidR="00203026" w:rsidRPr="00203026" w:rsidRDefault="00203026" w:rsidP="008730B2">
      <w:pPr>
        <w:pStyle w:val="Quote"/>
      </w:pPr>
      <w:r w:rsidRPr="00203026">
        <w:t>TAFE pr</w:t>
      </w:r>
      <w:r w:rsidR="007A7500">
        <w:t>epared me so I didn</w:t>
      </w:r>
      <w:r w:rsidR="004C5471">
        <w:t>’</w:t>
      </w:r>
      <w:r w:rsidR="007A7500">
        <w:t xml:space="preserve">t need help … </w:t>
      </w:r>
      <w:r w:rsidRPr="00203026">
        <w:t>VET built up my confidence definitely. They praised you and they believed in you. If you wanted to go in and talk to them they were always there.</w:t>
      </w:r>
    </w:p>
    <w:p w:rsidR="00203026" w:rsidRPr="00203026" w:rsidRDefault="00203026" w:rsidP="004D18C0">
      <w:pPr>
        <w:pStyle w:val="Text"/>
      </w:pPr>
      <w:r w:rsidRPr="00203026">
        <w:t>Consequently</w:t>
      </w:r>
      <w:r w:rsidR="00D25EB1">
        <w:t>,</w:t>
      </w:r>
      <w:r w:rsidRPr="00203026">
        <w:t xml:space="preserve"> the movement into </w:t>
      </w:r>
      <w:r w:rsidR="007A7500">
        <w:t>the</w:t>
      </w:r>
      <w:r w:rsidRPr="00203026">
        <w:t xml:space="preserve"> new</w:t>
      </w:r>
      <w:r w:rsidR="00D25EB1">
        <w:t>,</w:t>
      </w:r>
      <w:r w:rsidRPr="00203026">
        <w:t xml:space="preserve"> </w:t>
      </w:r>
      <w:r w:rsidR="00171F8A">
        <w:t>higher education</w:t>
      </w:r>
      <w:r w:rsidRPr="00203026">
        <w:t xml:space="preserve"> learning environment for these students can be seen to create a significant emotional reaction</w:t>
      </w:r>
      <w:r w:rsidR="007A7500">
        <w:t>, one</w:t>
      </w:r>
      <w:r w:rsidRPr="00203026">
        <w:t xml:space="preserve"> where the issue </w:t>
      </w:r>
      <w:r w:rsidR="007A7500">
        <w:t>appears</w:t>
      </w:r>
      <w:r w:rsidRPr="00203026">
        <w:t xml:space="preserve"> not to be one of coping with higher, </w:t>
      </w:r>
      <w:r w:rsidR="003E3F69" w:rsidRPr="003E3F69">
        <w:t>more abstract, levels of learning as previous studies suggest. Instead, i</w:t>
      </w:r>
      <w:r w:rsidR="00AB145C">
        <w:t>t appears their difficulties aro</w:t>
      </w:r>
      <w:r w:rsidR="003E3F69" w:rsidRPr="003E3F69">
        <w:t>se from the perception that there was no one to help them when they were experiencing difficulties.</w:t>
      </w:r>
    </w:p>
    <w:p w:rsidR="00203026" w:rsidRPr="00203026" w:rsidRDefault="00203026" w:rsidP="004D18C0">
      <w:pPr>
        <w:pStyle w:val="Text"/>
      </w:pPr>
      <w:r w:rsidRPr="00203026">
        <w:t>A number of these students repeat</w:t>
      </w:r>
      <w:r w:rsidR="00AB145C">
        <w:t>ed</w:t>
      </w:r>
      <w:r w:rsidRPr="00203026">
        <w:t xml:space="preserve"> their perception that the teachers in </w:t>
      </w:r>
      <w:r w:rsidR="00171F8A">
        <w:t>higher education</w:t>
      </w:r>
      <w:r w:rsidRPr="00203026">
        <w:t xml:space="preserve"> </w:t>
      </w:r>
      <w:r w:rsidR="004C5471">
        <w:t>‘</w:t>
      </w:r>
      <w:r w:rsidRPr="00203026">
        <w:t>just don</w:t>
      </w:r>
      <w:r w:rsidR="004C5471">
        <w:t>’</w:t>
      </w:r>
      <w:r w:rsidRPr="00203026">
        <w:t>t care; we are just a number</w:t>
      </w:r>
      <w:r w:rsidR="004C5471">
        <w:t>’</w:t>
      </w:r>
      <w:r w:rsidRPr="00203026">
        <w:t xml:space="preserve">. It could be argued that these students may be misconstruing the lack of individualised attention as a sign of poor teaching. Perhaps too these students had not adequately </w:t>
      </w:r>
      <w:r w:rsidR="0003610F">
        <w:t xml:space="preserve">become </w:t>
      </w:r>
      <w:r w:rsidRPr="00203026">
        <w:t xml:space="preserve">acculturated to the different learning environment </w:t>
      </w:r>
      <w:r w:rsidR="0003610F">
        <w:t xml:space="preserve">in </w:t>
      </w:r>
      <w:r w:rsidR="00171F8A">
        <w:t>higher education</w:t>
      </w:r>
      <w:r w:rsidRPr="00203026">
        <w:t xml:space="preserve">, where little individual attention </w:t>
      </w:r>
      <w:r w:rsidR="0003610F">
        <w:t xml:space="preserve">is </w:t>
      </w:r>
      <w:r w:rsidRPr="00203026">
        <w:t xml:space="preserve">provided by lecturers and tutors. This limited attention may in fact be an essential element in creating independent learners </w:t>
      </w:r>
      <w:r w:rsidR="0003610F">
        <w:t>in preparation for professional-</w:t>
      </w:r>
      <w:r w:rsidRPr="00203026">
        <w:t>level work in an educational system that has to cater for much larger student cohorts.</w:t>
      </w:r>
      <w:r w:rsidR="00611BDD">
        <w:t xml:space="preserve"> </w:t>
      </w:r>
    </w:p>
    <w:p w:rsidR="00203026" w:rsidRPr="00203026" w:rsidRDefault="00203026" w:rsidP="00203026">
      <w:pPr>
        <w:pStyle w:val="Heading2"/>
      </w:pPr>
      <w:bookmarkStart w:id="148" w:name="_Toc412455633"/>
      <w:bookmarkStart w:id="149" w:name="_Toc416683051"/>
      <w:r w:rsidRPr="00203026">
        <w:t>Conclusions</w:t>
      </w:r>
      <w:bookmarkEnd w:id="148"/>
      <w:bookmarkEnd w:id="149"/>
    </w:p>
    <w:p w:rsidR="0003610F" w:rsidRDefault="00203026" w:rsidP="004D18C0">
      <w:pPr>
        <w:pStyle w:val="Text"/>
      </w:pPr>
      <w:r w:rsidRPr="00203026">
        <w:t xml:space="preserve">This paper has provided insight into some of the experiences of </w:t>
      </w:r>
      <w:r w:rsidR="0003610F">
        <w:t xml:space="preserve">the </w:t>
      </w:r>
      <w:r w:rsidR="0003610F" w:rsidRPr="00203026">
        <w:t>VET credit transferees</w:t>
      </w:r>
      <w:r w:rsidRPr="00203026">
        <w:t xml:space="preserve"> who enrolled directly </w:t>
      </w:r>
      <w:r w:rsidR="0003610F">
        <w:t>into the second year of a three-</w:t>
      </w:r>
      <w:r w:rsidRPr="00203026">
        <w:t xml:space="preserve">year </w:t>
      </w:r>
      <w:r w:rsidR="00171F8A">
        <w:t>higher education</w:t>
      </w:r>
      <w:r w:rsidR="0003610F">
        <w:t xml:space="preserve"> program. One data</w:t>
      </w:r>
      <w:r w:rsidRPr="00203026">
        <w:t xml:space="preserve">set </w:t>
      </w:r>
      <w:r w:rsidR="0003610F">
        <w:t>wa</w:t>
      </w:r>
      <w:r w:rsidRPr="00203026">
        <w:t xml:space="preserve">s derived from </w:t>
      </w:r>
      <w:r w:rsidR="0003610F">
        <w:t>11</w:t>
      </w:r>
      <w:r w:rsidRPr="00203026">
        <w:t xml:space="preserve"> students i</w:t>
      </w:r>
      <w:r w:rsidR="00D25EB1">
        <w:t>n a single-sector university, while</w:t>
      </w:r>
      <w:r w:rsidRPr="00203026">
        <w:t xml:space="preserve"> the other </w:t>
      </w:r>
      <w:r w:rsidR="00D25EB1">
        <w:t xml:space="preserve">came </w:t>
      </w:r>
      <w:r w:rsidRPr="00203026">
        <w:t>from ten students participating in a degree program in a dual-sector unive</w:t>
      </w:r>
      <w:r w:rsidR="00D25EB1">
        <w:t>rsity. Many of t</w:t>
      </w:r>
      <w:r w:rsidRPr="00203026">
        <w:t>he students in the single-sector university seem</w:t>
      </w:r>
      <w:r w:rsidR="00D25EB1">
        <w:t>ed</w:t>
      </w:r>
      <w:r w:rsidRPr="00203026">
        <w:t xml:space="preserve"> to experience periods of both engagement and disengagement. The disengagement of the single-sector students appears to be related to </w:t>
      </w:r>
      <w:r w:rsidR="006C38C1">
        <w:t>the</w:t>
      </w:r>
      <w:r w:rsidRPr="00203026">
        <w:t xml:space="preserve"> level of academic skills such as essay writing and </w:t>
      </w:r>
      <w:r w:rsidR="0003610F">
        <w:t xml:space="preserve">their </w:t>
      </w:r>
      <w:r w:rsidRPr="00203026">
        <w:t>understanding of referencing conventions when they enter</w:t>
      </w:r>
      <w:r w:rsidR="00AB145C">
        <w:t>ed</w:t>
      </w:r>
      <w:r w:rsidRPr="00203026">
        <w:t xml:space="preserve"> </w:t>
      </w:r>
      <w:r w:rsidR="00171F8A">
        <w:t>higher education</w:t>
      </w:r>
      <w:r w:rsidRPr="00203026">
        <w:t xml:space="preserve">, and to </w:t>
      </w:r>
      <w:r w:rsidRPr="00203026">
        <w:lastRenderedPageBreak/>
        <w:t xml:space="preserve">adjusting to the different learning environment. Early in their </w:t>
      </w:r>
      <w:r w:rsidR="00171F8A">
        <w:t>higher education</w:t>
      </w:r>
      <w:r w:rsidRPr="00203026">
        <w:t xml:space="preserve"> courses, the </w:t>
      </w:r>
      <w:r w:rsidR="0003610F" w:rsidRPr="00203026">
        <w:t>VET credit transferees</w:t>
      </w:r>
      <w:r w:rsidR="004C5471">
        <w:t>’</w:t>
      </w:r>
      <w:r w:rsidR="00AB145C">
        <w:t xml:space="preserve"> academic study skills we</w:t>
      </w:r>
      <w:r w:rsidRPr="00203026">
        <w:t>re limited</w:t>
      </w:r>
      <w:r w:rsidR="006C38C1">
        <w:t>,</w:t>
      </w:r>
      <w:r w:rsidRPr="00203026">
        <w:t xml:space="preserve"> because they report</w:t>
      </w:r>
      <w:r w:rsidR="00AB145C">
        <w:t>ed</w:t>
      </w:r>
      <w:r w:rsidRPr="00203026">
        <w:t xml:space="preserve"> that VET did not prepare them in this regard and as a result, some disengagement is evident. However, as they improve</w:t>
      </w:r>
      <w:r w:rsidR="00AB145C">
        <w:t>d</w:t>
      </w:r>
      <w:r w:rsidRPr="00203026">
        <w:t xml:space="preserve"> their academic skills</w:t>
      </w:r>
      <w:r w:rsidR="006C38C1">
        <w:t>,</w:t>
      </w:r>
      <w:r w:rsidR="00AB145C">
        <w:t xml:space="preserve"> they beca</w:t>
      </w:r>
      <w:r w:rsidRPr="00203026">
        <w:t>me</w:t>
      </w:r>
      <w:r w:rsidR="0003610F">
        <w:t xml:space="preserve"> more engaged in their studies.</w:t>
      </w:r>
    </w:p>
    <w:p w:rsidR="00203026" w:rsidRPr="00203026" w:rsidRDefault="00203026" w:rsidP="004D18C0">
      <w:pPr>
        <w:pStyle w:val="Text"/>
      </w:pPr>
      <w:r w:rsidRPr="00203026">
        <w:t>The common themes emerging from both learning environments are that students are reporting that VET prepared them in terms of the foundational k</w:t>
      </w:r>
      <w:r w:rsidR="0003610F">
        <w:t xml:space="preserve">nowledge in their disciplines. </w:t>
      </w:r>
      <w:r w:rsidRPr="00203026">
        <w:t xml:space="preserve">In addition, most </w:t>
      </w:r>
      <w:r w:rsidR="00AB145C">
        <w:t>reported</w:t>
      </w:r>
      <w:r w:rsidRPr="00203026">
        <w:t xml:space="preserve"> that the learning environments in VET were more supportive. Unfortunately for the dual-sector students, when they entered </w:t>
      </w:r>
      <w:r w:rsidR="00171F8A">
        <w:t>higher education</w:t>
      </w:r>
      <w:r w:rsidRPr="00203026">
        <w:t xml:space="preserve"> they no longer felt challenged by their studies as they believed them to be repetitious and with little individual attention provided by their teachers. On the other hand, the single-sector students reported </w:t>
      </w:r>
      <w:r w:rsidR="00AB145C">
        <w:t xml:space="preserve">that </w:t>
      </w:r>
      <w:r w:rsidRPr="00203026">
        <w:t xml:space="preserve">their foundational knowledge was strong and their occupational practice was an area where they were able to exhibit expertise. The single-sector students did report some difficulties adjusting to the different learning environment in </w:t>
      </w:r>
      <w:r w:rsidR="00171F8A">
        <w:t>higher education</w:t>
      </w:r>
      <w:r w:rsidRPr="00203026">
        <w:t xml:space="preserve">, </w:t>
      </w:r>
      <w:r w:rsidR="0003610F">
        <w:t>although</w:t>
      </w:r>
      <w:r w:rsidRPr="00203026">
        <w:t xml:space="preserve"> most were able to do this. It is evident from these examples that th</w:t>
      </w:r>
      <w:r w:rsidR="0003610F">
        <w:t>e experiences of VCTs vary,</w:t>
      </w:r>
      <w:r w:rsidRPr="00203026">
        <w:t xml:space="preserve"> and both single-sector and dual-sector universities have some way to go in improving the experiences of both cohorts. From this evidence, the student learning experience in VET appears to mirror </w:t>
      </w:r>
      <w:r w:rsidR="004C5471">
        <w:t>‘</w:t>
      </w:r>
      <w:proofErr w:type="spellStart"/>
      <w:r w:rsidR="00AB145C">
        <w:t>no</w:t>
      </w:r>
      <w:r w:rsidRPr="00203026">
        <w:t>one</w:t>
      </w:r>
      <w:proofErr w:type="spellEnd"/>
      <w:r w:rsidRPr="00203026">
        <w:t xml:space="preserve"> gets left behind</w:t>
      </w:r>
      <w:r w:rsidR="004C5471">
        <w:t>’</w:t>
      </w:r>
      <w:r w:rsidRPr="00203026">
        <w:t>. Importantly</w:t>
      </w:r>
      <w:r w:rsidR="006C38C1">
        <w:t>,</w:t>
      </w:r>
      <w:r w:rsidRPr="00203026">
        <w:t xml:space="preserve"> these students report</w:t>
      </w:r>
      <w:r w:rsidR="00AB145C">
        <w:t>ed</w:t>
      </w:r>
      <w:r w:rsidRPr="00203026">
        <w:t xml:space="preserve"> that a contributing factor in this is the individual attention, support and encouragement provided by their TAFE teachers</w:t>
      </w:r>
      <w:r w:rsidR="00A25CBD">
        <w:t>,</w:t>
      </w:r>
      <w:r w:rsidRPr="00203026">
        <w:t xml:space="preserve"> who clearly articulated their expectations. On the other hand, the learning experience in </w:t>
      </w:r>
      <w:r w:rsidR="00171F8A">
        <w:t>higher education</w:t>
      </w:r>
      <w:r w:rsidRPr="00203026">
        <w:t xml:space="preserve"> appears to take the form of </w:t>
      </w:r>
      <w:r w:rsidR="004C5471">
        <w:t>‘</w:t>
      </w:r>
      <w:r w:rsidRPr="00203026">
        <w:t>now you</w:t>
      </w:r>
      <w:r w:rsidR="004C5471">
        <w:t>’</w:t>
      </w:r>
      <w:r w:rsidRPr="00203026">
        <w:t>re on your own, sink or swim</w:t>
      </w:r>
      <w:r w:rsidR="004C5471">
        <w:t>’</w:t>
      </w:r>
      <w:r w:rsidRPr="00203026">
        <w:t>, where</w:t>
      </w:r>
      <w:r w:rsidR="006C38C1">
        <w:t>by</w:t>
      </w:r>
      <w:r w:rsidRPr="00203026">
        <w:t xml:space="preserve"> lecturers take limited responsibility for the learning experiences of their students.</w:t>
      </w:r>
      <w:r w:rsidR="00611BDD">
        <w:t xml:space="preserve"> </w:t>
      </w:r>
    </w:p>
    <w:p w:rsidR="00203026" w:rsidRPr="00203026" w:rsidRDefault="00A25CBD" w:rsidP="00203026">
      <w:pPr>
        <w:pStyle w:val="Heading2"/>
      </w:pPr>
      <w:bookmarkStart w:id="150" w:name="_Toc412455634"/>
      <w:bookmarkStart w:id="151" w:name="_Toc416683052"/>
      <w:r>
        <w:t>Acknowledg</w:t>
      </w:r>
      <w:r w:rsidR="00203026" w:rsidRPr="00203026">
        <w:t>ments</w:t>
      </w:r>
      <w:bookmarkEnd w:id="150"/>
      <w:bookmarkEnd w:id="151"/>
      <w:r w:rsidR="00203026" w:rsidRPr="00203026">
        <w:t xml:space="preserve"> </w:t>
      </w:r>
    </w:p>
    <w:p w:rsidR="00203026" w:rsidRPr="00203026" w:rsidRDefault="00203026" w:rsidP="004D18C0">
      <w:pPr>
        <w:pStyle w:val="Text"/>
        <w:ind w:right="141"/>
      </w:pPr>
      <w:r w:rsidRPr="00203026">
        <w:t xml:space="preserve">The authors would like to thank the </w:t>
      </w:r>
      <w:r w:rsidR="00A25CBD">
        <w:t>21</w:t>
      </w:r>
      <w:r w:rsidRPr="00203026">
        <w:t xml:space="preserve"> </w:t>
      </w:r>
      <w:r w:rsidR="00A25CBD" w:rsidRPr="00203026">
        <w:t xml:space="preserve">VET </w:t>
      </w:r>
      <w:r w:rsidR="00A25CBD">
        <w:t xml:space="preserve">credit transferee students </w:t>
      </w:r>
      <w:r w:rsidRPr="00203026">
        <w:t>who were interviewed for these studies.</w:t>
      </w:r>
    </w:p>
    <w:p w:rsidR="00203026" w:rsidRPr="00203026" w:rsidRDefault="00203026" w:rsidP="00203026">
      <w:pPr>
        <w:pStyle w:val="Heading2"/>
      </w:pPr>
      <w:bookmarkStart w:id="152" w:name="_Toc412455635"/>
      <w:bookmarkStart w:id="153" w:name="_Toc416683053"/>
      <w:r w:rsidRPr="00203026">
        <w:t>References</w:t>
      </w:r>
      <w:bookmarkEnd w:id="152"/>
      <w:bookmarkEnd w:id="153"/>
    </w:p>
    <w:p w:rsidR="00A25CBD" w:rsidRPr="00203026" w:rsidRDefault="00A25CBD" w:rsidP="004D18C0">
      <w:pPr>
        <w:pStyle w:val="References"/>
      </w:pPr>
      <w:r w:rsidRPr="00203026">
        <w:t xml:space="preserve">Abbott–Chapman, J 2006, </w:t>
      </w:r>
      <w:r w:rsidR="004C5471">
        <w:t>‘</w:t>
      </w:r>
      <w:r w:rsidRPr="00203026">
        <w:t>Moving from technical and further education to university: an Australian study of mature students</w:t>
      </w:r>
      <w:r w:rsidR="004C5471">
        <w:t>’</w:t>
      </w:r>
      <w:r>
        <w:t>,</w:t>
      </w:r>
      <w:r w:rsidRPr="00203026">
        <w:t xml:space="preserve"> </w:t>
      </w:r>
      <w:r w:rsidRPr="00203026">
        <w:rPr>
          <w:i/>
        </w:rPr>
        <w:t>J</w:t>
      </w:r>
      <w:r>
        <w:rPr>
          <w:i/>
        </w:rPr>
        <w:t>ournal of Vocational Education and</w:t>
      </w:r>
      <w:r w:rsidRPr="00203026">
        <w:rPr>
          <w:i/>
        </w:rPr>
        <w:t xml:space="preserve"> Training</w:t>
      </w:r>
      <w:r w:rsidRPr="00203026">
        <w:t xml:space="preserve">, </w:t>
      </w:r>
      <w:r>
        <w:t>vol.58, no.1</w:t>
      </w:r>
      <w:r w:rsidRPr="00203026">
        <w:t xml:space="preserve">, </w:t>
      </w:r>
      <w:r>
        <w:t>pp.1—</w:t>
      </w:r>
      <w:r w:rsidRPr="00203026">
        <w:t>17.</w:t>
      </w:r>
    </w:p>
    <w:p w:rsidR="00203026" w:rsidRPr="00203026" w:rsidRDefault="00A25CBD" w:rsidP="004D18C0">
      <w:pPr>
        <w:pStyle w:val="References"/>
      </w:pPr>
      <w:r>
        <w:t>——</w:t>
      </w:r>
      <w:r w:rsidR="00203026" w:rsidRPr="00203026">
        <w:t xml:space="preserve">2011, </w:t>
      </w:r>
      <w:r w:rsidR="004C5471">
        <w:t>‘</w:t>
      </w:r>
      <w:r w:rsidR="00203026" w:rsidRPr="00203026">
        <w:t>Making the most of the mosaic: facilitating post–school transitions to higher educatio</w:t>
      </w:r>
      <w:r w:rsidR="00203026">
        <w:t>n of disadvantaged students</w:t>
      </w:r>
      <w:r w:rsidR="004C5471">
        <w:t>’</w:t>
      </w:r>
      <w:r w:rsidR="00203026">
        <w:t xml:space="preserve">, </w:t>
      </w:r>
      <w:r w:rsidR="00203026" w:rsidRPr="00203026">
        <w:rPr>
          <w:i/>
        </w:rPr>
        <w:t>Australian Educational Researcher</w:t>
      </w:r>
      <w:r>
        <w:t>, vol.</w:t>
      </w:r>
      <w:r w:rsidR="00203026" w:rsidRPr="00203026">
        <w:t xml:space="preserve">38, </w:t>
      </w:r>
      <w:r>
        <w:t>pp.57—</w:t>
      </w:r>
      <w:r w:rsidR="00203026" w:rsidRPr="00203026">
        <w:t>71.</w:t>
      </w:r>
    </w:p>
    <w:p w:rsidR="00203026" w:rsidRPr="00203026" w:rsidRDefault="00203026" w:rsidP="004D18C0">
      <w:pPr>
        <w:pStyle w:val="References"/>
      </w:pPr>
      <w:r>
        <w:t>Biggs, J</w:t>
      </w:r>
      <w:r w:rsidRPr="00203026">
        <w:t xml:space="preserve">B 2011, </w:t>
      </w:r>
      <w:r w:rsidRPr="00203026">
        <w:rPr>
          <w:i/>
        </w:rPr>
        <w:t>Teaching for quality learning at university</w:t>
      </w:r>
      <w:r w:rsidRPr="00203026">
        <w:t xml:space="preserve">, 4th </w:t>
      </w:r>
      <w:proofErr w:type="spellStart"/>
      <w:r w:rsidRPr="00203026">
        <w:t>ed</w:t>
      </w:r>
      <w:r w:rsidR="00A25CBD">
        <w:t>n</w:t>
      </w:r>
      <w:proofErr w:type="spellEnd"/>
      <w:r w:rsidRPr="00203026">
        <w:t>, McGraw-Hill Education</w:t>
      </w:r>
      <w:r w:rsidR="00A25CBD">
        <w:t>,</w:t>
      </w:r>
      <w:r>
        <w:t xml:space="preserve"> Maidenhead</w:t>
      </w:r>
      <w:r w:rsidR="00AB5CA8">
        <w:t xml:space="preserve">, </w:t>
      </w:r>
      <w:r w:rsidR="00A25CBD">
        <w:t>Eng</w:t>
      </w:r>
      <w:r w:rsidRPr="00203026">
        <w:t>.</w:t>
      </w:r>
    </w:p>
    <w:p w:rsidR="00203026" w:rsidRPr="00203026" w:rsidRDefault="00203026" w:rsidP="004D18C0">
      <w:pPr>
        <w:pStyle w:val="References"/>
      </w:pPr>
      <w:proofErr w:type="spellStart"/>
      <w:r w:rsidRPr="00203026">
        <w:t>Catterall</w:t>
      </w:r>
      <w:proofErr w:type="spellEnd"/>
      <w:r w:rsidRPr="00203026">
        <w:t xml:space="preserve">, J &amp; Davis, J 2012, </w:t>
      </w:r>
      <w:r w:rsidRPr="00203026">
        <w:rPr>
          <w:i/>
        </w:rPr>
        <w:t xml:space="preserve">Enhancing the student experience: transition from vocational education and training into higher education: </w:t>
      </w:r>
      <w:r>
        <w:rPr>
          <w:i/>
        </w:rPr>
        <w:t>f</w:t>
      </w:r>
      <w:r w:rsidRPr="00203026">
        <w:rPr>
          <w:i/>
        </w:rPr>
        <w:t>inal report</w:t>
      </w:r>
      <w:r w:rsidR="00A25CBD">
        <w:t>,</w:t>
      </w:r>
      <w:r w:rsidRPr="00203026">
        <w:t xml:space="preserve"> Australian Teaching and Learning Council</w:t>
      </w:r>
      <w:r w:rsidR="00A25CBD">
        <w:t>, Sydney</w:t>
      </w:r>
      <w:r w:rsidRPr="00203026">
        <w:t xml:space="preserve">. </w:t>
      </w:r>
    </w:p>
    <w:p w:rsidR="00A25CBD" w:rsidRDefault="00203026" w:rsidP="004D18C0">
      <w:pPr>
        <w:pStyle w:val="References"/>
      </w:pPr>
      <w:proofErr w:type="spellStart"/>
      <w:r w:rsidRPr="00203026">
        <w:t>Goozee</w:t>
      </w:r>
      <w:proofErr w:type="spellEnd"/>
      <w:r w:rsidRPr="00203026">
        <w:t xml:space="preserve">, G 2001, </w:t>
      </w:r>
      <w:r w:rsidRPr="00203026">
        <w:rPr>
          <w:i/>
        </w:rPr>
        <w:t>The development of TAFE in Australia</w:t>
      </w:r>
      <w:r>
        <w:rPr>
          <w:i/>
        </w:rPr>
        <w:t>,</w:t>
      </w:r>
      <w:r w:rsidRPr="00203026">
        <w:t xml:space="preserve"> </w:t>
      </w:r>
      <w:r w:rsidR="00274D68" w:rsidRPr="00203026">
        <w:t>NCVER</w:t>
      </w:r>
      <w:r w:rsidR="00A25CBD">
        <w:t>, Adelaide.</w:t>
      </w:r>
    </w:p>
    <w:p w:rsidR="00203026" w:rsidRPr="00203026" w:rsidRDefault="00203026" w:rsidP="004D18C0">
      <w:pPr>
        <w:pStyle w:val="References"/>
      </w:pPr>
      <w:r w:rsidRPr="00203026">
        <w:t xml:space="preserve">James, R, Krause, K &amp; Jennings, C 2010, </w:t>
      </w:r>
      <w:r w:rsidRPr="00203026">
        <w:rPr>
          <w:i/>
        </w:rPr>
        <w:t>The first year experience in Au</w:t>
      </w:r>
      <w:r>
        <w:rPr>
          <w:i/>
        </w:rPr>
        <w:t>stralian universities: f</w:t>
      </w:r>
      <w:r w:rsidRPr="00203026">
        <w:rPr>
          <w:i/>
        </w:rPr>
        <w:t>indings from 1994 to 2009</w:t>
      </w:r>
      <w:r w:rsidR="00A25CBD">
        <w:t>,</w:t>
      </w:r>
      <w:r w:rsidRPr="00203026">
        <w:t xml:space="preserve"> Centre for the Study of Higher Education, University of Melbourne</w:t>
      </w:r>
      <w:r w:rsidR="00AB145C">
        <w:t>,</w:t>
      </w:r>
      <w:r w:rsidRPr="00203026">
        <w:t xml:space="preserve"> </w:t>
      </w:r>
      <w:r>
        <w:t xml:space="preserve">Parkville, </w:t>
      </w:r>
      <w:r w:rsidR="00A25CBD">
        <w:t>Vic</w:t>
      </w:r>
      <w:r w:rsidR="00AB5CA8">
        <w:t>.</w:t>
      </w:r>
    </w:p>
    <w:p w:rsidR="00203026" w:rsidRPr="00203026" w:rsidRDefault="00203026" w:rsidP="004D18C0">
      <w:pPr>
        <w:pStyle w:val="References"/>
      </w:pPr>
      <w:r>
        <w:t>Krause, K</w:t>
      </w:r>
      <w:r w:rsidRPr="00203026">
        <w:t xml:space="preserve">L 2005, </w:t>
      </w:r>
      <w:r w:rsidR="004C5471">
        <w:t>‘</w:t>
      </w:r>
      <w:r w:rsidRPr="00203026">
        <w:t xml:space="preserve">Engaged, inert or otherwise occupied? Deconstructing the 21st century </w:t>
      </w:r>
      <w:r w:rsidR="00A25CBD" w:rsidRPr="00203026">
        <w:t>undergraduate student</w:t>
      </w:r>
      <w:r w:rsidR="004C5471">
        <w:t>’</w:t>
      </w:r>
      <w:r w:rsidR="00A25CBD">
        <w:t>,</w:t>
      </w:r>
      <w:r w:rsidRPr="00203026">
        <w:t xml:space="preserve"> James Cook University Symposium</w:t>
      </w:r>
      <w:r w:rsidR="00A25CBD">
        <w:t xml:space="preserve">: </w:t>
      </w:r>
      <w:r w:rsidRPr="00A25CBD">
        <w:rPr>
          <w:i/>
        </w:rPr>
        <w:t xml:space="preserve">Sharing </w:t>
      </w:r>
      <w:r w:rsidR="00A25CBD" w:rsidRPr="00A25CBD">
        <w:rPr>
          <w:i/>
        </w:rPr>
        <w:t>scholarship in learning and teaching: engaging studen</w:t>
      </w:r>
      <w:r w:rsidRPr="00A25CBD">
        <w:rPr>
          <w:i/>
        </w:rPr>
        <w:t>ts</w:t>
      </w:r>
      <w:r w:rsidR="00A25CBD">
        <w:t xml:space="preserve">, </w:t>
      </w:r>
      <w:r w:rsidRPr="00203026">
        <w:t xml:space="preserve">Townsville, </w:t>
      </w:r>
      <w:r w:rsidR="00A25CBD">
        <w:t>21—22 September</w:t>
      </w:r>
      <w:r w:rsidRPr="00203026">
        <w:t xml:space="preserve"> 2005. </w:t>
      </w:r>
    </w:p>
    <w:p w:rsidR="00203026" w:rsidRPr="00203026" w:rsidRDefault="00A25CBD" w:rsidP="004D18C0">
      <w:pPr>
        <w:pStyle w:val="References"/>
      </w:pPr>
      <w:proofErr w:type="spellStart"/>
      <w:r>
        <w:t>La</w:t>
      </w:r>
      <w:r w:rsidR="0022386A">
        <w:t>an</w:t>
      </w:r>
      <w:r>
        <w:t>an</w:t>
      </w:r>
      <w:proofErr w:type="spellEnd"/>
      <w:r>
        <w:t>, F</w:t>
      </w:r>
      <w:r w:rsidR="00203026" w:rsidRPr="00203026">
        <w:t>S 2001,</w:t>
      </w:r>
      <w:r w:rsidR="004D18C0">
        <w:t xml:space="preserve"> ‘</w:t>
      </w:r>
      <w:r w:rsidR="00203026" w:rsidRPr="00203026">
        <w:t>Transfer students: trends and issues</w:t>
      </w:r>
      <w:r w:rsidR="004C5471">
        <w:t>’</w:t>
      </w:r>
      <w:r w:rsidR="00203026">
        <w:t xml:space="preserve">, </w:t>
      </w:r>
      <w:r w:rsidR="00203026" w:rsidRPr="00203026">
        <w:rPr>
          <w:i/>
        </w:rPr>
        <w:t>New Directions for Community Colleges</w:t>
      </w:r>
      <w:r w:rsidR="00203026">
        <w:t>, n</w:t>
      </w:r>
      <w:r w:rsidR="00203026" w:rsidRPr="00203026">
        <w:t>o</w:t>
      </w:r>
      <w:r w:rsidR="00203026">
        <w:t>.</w:t>
      </w:r>
      <w:r w:rsidR="00203026" w:rsidRPr="00203026">
        <w:t>114, Summer</w:t>
      </w:r>
      <w:r w:rsidR="00203026">
        <w:t>.</w:t>
      </w:r>
    </w:p>
    <w:p w:rsidR="003E3F69" w:rsidRDefault="003E3F69" w:rsidP="004D18C0">
      <w:pPr>
        <w:pStyle w:val="References"/>
      </w:pPr>
      <w:r>
        <w:t xml:space="preserve">Meyer, JH &amp; Land, R 2005, ‘Threshold concepts and troublesome knowledge (2): epistemological considerations and a conceptual framework for teaching and learning’, </w:t>
      </w:r>
      <w:r w:rsidRPr="003E3F69">
        <w:rPr>
          <w:i/>
        </w:rPr>
        <w:t>Higher Education</w:t>
      </w:r>
      <w:r w:rsidR="00AB145C">
        <w:t>, vol.49, pp.373-</w:t>
      </w:r>
      <w:r>
        <w:t>88.</w:t>
      </w:r>
    </w:p>
    <w:p w:rsidR="00203026" w:rsidRPr="00203026" w:rsidRDefault="003E3F69" w:rsidP="004D18C0">
      <w:pPr>
        <w:pStyle w:val="References"/>
      </w:pPr>
      <w:r>
        <w:t>——</w:t>
      </w:r>
      <w:r w:rsidR="00203026" w:rsidRPr="00203026">
        <w:t xml:space="preserve">2006, </w:t>
      </w:r>
      <w:r w:rsidR="00203026" w:rsidRPr="00203026">
        <w:rPr>
          <w:i/>
        </w:rPr>
        <w:t xml:space="preserve">Overcoming </w:t>
      </w:r>
      <w:r w:rsidR="00A25CBD" w:rsidRPr="00203026">
        <w:rPr>
          <w:i/>
        </w:rPr>
        <w:t>barriers to student understanding</w:t>
      </w:r>
      <w:r w:rsidR="00203026">
        <w:rPr>
          <w:i/>
        </w:rPr>
        <w:t>: t</w:t>
      </w:r>
      <w:r w:rsidR="00203026" w:rsidRPr="00203026">
        <w:rPr>
          <w:i/>
        </w:rPr>
        <w:t xml:space="preserve">hreshold </w:t>
      </w:r>
      <w:r w:rsidR="00203026">
        <w:rPr>
          <w:i/>
        </w:rPr>
        <w:t>c</w:t>
      </w:r>
      <w:r w:rsidR="00203026" w:rsidRPr="00203026">
        <w:rPr>
          <w:i/>
        </w:rPr>
        <w:t xml:space="preserve">oncepts and </w:t>
      </w:r>
      <w:r w:rsidR="00203026">
        <w:rPr>
          <w:i/>
        </w:rPr>
        <w:t>t</w:t>
      </w:r>
      <w:r w:rsidR="00203026" w:rsidRPr="00203026">
        <w:rPr>
          <w:i/>
        </w:rPr>
        <w:t xml:space="preserve">roublesome </w:t>
      </w:r>
      <w:r w:rsidR="00203026">
        <w:rPr>
          <w:i/>
        </w:rPr>
        <w:t>k</w:t>
      </w:r>
      <w:r w:rsidR="00203026" w:rsidRPr="00203026">
        <w:rPr>
          <w:i/>
        </w:rPr>
        <w:t>nowledge</w:t>
      </w:r>
      <w:r w:rsidR="00A25CBD">
        <w:t>, Routledge,</w:t>
      </w:r>
      <w:r w:rsidR="00203026" w:rsidRPr="00203026">
        <w:t xml:space="preserve"> London. </w:t>
      </w:r>
    </w:p>
    <w:p w:rsidR="00203026" w:rsidRPr="00203026" w:rsidRDefault="00203026" w:rsidP="004D18C0">
      <w:pPr>
        <w:pStyle w:val="References"/>
      </w:pPr>
      <w:r w:rsidRPr="00203026">
        <w:t>Mills, A, McLaughlin, P &amp; Carnegie, J 2013</w:t>
      </w:r>
      <w:r w:rsidRPr="00203026">
        <w:rPr>
          <w:i/>
        </w:rPr>
        <w:t>, Hurdling the barriers: enabling student pathways from VET to higher education in building and construction management</w:t>
      </w:r>
      <w:r w:rsidR="00A25CBD">
        <w:t>, NCVER,</w:t>
      </w:r>
      <w:r w:rsidRPr="00203026">
        <w:t xml:space="preserve"> Adelaide</w:t>
      </w:r>
      <w:r>
        <w:t>.</w:t>
      </w:r>
    </w:p>
    <w:p w:rsidR="00203026" w:rsidRPr="00203026" w:rsidRDefault="00203026" w:rsidP="004D18C0">
      <w:pPr>
        <w:pStyle w:val="References"/>
      </w:pPr>
      <w:r w:rsidRPr="00203026">
        <w:lastRenderedPageBreak/>
        <w:t>O</w:t>
      </w:r>
      <w:r w:rsidR="004C5471">
        <w:t>’</w:t>
      </w:r>
      <w:r w:rsidRPr="00203026">
        <w:t>Donnell</w:t>
      </w:r>
      <w:r w:rsidR="00A25CBD">
        <w:t>,</w:t>
      </w:r>
      <w:r w:rsidRPr="00203026">
        <w:t xml:space="preserve"> A, </w:t>
      </w:r>
      <w:proofErr w:type="spellStart"/>
      <w:r w:rsidRPr="00203026">
        <w:t>Dobozy</w:t>
      </w:r>
      <w:proofErr w:type="spellEnd"/>
      <w:r w:rsidR="00A25CBD">
        <w:t>,</w:t>
      </w:r>
      <w:r w:rsidRPr="00203026">
        <w:t xml:space="preserve"> E, Bartlett</w:t>
      </w:r>
      <w:r w:rsidR="00A25CBD">
        <w:t>,</w:t>
      </w:r>
      <w:r w:rsidRPr="00203026">
        <w:t xml:space="preserve"> B, </w:t>
      </w:r>
      <w:proofErr w:type="spellStart"/>
      <w:r w:rsidRPr="00203026">
        <w:t>Bryer</w:t>
      </w:r>
      <w:proofErr w:type="spellEnd"/>
      <w:r w:rsidR="00A25CBD">
        <w:t>,</w:t>
      </w:r>
      <w:r w:rsidRPr="00203026">
        <w:t xml:space="preserve"> F, Reeve</w:t>
      </w:r>
      <w:r w:rsidR="009C185E">
        <w:t>, J</w:t>
      </w:r>
      <w:r w:rsidRPr="00203026">
        <w:t xml:space="preserve"> &amp; Smith</w:t>
      </w:r>
      <w:r w:rsidR="004D18C0">
        <w:t>,</w:t>
      </w:r>
      <w:r w:rsidRPr="00203026">
        <w:t xml:space="preserve"> T 2012, </w:t>
      </w:r>
      <w:r w:rsidRPr="00203026">
        <w:rPr>
          <w:i/>
        </w:rPr>
        <w:t>Educational psychology</w:t>
      </w:r>
      <w:r w:rsidR="009C185E">
        <w:t>, John Wiley,</w:t>
      </w:r>
      <w:r w:rsidR="00AB145C">
        <w:t xml:space="preserve"> Brisbane.</w:t>
      </w:r>
    </w:p>
    <w:p w:rsidR="00203026" w:rsidRPr="00203026" w:rsidRDefault="00203026" w:rsidP="004D18C0">
      <w:pPr>
        <w:pStyle w:val="References"/>
      </w:pPr>
      <w:r w:rsidRPr="00203026">
        <w:t xml:space="preserve">Trow, M 2006, </w:t>
      </w:r>
      <w:r w:rsidR="004C5471">
        <w:t>‘</w:t>
      </w:r>
      <w:r w:rsidRPr="00203026">
        <w:t>Reflections on the transition from elite to mass to universal access: forms and phases of higher education in modern societies since WWII</w:t>
      </w:r>
      <w:r w:rsidR="004C5471">
        <w:t>’</w:t>
      </w:r>
      <w:r w:rsidR="009C185E">
        <w:t>,</w:t>
      </w:r>
      <w:r w:rsidR="006C38C1">
        <w:t xml:space="preserve"> in</w:t>
      </w:r>
      <w:r w:rsidR="009C185E">
        <w:t xml:space="preserve"> </w:t>
      </w:r>
      <w:r w:rsidR="00AB145C">
        <w:t xml:space="preserve">J Forest &amp; P </w:t>
      </w:r>
      <w:proofErr w:type="spellStart"/>
      <w:r w:rsidR="00AB145C">
        <w:t>Altbach</w:t>
      </w:r>
      <w:proofErr w:type="spellEnd"/>
      <w:r w:rsidR="00AB145C">
        <w:t xml:space="preserve"> (</w:t>
      </w:r>
      <w:proofErr w:type="spellStart"/>
      <w:r w:rsidR="00AB145C">
        <w:t>eds</w:t>
      </w:r>
      <w:proofErr w:type="spellEnd"/>
      <w:r w:rsidR="00AB145C">
        <w:t>)</w:t>
      </w:r>
      <w:r w:rsidR="00273835">
        <w:t>,</w:t>
      </w:r>
      <w:r w:rsidR="00AB145C">
        <w:t xml:space="preserve"> </w:t>
      </w:r>
      <w:r w:rsidR="009C185E">
        <w:rPr>
          <w:i/>
        </w:rPr>
        <w:t>International H</w:t>
      </w:r>
      <w:r w:rsidRPr="00203026">
        <w:rPr>
          <w:i/>
        </w:rPr>
        <w:t xml:space="preserve">andbook of </w:t>
      </w:r>
      <w:r w:rsidR="009C185E" w:rsidRPr="00203026">
        <w:rPr>
          <w:i/>
        </w:rPr>
        <w:t>Higher Education</w:t>
      </w:r>
      <w:r>
        <w:t xml:space="preserve">, </w:t>
      </w:r>
      <w:r w:rsidRPr="00203026">
        <w:t>Springer</w:t>
      </w:r>
      <w:r w:rsidR="009C185E">
        <w:t>,</w:t>
      </w:r>
      <w:r w:rsidRPr="00203026">
        <w:t xml:space="preserve"> </w:t>
      </w:r>
      <w:r w:rsidR="009C185E">
        <w:t>Dordrecht</w:t>
      </w:r>
      <w:r w:rsidRPr="00203026">
        <w:t xml:space="preserve">. </w:t>
      </w:r>
    </w:p>
    <w:p w:rsidR="00203026" w:rsidRDefault="00203026" w:rsidP="004D18C0">
      <w:pPr>
        <w:pStyle w:val="References"/>
      </w:pPr>
      <w:r w:rsidRPr="00203026">
        <w:t xml:space="preserve">Watson, L, Hagel, P &amp; </w:t>
      </w:r>
      <w:proofErr w:type="spellStart"/>
      <w:r w:rsidRPr="00203026">
        <w:t>Chesters</w:t>
      </w:r>
      <w:proofErr w:type="spellEnd"/>
      <w:r w:rsidRPr="00203026">
        <w:t>, J</w:t>
      </w:r>
      <w:r w:rsidR="009C185E">
        <w:t xml:space="preserve"> 2013, </w:t>
      </w:r>
      <w:r w:rsidRPr="00203026">
        <w:rPr>
          <w:i/>
        </w:rPr>
        <w:t>A half–open door: pathways for VET award holders into Australian universities</w:t>
      </w:r>
      <w:r w:rsidR="009C185E">
        <w:t>,</w:t>
      </w:r>
      <w:r w:rsidRPr="00203026">
        <w:t xml:space="preserve"> </w:t>
      </w:r>
      <w:r w:rsidR="009C185E">
        <w:t>NCVER,</w:t>
      </w:r>
      <w:r w:rsidR="00AB5CA8">
        <w:t xml:space="preserve"> Ad</w:t>
      </w:r>
      <w:r w:rsidR="009C185E">
        <w:t>elaide</w:t>
      </w:r>
      <w:r>
        <w:t>.</w:t>
      </w:r>
    </w:p>
    <w:p w:rsidR="004D18C0" w:rsidRDefault="004D18C0">
      <w:pPr>
        <w:spacing w:before="0" w:line="240" w:lineRule="auto"/>
        <w:rPr>
          <w:sz w:val="18"/>
        </w:rPr>
      </w:pPr>
      <w:r>
        <w:br w:type="page"/>
      </w:r>
    </w:p>
    <w:p w:rsidR="008730B2" w:rsidRPr="008730B2" w:rsidRDefault="008730B2" w:rsidP="008730B2">
      <w:pPr>
        <w:pStyle w:val="Heading1"/>
        <w:ind w:right="-1"/>
      </w:pPr>
      <w:bookmarkStart w:id="154" w:name="_Toc416683054"/>
      <w:r w:rsidRPr="008730B2">
        <w:lastRenderedPageBreak/>
        <w:t xml:space="preserve">A </w:t>
      </w:r>
      <w:r w:rsidR="004C5471">
        <w:t>‘</w:t>
      </w:r>
      <w:r w:rsidR="009C185E" w:rsidRPr="008730B2">
        <w:t>road map</w:t>
      </w:r>
      <w:r w:rsidR="004C5471">
        <w:t>’</w:t>
      </w:r>
      <w:r w:rsidR="009C185E" w:rsidRPr="008730B2">
        <w:t xml:space="preserve"> to completion: the </w:t>
      </w:r>
      <w:r w:rsidRPr="008730B2">
        <w:t>architecture and negotiation of apprenticeship training plans</w:t>
      </w:r>
      <w:bookmarkEnd w:id="154"/>
    </w:p>
    <w:p w:rsidR="008730B2" w:rsidRPr="008730B2" w:rsidRDefault="008730B2" w:rsidP="00F17BA9">
      <w:pPr>
        <w:pStyle w:val="StyleAuthorsLeft0cm"/>
      </w:pPr>
      <w:r w:rsidRPr="008730B2">
        <w:t>Warren Guest</w:t>
      </w:r>
    </w:p>
    <w:p w:rsidR="008730B2" w:rsidRPr="008730B2" w:rsidRDefault="009812F6" w:rsidP="00F17BA9">
      <w:pPr>
        <w:pStyle w:val="StyleAuthorsLeft0cm"/>
      </w:pPr>
      <w:r w:rsidRPr="009812F6">
        <w:t>Mike</w:t>
      </w:r>
      <w:r w:rsidR="008730B2" w:rsidRPr="009812F6">
        <w:t xml:space="preserve"> Brown</w:t>
      </w:r>
    </w:p>
    <w:p w:rsidR="008730B2" w:rsidRPr="008730B2" w:rsidRDefault="009C185E" w:rsidP="00F17BA9">
      <w:pPr>
        <w:pStyle w:val="StyleOrganisationLeft0cmRight-0cm"/>
      </w:pPr>
      <w:r>
        <w:t>La T</w:t>
      </w:r>
      <w:r w:rsidR="008730B2" w:rsidRPr="008730B2">
        <w:t xml:space="preserve">robe University </w:t>
      </w:r>
    </w:p>
    <w:p w:rsidR="008730B2" w:rsidRPr="008730B2" w:rsidRDefault="008730B2" w:rsidP="00F15EA3">
      <w:pPr>
        <w:pStyle w:val="Text"/>
        <w:spacing w:before="360"/>
        <w:ind w:right="0"/>
      </w:pPr>
      <w:r w:rsidRPr="008730B2">
        <w:t xml:space="preserve">This research examines explicit and implicit understandings of the training plan in apprenticeship contracts, and the potential impact </w:t>
      </w:r>
      <w:r w:rsidR="006C38C1" w:rsidRPr="008730B2">
        <w:t xml:space="preserve">of mismatched expectations </w:t>
      </w:r>
      <w:r w:rsidR="006C38C1">
        <w:t>on completion rates</w:t>
      </w:r>
      <w:r w:rsidRPr="008730B2">
        <w:t>. In order to examine the effects of mismatched un</w:t>
      </w:r>
      <w:r w:rsidR="006C38C1">
        <w:t>derstandings, a small research e</w:t>
      </w:r>
      <w:r w:rsidRPr="008730B2">
        <w:t xml:space="preserve">nquiry of four case studies </w:t>
      </w:r>
      <w:r w:rsidR="006C38C1">
        <w:t>was</w:t>
      </w:r>
      <w:r w:rsidRPr="008730B2">
        <w:t xml:space="preserve"> conducted with participants from the </w:t>
      </w:r>
      <w:r w:rsidR="00B16C29" w:rsidRPr="008730B2">
        <w:t>food trades industries</w:t>
      </w:r>
      <w:r w:rsidRPr="008730B2">
        <w:t>. Apprentices, employers, and trainers were all interviewed for their knowledge and understandings of the apprenticeship training agreement or training plan. The research findings show that the apprentices had poorly informed understandings of both the explicit conditions for training set</w:t>
      </w:r>
      <w:r w:rsidR="006C38C1">
        <w:t xml:space="preserve"> out </w:t>
      </w:r>
      <w:r w:rsidR="00B16C29">
        <w:t>in their training plan</w:t>
      </w:r>
      <w:r w:rsidRPr="008730B2">
        <w:t xml:space="preserve"> and the implied understandings </w:t>
      </w:r>
      <w:r w:rsidR="006C38C1">
        <w:t>associated with the training</w:t>
      </w:r>
      <w:r w:rsidRPr="008730B2">
        <w:t xml:space="preserve"> between the three signatory parties. These misunderstandings resulted in three of the four participants considering leaving their apprenticeships.</w:t>
      </w:r>
      <w:r w:rsidR="00611BDD">
        <w:t xml:space="preserve"> </w:t>
      </w:r>
    </w:p>
    <w:p w:rsidR="008730B2" w:rsidRPr="008730B2" w:rsidRDefault="008730B2" w:rsidP="008730B2">
      <w:pPr>
        <w:pStyle w:val="Heading2"/>
      </w:pPr>
      <w:bookmarkStart w:id="155" w:name="_Toc412455637"/>
      <w:bookmarkStart w:id="156" w:name="_Toc416683055"/>
      <w:r w:rsidRPr="008730B2">
        <w:t>Introduction</w:t>
      </w:r>
      <w:bookmarkEnd w:id="155"/>
      <w:bookmarkEnd w:id="156"/>
      <w:r w:rsidRPr="008730B2">
        <w:t xml:space="preserve"> </w:t>
      </w:r>
    </w:p>
    <w:p w:rsidR="008730B2" w:rsidRPr="008730B2" w:rsidRDefault="008730B2" w:rsidP="008730B2">
      <w:pPr>
        <w:pStyle w:val="Text"/>
      </w:pPr>
      <w:r w:rsidRPr="008730B2">
        <w:t xml:space="preserve">In this research paper the term </w:t>
      </w:r>
      <w:r w:rsidR="004C5471">
        <w:t>‘</w:t>
      </w:r>
      <w:r w:rsidRPr="008730B2">
        <w:t>apprentice</w:t>
      </w:r>
      <w:r w:rsidR="004C5471">
        <w:t>’</w:t>
      </w:r>
      <w:r w:rsidRPr="008730B2">
        <w:t xml:space="preserve"> covers both apprentices and trainees. Their training is conducted within an employment-based training arrangement, whereby the apprentice receives training instruction from their employer and a r</w:t>
      </w:r>
      <w:r w:rsidR="00B16C29">
        <w:t>egistered training organisation</w:t>
      </w:r>
      <w:r w:rsidRPr="008730B2">
        <w:t xml:space="preserve">. </w:t>
      </w:r>
    </w:p>
    <w:p w:rsidR="008730B2" w:rsidRPr="008730B2" w:rsidRDefault="008730B2" w:rsidP="008730B2">
      <w:pPr>
        <w:pStyle w:val="Text"/>
      </w:pPr>
      <w:r w:rsidRPr="008730B2">
        <w:t>A recurrent theme in the litera</w:t>
      </w:r>
      <w:r w:rsidR="00B16C29">
        <w:t>ture reviewed for this research</w:t>
      </w:r>
      <w:r w:rsidRPr="008730B2">
        <w:t xml:space="preserve"> is the role</w:t>
      </w:r>
      <w:r w:rsidR="00F83C17">
        <w:t xml:space="preserve"> that</w:t>
      </w:r>
      <w:r w:rsidRPr="008730B2">
        <w:t xml:space="preserve"> training plays in an apprentice or trainee</w:t>
      </w:r>
      <w:r w:rsidR="004C5471">
        <w:t>’</w:t>
      </w:r>
      <w:r w:rsidRPr="008730B2">
        <w:t>s decision to withdraw from their training cont</w:t>
      </w:r>
      <w:r w:rsidR="00B16C29">
        <w:t>ract (Commonwealth of Australia</w:t>
      </w:r>
      <w:r w:rsidRPr="008730B2">
        <w:t xml:space="preserve"> 2011; </w:t>
      </w:r>
      <w:r w:rsidR="00B16C29">
        <w:t xml:space="preserve">Curtin University, Centre for Labour Market Research 2007; Smith, Walker &amp; Brennan </w:t>
      </w:r>
      <w:proofErr w:type="spellStart"/>
      <w:r w:rsidR="00B16C29">
        <w:t>Kemmis</w:t>
      </w:r>
      <w:proofErr w:type="spellEnd"/>
      <w:r w:rsidRPr="008730B2">
        <w:t xml:space="preserve"> 2011). Industry groups, government, and educationists all acknowledge training</w:t>
      </w:r>
      <w:r w:rsidR="004C5471">
        <w:t>’</w:t>
      </w:r>
      <w:r w:rsidRPr="008730B2">
        <w:t>s importance in an apprentice or trainee</w:t>
      </w:r>
      <w:r w:rsidR="004C5471">
        <w:t>’</w:t>
      </w:r>
      <w:r w:rsidRPr="008730B2">
        <w:t>s decision to stay or leave (St</w:t>
      </w:r>
      <w:r w:rsidR="00B16C29">
        <w:t>rickland et al.</w:t>
      </w:r>
      <w:r w:rsidRPr="008730B2">
        <w:t xml:space="preserve"> </w:t>
      </w:r>
      <w:r w:rsidR="00B16C29">
        <w:t>2001; Commonwealth of Australia 2011; Chan</w:t>
      </w:r>
      <w:r w:rsidRPr="008730B2">
        <w:t xml:space="preserve"> </w:t>
      </w:r>
      <w:r w:rsidR="009607B3" w:rsidRPr="009607B3">
        <w:t>201</w:t>
      </w:r>
      <w:r w:rsidR="009607B3">
        <w:t>1</w:t>
      </w:r>
      <w:r w:rsidR="00FC1479">
        <w:t>). M</w:t>
      </w:r>
      <w:r w:rsidR="00FC1479" w:rsidRPr="008730B2">
        <w:t xml:space="preserve">any reasons for non-completion are listed </w:t>
      </w:r>
      <w:r w:rsidRPr="008730B2">
        <w:t>in the Commonwealth of Au</w:t>
      </w:r>
      <w:r w:rsidR="00FC1479">
        <w:t>stralia</w:t>
      </w:r>
      <w:r w:rsidR="004C5471">
        <w:t>’</w:t>
      </w:r>
      <w:r w:rsidR="00FC1479">
        <w:t xml:space="preserve">s comprehensive report, </w:t>
      </w:r>
      <w:r w:rsidR="00FC1479" w:rsidRPr="00FC1479">
        <w:rPr>
          <w:i/>
        </w:rPr>
        <w:t>A</w:t>
      </w:r>
      <w:r w:rsidR="00FC1479">
        <w:t xml:space="preserve"> </w:t>
      </w:r>
      <w:r w:rsidR="00FC1479" w:rsidRPr="00FC1479">
        <w:rPr>
          <w:i/>
        </w:rPr>
        <w:t>shared responsibility</w:t>
      </w:r>
      <w:r w:rsidR="00FC1479" w:rsidRPr="008730B2">
        <w:t xml:space="preserve"> </w:t>
      </w:r>
      <w:r w:rsidRPr="008730B2">
        <w:t>(2011)</w:t>
      </w:r>
      <w:r w:rsidR="00FC1479">
        <w:t xml:space="preserve">; however, of note </w:t>
      </w:r>
      <w:r w:rsidRPr="008730B2">
        <w:t>in this influential report</w:t>
      </w:r>
      <w:r w:rsidR="004C5471">
        <w:t>’</w:t>
      </w:r>
      <w:r w:rsidRPr="008730B2">
        <w:t xml:space="preserve">s findings is the lack of knowledge that apprentices, employers, and trainers have </w:t>
      </w:r>
      <w:r w:rsidR="00FC1479">
        <w:t>about</w:t>
      </w:r>
      <w:r w:rsidRPr="008730B2">
        <w:t xml:space="preserve"> t</w:t>
      </w:r>
      <w:r w:rsidR="00FC1479">
        <w:t xml:space="preserve">heir training responsibilities. </w:t>
      </w:r>
      <w:r w:rsidRPr="008730B2">
        <w:t xml:space="preserve">It has been this lack of knowledge of training </w:t>
      </w:r>
      <w:r w:rsidR="00274D68" w:rsidRPr="008730B2">
        <w:t xml:space="preserve">commitments </w:t>
      </w:r>
      <w:r w:rsidR="00F83C17">
        <w:t>in the various apprenticeship participant</w:t>
      </w:r>
      <w:r w:rsidR="00F83C17" w:rsidRPr="008730B2">
        <w:t xml:space="preserve">s </w:t>
      </w:r>
      <w:r w:rsidR="00274D68" w:rsidRPr="008730B2">
        <w:t>that</w:t>
      </w:r>
      <w:r w:rsidRPr="008730B2">
        <w:t xml:space="preserve"> has provided the framewor</w:t>
      </w:r>
      <w:r w:rsidR="00F83C17">
        <w:t xml:space="preserve">k for the research question </w:t>
      </w:r>
      <w:r w:rsidRPr="008730B2">
        <w:t xml:space="preserve">in this </w:t>
      </w:r>
      <w:r w:rsidR="00FC1479">
        <w:t>paper</w:t>
      </w:r>
      <w:r w:rsidRPr="008730B2">
        <w:t>:</w:t>
      </w:r>
      <w:r w:rsidR="00611BDD">
        <w:t xml:space="preserve"> </w:t>
      </w:r>
      <w:r w:rsidRPr="008730B2">
        <w:t xml:space="preserve">are broken training expectations and understandings contributing to higher non-completion rates within the </w:t>
      </w:r>
      <w:r w:rsidR="00FC1479" w:rsidRPr="008730B2">
        <w:t>food trades</w:t>
      </w:r>
      <w:r w:rsidRPr="008730B2">
        <w:t>?</w:t>
      </w:r>
      <w:r w:rsidR="00611BDD">
        <w:t xml:space="preserve"> </w:t>
      </w:r>
    </w:p>
    <w:p w:rsidR="008730B2" w:rsidRPr="008730B2" w:rsidRDefault="008730B2" w:rsidP="008730B2">
      <w:pPr>
        <w:pStyle w:val="Heading2"/>
      </w:pPr>
      <w:bookmarkStart w:id="157" w:name="_Toc412455638"/>
      <w:bookmarkStart w:id="158" w:name="_Toc416683056"/>
      <w:r w:rsidRPr="008730B2">
        <w:t>Literature and background</w:t>
      </w:r>
      <w:bookmarkEnd w:id="157"/>
      <w:bookmarkEnd w:id="158"/>
    </w:p>
    <w:p w:rsidR="008730B2" w:rsidRPr="008730B2" w:rsidRDefault="008730B2" w:rsidP="008730B2">
      <w:pPr>
        <w:pStyle w:val="Text"/>
      </w:pPr>
      <w:r w:rsidRPr="008730B2">
        <w:t xml:space="preserve">For most of the </w:t>
      </w:r>
      <w:r w:rsidR="00FC1479" w:rsidRPr="008730B2">
        <w:t xml:space="preserve">twentieth century </w:t>
      </w:r>
      <w:r w:rsidRPr="008730B2">
        <w:t xml:space="preserve">the completion rates for traditional apprenticeships have been in the </w:t>
      </w:r>
      <w:r w:rsidR="00FC1479">
        <w:t>80—90% range (</w:t>
      </w:r>
      <w:proofErr w:type="spellStart"/>
      <w:r w:rsidR="00FC1479">
        <w:t>Stromback</w:t>
      </w:r>
      <w:proofErr w:type="spellEnd"/>
      <w:r w:rsidRPr="008730B2">
        <w:t xml:space="preserve"> 2006). Interestingly, in the last </w:t>
      </w:r>
      <w:r w:rsidR="00FC1479">
        <w:t>30</w:t>
      </w:r>
      <w:r w:rsidRPr="008730B2">
        <w:t xml:space="preserve"> years those rates have declined to a </w:t>
      </w:r>
      <w:r w:rsidR="00FC1479">
        <w:t>figure of 55.4% in 2011 (Knight 2012; NCVER</w:t>
      </w:r>
      <w:r w:rsidRPr="008730B2">
        <w:t xml:space="preserve"> 2011), with some areas such as </w:t>
      </w:r>
      <w:r w:rsidR="00FC1479" w:rsidRPr="008730B2">
        <w:t xml:space="preserve">food trades </w:t>
      </w:r>
      <w:r w:rsidRPr="008730B2">
        <w:t>experiencing completi</w:t>
      </w:r>
      <w:r w:rsidR="00FC1479">
        <w:t>on rates as low as 38.7% (NCVER</w:t>
      </w:r>
      <w:r w:rsidRPr="008730B2">
        <w:t xml:space="preserve"> 2011).</w:t>
      </w:r>
      <w:r w:rsidR="00611BDD">
        <w:t xml:space="preserve"> </w:t>
      </w:r>
      <w:r w:rsidRPr="008730B2">
        <w:t xml:space="preserve">In the </w:t>
      </w:r>
      <w:r w:rsidR="00FC1479">
        <w:t>Australian</w:t>
      </w:r>
      <w:r w:rsidR="00F83C17">
        <w:t xml:space="preserve"> Government report into a</w:t>
      </w:r>
      <w:r w:rsidRPr="008730B2">
        <w:t xml:space="preserve">pprenticeships for the </w:t>
      </w:r>
      <w:r w:rsidR="00F83C17">
        <w:t xml:space="preserve">twenty-first </w:t>
      </w:r>
      <w:r w:rsidRPr="008730B2">
        <w:t xml:space="preserve">century </w:t>
      </w:r>
      <w:r w:rsidR="00671C09" w:rsidRPr="008730B2">
        <w:fldChar w:fldCharType="begin"/>
      </w:r>
      <w:r w:rsidRPr="008730B2">
        <w:instrText xml:space="preserve"> ADDIN EN.CITE &lt;EndNote&gt;&lt;Cite&gt;&lt;Year&gt;2011&lt;/Year&gt;&lt;RecNum&gt;0&lt;/RecNum&gt;&lt;IDText&gt;A shared responsibility: Apprenticeships for the 21st Century, final report of the expert panel&lt;/IDText&gt;&lt;DisplayText&gt;(2011)&lt;/DisplayText&gt;&lt;record&gt;&lt;ref-type name="Report"&gt;27&lt;/ref-type&gt;&lt;contributors /&gt;&lt;titles&gt;&lt;title&gt;A shared responsibility: Apprenticeships for the 21st Century, final report of the expert panel&lt;/title&gt;&lt;/titles&gt;&lt;dates&gt;&lt;year&gt;2011&lt;/year&gt;&lt;/dates&gt;&lt;pub-location&gt;Canberra&lt;/pub-location&gt;&lt;publisher&gt;Commonwealth of Australia&lt;/publisher&gt;&lt;/record&gt;&lt;/Cite&gt;&lt;/EndNote&gt;</w:instrText>
      </w:r>
      <w:r w:rsidR="00671C09" w:rsidRPr="008730B2">
        <w:fldChar w:fldCharType="separate"/>
      </w:r>
      <w:r w:rsidRPr="008730B2">
        <w:t>(</w:t>
      </w:r>
      <w:hyperlink w:anchor="_ENREF_1" w:tooltip=", 2011" w:history="1">
        <w:r w:rsidRPr="008730B2">
          <w:t>2011</w:t>
        </w:r>
      </w:hyperlink>
      <w:r w:rsidRPr="008730B2">
        <w:t>)</w:t>
      </w:r>
      <w:r w:rsidR="00671C09" w:rsidRPr="008730B2">
        <w:fldChar w:fldCharType="end"/>
      </w:r>
      <w:r w:rsidRPr="008730B2">
        <w:t xml:space="preserve">, this </w:t>
      </w:r>
      <w:r w:rsidR="00F83C17">
        <w:t>was</w:t>
      </w:r>
      <w:r w:rsidRPr="008730B2">
        <w:t xml:space="preserve"> highlighted as </w:t>
      </w:r>
      <w:r w:rsidR="004C5471">
        <w:t>‘</w:t>
      </w:r>
      <w:r w:rsidRPr="008730B2">
        <w:t>unacceptably low</w:t>
      </w:r>
      <w:r w:rsidR="004C5471">
        <w:t>’</w:t>
      </w:r>
      <w:r w:rsidRPr="008730B2">
        <w:t xml:space="preserve"> (p.9)</w:t>
      </w:r>
      <w:r w:rsidR="00FC1479">
        <w:t>,</w:t>
      </w:r>
      <w:r w:rsidRPr="008730B2">
        <w:t xml:space="preserve"> </w:t>
      </w:r>
      <w:r w:rsidRPr="008730B2">
        <w:lastRenderedPageBreak/>
        <w:t>with the authors identifying training as an area for improvement if c</w:t>
      </w:r>
      <w:r w:rsidR="00AB145C">
        <w:t xml:space="preserve">ompletion rates are to rise, while </w:t>
      </w:r>
      <w:r w:rsidRPr="008730B2">
        <w:t>the Victorian Government Auditor-General</w:t>
      </w:r>
      <w:r w:rsidR="004C5471">
        <w:t>’</w:t>
      </w:r>
      <w:r w:rsidRPr="008730B2">
        <w:t>s report (2014) also identified apprenticeship training</w:t>
      </w:r>
      <w:r w:rsidR="00AB145C">
        <w:t xml:space="preserve"> as an area of concern</w:t>
      </w:r>
      <w:r w:rsidRPr="008730B2">
        <w:t>. Importantly, the Auditor-General identified the role that employers play in apprenticeship, by providing on-the-job training</w:t>
      </w:r>
      <w:r w:rsidR="00FC1479">
        <w:t>,</w:t>
      </w:r>
      <w:r w:rsidRPr="008730B2">
        <w:t xml:space="preserve"> and the exposure required for an apprentice to receive the range of work experience necessary to complete their qualification (p.24). In this area of supporting and developing the skills of apprentices, the authors found that not all employers were </w:t>
      </w:r>
      <w:r w:rsidR="004C5471">
        <w:t>‘</w:t>
      </w:r>
      <w:r w:rsidRPr="008730B2">
        <w:t>fit and proper</w:t>
      </w:r>
      <w:r w:rsidR="004C5471">
        <w:t>’</w:t>
      </w:r>
      <w:r w:rsidRPr="008730B2">
        <w:t xml:space="preserve"> (p.18), and recommended that the Victorian Registration and Qualifications Authority (VRQA) </w:t>
      </w:r>
      <w:r w:rsidR="004C5471">
        <w:t>‘</w:t>
      </w:r>
      <w:r w:rsidRPr="008730B2">
        <w:t>develop a robust employer approval process</w:t>
      </w:r>
      <w:r w:rsidR="004C5471">
        <w:t>’</w:t>
      </w:r>
      <w:r w:rsidRPr="008730B2">
        <w:t xml:space="preserve"> (</w:t>
      </w:r>
      <w:r w:rsidR="001D46F5">
        <w:t xml:space="preserve">2014, </w:t>
      </w:r>
      <w:r w:rsidRPr="008730B2">
        <w:t xml:space="preserve">p.18). </w:t>
      </w:r>
      <w:r w:rsidR="00F83C17">
        <w:t xml:space="preserve">This view </w:t>
      </w:r>
      <w:r w:rsidRPr="008730B2">
        <w:t xml:space="preserve">echoes the </w:t>
      </w:r>
      <w:r w:rsidR="001D46F5" w:rsidRPr="008730B2">
        <w:t xml:space="preserve">findings </w:t>
      </w:r>
      <w:r w:rsidR="001D46F5">
        <w:t xml:space="preserve">of the </w:t>
      </w:r>
      <w:r w:rsidRPr="008730B2">
        <w:t>Comm</w:t>
      </w:r>
      <w:r w:rsidR="001D46F5">
        <w:t>onwealth of Australia</w:t>
      </w:r>
      <w:r w:rsidR="004C5471">
        <w:t>’</w:t>
      </w:r>
      <w:r w:rsidR="001D46F5">
        <w:t>s report</w:t>
      </w:r>
      <w:r w:rsidRPr="008730B2">
        <w:t xml:space="preserve"> that </w:t>
      </w:r>
      <w:r w:rsidR="004C5471">
        <w:t>‘</w:t>
      </w:r>
      <w:r w:rsidRPr="008730B2">
        <w:t>a fundamental element of an apprenticeship or traineeship is the employment relationship, underpinned by a training contract and quality training</w:t>
      </w:r>
      <w:r w:rsidR="004C5471">
        <w:t>’</w:t>
      </w:r>
      <w:r w:rsidRPr="008730B2">
        <w:t xml:space="preserve"> (</w:t>
      </w:r>
      <w:r w:rsidR="001D46F5">
        <w:t xml:space="preserve">2011, </w:t>
      </w:r>
      <w:r w:rsidRPr="008730B2">
        <w:t xml:space="preserve">p.11). This concern for the propriety of employers as workplace trainers and skill developers has also been identified in the sphere of educational researchers such as Fuller and Unwin (2013), who argue that employers are responsible for creating </w:t>
      </w:r>
      <w:r w:rsidR="004C5471">
        <w:t>‘</w:t>
      </w:r>
      <w:r w:rsidRPr="008730B2">
        <w:t>expansive</w:t>
      </w:r>
      <w:r w:rsidR="004C5471">
        <w:t>’</w:t>
      </w:r>
      <w:r w:rsidRPr="008730B2">
        <w:t xml:space="preserve"> or </w:t>
      </w:r>
      <w:r w:rsidR="004C5471">
        <w:t>‘</w:t>
      </w:r>
      <w:r w:rsidRPr="008730B2">
        <w:t>restrictive</w:t>
      </w:r>
      <w:r w:rsidR="004C5471">
        <w:t>’</w:t>
      </w:r>
      <w:r w:rsidRPr="008730B2">
        <w:t xml:space="preserve"> workplaces. Here the authors paint a vivid pictur</w:t>
      </w:r>
      <w:r w:rsidR="001D46F5">
        <w:t xml:space="preserve">e of </w:t>
      </w:r>
      <w:r w:rsidR="004C5471">
        <w:t>‘</w:t>
      </w:r>
      <w:r w:rsidR="001D46F5">
        <w:t>expansive</w:t>
      </w:r>
      <w:r w:rsidR="004C5471">
        <w:t>’</w:t>
      </w:r>
      <w:r w:rsidR="001D46F5">
        <w:t xml:space="preserve"> workplaces, which</w:t>
      </w:r>
      <w:r w:rsidRPr="008730B2">
        <w:t xml:space="preserve"> promote the status of apprenti</w:t>
      </w:r>
      <w:r w:rsidR="001D46F5">
        <w:t>ce as both learner and employee</w:t>
      </w:r>
      <w:r w:rsidRPr="008730B2">
        <w:t xml:space="preserve"> engaging in a gradual and educationally rich transition towards ex</w:t>
      </w:r>
      <w:r w:rsidR="001D46F5">
        <w:t>pertise and tradesperson status in contrast to</w:t>
      </w:r>
      <w:r w:rsidRPr="008730B2">
        <w:t xml:space="preserve"> </w:t>
      </w:r>
      <w:r w:rsidR="004C5471">
        <w:t>‘</w:t>
      </w:r>
      <w:r w:rsidRPr="008730B2">
        <w:t>restrictive</w:t>
      </w:r>
      <w:r w:rsidR="004C5471">
        <w:t>’</w:t>
      </w:r>
      <w:r w:rsidRPr="008730B2">
        <w:t xml:space="preserve"> workplaces</w:t>
      </w:r>
      <w:r w:rsidR="001D46F5">
        <w:t>,</w:t>
      </w:r>
      <w:r w:rsidRPr="008730B2">
        <w:t xml:space="preserve"> where the status of employee dominates over learner, and apprentices are treated as an extra set of hands who require only limited knowledge and skills for specific tasks (Fuller </w:t>
      </w:r>
      <w:r w:rsidR="001D46F5">
        <w:t>&amp; Unwin</w:t>
      </w:r>
      <w:r w:rsidRPr="008730B2">
        <w:t xml:space="preserve"> 2013).</w:t>
      </w:r>
    </w:p>
    <w:p w:rsidR="008730B2" w:rsidRPr="008730B2" w:rsidRDefault="001D46F5" w:rsidP="00757A60">
      <w:pPr>
        <w:pStyle w:val="Text"/>
        <w:ind w:right="-143"/>
      </w:pPr>
      <w:r>
        <w:t>In Strickland</w:t>
      </w:r>
      <w:r w:rsidR="008730B2" w:rsidRPr="008730B2">
        <w:t xml:space="preserve"> et al. (2001) these views are extended to include technical trad</w:t>
      </w:r>
      <w:r w:rsidR="00AB145C">
        <w:t>es teachers. The authors call for</w:t>
      </w:r>
      <w:r w:rsidR="008730B2" w:rsidRPr="008730B2">
        <w:t xml:space="preserve"> </w:t>
      </w:r>
      <w:r w:rsidR="004C5471">
        <w:t>‘</w:t>
      </w:r>
      <w:r w:rsidR="008730B2" w:rsidRPr="008730B2">
        <w:t>quality interactions and interpersonal relationships</w:t>
      </w:r>
      <w:r w:rsidR="004C5471">
        <w:t>’</w:t>
      </w:r>
      <w:r>
        <w:t xml:space="preserve"> (Strickland et al. 2001, </w:t>
      </w:r>
      <w:r w:rsidR="008730B2" w:rsidRPr="008730B2">
        <w:t>p.26)</w:t>
      </w:r>
      <w:r>
        <w:t xml:space="preserve"> between apprentices, employers</w:t>
      </w:r>
      <w:r w:rsidR="008730B2" w:rsidRPr="008730B2">
        <w:t xml:space="preserve"> and trainers from </w:t>
      </w:r>
      <w:r>
        <w:t>registered training organisations</w:t>
      </w:r>
      <w:r w:rsidR="008730B2" w:rsidRPr="008730B2">
        <w:t xml:space="preserve"> to ensure that workplace training is delivered to a high standar</w:t>
      </w:r>
      <w:r>
        <w:t>d. This concept of increased co</w:t>
      </w:r>
      <w:r w:rsidR="008730B2" w:rsidRPr="008730B2">
        <w:t xml:space="preserve">operation is further reinforced in overseas literature by </w:t>
      </w:r>
      <w:r w:rsidR="008730B2" w:rsidRPr="009607B3">
        <w:t xml:space="preserve">Chan </w:t>
      </w:r>
      <w:r w:rsidR="009607B3" w:rsidRPr="009607B3">
        <w:t>(2011</w:t>
      </w:r>
      <w:r w:rsidR="008730B2" w:rsidRPr="008730B2">
        <w:t xml:space="preserve">), identifying that </w:t>
      </w:r>
      <w:r w:rsidR="004C5471">
        <w:t>‘</w:t>
      </w:r>
      <w:r w:rsidR="008730B2" w:rsidRPr="008730B2">
        <w:t>all three parties are required to work together to ensure shared understandings about expectations, roles, and responsibilities</w:t>
      </w:r>
      <w:r w:rsidR="004C5471">
        <w:t>’</w:t>
      </w:r>
      <w:r w:rsidR="008730B2" w:rsidRPr="008730B2">
        <w:t xml:space="preserve">(p.15).This emphasis of </w:t>
      </w:r>
      <w:r>
        <w:t xml:space="preserve">the </w:t>
      </w:r>
      <w:r w:rsidRPr="008730B2">
        <w:t xml:space="preserve">crucial involvement </w:t>
      </w:r>
      <w:r>
        <w:t>of all parties</w:t>
      </w:r>
      <w:r w:rsidR="008730B2" w:rsidRPr="008730B2">
        <w:t xml:space="preserve"> in training in workplace learning is similarly enforced in the work of other workplace learning theorists such as </w:t>
      </w:r>
      <w:proofErr w:type="spellStart"/>
      <w:r w:rsidR="008730B2" w:rsidRPr="008730B2">
        <w:t>Billett</w:t>
      </w:r>
      <w:proofErr w:type="spellEnd"/>
      <w:r w:rsidR="008730B2" w:rsidRPr="008730B2">
        <w:t xml:space="preserve"> (2004), </w:t>
      </w:r>
      <w:proofErr w:type="spellStart"/>
      <w:r w:rsidR="008730B2" w:rsidRPr="008730B2">
        <w:t>Illeris</w:t>
      </w:r>
      <w:proofErr w:type="spellEnd"/>
      <w:r w:rsidR="008730B2" w:rsidRPr="008730B2">
        <w:t xml:space="preserve"> (2011), and Beckett </w:t>
      </w:r>
      <w:r>
        <w:t>and</w:t>
      </w:r>
      <w:r w:rsidR="008730B2" w:rsidRPr="008730B2">
        <w:t xml:space="preserve"> Hager (2002). Central to their research on workplace learning are two common ideas: that learning is a social process taking place </w:t>
      </w:r>
      <w:r w:rsidR="004C5471">
        <w:t>‘</w:t>
      </w:r>
      <w:r w:rsidR="008730B2" w:rsidRPr="008730B2">
        <w:t>between</w:t>
      </w:r>
      <w:r w:rsidR="004C5471">
        <w:t>’</w:t>
      </w:r>
      <w:r w:rsidR="008730B2" w:rsidRPr="008730B2">
        <w:t xml:space="preserve"> people and not only </w:t>
      </w:r>
      <w:r w:rsidR="004C5471">
        <w:t>‘</w:t>
      </w:r>
      <w:r w:rsidR="008730B2" w:rsidRPr="008730B2">
        <w:t>in</w:t>
      </w:r>
      <w:r w:rsidR="004C5471">
        <w:t>’</w:t>
      </w:r>
      <w:r w:rsidR="008730B2" w:rsidRPr="008730B2">
        <w:t xml:space="preserve"> people, and</w:t>
      </w:r>
      <w:r w:rsidR="00271733">
        <w:t>,</w:t>
      </w:r>
      <w:r w:rsidR="008730B2" w:rsidRPr="008730B2">
        <w:t xml:space="preserve"> secondly, that an appropriate culture of learning, training and a supportive environment, are important for learning to take place effectively. Smith, Walker</w:t>
      </w:r>
      <w:r>
        <w:t xml:space="preserve"> and </w:t>
      </w:r>
      <w:r w:rsidR="00271733">
        <w:t xml:space="preserve">Brennan </w:t>
      </w:r>
      <w:proofErr w:type="spellStart"/>
      <w:r w:rsidR="008730B2" w:rsidRPr="008730B2">
        <w:t>Kemmis</w:t>
      </w:r>
      <w:proofErr w:type="spellEnd"/>
      <w:r w:rsidR="008730B2" w:rsidRPr="008730B2">
        <w:t xml:space="preserve"> (2011) further the argumen</w:t>
      </w:r>
      <w:r>
        <w:t>t for shared understandings in the workplace</w:t>
      </w:r>
      <w:r w:rsidR="008730B2" w:rsidRPr="008730B2">
        <w:t xml:space="preserve"> and identify the role that mismatched expectations of a workplace and of the </w:t>
      </w:r>
      <w:r w:rsidR="00AB145C">
        <w:t>apprenticeship participants has</w:t>
      </w:r>
      <w:r w:rsidR="008730B2" w:rsidRPr="008730B2">
        <w:t xml:space="preserve"> in leading to apprentice disengag</w:t>
      </w:r>
      <w:r w:rsidR="00271733">
        <w:t>ement</w:t>
      </w:r>
      <w:r w:rsidR="008730B2" w:rsidRPr="008730B2">
        <w:t>. In this study the authors examine the implicit and explicit understandings of an apprenticeship agreement created at t</w:t>
      </w:r>
      <w:r>
        <w:t xml:space="preserve">he outset of an apprenticeship. </w:t>
      </w:r>
      <w:r w:rsidR="008730B2" w:rsidRPr="008730B2">
        <w:t>Here the authors identify explicit promises as those that refer to pay rates, co</w:t>
      </w:r>
      <w:r>
        <w:t>nditions, and industrial awards,</w:t>
      </w:r>
      <w:r w:rsidR="008730B2" w:rsidRPr="008730B2">
        <w:t xml:space="preserve"> whereas implicit understandings are identified as those that are unstated and generally inferred through conversation, actions, and unspoken understandings.</w:t>
      </w:r>
    </w:p>
    <w:p w:rsidR="008730B2" w:rsidRPr="008730B2" w:rsidRDefault="008730B2" w:rsidP="008730B2">
      <w:pPr>
        <w:pStyle w:val="Text"/>
      </w:pPr>
      <w:r w:rsidRPr="008730B2">
        <w:t xml:space="preserve">In this research paper we have sought to extend this line of examination to the </w:t>
      </w:r>
      <w:r w:rsidR="001D46F5">
        <w:t xml:space="preserve">understanding that the three </w:t>
      </w:r>
      <w:r w:rsidRPr="008730B2">
        <w:t>parties</w:t>
      </w:r>
      <w:r w:rsidR="001D46F5">
        <w:t xml:space="preserve"> have</w:t>
      </w:r>
      <w:r w:rsidRPr="008730B2">
        <w:t xml:space="preserve"> </w:t>
      </w:r>
      <w:r w:rsidR="001D46F5">
        <w:t>about</w:t>
      </w:r>
      <w:r w:rsidRPr="008730B2">
        <w:t xml:space="preserve"> training commitments. We focused on the training plan as a means to investigate the implicit and explicit understandings created around apprenticeship training. The training plan is a document that is </w:t>
      </w:r>
      <w:r w:rsidR="004C5471">
        <w:t>‘</w:t>
      </w:r>
      <w:r w:rsidRPr="008730B2">
        <w:t>signed on</w:t>
      </w:r>
      <w:r w:rsidR="004C5471">
        <w:t>’</w:t>
      </w:r>
      <w:r w:rsidRPr="008730B2">
        <w:t xml:space="preserve"> at the beginning of the trade commencement, and then </w:t>
      </w:r>
      <w:r w:rsidR="004C5471">
        <w:t>‘</w:t>
      </w:r>
      <w:r w:rsidRPr="008730B2">
        <w:t>signed off</w:t>
      </w:r>
      <w:r w:rsidR="004C5471">
        <w:t>’</w:t>
      </w:r>
      <w:r w:rsidRPr="008730B2">
        <w:t xml:space="preserve"> once the apprentice is deemed to have completed their trai</w:t>
      </w:r>
      <w:r w:rsidR="00FF5FE4">
        <w:t>ning (Commonwealth of Australia</w:t>
      </w:r>
      <w:r w:rsidRPr="008730B2">
        <w:t xml:space="preserve"> 2011). It is referred to in this report as a </w:t>
      </w:r>
      <w:r w:rsidR="004C5471">
        <w:t>‘</w:t>
      </w:r>
      <w:r w:rsidRPr="008730B2">
        <w:t>road map</w:t>
      </w:r>
      <w:r w:rsidR="004C5471">
        <w:t>’</w:t>
      </w:r>
      <w:r w:rsidRPr="008730B2">
        <w:t xml:space="preserve">, due to its linear progression towards the destination of completion. The </w:t>
      </w:r>
      <w:r w:rsidRPr="00FF5FE4">
        <w:rPr>
          <w:i/>
        </w:rPr>
        <w:t>Education and Training Reform Act 2006</w:t>
      </w:r>
      <w:r w:rsidRPr="008730B2">
        <w:t xml:space="preserve"> requires employers, trainers and apprentices to comply with training contracts and train</w:t>
      </w:r>
      <w:r w:rsidR="00271733">
        <w:t>ing plans (V</w:t>
      </w:r>
      <w:r w:rsidR="00AB145C">
        <w:t>ictorian Government</w:t>
      </w:r>
      <w:r w:rsidR="00271733">
        <w:t xml:space="preserve"> Auditor-</w:t>
      </w:r>
      <w:r w:rsidR="00FF5FE4">
        <w:t>General</w:t>
      </w:r>
      <w:r w:rsidRPr="008730B2">
        <w:t xml:space="preserve"> 2014), and as such it is considered an important legal document. The document works to encapsulate the contractual commitments of all three parties to the training process, from the </w:t>
      </w:r>
      <w:r w:rsidRPr="008730B2">
        <w:lastRenderedPageBreak/>
        <w:t>start of the apprenticeship until comple</w:t>
      </w:r>
      <w:r w:rsidR="00FF5FE4">
        <w:t>tion (Commonwealth of Australia</w:t>
      </w:r>
      <w:r w:rsidRPr="008730B2">
        <w:t xml:space="preserve"> 2011; </w:t>
      </w:r>
      <w:r w:rsidR="00FF5FE4">
        <w:t xml:space="preserve">Victorian Department of Education and Early Childhood Development </w:t>
      </w:r>
      <w:r w:rsidRPr="008730B2">
        <w:t xml:space="preserve">2014; </w:t>
      </w:r>
      <w:r w:rsidR="00FF5FE4">
        <w:t>Victorian Registration and Qualifications Authority</w:t>
      </w:r>
      <w:r w:rsidRPr="008730B2">
        <w:t xml:space="preserve"> 2014). </w:t>
      </w:r>
      <w:r w:rsidR="00FF5FE4">
        <w:t>In creating</w:t>
      </w:r>
      <w:r w:rsidRPr="008730B2">
        <w:t xml:space="preserve"> a training plan</w:t>
      </w:r>
      <w:r w:rsidR="00FF5FE4">
        <w:t>,</w:t>
      </w:r>
      <w:r w:rsidRPr="008730B2">
        <w:t xml:space="preserve"> the apprentice, employer, and the </w:t>
      </w:r>
      <w:r w:rsidR="00FF5FE4">
        <w:t>representative from the registered training organisation</w:t>
      </w:r>
      <w:r w:rsidRPr="008730B2">
        <w:t xml:space="preserve"> all discuss and negotiate the methods of training delivery and assessment. Time lines for </w:t>
      </w:r>
      <w:r w:rsidR="00FF5FE4">
        <w:t xml:space="preserve">the </w:t>
      </w:r>
      <w:r w:rsidRPr="008730B2">
        <w:t xml:space="preserve">delivery of curricular activities, as well as theoretical knowledge and practical training delivery, are negotiated by the parties. The trainer </w:t>
      </w:r>
      <w:r w:rsidR="00271733">
        <w:t>initially constructs</w:t>
      </w:r>
      <w:r w:rsidRPr="008730B2">
        <w:t xml:space="preserve"> the document </w:t>
      </w:r>
      <w:r w:rsidR="00271733">
        <w:t>but</w:t>
      </w:r>
      <w:r w:rsidRPr="008730B2">
        <w:t xml:space="preserve"> is required to include the other parties in the negotiation of its contents (</w:t>
      </w:r>
      <w:r w:rsidR="00FF5FE4">
        <w:t xml:space="preserve">Victorian Department of Education and Early Childhood Development </w:t>
      </w:r>
      <w:r w:rsidRPr="008730B2">
        <w:t xml:space="preserve">2014; </w:t>
      </w:r>
      <w:r w:rsidR="00FF5FE4">
        <w:t>Victorian Registration and Qualifications Authority</w:t>
      </w:r>
      <w:r w:rsidR="00FF5FE4" w:rsidRPr="008730B2">
        <w:t xml:space="preserve"> </w:t>
      </w:r>
      <w:r w:rsidRPr="008730B2">
        <w:t xml:space="preserve">2014). The employer, for their part, is required to </w:t>
      </w:r>
      <w:r w:rsidR="00FF5FE4">
        <w:t>make a commitment</w:t>
      </w:r>
      <w:r w:rsidRPr="008730B2">
        <w:t xml:space="preserve"> to the structured training of apprentices, wi</w:t>
      </w:r>
      <w:r w:rsidR="00271733">
        <w:t xml:space="preserve">th allocated time set aside </w:t>
      </w:r>
      <w:r w:rsidRPr="008730B2">
        <w:t xml:space="preserve">in the workplace for scheduled training. The input of the apprentice is essential, especially in </w:t>
      </w:r>
      <w:r w:rsidR="00434917">
        <w:t>relation to</w:t>
      </w:r>
      <w:r w:rsidRPr="008730B2">
        <w:t xml:space="preserve"> consultation over assessment and curriculum delivery methods.</w:t>
      </w:r>
      <w:r w:rsidR="00FF5FE4">
        <w:t xml:space="preserve"> Importantly for the apprentice,</w:t>
      </w:r>
      <w:r w:rsidRPr="008730B2">
        <w:t xml:space="preserve"> once all the training competencies have been met, they are then entitled to complete their apprenticeship under the rules of </w:t>
      </w:r>
      <w:r w:rsidR="004C5471">
        <w:t>‘</w:t>
      </w:r>
      <w:r w:rsidRPr="008730B2">
        <w:t>competency based completion</w:t>
      </w:r>
      <w:r w:rsidR="004C5471">
        <w:t>’</w:t>
      </w:r>
      <w:r w:rsidRPr="008730B2">
        <w:t>, which allows for the provision of the early completion of their apprentice</w:t>
      </w:r>
      <w:r w:rsidR="00434917">
        <w:t>ship (Commonwealth of Australia</w:t>
      </w:r>
      <w:r w:rsidRPr="008730B2">
        <w:t xml:space="preserve"> 2011; </w:t>
      </w:r>
      <w:r w:rsidR="00434917">
        <w:t>Victorian Department of Education and Early Childhood Development</w:t>
      </w:r>
      <w:r w:rsidR="00434917" w:rsidRPr="008730B2">
        <w:t xml:space="preserve"> </w:t>
      </w:r>
      <w:r w:rsidRPr="008730B2">
        <w:t xml:space="preserve">2014; </w:t>
      </w:r>
      <w:r w:rsidR="00434917">
        <w:t>Victorian Registration and Qualifications Authority</w:t>
      </w:r>
      <w:r w:rsidRPr="008730B2">
        <w:t xml:space="preserve"> 2014). In their large and influential inquiry into apprenticeship training models in 2001, Strickland et al</w:t>
      </w:r>
      <w:r w:rsidR="00434917">
        <w:t>.</w:t>
      </w:r>
      <w:r w:rsidRPr="008730B2">
        <w:t xml:space="preserve"> recommended the stricter implementation of training plans as a means of ensu</w:t>
      </w:r>
      <w:r w:rsidR="00434917">
        <w:t>ring higher-</w:t>
      </w:r>
      <w:r w:rsidRPr="008730B2">
        <w:t>quality training and learning outcomes in apprentice</w:t>
      </w:r>
      <w:r w:rsidR="00434917">
        <w:t>ship training (Strickland et al.</w:t>
      </w:r>
      <w:r w:rsidRPr="008730B2">
        <w:t xml:space="preserve"> 2001). The researchers posited that training plans could facilitate increased communication between parties, especially in the areas of training and assessment. The researchers further recommended that training plans provide greater opportunity for apprentices to have increased input into the training and assessment process. </w:t>
      </w:r>
    </w:p>
    <w:p w:rsidR="008730B2" w:rsidRPr="008730B2" w:rsidRDefault="008730B2" w:rsidP="008730B2">
      <w:pPr>
        <w:pStyle w:val="Heading2"/>
      </w:pPr>
      <w:bookmarkStart w:id="159" w:name="_Toc412455639"/>
      <w:bookmarkStart w:id="160" w:name="_Toc416683057"/>
      <w:r w:rsidRPr="008730B2">
        <w:t>Research methods</w:t>
      </w:r>
      <w:bookmarkEnd w:id="159"/>
      <w:bookmarkEnd w:id="160"/>
    </w:p>
    <w:p w:rsidR="008730B2" w:rsidRPr="008730B2" w:rsidRDefault="008730B2" w:rsidP="008730B2">
      <w:pPr>
        <w:pStyle w:val="Text"/>
      </w:pPr>
      <w:r w:rsidRPr="008730B2">
        <w:t>Four case studies formed the basis of this research</w:t>
      </w:r>
      <w:r w:rsidR="00434917">
        <w:t>,</w:t>
      </w:r>
      <w:r w:rsidRPr="008730B2">
        <w:t xml:space="preserve"> which used a parallel mixed-m</w:t>
      </w:r>
      <w:r w:rsidR="00434917">
        <w:t>ethods research design (</w:t>
      </w:r>
      <w:proofErr w:type="spellStart"/>
      <w:r w:rsidR="00434917">
        <w:t>Mertens</w:t>
      </w:r>
      <w:proofErr w:type="spellEnd"/>
      <w:r w:rsidRPr="008730B2">
        <w:t xml:space="preserve"> 2005) and incorporated the use of semi-structured interviews and Likert scale surveys.</w:t>
      </w:r>
      <w:r w:rsidR="00611BDD">
        <w:t xml:space="preserve"> </w:t>
      </w:r>
      <w:r w:rsidRPr="008730B2">
        <w:t>The surveys were administered to th</w:t>
      </w:r>
      <w:r w:rsidR="00434917">
        <w:t>e three key participant groups —</w:t>
      </w:r>
      <w:r w:rsidRPr="008730B2">
        <w:t xml:space="preserve"> app</w:t>
      </w:r>
      <w:r w:rsidR="00434917">
        <w:t>rentice, employer, and trainer —</w:t>
      </w:r>
      <w:r w:rsidRPr="008730B2">
        <w:t xml:space="preserve"> as a means of measuring their explicit and implicit understandings of the apprenticeship arrangement. Their purpose was to examine training and analyse understandings of training responsibility and expectations. These understandings were triangulated for comparative inferences in the </w:t>
      </w:r>
      <w:r w:rsidR="004C5471">
        <w:t>‘</w:t>
      </w:r>
      <w:r w:rsidRPr="008730B2">
        <w:t>findings and discussions</w:t>
      </w:r>
      <w:r w:rsidR="004C5471">
        <w:t>’</w:t>
      </w:r>
      <w:r w:rsidRPr="008730B2">
        <w:t xml:space="preserve"> </w:t>
      </w:r>
      <w:r w:rsidR="00271733">
        <w:t>section</w:t>
      </w:r>
      <w:r w:rsidRPr="008730B2">
        <w:t xml:space="preserve">. </w:t>
      </w:r>
      <w:r w:rsidR="00271733">
        <w:t>The</w:t>
      </w:r>
      <w:r w:rsidRPr="008730B2">
        <w:t xml:space="preserve"> questions </w:t>
      </w:r>
      <w:r w:rsidR="00271733">
        <w:t>covered the issues given</w:t>
      </w:r>
      <w:r w:rsidRPr="008730B2">
        <w:t xml:space="preserve"> below:</w:t>
      </w:r>
    </w:p>
    <w:p w:rsidR="008730B2" w:rsidRPr="00757A60" w:rsidRDefault="00434917" w:rsidP="00757A60">
      <w:pPr>
        <w:pStyle w:val="Dotpoint1"/>
      </w:pPr>
      <w:r>
        <w:t>t</w:t>
      </w:r>
      <w:r w:rsidR="008730B2" w:rsidRPr="008730B2">
        <w:t xml:space="preserve">hat the apprentice should have time set aside for scheduled and specific training within the workplace by the </w:t>
      </w:r>
      <w:r w:rsidR="008730B2" w:rsidRPr="00757A60">
        <w:t>company tradespeople (explicit requirement within the training plan)</w:t>
      </w:r>
    </w:p>
    <w:p w:rsidR="008730B2" w:rsidRPr="00757A60" w:rsidRDefault="00434917" w:rsidP="00757A60">
      <w:pPr>
        <w:pStyle w:val="Dotpoint1"/>
      </w:pPr>
      <w:r w:rsidRPr="00757A60">
        <w:t>t</w:t>
      </w:r>
      <w:r w:rsidR="008730B2" w:rsidRPr="00757A60">
        <w:t>hat the employer should expose the ap</w:t>
      </w:r>
      <w:r w:rsidRPr="00757A60">
        <w:t>prentice to different training/</w:t>
      </w:r>
      <w:r w:rsidR="008730B2" w:rsidRPr="00757A60">
        <w:t>learning experiences whil</w:t>
      </w:r>
      <w:r w:rsidRPr="00757A60">
        <w:t>e</w:t>
      </w:r>
      <w:r w:rsidR="008730B2" w:rsidRPr="00757A60">
        <w:t xml:space="preserve"> they are in their employment (potential implied understanding harboured by an apprentice)</w:t>
      </w:r>
    </w:p>
    <w:p w:rsidR="008730B2" w:rsidRPr="00757A60" w:rsidRDefault="00434917" w:rsidP="00757A60">
      <w:pPr>
        <w:pStyle w:val="Dotpoint1"/>
      </w:pPr>
      <w:r w:rsidRPr="00757A60">
        <w:t>t</w:t>
      </w:r>
      <w:r w:rsidR="008730B2" w:rsidRPr="00757A60">
        <w:t>hat the apprentice should be release</w:t>
      </w:r>
      <w:r w:rsidR="00EF5742" w:rsidRPr="00757A60">
        <w:t>d from the apprenticeship early</w:t>
      </w:r>
      <w:r w:rsidR="008730B2" w:rsidRPr="00757A60">
        <w:t xml:space="preserve"> if t</w:t>
      </w:r>
      <w:r w:rsidR="00EF5742" w:rsidRPr="00757A60">
        <w:t>hey achieve the competency-</w:t>
      </w:r>
      <w:r w:rsidR="008730B2" w:rsidRPr="00757A60">
        <w:t>based completion requirements (explicit understanding within the training plan)</w:t>
      </w:r>
    </w:p>
    <w:p w:rsidR="008730B2" w:rsidRPr="008730B2" w:rsidRDefault="00434917" w:rsidP="00757A60">
      <w:pPr>
        <w:pStyle w:val="Dotpoint1"/>
      </w:pPr>
      <w:r w:rsidRPr="00757A60">
        <w:t>that</w:t>
      </w:r>
      <w:r w:rsidR="008730B2" w:rsidRPr="00757A60">
        <w:t xml:space="preserve"> the apprentice should</w:t>
      </w:r>
      <w:r w:rsidR="008730B2" w:rsidRPr="008730B2">
        <w:t xml:space="preserve"> not be trained by other apprentices (potential implied understanding harboured by an apprentice)</w:t>
      </w:r>
      <w:r>
        <w:t>.</w:t>
      </w:r>
    </w:p>
    <w:p w:rsidR="008730B2" w:rsidRPr="008730B2" w:rsidRDefault="008730B2" w:rsidP="00757A60">
      <w:pPr>
        <w:pStyle w:val="Text"/>
        <w:ind w:right="141"/>
      </w:pPr>
      <w:r w:rsidRPr="008730B2">
        <w:t>Qualitative data w</w:t>
      </w:r>
      <w:r w:rsidR="00434917">
        <w:t>ere</w:t>
      </w:r>
      <w:r w:rsidRPr="008730B2">
        <w:t xml:space="preserve"> collected throu</w:t>
      </w:r>
      <w:r w:rsidR="00AB145C">
        <w:t>gh semi-structured interviews with</w:t>
      </w:r>
      <w:r w:rsidRPr="008730B2">
        <w:t xml:space="preserve"> the apprentices. Their purpose was to obtain clearer understandings of apprentices</w:t>
      </w:r>
      <w:r w:rsidR="004C5471">
        <w:t>’</w:t>
      </w:r>
      <w:r w:rsidRPr="008730B2">
        <w:t xml:space="preserve"> experiences of apprenticeships, focusing particularly on their implicit understandings. Both pragmat</w:t>
      </w:r>
      <w:r w:rsidR="00434917">
        <w:t xml:space="preserve">ist and </w:t>
      </w:r>
      <w:proofErr w:type="spellStart"/>
      <w:r w:rsidR="00434917">
        <w:t>interpretivist</w:t>
      </w:r>
      <w:proofErr w:type="spellEnd"/>
      <w:r w:rsidR="00434917">
        <w:t xml:space="preserve"> (</w:t>
      </w:r>
      <w:proofErr w:type="spellStart"/>
      <w:r w:rsidR="00434917">
        <w:t>Mertens</w:t>
      </w:r>
      <w:proofErr w:type="spellEnd"/>
      <w:r w:rsidRPr="008730B2">
        <w:t xml:space="preserve"> 2005) approaches have been utilised in the collection, collation and analysis of the paper</w:t>
      </w:r>
      <w:r w:rsidR="004C5471">
        <w:t>’</w:t>
      </w:r>
      <w:r w:rsidRPr="008730B2">
        <w:t xml:space="preserve">s research and its findings. </w:t>
      </w:r>
    </w:p>
    <w:p w:rsidR="008730B2" w:rsidRPr="008730B2" w:rsidRDefault="00EF5742" w:rsidP="008730B2">
      <w:pPr>
        <w:pStyle w:val="Text"/>
      </w:pPr>
      <w:r w:rsidRPr="00963725">
        <w:lastRenderedPageBreak/>
        <w:t xml:space="preserve">Each </w:t>
      </w:r>
      <w:r w:rsidR="00963725" w:rsidRPr="00963725">
        <w:t>participant group</w:t>
      </w:r>
      <w:r w:rsidR="008730B2" w:rsidRPr="00963725">
        <w:t xml:space="preserve"> </w:t>
      </w:r>
      <w:r w:rsidR="00AB145C">
        <w:t xml:space="preserve">was </w:t>
      </w:r>
      <w:r w:rsidR="008730B2" w:rsidRPr="00963725">
        <w:t xml:space="preserve">comprised </w:t>
      </w:r>
      <w:r w:rsidRPr="00963725">
        <w:t xml:space="preserve">of </w:t>
      </w:r>
      <w:r w:rsidR="008730B2" w:rsidRPr="00963725">
        <w:t>an apprentice, thei</w:t>
      </w:r>
      <w:r w:rsidR="00434917" w:rsidRPr="00963725">
        <w:t xml:space="preserve">r employer, and their trainer. </w:t>
      </w:r>
      <w:r w:rsidR="008730B2" w:rsidRPr="00963725">
        <w:t>All three within</w:t>
      </w:r>
      <w:r w:rsidR="008730B2" w:rsidRPr="008730B2">
        <w:t xml:space="preserve"> </w:t>
      </w:r>
      <w:r w:rsidR="00AB145C">
        <w:t xml:space="preserve">the group were signatories to an individual </w:t>
      </w:r>
      <w:r w:rsidR="008730B2" w:rsidRPr="008730B2">
        <w:t xml:space="preserve">apprenticeship training contract. They were initially approached randomly through </w:t>
      </w:r>
      <w:r w:rsidR="00434917">
        <w:t xml:space="preserve">an </w:t>
      </w:r>
      <w:r w:rsidR="008730B2" w:rsidRPr="008730B2">
        <w:t xml:space="preserve">email sent out to apprentices at the Holmesglen Institute of TAFE, and were then selected for their ability to </w:t>
      </w:r>
      <w:r w:rsidR="00AB145C">
        <w:t>be demographically representative</w:t>
      </w:r>
      <w:r w:rsidR="008730B2" w:rsidRPr="008730B2">
        <w:t xml:space="preserve"> (apprentice age, gender) as well as</w:t>
      </w:r>
      <w:r w:rsidR="00AB145C">
        <w:t xml:space="preserve"> in relation to</w:t>
      </w:r>
      <w:r w:rsidR="008730B2" w:rsidRPr="008730B2">
        <w:t xml:space="preserve"> business models and trades within the </w:t>
      </w:r>
      <w:r w:rsidR="00434917" w:rsidRPr="008730B2">
        <w:t>food trades in</w:t>
      </w:r>
      <w:r w:rsidR="002B1D4A">
        <w:t xml:space="preserve">dustry. </w:t>
      </w:r>
      <w:r w:rsidR="00434917">
        <w:t>Food t</w:t>
      </w:r>
      <w:r w:rsidR="008730B2" w:rsidRPr="008730B2">
        <w:t>rade</w:t>
      </w:r>
      <w:r w:rsidR="00434917">
        <w:t>s</w:t>
      </w:r>
      <w:r w:rsidR="008730B2" w:rsidRPr="008730B2">
        <w:t xml:space="preserve"> apprenticeships were targeted in this study due to their low rates of apprenticeship completion. It was th</w:t>
      </w:r>
      <w:r w:rsidR="00434917">
        <w:t>ought that poor training practic</w:t>
      </w:r>
      <w:r>
        <w:t xml:space="preserve">es may be exaggerated </w:t>
      </w:r>
      <w:r w:rsidR="008730B2" w:rsidRPr="008730B2">
        <w:t xml:space="preserve">in the </w:t>
      </w:r>
      <w:r w:rsidR="00434917" w:rsidRPr="008730B2">
        <w:t>food</w:t>
      </w:r>
      <w:r w:rsidR="00434917">
        <w:t>s</w:t>
      </w:r>
      <w:r w:rsidR="00434917" w:rsidRPr="008730B2">
        <w:t xml:space="preserve"> trade </w:t>
      </w:r>
      <w:r w:rsidR="008730B2" w:rsidRPr="008730B2">
        <w:t>models of apprenticeship provision, and that this would offer insights into broader problems within apprenticeship training.</w:t>
      </w:r>
    </w:p>
    <w:p w:rsidR="008730B2" w:rsidRPr="008730B2" w:rsidRDefault="008730B2" w:rsidP="00757A60">
      <w:pPr>
        <w:pStyle w:val="tabletitle"/>
      </w:pPr>
      <w:r>
        <w:t>Table 1</w:t>
      </w:r>
      <w:r>
        <w:tab/>
      </w:r>
      <w:r w:rsidR="007B1398">
        <w:t>Survey</w:t>
      </w:r>
      <w:r w:rsidR="002B1D4A">
        <w:t xml:space="preserve"> of apprentices</w:t>
      </w:r>
      <w:r w:rsidRPr="008730B2">
        <w:t xml:space="preserve"> </w:t>
      </w:r>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275"/>
        <w:gridCol w:w="851"/>
        <w:gridCol w:w="1382"/>
        <w:gridCol w:w="1382"/>
        <w:gridCol w:w="1382"/>
        <w:gridCol w:w="1382"/>
      </w:tblGrid>
      <w:tr w:rsidR="008730B2" w:rsidRPr="008730B2" w:rsidTr="00757A60">
        <w:tc>
          <w:tcPr>
            <w:tcW w:w="1135" w:type="dxa"/>
            <w:tcBorders>
              <w:top w:val="single" w:sz="4" w:space="0" w:color="auto"/>
              <w:bottom w:val="single" w:sz="4" w:space="0" w:color="auto"/>
            </w:tcBorders>
            <w:tcMar>
              <w:right w:w="0" w:type="dxa"/>
            </w:tcMar>
          </w:tcPr>
          <w:p w:rsidR="008730B2" w:rsidRPr="008730B2" w:rsidRDefault="008730B2" w:rsidP="00757A60">
            <w:pPr>
              <w:pStyle w:val="Tablehead1"/>
            </w:pPr>
            <w:r w:rsidRPr="008730B2">
              <w:t>Pseudonym</w:t>
            </w:r>
          </w:p>
        </w:tc>
        <w:tc>
          <w:tcPr>
            <w:tcW w:w="1275" w:type="dxa"/>
            <w:tcBorders>
              <w:top w:val="single" w:sz="4" w:space="0" w:color="auto"/>
              <w:bottom w:val="single" w:sz="4" w:space="0" w:color="auto"/>
            </w:tcBorders>
          </w:tcPr>
          <w:p w:rsidR="008730B2" w:rsidRPr="008730B2" w:rsidRDefault="008730B2" w:rsidP="00757A60">
            <w:pPr>
              <w:pStyle w:val="Tablehead1"/>
              <w:ind w:left="113"/>
            </w:pPr>
            <w:r w:rsidRPr="008730B2">
              <w:t>Apprentice gender</w:t>
            </w:r>
          </w:p>
        </w:tc>
        <w:tc>
          <w:tcPr>
            <w:tcW w:w="851" w:type="dxa"/>
            <w:tcBorders>
              <w:top w:val="single" w:sz="4" w:space="0" w:color="auto"/>
              <w:bottom w:val="single" w:sz="4" w:space="0" w:color="auto"/>
            </w:tcBorders>
          </w:tcPr>
          <w:p w:rsidR="008730B2" w:rsidRPr="008730B2" w:rsidRDefault="008730B2" w:rsidP="00757A60">
            <w:pPr>
              <w:pStyle w:val="Tablehead1"/>
              <w:ind w:left="170"/>
            </w:pPr>
            <w:r w:rsidRPr="008730B2">
              <w:t>Age</w:t>
            </w:r>
          </w:p>
        </w:tc>
        <w:tc>
          <w:tcPr>
            <w:tcW w:w="1382" w:type="dxa"/>
            <w:tcBorders>
              <w:top w:val="single" w:sz="4" w:space="0" w:color="auto"/>
              <w:bottom w:val="single" w:sz="4" w:space="0" w:color="auto"/>
            </w:tcBorders>
          </w:tcPr>
          <w:p w:rsidR="008730B2" w:rsidRPr="008730B2" w:rsidRDefault="008730B2" w:rsidP="00757A60">
            <w:pPr>
              <w:pStyle w:val="Tablehead1"/>
              <w:ind w:left="113"/>
            </w:pPr>
            <w:r w:rsidRPr="008730B2">
              <w:t xml:space="preserve">Apprentice </w:t>
            </w:r>
            <w:r w:rsidR="00757A60" w:rsidRPr="008730B2">
              <w:t xml:space="preserve">trade </w:t>
            </w:r>
            <w:r w:rsidRPr="008730B2">
              <w:t>type</w:t>
            </w:r>
          </w:p>
        </w:tc>
        <w:tc>
          <w:tcPr>
            <w:tcW w:w="1382" w:type="dxa"/>
            <w:tcBorders>
              <w:top w:val="single" w:sz="4" w:space="0" w:color="auto"/>
              <w:bottom w:val="single" w:sz="4" w:space="0" w:color="auto"/>
            </w:tcBorders>
          </w:tcPr>
          <w:p w:rsidR="008730B2" w:rsidRPr="008730B2" w:rsidRDefault="008730B2" w:rsidP="00757A60">
            <w:pPr>
              <w:pStyle w:val="Tablehead1"/>
              <w:ind w:left="113"/>
            </w:pPr>
            <w:r w:rsidRPr="008730B2">
              <w:t xml:space="preserve">Employment period </w:t>
            </w:r>
          </w:p>
        </w:tc>
        <w:tc>
          <w:tcPr>
            <w:tcW w:w="1382" w:type="dxa"/>
            <w:tcBorders>
              <w:top w:val="single" w:sz="4" w:space="0" w:color="auto"/>
              <w:bottom w:val="single" w:sz="4" w:space="0" w:color="auto"/>
            </w:tcBorders>
          </w:tcPr>
          <w:p w:rsidR="008730B2" w:rsidRPr="008730B2" w:rsidRDefault="008730B2" w:rsidP="00757A60">
            <w:pPr>
              <w:pStyle w:val="Tablehead1"/>
              <w:ind w:left="113"/>
            </w:pPr>
            <w:r w:rsidRPr="008730B2">
              <w:t xml:space="preserve">Business </w:t>
            </w:r>
            <w:r w:rsidR="00757A60">
              <w:br/>
            </w:r>
            <w:r w:rsidRPr="008730B2">
              <w:t xml:space="preserve">type </w:t>
            </w:r>
          </w:p>
        </w:tc>
        <w:tc>
          <w:tcPr>
            <w:tcW w:w="1382" w:type="dxa"/>
            <w:tcBorders>
              <w:top w:val="single" w:sz="4" w:space="0" w:color="auto"/>
              <w:bottom w:val="single" w:sz="4" w:space="0" w:color="auto"/>
            </w:tcBorders>
          </w:tcPr>
          <w:p w:rsidR="008730B2" w:rsidRPr="008730B2" w:rsidRDefault="002B1D4A" w:rsidP="00AB145C">
            <w:pPr>
              <w:pStyle w:val="Tablehead1"/>
              <w:ind w:left="113"/>
            </w:pPr>
            <w:r>
              <w:t xml:space="preserve">Size of the business </w:t>
            </w:r>
            <w:r w:rsidR="00AB145C">
              <w:t>–</w:t>
            </w:r>
            <w:r>
              <w:t xml:space="preserve"> no. of</w:t>
            </w:r>
            <w:r w:rsidR="008730B2" w:rsidRPr="008730B2">
              <w:t xml:space="preserve"> employees</w:t>
            </w:r>
          </w:p>
        </w:tc>
      </w:tr>
      <w:tr w:rsidR="008730B2" w:rsidRPr="008730B2" w:rsidTr="00757A60">
        <w:tc>
          <w:tcPr>
            <w:tcW w:w="1135" w:type="dxa"/>
            <w:tcBorders>
              <w:top w:val="single" w:sz="4" w:space="0" w:color="auto"/>
            </w:tcBorders>
          </w:tcPr>
          <w:p w:rsidR="008730B2" w:rsidRPr="008730B2" w:rsidRDefault="008730B2" w:rsidP="00757A60">
            <w:pPr>
              <w:pStyle w:val="Tabletext"/>
            </w:pPr>
            <w:r w:rsidRPr="008730B2">
              <w:t>App</w:t>
            </w:r>
            <w:r w:rsidR="002B1D4A">
              <w:t>.</w:t>
            </w:r>
            <w:r w:rsidRPr="008730B2">
              <w:t xml:space="preserve"> 1</w:t>
            </w:r>
          </w:p>
        </w:tc>
        <w:tc>
          <w:tcPr>
            <w:tcW w:w="1275" w:type="dxa"/>
            <w:tcBorders>
              <w:top w:val="single" w:sz="4" w:space="0" w:color="auto"/>
            </w:tcBorders>
          </w:tcPr>
          <w:p w:rsidR="008730B2" w:rsidRPr="008730B2" w:rsidRDefault="008730B2" w:rsidP="00757A60">
            <w:pPr>
              <w:pStyle w:val="Tabletext"/>
              <w:ind w:left="113"/>
            </w:pPr>
            <w:r w:rsidRPr="008730B2">
              <w:t>Female</w:t>
            </w:r>
          </w:p>
        </w:tc>
        <w:tc>
          <w:tcPr>
            <w:tcW w:w="851" w:type="dxa"/>
            <w:tcBorders>
              <w:top w:val="single" w:sz="4" w:space="0" w:color="auto"/>
            </w:tcBorders>
          </w:tcPr>
          <w:p w:rsidR="008730B2" w:rsidRPr="008730B2" w:rsidRDefault="008730B2" w:rsidP="00757A60">
            <w:pPr>
              <w:pStyle w:val="Tabletext"/>
              <w:ind w:left="170"/>
            </w:pPr>
            <w:r w:rsidRPr="008730B2">
              <w:t>26</w:t>
            </w:r>
          </w:p>
        </w:tc>
        <w:tc>
          <w:tcPr>
            <w:tcW w:w="1382" w:type="dxa"/>
            <w:tcBorders>
              <w:top w:val="single" w:sz="4" w:space="0" w:color="auto"/>
            </w:tcBorders>
          </w:tcPr>
          <w:p w:rsidR="008730B2" w:rsidRPr="008730B2" w:rsidRDefault="008730B2" w:rsidP="00757A60">
            <w:pPr>
              <w:pStyle w:val="Tabletext"/>
              <w:ind w:left="113"/>
            </w:pPr>
            <w:r w:rsidRPr="008730B2">
              <w:t>Cook</w:t>
            </w:r>
          </w:p>
        </w:tc>
        <w:tc>
          <w:tcPr>
            <w:tcW w:w="1382" w:type="dxa"/>
            <w:tcBorders>
              <w:top w:val="single" w:sz="4" w:space="0" w:color="auto"/>
            </w:tcBorders>
          </w:tcPr>
          <w:p w:rsidR="008730B2" w:rsidRPr="008730B2" w:rsidRDefault="008730B2" w:rsidP="00757A60">
            <w:pPr>
              <w:pStyle w:val="Tabletext"/>
              <w:ind w:left="113"/>
            </w:pPr>
            <w:r w:rsidRPr="008730B2">
              <w:t xml:space="preserve">18 </w:t>
            </w:r>
            <w:proofErr w:type="spellStart"/>
            <w:r w:rsidRPr="008730B2">
              <w:t>mths</w:t>
            </w:r>
            <w:proofErr w:type="spellEnd"/>
          </w:p>
        </w:tc>
        <w:tc>
          <w:tcPr>
            <w:tcW w:w="1382" w:type="dxa"/>
            <w:tcBorders>
              <w:top w:val="single" w:sz="4" w:space="0" w:color="auto"/>
            </w:tcBorders>
          </w:tcPr>
          <w:p w:rsidR="008730B2" w:rsidRPr="008730B2" w:rsidRDefault="008730B2" w:rsidP="00757A60">
            <w:pPr>
              <w:pStyle w:val="Tabletext"/>
              <w:ind w:left="113"/>
            </w:pPr>
            <w:r w:rsidRPr="008730B2">
              <w:t>Café</w:t>
            </w:r>
          </w:p>
        </w:tc>
        <w:tc>
          <w:tcPr>
            <w:tcW w:w="1382" w:type="dxa"/>
            <w:tcBorders>
              <w:top w:val="single" w:sz="4" w:space="0" w:color="auto"/>
            </w:tcBorders>
          </w:tcPr>
          <w:p w:rsidR="008730B2" w:rsidRPr="008730B2" w:rsidRDefault="008730B2" w:rsidP="00757A60">
            <w:pPr>
              <w:pStyle w:val="Tabletext"/>
              <w:ind w:left="113"/>
            </w:pPr>
            <w:r w:rsidRPr="008730B2">
              <w:t>Over 20</w:t>
            </w:r>
          </w:p>
        </w:tc>
      </w:tr>
      <w:tr w:rsidR="008730B2" w:rsidRPr="008730B2" w:rsidTr="00757A60">
        <w:tc>
          <w:tcPr>
            <w:tcW w:w="1135" w:type="dxa"/>
          </w:tcPr>
          <w:p w:rsidR="008730B2" w:rsidRPr="008730B2" w:rsidRDefault="008730B2" w:rsidP="00757A60">
            <w:pPr>
              <w:pStyle w:val="Tabletext"/>
            </w:pPr>
            <w:r w:rsidRPr="008730B2">
              <w:t>App</w:t>
            </w:r>
            <w:r w:rsidR="002B1D4A">
              <w:t>.</w:t>
            </w:r>
            <w:r w:rsidRPr="008730B2">
              <w:t xml:space="preserve"> 2</w:t>
            </w:r>
          </w:p>
        </w:tc>
        <w:tc>
          <w:tcPr>
            <w:tcW w:w="1275" w:type="dxa"/>
          </w:tcPr>
          <w:p w:rsidR="008730B2" w:rsidRPr="008730B2" w:rsidRDefault="008730B2" w:rsidP="00757A60">
            <w:pPr>
              <w:pStyle w:val="Tabletext"/>
              <w:ind w:left="113"/>
            </w:pPr>
            <w:r w:rsidRPr="008730B2">
              <w:t>Female</w:t>
            </w:r>
          </w:p>
        </w:tc>
        <w:tc>
          <w:tcPr>
            <w:tcW w:w="851" w:type="dxa"/>
          </w:tcPr>
          <w:p w:rsidR="008730B2" w:rsidRPr="008730B2" w:rsidRDefault="008730B2" w:rsidP="00757A60">
            <w:pPr>
              <w:pStyle w:val="Tabletext"/>
              <w:ind w:left="170"/>
            </w:pPr>
            <w:r w:rsidRPr="008730B2">
              <w:t>36</w:t>
            </w:r>
          </w:p>
        </w:tc>
        <w:tc>
          <w:tcPr>
            <w:tcW w:w="1382" w:type="dxa"/>
          </w:tcPr>
          <w:p w:rsidR="008730B2" w:rsidRPr="008730B2" w:rsidRDefault="008730B2" w:rsidP="00757A60">
            <w:pPr>
              <w:pStyle w:val="Tabletext"/>
              <w:ind w:left="113"/>
            </w:pPr>
            <w:r w:rsidRPr="008730B2">
              <w:t>Patisserie</w:t>
            </w:r>
          </w:p>
        </w:tc>
        <w:tc>
          <w:tcPr>
            <w:tcW w:w="1382" w:type="dxa"/>
          </w:tcPr>
          <w:p w:rsidR="008730B2" w:rsidRPr="008730B2" w:rsidRDefault="008730B2" w:rsidP="00757A60">
            <w:pPr>
              <w:pStyle w:val="Tabletext"/>
              <w:ind w:left="113"/>
            </w:pPr>
            <w:r w:rsidRPr="008730B2">
              <w:t xml:space="preserve">13 </w:t>
            </w:r>
            <w:proofErr w:type="spellStart"/>
            <w:r w:rsidRPr="008730B2">
              <w:t>mths</w:t>
            </w:r>
            <w:proofErr w:type="spellEnd"/>
          </w:p>
        </w:tc>
        <w:tc>
          <w:tcPr>
            <w:tcW w:w="1382" w:type="dxa"/>
          </w:tcPr>
          <w:p w:rsidR="008730B2" w:rsidRPr="008730B2" w:rsidRDefault="008730B2" w:rsidP="00757A60">
            <w:pPr>
              <w:pStyle w:val="Tabletext"/>
              <w:ind w:left="113"/>
            </w:pPr>
            <w:r w:rsidRPr="008730B2">
              <w:t xml:space="preserve">Cake factory </w:t>
            </w:r>
          </w:p>
        </w:tc>
        <w:tc>
          <w:tcPr>
            <w:tcW w:w="1382" w:type="dxa"/>
          </w:tcPr>
          <w:p w:rsidR="008730B2" w:rsidRPr="008730B2" w:rsidRDefault="008730B2" w:rsidP="00757A60">
            <w:pPr>
              <w:pStyle w:val="Tabletext"/>
              <w:ind w:left="113"/>
            </w:pPr>
            <w:r w:rsidRPr="008730B2">
              <w:t>Under 20</w:t>
            </w:r>
          </w:p>
        </w:tc>
      </w:tr>
      <w:tr w:rsidR="008730B2" w:rsidRPr="008730B2" w:rsidTr="00757A60">
        <w:tc>
          <w:tcPr>
            <w:tcW w:w="1135" w:type="dxa"/>
          </w:tcPr>
          <w:p w:rsidR="008730B2" w:rsidRPr="008730B2" w:rsidRDefault="008730B2" w:rsidP="00757A60">
            <w:pPr>
              <w:pStyle w:val="Tabletext"/>
            </w:pPr>
            <w:r w:rsidRPr="008730B2">
              <w:t>App</w:t>
            </w:r>
            <w:r w:rsidR="002B1D4A">
              <w:t>.</w:t>
            </w:r>
            <w:r w:rsidRPr="008730B2">
              <w:t xml:space="preserve"> 3</w:t>
            </w:r>
          </w:p>
        </w:tc>
        <w:tc>
          <w:tcPr>
            <w:tcW w:w="1275" w:type="dxa"/>
          </w:tcPr>
          <w:p w:rsidR="008730B2" w:rsidRPr="008730B2" w:rsidRDefault="008730B2" w:rsidP="00757A60">
            <w:pPr>
              <w:pStyle w:val="Tabletext"/>
              <w:ind w:left="113"/>
            </w:pPr>
            <w:r w:rsidRPr="008730B2">
              <w:t>Male</w:t>
            </w:r>
          </w:p>
        </w:tc>
        <w:tc>
          <w:tcPr>
            <w:tcW w:w="851" w:type="dxa"/>
          </w:tcPr>
          <w:p w:rsidR="008730B2" w:rsidRPr="008730B2" w:rsidRDefault="008730B2" w:rsidP="00757A60">
            <w:pPr>
              <w:pStyle w:val="Tabletext"/>
              <w:ind w:left="170"/>
            </w:pPr>
            <w:r w:rsidRPr="008730B2">
              <w:t>18</w:t>
            </w:r>
          </w:p>
        </w:tc>
        <w:tc>
          <w:tcPr>
            <w:tcW w:w="1382" w:type="dxa"/>
          </w:tcPr>
          <w:p w:rsidR="008730B2" w:rsidRPr="008730B2" w:rsidRDefault="008730B2" w:rsidP="00757A60">
            <w:pPr>
              <w:pStyle w:val="Tabletext"/>
              <w:ind w:left="113"/>
            </w:pPr>
            <w:r w:rsidRPr="008730B2">
              <w:t>Cook</w:t>
            </w:r>
          </w:p>
        </w:tc>
        <w:tc>
          <w:tcPr>
            <w:tcW w:w="1382" w:type="dxa"/>
          </w:tcPr>
          <w:p w:rsidR="008730B2" w:rsidRPr="008730B2" w:rsidRDefault="008730B2" w:rsidP="00757A60">
            <w:pPr>
              <w:pStyle w:val="Tabletext"/>
              <w:ind w:left="113"/>
            </w:pPr>
            <w:r w:rsidRPr="008730B2">
              <w:t xml:space="preserve">15 </w:t>
            </w:r>
            <w:proofErr w:type="spellStart"/>
            <w:r w:rsidRPr="008730B2">
              <w:t>mths</w:t>
            </w:r>
            <w:proofErr w:type="spellEnd"/>
          </w:p>
        </w:tc>
        <w:tc>
          <w:tcPr>
            <w:tcW w:w="1382" w:type="dxa"/>
          </w:tcPr>
          <w:p w:rsidR="008730B2" w:rsidRPr="008730B2" w:rsidRDefault="008730B2" w:rsidP="00757A60">
            <w:pPr>
              <w:pStyle w:val="Tabletext"/>
              <w:ind w:left="113"/>
            </w:pPr>
            <w:r w:rsidRPr="008730B2">
              <w:t>Restaurant chain</w:t>
            </w:r>
          </w:p>
        </w:tc>
        <w:tc>
          <w:tcPr>
            <w:tcW w:w="1382" w:type="dxa"/>
          </w:tcPr>
          <w:p w:rsidR="008730B2" w:rsidRPr="008730B2" w:rsidRDefault="008730B2" w:rsidP="00757A60">
            <w:pPr>
              <w:pStyle w:val="Tabletext"/>
              <w:ind w:left="113"/>
            </w:pPr>
            <w:r w:rsidRPr="008730B2">
              <w:t>Over 100</w:t>
            </w:r>
          </w:p>
        </w:tc>
      </w:tr>
      <w:tr w:rsidR="008730B2" w:rsidRPr="008730B2" w:rsidTr="00757A60">
        <w:tc>
          <w:tcPr>
            <w:tcW w:w="1135" w:type="dxa"/>
          </w:tcPr>
          <w:p w:rsidR="008730B2" w:rsidRPr="008730B2" w:rsidRDefault="008730B2" w:rsidP="00757A60">
            <w:pPr>
              <w:pStyle w:val="Tabletext"/>
            </w:pPr>
            <w:r w:rsidRPr="008730B2">
              <w:t>App</w:t>
            </w:r>
            <w:r w:rsidR="002B1D4A">
              <w:t>.</w:t>
            </w:r>
            <w:r w:rsidRPr="008730B2">
              <w:t xml:space="preserve"> 4</w:t>
            </w:r>
          </w:p>
        </w:tc>
        <w:tc>
          <w:tcPr>
            <w:tcW w:w="1275" w:type="dxa"/>
          </w:tcPr>
          <w:p w:rsidR="008730B2" w:rsidRPr="008730B2" w:rsidRDefault="008730B2" w:rsidP="00757A60">
            <w:pPr>
              <w:pStyle w:val="Tabletext"/>
              <w:ind w:left="113"/>
            </w:pPr>
            <w:r w:rsidRPr="008730B2">
              <w:t>Male</w:t>
            </w:r>
          </w:p>
        </w:tc>
        <w:tc>
          <w:tcPr>
            <w:tcW w:w="851" w:type="dxa"/>
          </w:tcPr>
          <w:p w:rsidR="008730B2" w:rsidRPr="008730B2" w:rsidRDefault="008730B2" w:rsidP="00757A60">
            <w:pPr>
              <w:pStyle w:val="Tabletext"/>
              <w:ind w:left="170"/>
            </w:pPr>
            <w:r w:rsidRPr="008730B2">
              <w:t>22</w:t>
            </w:r>
          </w:p>
        </w:tc>
        <w:tc>
          <w:tcPr>
            <w:tcW w:w="1382" w:type="dxa"/>
          </w:tcPr>
          <w:p w:rsidR="008730B2" w:rsidRPr="008730B2" w:rsidRDefault="008730B2" w:rsidP="00757A60">
            <w:pPr>
              <w:pStyle w:val="Tabletext"/>
              <w:ind w:left="113"/>
            </w:pPr>
            <w:r w:rsidRPr="008730B2">
              <w:t>Cook</w:t>
            </w:r>
          </w:p>
        </w:tc>
        <w:tc>
          <w:tcPr>
            <w:tcW w:w="1382" w:type="dxa"/>
          </w:tcPr>
          <w:p w:rsidR="008730B2" w:rsidRPr="008730B2" w:rsidRDefault="008730B2" w:rsidP="00757A60">
            <w:pPr>
              <w:pStyle w:val="Tabletext"/>
              <w:ind w:left="113"/>
            </w:pPr>
            <w:r w:rsidRPr="008730B2">
              <w:t xml:space="preserve">12 </w:t>
            </w:r>
            <w:proofErr w:type="spellStart"/>
            <w:r w:rsidRPr="008730B2">
              <w:t>mths</w:t>
            </w:r>
            <w:proofErr w:type="spellEnd"/>
          </w:p>
        </w:tc>
        <w:tc>
          <w:tcPr>
            <w:tcW w:w="1382" w:type="dxa"/>
          </w:tcPr>
          <w:p w:rsidR="008730B2" w:rsidRPr="008730B2" w:rsidRDefault="008730B2" w:rsidP="00757A60">
            <w:pPr>
              <w:pStyle w:val="Tabletext"/>
              <w:ind w:left="113"/>
            </w:pPr>
            <w:r w:rsidRPr="008730B2">
              <w:t>Restaurant, small</w:t>
            </w:r>
          </w:p>
        </w:tc>
        <w:tc>
          <w:tcPr>
            <w:tcW w:w="1382" w:type="dxa"/>
          </w:tcPr>
          <w:p w:rsidR="008730B2" w:rsidRPr="008730B2" w:rsidRDefault="008730B2" w:rsidP="00757A60">
            <w:pPr>
              <w:pStyle w:val="Tabletext"/>
              <w:ind w:left="113"/>
            </w:pPr>
            <w:r w:rsidRPr="008730B2">
              <w:t>Over 50</w:t>
            </w:r>
          </w:p>
        </w:tc>
      </w:tr>
    </w:tbl>
    <w:p w:rsidR="002B1D4A" w:rsidRPr="002B1D4A" w:rsidRDefault="002B1D4A" w:rsidP="00757A60">
      <w:pPr>
        <w:pStyle w:val="Source"/>
      </w:pPr>
      <w:bookmarkStart w:id="161" w:name="_Toc412455640"/>
      <w:bookmarkStart w:id="162" w:name="_Toc416683058"/>
      <w:r w:rsidRPr="002B1D4A">
        <w:t>Notes</w:t>
      </w:r>
      <w:r>
        <w:t>:</w:t>
      </w:r>
      <w:r w:rsidR="00757A60">
        <w:tab/>
      </w:r>
      <w:r>
        <w:t xml:space="preserve">The surveys </w:t>
      </w:r>
      <w:r w:rsidRPr="002B1D4A">
        <w:t>were based on four apprentices and the co-participants of their individual training plans. Interviews were conducted with the apprentices only, and as such the pseudonyms reflect the identity of the apprentice.</w:t>
      </w:r>
    </w:p>
    <w:p w:rsidR="008730B2" w:rsidRPr="008730B2" w:rsidRDefault="008730B2" w:rsidP="008730B2">
      <w:pPr>
        <w:pStyle w:val="Heading2"/>
      </w:pPr>
      <w:r w:rsidRPr="008730B2">
        <w:t>Findings and discussion</w:t>
      </w:r>
      <w:bookmarkEnd w:id="161"/>
      <w:bookmarkEnd w:id="162"/>
      <w:r w:rsidRPr="008730B2">
        <w:t xml:space="preserve"> </w:t>
      </w:r>
    </w:p>
    <w:p w:rsidR="008730B2" w:rsidRPr="008730B2" w:rsidRDefault="00EF5742" w:rsidP="008730B2">
      <w:pPr>
        <w:pStyle w:val="Text"/>
      </w:pPr>
      <w:r>
        <w:t>Important to this study have</w:t>
      </w:r>
      <w:r w:rsidR="008730B2" w:rsidRPr="008730B2">
        <w:t xml:space="preserve"> been the analysis of unmet explicit obligations and </w:t>
      </w:r>
      <w:r>
        <w:t xml:space="preserve">the </w:t>
      </w:r>
      <w:r w:rsidR="008730B2" w:rsidRPr="008730B2">
        <w:t xml:space="preserve">mismatched implicit expectations </w:t>
      </w:r>
      <w:r w:rsidR="002B1D4A">
        <w:t>of</w:t>
      </w:r>
      <w:r w:rsidR="008730B2" w:rsidRPr="008730B2">
        <w:t xml:space="preserve"> the three parties of an apprenticeship training plan agreement. Explicit obligations are often important legal requirements, and are included in the training plan by the trainer before being signed off in negotiated agreement by all three parties. Three of the four research participants indicated a common mismatch in shared knowledge and important explicit obligations with the other parti</w:t>
      </w:r>
      <w:r w:rsidR="002B1D4A">
        <w:t>es — the</w:t>
      </w:r>
      <w:r w:rsidR="008730B2" w:rsidRPr="008730B2">
        <w:t xml:space="preserve"> employers and trainers. These included: their knowledge of the training plan</w:t>
      </w:r>
      <w:r w:rsidR="004C5471">
        <w:t>’</w:t>
      </w:r>
      <w:r w:rsidR="008730B2" w:rsidRPr="008730B2">
        <w:t>s contents and how it works; the rights of the apprentice to equity in negotiating the training plan content; and the rights of the apprentice to early release from their training contract thro</w:t>
      </w:r>
      <w:r>
        <w:t>ugh the provision of competency-</w:t>
      </w:r>
      <w:r w:rsidR="008730B2" w:rsidRPr="008730B2">
        <w:t xml:space="preserve">based completion. </w:t>
      </w:r>
    </w:p>
    <w:p w:rsidR="008730B2" w:rsidRPr="008730B2" w:rsidRDefault="008730B2" w:rsidP="008730B2">
      <w:pPr>
        <w:pStyle w:val="Text"/>
      </w:pPr>
      <w:r w:rsidRPr="008730B2">
        <w:t xml:space="preserve">Misunderstandings stemming from implicit expectations were also common in the responses </w:t>
      </w:r>
      <w:r w:rsidR="002B1D4A">
        <w:t xml:space="preserve">of the apprentice participants. </w:t>
      </w:r>
      <w:r w:rsidRPr="008730B2">
        <w:t xml:space="preserve">These are important expectations established </w:t>
      </w:r>
      <w:r w:rsidR="00AB145C">
        <w:t>during</w:t>
      </w:r>
      <w:r w:rsidRPr="008730B2">
        <w:t xml:space="preserve"> the early stages of</w:t>
      </w:r>
      <w:r w:rsidR="002B1D4A">
        <w:t xml:space="preserve"> the apprentice</w:t>
      </w:r>
      <w:r w:rsidR="004C5471">
        <w:t>’</w:t>
      </w:r>
      <w:r w:rsidR="002B1D4A">
        <w:t>s indenture</w:t>
      </w:r>
      <w:r w:rsidRPr="008730B2">
        <w:t xml:space="preserve"> but </w:t>
      </w:r>
      <w:r w:rsidR="002B1D4A">
        <w:t xml:space="preserve">are </w:t>
      </w:r>
      <w:r w:rsidRPr="008730B2">
        <w:t>never documented. These implied expectations</w:t>
      </w:r>
      <w:r w:rsidR="009E5418">
        <w:t>,</w:t>
      </w:r>
      <w:r w:rsidRPr="008730B2">
        <w:t xml:space="preserve"> </w:t>
      </w:r>
      <w:r w:rsidR="009E5418">
        <w:t>if perceived as</w:t>
      </w:r>
      <w:r w:rsidR="009E5418" w:rsidRPr="008730B2">
        <w:t xml:space="preserve"> having been broken</w:t>
      </w:r>
      <w:r w:rsidR="009E5418">
        <w:t>,</w:t>
      </w:r>
      <w:r w:rsidR="009E5418" w:rsidRPr="008730B2">
        <w:t xml:space="preserve"> </w:t>
      </w:r>
      <w:r w:rsidRPr="008730B2">
        <w:t xml:space="preserve">were identified as </w:t>
      </w:r>
      <w:r w:rsidR="002B1D4A">
        <w:t xml:space="preserve">resulting </w:t>
      </w:r>
      <w:r w:rsidR="002B1D4A" w:rsidRPr="008730B2">
        <w:t>in the apprentice disengaging from the process and potentially leaving their apprentice</w:t>
      </w:r>
      <w:r w:rsidR="002B1D4A">
        <w:t>ship</w:t>
      </w:r>
      <w:r w:rsidRPr="008730B2">
        <w:t xml:space="preserve"> </w:t>
      </w:r>
      <w:r w:rsidR="002B1D4A">
        <w:t xml:space="preserve">(Commonwealth of Australia 2011; Chan </w:t>
      </w:r>
      <w:r w:rsidR="009607B3" w:rsidRPr="009607B3">
        <w:t>2011</w:t>
      </w:r>
      <w:r w:rsidR="00EF5742">
        <w:t xml:space="preserve">; Smith, Walker &amp; Brennan </w:t>
      </w:r>
      <w:proofErr w:type="spellStart"/>
      <w:r w:rsidR="002B1D4A">
        <w:t>Kemmis</w:t>
      </w:r>
      <w:proofErr w:type="spellEnd"/>
      <w:r w:rsidR="002B1D4A">
        <w:t xml:space="preserve"> </w:t>
      </w:r>
      <w:r w:rsidRPr="008730B2">
        <w:t>2011). Many mismatched impli</w:t>
      </w:r>
      <w:r w:rsidR="004725A7">
        <w:t xml:space="preserve">cit expectations identified </w:t>
      </w:r>
      <w:r w:rsidRPr="008730B2">
        <w:t xml:space="preserve">in this research were unique and </w:t>
      </w:r>
      <w:r w:rsidR="00EF5742">
        <w:t xml:space="preserve">had </w:t>
      </w:r>
      <w:r w:rsidRPr="008730B2">
        <w:t xml:space="preserve">not </w:t>
      </w:r>
      <w:r w:rsidR="00EF5742">
        <w:t xml:space="preserve">been </w:t>
      </w:r>
      <w:r w:rsidRPr="008730B2">
        <w:t>previously identified in the literature</w:t>
      </w:r>
      <w:r w:rsidR="00AB145C">
        <w:t>, including</w:t>
      </w:r>
      <w:r w:rsidR="00611BDD">
        <w:t xml:space="preserve"> </w:t>
      </w:r>
      <w:r w:rsidRPr="008730B2">
        <w:t>the level of contact the employer and apprentice had wi</w:t>
      </w:r>
      <w:r w:rsidR="004725A7">
        <w:t>th the trainer; that competency-</w:t>
      </w:r>
      <w:r w:rsidRPr="008730B2">
        <w:t xml:space="preserve">based completion would be </w:t>
      </w:r>
      <w:r w:rsidR="0055527D">
        <w:t>implemented</w:t>
      </w:r>
      <w:r w:rsidRPr="008730B2">
        <w:t xml:space="preserve"> and that the apprentice could be released early from their training; that it was alright for apprentices to be trained by other apprentices; that working overtime was </w:t>
      </w:r>
      <w:r w:rsidR="007B1398">
        <w:t>a significant</w:t>
      </w:r>
      <w:r w:rsidRPr="008730B2">
        <w:t xml:space="preserve"> obligation </w:t>
      </w:r>
      <w:r w:rsidR="007B1398">
        <w:t xml:space="preserve">for </w:t>
      </w:r>
      <w:r w:rsidRPr="008730B2">
        <w:t xml:space="preserve">the apprentice; and that the level of personal commitment to training and the prioritising of work over personal life by the apprentice </w:t>
      </w:r>
      <w:r w:rsidR="0055527D">
        <w:t>are</w:t>
      </w:r>
      <w:r w:rsidRPr="008730B2">
        <w:t xml:space="preserve"> often viewed differently </w:t>
      </w:r>
      <w:r w:rsidR="00AB145C">
        <w:t>by the apprentice and the employer.</w:t>
      </w:r>
    </w:p>
    <w:p w:rsidR="008730B2" w:rsidRPr="008730B2" w:rsidRDefault="008730B2" w:rsidP="008730B2">
      <w:pPr>
        <w:pStyle w:val="Text"/>
      </w:pPr>
      <w:r w:rsidRPr="008730B2">
        <w:t>The research revealed more specific evidence of mismatched expectations on training, particularly in the areas of training volume and training delivery. In three of the four case studies</w:t>
      </w:r>
      <w:r w:rsidR="00237907">
        <w:t>,</w:t>
      </w:r>
      <w:r w:rsidRPr="008730B2">
        <w:t xml:space="preserve"> apprentices </w:t>
      </w:r>
      <w:r w:rsidRPr="008730B2">
        <w:lastRenderedPageBreak/>
        <w:t xml:space="preserve">registered dissatisfaction with the amount of training being delivered in </w:t>
      </w:r>
      <w:r w:rsidR="007B1398">
        <w:t xml:space="preserve">the workplace by the employer. </w:t>
      </w:r>
      <w:r w:rsidRPr="008730B2">
        <w:t>A common theme in the apprentices</w:t>
      </w:r>
      <w:r w:rsidR="004C5471">
        <w:t>’</w:t>
      </w:r>
      <w:r w:rsidRPr="008730B2">
        <w:t xml:space="preserve"> responses was that they </w:t>
      </w:r>
      <w:r w:rsidR="004C5471">
        <w:t>‘</w:t>
      </w:r>
      <w:r w:rsidRPr="008730B2">
        <w:t>assumed there would be a lot more training</w:t>
      </w:r>
      <w:r w:rsidR="004C5471">
        <w:t>’</w:t>
      </w:r>
      <w:r w:rsidR="007B1398">
        <w:t xml:space="preserve"> (A</w:t>
      </w:r>
      <w:r w:rsidRPr="008730B2">
        <w:t>pp</w:t>
      </w:r>
      <w:r w:rsidR="007B1398">
        <w:t>.</w:t>
      </w:r>
      <w:r w:rsidR="0055527D">
        <w:t xml:space="preserve"> </w:t>
      </w:r>
      <w:r w:rsidRPr="008730B2">
        <w:t>1). This is indicative of a mismatched expectation and a potentially unfulfilled obligation by the employer. The delivery of training by other apprentices was al</w:t>
      </w:r>
      <w:r w:rsidR="007B1398">
        <w:t>so a very contentious issue in all four case studies. The a</w:t>
      </w:r>
      <w:r w:rsidRPr="008730B2">
        <w:t xml:space="preserve">pprentices </w:t>
      </w:r>
      <w:r w:rsidR="007B1398">
        <w:t>gave</w:t>
      </w:r>
      <w:r w:rsidRPr="008730B2">
        <w:t xml:space="preserve"> strong responses in</w:t>
      </w:r>
      <w:r w:rsidR="007B1398">
        <w:t>dicating their</w:t>
      </w:r>
      <w:r w:rsidR="0055527D">
        <w:t xml:space="preserve"> opposition to the practic</w:t>
      </w:r>
      <w:r w:rsidRPr="008730B2">
        <w:t xml:space="preserve">e of senior apprentices training them in their daily duties. </w:t>
      </w:r>
    </w:p>
    <w:p w:rsidR="008730B2" w:rsidRPr="008730B2" w:rsidRDefault="007B1398" w:rsidP="008730B2">
      <w:pPr>
        <w:pStyle w:val="Quote"/>
        <w:rPr>
          <w:color w:val="FF0000"/>
        </w:rPr>
      </w:pPr>
      <w:r>
        <w:t>A</w:t>
      </w:r>
      <w:r w:rsidR="008730B2" w:rsidRPr="008730B2">
        <w:t>t the moment I don</w:t>
      </w:r>
      <w:r w:rsidR="004C5471">
        <w:t>’</w:t>
      </w:r>
      <w:r w:rsidR="008730B2" w:rsidRPr="008730B2">
        <w:t>t actually know who</w:t>
      </w:r>
      <w:r w:rsidR="004C5471">
        <w:t>’</w:t>
      </w:r>
      <w:r w:rsidR="008730B2" w:rsidRPr="008730B2">
        <w:t>s meant to be training us, because at the moment I</w:t>
      </w:r>
      <w:r w:rsidR="004C5471">
        <w:t>’</w:t>
      </w:r>
      <w:r w:rsidR="008730B2" w:rsidRPr="008730B2">
        <w:t>m being trained by other apprentices, so I</w:t>
      </w:r>
      <w:r w:rsidR="004C5471">
        <w:t>’</w:t>
      </w:r>
      <w:r w:rsidR="008730B2" w:rsidRPr="008730B2">
        <w:t>m learning from apprentices.</w:t>
      </w:r>
      <w:r w:rsidR="008730B2">
        <w:tab/>
      </w:r>
      <w:r>
        <w:t xml:space="preserve"> (A</w:t>
      </w:r>
      <w:r w:rsidR="008730B2" w:rsidRPr="008730B2">
        <w:t>pp</w:t>
      </w:r>
      <w:r>
        <w:t xml:space="preserve">. </w:t>
      </w:r>
      <w:r w:rsidR="008730B2" w:rsidRPr="008730B2">
        <w:t>2)</w:t>
      </w:r>
    </w:p>
    <w:p w:rsidR="00963725" w:rsidRDefault="00963725" w:rsidP="008730B2">
      <w:pPr>
        <w:pStyle w:val="Text"/>
      </w:pPr>
      <w:r w:rsidRPr="00963725">
        <w:t xml:space="preserve">There has been little government direction on the issue of apprentices providing training to their less experienced colleagues. The issue is alluded to by the </w:t>
      </w:r>
      <w:r w:rsidR="00237907" w:rsidRPr="00963725">
        <w:t>Victorian Department of Education and Early Childhood Education</w:t>
      </w:r>
      <w:r w:rsidRPr="00963725">
        <w:t xml:space="preserve"> and </w:t>
      </w:r>
      <w:r w:rsidR="00237907" w:rsidRPr="00963725">
        <w:t>Victorian Registration and Qualifications Authority</w:t>
      </w:r>
      <w:r w:rsidRPr="00963725">
        <w:t xml:space="preserve"> in their guidelines on apprenticeship training. However, the only standard addressing this issue is the requirement that an 'experienced trainer' be available for the training of apprentices. What constitutes 'experienced' is not clearly identified (Victorian Department of Education and Early Childhood Education 2014; Victorian Registration and Qualifications Authority 2014). While all employers and trainers indicated this arrangement as acceptable</w:t>
      </w:r>
      <w:r w:rsidR="00237907">
        <w:t>, all four apprentices clearly indicated</w:t>
      </w:r>
      <w:r w:rsidRPr="00963725">
        <w:t xml:space="preserve"> this as unacceptable and counter to their understandings of the employer’s obligations. </w:t>
      </w:r>
    </w:p>
    <w:p w:rsidR="008730B2" w:rsidRPr="008730B2" w:rsidRDefault="008730B2" w:rsidP="008730B2">
      <w:pPr>
        <w:pStyle w:val="Text"/>
      </w:pPr>
      <w:r w:rsidRPr="008730B2">
        <w:t xml:space="preserve">There was evidence in the research data that the majority of the participating apprentices had signed the training plan without </w:t>
      </w:r>
      <w:r w:rsidR="005563D3">
        <w:t>a full understanding</w:t>
      </w:r>
      <w:r w:rsidRPr="008730B2">
        <w:t xml:space="preserve"> of </w:t>
      </w:r>
      <w:r w:rsidR="005563D3">
        <w:t>the</w:t>
      </w:r>
      <w:r w:rsidRPr="008730B2">
        <w:t xml:space="preserve"> terminology or its contents. The possibility that three of the apprentices had either not read</w:t>
      </w:r>
      <w:r w:rsidR="005563D3">
        <w:t xml:space="preserve"> the document before signing it</w:t>
      </w:r>
      <w:r w:rsidRPr="008730B2">
        <w:t xml:space="preserve"> </w:t>
      </w:r>
      <w:r w:rsidR="005563D3">
        <w:t xml:space="preserve">or </w:t>
      </w:r>
      <w:r w:rsidRPr="008730B2">
        <w:t xml:space="preserve">that the trainer had failed to explain its contents </w:t>
      </w:r>
      <w:r w:rsidR="005563D3">
        <w:t>adequately</w:t>
      </w:r>
      <w:r w:rsidRPr="008730B2">
        <w:t xml:space="preserve"> must be considered. As an important legal document (</w:t>
      </w:r>
      <w:r w:rsidR="005563D3">
        <w:t>Victorian Department of Education and Early Childhood Education</w:t>
      </w:r>
      <w:r w:rsidR="005563D3" w:rsidRPr="008730B2">
        <w:t xml:space="preserve"> 2014; </w:t>
      </w:r>
      <w:r w:rsidR="005563D3">
        <w:t>Victorian Registration and Qualifications Authority</w:t>
      </w:r>
      <w:r w:rsidR="005563D3" w:rsidRPr="008730B2">
        <w:t xml:space="preserve"> 2014</w:t>
      </w:r>
      <w:r w:rsidR="00237907">
        <w:t>; Victorian Government</w:t>
      </w:r>
      <w:r w:rsidR="005563D3">
        <w:t xml:space="preserve"> Auditor-General</w:t>
      </w:r>
      <w:r w:rsidRPr="008730B2">
        <w:t xml:space="preserve"> 2014) developed to encapsulate the training rights and responsibilities of the apprentice, this is considered to be an important finding. If an apprentice has little or no knowledge of their training rights or entitlements at the beginning of their apprenticeship, the likelihood that training expectations </w:t>
      </w:r>
      <w:r w:rsidR="0055527D">
        <w:t>will be</w:t>
      </w:r>
      <w:r w:rsidRPr="008730B2">
        <w:t xml:space="preserve"> unfulfilled or unrea</w:t>
      </w:r>
      <w:r w:rsidR="005563D3">
        <w:t xml:space="preserve">listic considerably increases. </w:t>
      </w:r>
      <w:r w:rsidRPr="008730B2">
        <w:t>When expectations are unmet, apprentices are more likely to disengage from or consider leaving their apprent</w:t>
      </w:r>
      <w:r w:rsidR="005563D3">
        <w:t>ices</w:t>
      </w:r>
      <w:r w:rsidR="00F95A48">
        <w:t>hips</w:t>
      </w:r>
      <w:r w:rsidR="005563D3">
        <w:t xml:space="preserve"> (Commonwealth of Australia 2011; </w:t>
      </w:r>
      <w:r w:rsidR="005563D3" w:rsidRPr="009607B3">
        <w:t>Chan</w:t>
      </w:r>
      <w:r w:rsidRPr="009607B3">
        <w:t xml:space="preserve"> 201</w:t>
      </w:r>
      <w:r w:rsidR="009607B3" w:rsidRPr="009607B3">
        <w:t>1</w:t>
      </w:r>
      <w:r w:rsidR="005563D3" w:rsidRPr="009607B3">
        <w:t>; Smith</w:t>
      </w:r>
      <w:r w:rsidR="005563D3">
        <w:t>, Walker</w:t>
      </w:r>
      <w:r w:rsidRPr="008730B2">
        <w:t xml:space="preserve"> &amp; B</w:t>
      </w:r>
      <w:r w:rsidR="0055527D">
        <w:t xml:space="preserve">rennan </w:t>
      </w:r>
      <w:proofErr w:type="spellStart"/>
      <w:r w:rsidR="005563D3">
        <w:t>Kemmis</w:t>
      </w:r>
      <w:proofErr w:type="spellEnd"/>
      <w:r w:rsidR="005563D3">
        <w:t xml:space="preserve"> </w:t>
      </w:r>
      <w:r w:rsidRPr="008730B2">
        <w:t xml:space="preserve">2011). </w:t>
      </w:r>
    </w:p>
    <w:p w:rsidR="008730B2" w:rsidRPr="008730B2" w:rsidRDefault="008730B2" w:rsidP="008730B2">
      <w:pPr>
        <w:pStyle w:val="Text"/>
      </w:pPr>
      <w:r w:rsidRPr="008730B2">
        <w:t>Evidence from the participating employers</w:t>
      </w:r>
      <w:r w:rsidR="004C5471">
        <w:t>’</w:t>
      </w:r>
      <w:r w:rsidRPr="008730B2">
        <w:t xml:space="preserve"> responses indicated </w:t>
      </w:r>
      <w:r w:rsidR="00B01AFF">
        <w:t xml:space="preserve">that they engaged only </w:t>
      </w:r>
      <w:r w:rsidRPr="008730B2">
        <w:t>with those training commitments that suited their w</w:t>
      </w:r>
      <w:r w:rsidR="00B01AFF">
        <w:t>orkplace priorities. Competency-</w:t>
      </w:r>
      <w:r w:rsidRPr="008730B2">
        <w:t>based comple</w:t>
      </w:r>
      <w:r w:rsidR="00237907">
        <w:t xml:space="preserve">tion and scheduled training </w:t>
      </w:r>
      <w:r w:rsidRPr="008730B2">
        <w:t xml:space="preserve">in the workplace were considered to be conditional and subject to their discretion. The views of the apprentices supported these findings, with one apprentice identifying that they were </w:t>
      </w:r>
      <w:r w:rsidR="004C5471">
        <w:t>‘</w:t>
      </w:r>
      <w:r w:rsidRPr="008730B2">
        <w:t xml:space="preserve">employed to work, not to </w:t>
      </w:r>
      <w:r w:rsidR="0055527D">
        <w:t>[undertake training]</w:t>
      </w:r>
      <w:r w:rsidR="004C5471">
        <w:t>’</w:t>
      </w:r>
      <w:r w:rsidR="00B01AFF">
        <w:t xml:space="preserve"> (A</w:t>
      </w:r>
      <w:r w:rsidRPr="008730B2">
        <w:t>pp</w:t>
      </w:r>
      <w:r w:rsidR="00B01AFF">
        <w:t xml:space="preserve">. </w:t>
      </w:r>
      <w:r w:rsidRPr="008730B2">
        <w:t xml:space="preserve">4), and that </w:t>
      </w:r>
      <w:r w:rsidR="004C5471">
        <w:t>‘</w:t>
      </w:r>
      <w:r w:rsidRPr="008730B2">
        <w:t>the boss would never allow</w:t>
      </w:r>
      <w:r w:rsidR="004C5471">
        <w:t>’</w:t>
      </w:r>
      <w:r w:rsidR="00B01AFF">
        <w:t xml:space="preserve"> (A</w:t>
      </w:r>
      <w:r w:rsidRPr="008730B2">
        <w:t>pp</w:t>
      </w:r>
      <w:r w:rsidR="00B01AFF">
        <w:t>. 1) for the early competency-</w:t>
      </w:r>
      <w:r w:rsidRPr="008730B2">
        <w:t>based completion and rel</w:t>
      </w:r>
      <w:r w:rsidR="00B01AFF">
        <w:t>ease from their apprenticeship.</w:t>
      </w:r>
      <w:r w:rsidRPr="008730B2">
        <w:t xml:space="preserve"> The data from the apprentice</w:t>
      </w:r>
      <w:r w:rsidR="004C5471">
        <w:t>’</w:t>
      </w:r>
      <w:r w:rsidRPr="008730B2">
        <w:t xml:space="preserve">s responses further indicated the presence of </w:t>
      </w:r>
      <w:r w:rsidR="004C5471">
        <w:t>‘</w:t>
      </w:r>
      <w:r w:rsidRPr="008730B2">
        <w:t>restrictive</w:t>
      </w:r>
      <w:r w:rsidR="004C5471">
        <w:t>’</w:t>
      </w:r>
      <w:r w:rsidRPr="008730B2">
        <w:t xml:space="preserve"> workplaces, identifie</w:t>
      </w:r>
      <w:r w:rsidR="0055527D">
        <w:t xml:space="preserve">d </w:t>
      </w:r>
      <w:r w:rsidR="00B01AFF">
        <w:t>in the literature (Fuller</w:t>
      </w:r>
      <w:r w:rsidR="0055527D">
        <w:t xml:space="preserve"> &amp; Unwin</w:t>
      </w:r>
      <w:r w:rsidRPr="008730B2">
        <w:t xml:space="preserve"> 2013) as being workplaces where the status of employee dominates over learner, and training is secondary to production.</w:t>
      </w:r>
      <w:r w:rsidR="00611BDD">
        <w:t xml:space="preserve"> </w:t>
      </w:r>
    </w:p>
    <w:p w:rsidR="008730B2" w:rsidRPr="008730B2" w:rsidRDefault="008730B2" w:rsidP="008730B2">
      <w:pPr>
        <w:pStyle w:val="Quote"/>
      </w:pPr>
      <w:r w:rsidRPr="008730B2">
        <w:t>I thought there would be a lot more training in the workplace. I didn</w:t>
      </w:r>
      <w:r w:rsidR="004C5471">
        <w:t>’</w:t>
      </w:r>
      <w:r w:rsidRPr="008730B2">
        <w:t xml:space="preserve">t realise it would be so, </w:t>
      </w:r>
      <w:r w:rsidR="004C5471">
        <w:t>‘</w:t>
      </w:r>
      <w:r w:rsidRPr="008730B2">
        <w:t>use your initiative</w:t>
      </w:r>
      <w:r w:rsidR="004C5471">
        <w:t>’</w:t>
      </w:r>
      <w:r w:rsidRPr="008730B2">
        <w:t xml:space="preserve"> style of working. You need to be shown certain processes and certain things, it</w:t>
      </w:r>
      <w:r w:rsidR="004C5471">
        <w:t>’</w:t>
      </w:r>
      <w:r w:rsidRPr="008730B2">
        <w:t>s not like there is someone there to show you how to do it, then you talk about it, and they watch you do it. It</w:t>
      </w:r>
      <w:r w:rsidR="004C5471">
        <w:t>’</w:t>
      </w:r>
      <w:r w:rsidRPr="008730B2">
        <w:t>s more that you have a conversation and you give it a go, and if this works then it works, so, I assumed there would be a lot more training.</w:t>
      </w:r>
      <w:r w:rsidR="00611BDD">
        <w:t xml:space="preserve"> </w:t>
      </w:r>
      <w:r>
        <w:tab/>
      </w:r>
      <w:r w:rsidR="00B01AFF">
        <w:t>(A</w:t>
      </w:r>
      <w:r w:rsidRPr="008730B2">
        <w:t>pp</w:t>
      </w:r>
      <w:r w:rsidR="00B01AFF">
        <w:t xml:space="preserve">. </w:t>
      </w:r>
      <w:r w:rsidRPr="008730B2">
        <w:t>1)</w:t>
      </w:r>
    </w:p>
    <w:p w:rsidR="008730B2" w:rsidRPr="008730B2" w:rsidRDefault="008730B2" w:rsidP="008730B2">
      <w:pPr>
        <w:pStyle w:val="Quote"/>
      </w:pPr>
      <w:r w:rsidRPr="008730B2">
        <w:t xml:space="preserve">Nobody has the time in this </w:t>
      </w:r>
      <w:r w:rsidR="00B01AFF">
        <w:t xml:space="preserve">day and age to train someone … </w:t>
      </w:r>
      <w:r w:rsidRPr="008730B2">
        <w:t xml:space="preserve">and I think that in workplaces, when people are actually doing apprenticeships you assume that you are actually </w:t>
      </w:r>
      <w:proofErr w:type="spellStart"/>
      <w:r w:rsidRPr="008730B2">
        <w:t>gon</w:t>
      </w:r>
      <w:r w:rsidR="00B01AFF">
        <w:t>na</w:t>
      </w:r>
      <w:proofErr w:type="spellEnd"/>
      <w:r w:rsidR="00B01AFF">
        <w:t xml:space="preserve"> learn and get </w:t>
      </w:r>
      <w:r w:rsidR="00B01AFF">
        <w:lastRenderedPageBreak/>
        <w:t xml:space="preserve">trained up … </w:t>
      </w:r>
      <w:r w:rsidRPr="008730B2">
        <w:t>at work it</w:t>
      </w:r>
      <w:r w:rsidR="004C5471">
        <w:t>’</w:t>
      </w:r>
      <w:r w:rsidRPr="008730B2">
        <w:t>s not so much a</w:t>
      </w:r>
      <w:r w:rsidR="00611BDD">
        <w:t xml:space="preserve"> </w:t>
      </w:r>
      <w:r w:rsidRPr="008730B2">
        <w:t>training, you are employed to work,</w:t>
      </w:r>
      <w:r w:rsidR="00611BDD">
        <w:t xml:space="preserve"> </w:t>
      </w:r>
      <w:r w:rsidRPr="008730B2">
        <w:t xml:space="preserve">not to </w:t>
      </w:r>
      <w:r w:rsidR="00B01AFF">
        <w:t>[undertake training]</w:t>
      </w:r>
      <w:r w:rsidRPr="008730B2">
        <w:t xml:space="preserve">. </w:t>
      </w:r>
      <w:r>
        <w:tab/>
      </w:r>
      <w:r w:rsidR="00B01AFF">
        <w:t>(A</w:t>
      </w:r>
      <w:r w:rsidRPr="008730B2">
        <w:t>pp</w:t>
      </w:r>
      <w:r w:rsidR="00B01AFF">
        <w:t>.</w:t>
      </w:r>
      <w:r w:rsidR="0055527D">
        <w:t xml:space="preserve"> </w:t>
      </w:r>
      <w:r w:rsidRPr="008730B2">
        <w:t>4)</w:t>
      </w:r>
    </w:p>
    <w:p w:rsidR="008730B2" w:rsidRPr="008730B2" w:rsidRDefault="00B01AFF" w:rsidP="008730B2">
      <w:pPr>
        <w:pStyle w:val="Text"/>
      </w:pPr>
      <w:r>
        <w:t xml:space="preserve">There was evidence </w:t>
      </w:r>
      <w:r w:rsidR="008730B2" w:rsidRPr="008730B2">
        <w:t>in the data that trainers are not fulfilling their obligations towards apprenticeship</w:t>
      </w:r>
      <w:r w:rsidR="00C62183">
        <w:t xml:space="preserve"> training, specifically in the</w:t>
      </w:r>
      <w:r w:rsidR="008730B2" w:rsidRPr="008730B2">
        <w:t xml:space="preserve"> requirement</w:t>
      </w:r>
      <w:r w:rsidR="00C62183">
        <w:t xml:space="preserve"> for them to construct</w:t>
      </w:r>
      <w:r w:rsidR="008730B2" w:rsidRPr="008730B2">
        <w:t xml:space="preserve"> a training plan through consultation with the apprentice and the employer. There is the possibility that trainers are negligent in </w:t>
      </w:r>
      <w:r>
        <w:t xml:space="preserve">imparting </w:t>
      </w:r>
      <w:r w:rsidR="008730B2" w:rsidRPr="008730B2">
        <w:t xml:space="preserve">knowledge and understandings to the other parties when asking them to </w:t>
      </w:r>
      <w:r w:rsidR="00C62183">
        <w:t xml:space="preserve">sign the training plan, or that </w:t>
      </w:r>
      <w:r w:rsidR="008730B2" w:rsidRPr="008730B2">
        <w:t xml:space="preserve">trainers are assuming </w:t>
      </w:r>
      <w:r>
        <w:t xml:space="preserve">that </w:t>
      </w:r>
      <w:r w:rsidR="008730B2" w:rsidRPr="008730B2">
        <w:t xml:space="preserve">a comprehensive understanding </w:t>
      </w:r>
      <w:r>
        <w:t>exists</w:t>
      </w:r>
      <w:r w:rsidR="008730B2" w:rsidRPr="008730B2">
        <w:t xml:space="preserve"> when the other parties read the plan and agree to sign. There was further evidence from the apprentice interview responses that the trainer had not fulfilled the important obligation of consulting and including them in the construction and negotiation of the </w:t>
      </w:r>
      <w:r>
        <w:t>contents of the training plans</w:t>
      </w:r>
      <w:r w:rsidR="008730B2" w:rsidRPr="008730B2">
        <w:t xml:space="preserve">. </w:t>
      </w:r>
    </w:p>
    <w:p w:rsidR="008730B2" w:rsidRPr="008730B2" w:rsidRDefault="008730B2" w:rsidP="008730B2">
      <w:pPr>
        <w:pStyle w:val="Quote"/>
      </w:pPr>
      <w:r w:rsidRPr="008730B2">
        <w:t>I just sort of ignored it. It didn</w:t>
      </w:r>
      <w:r w:rsidR="004C5471">
        <w:t>’</w:t>
      </w:r>
      <w:r w:rsidRPr="008730B2">
        <w:t>t really go past me at the time so I didn</w:t>
      </w:r>
      <w:r w:rsidR="004C5471">
        <w:t>’</w:t>
      </w:r>
      <w:r w:rsidRPr="008730B2">
        <w:t xml:space="preserve">t really worry about it. I just let everyone else deal with it. </w:t>
      </w:r>
      <w:r>
        <w:tab/>
      </w:r>
      <w:r w:rsidR="00C24DC3">
        <w:t>(A</w:t>
      </w:r>
      <w:r w:rsidRPr="008730B2">
        <w:t>pp</w:t>
      </w:r>
      <w:r w:rsidR="00C24DC3">
        <w:t xml:space="preserve">. </w:t>
      </w:r>
      <w:r w:rsidRPr="008730B2">
        <w:t>1)</w:t>
      </w:r>
    </w:p>
    <w:p w:rsidR="008730B2" w:rsidRPr="008730B2" w:rsidRDefault="008730B2" w:rsidP="008730B2">
      <w:pPr>
        <w:pStyle w:val="Text"/>
      </w:pPr>
      <w:r w:rsidRPr="008730B2">
        <w:t xml:space="preserve">This is considered an important finding, with clear implications </w:t>
      </w:r>
      <w:r w:rsidR="00C24DC3">
        <w:t>for</w:t>
      </w:r>
      <w:r w:rsidRPr="008730B2">
        <w:t xml:space="preserve"> both the rights of the apprentice and the responsibilities of the trainer.</w:t>
      </w:r>
    </w:p>
    <w:p w:rsidR="008730B2" w:rsidRPr="008730B2" w:rsidRDefault="00C24DC3" w:rsidP="008730B2">
      <w:pPr>
        <w:pStyle w:val="Text"/>
      </w:pPr>
      <w:r>
        <w:t>I</w:t>
      </w:r>
      <w:r w:rsidR="008730B2" w:rsidRPr="008730B2">
        <w:t xml:space="preserve">n the interviews </w:t>
      </w:r>
      <w:r w:rsidR="00C62183">
        <w:t>with</w:t>
      </w:r>
      <w:r w:rsidR="008730B2" w:rsidRPr="008730B2">
        <w:t xml:space="preserve"> the apprentices, participants were asked whether they had ever considered leaving their apprenticeship. While all participants acknowledged </w:t>
      </w:r>
      <w:r>
        <w:t>that they had toyed</w:t>
      </w:r>
      <w:r w:rsidR="008730B2" w:rsidRPr="008730B2">
        <w:t xml:space="preserve"> </w:t>
      </w:r>
      <w:r w:rsidR="00C62183">
        <w:t xml:space="preserve">with </w:t>
      </w:r>
      <w:r w:rsidR="008730B2" w:rsidRPr="008730B2">
        <w:t xml:space="preserve">the idea, three indicated </w:t>
      </w:r>
      <w:r>
        <w:t>they had seriously considered</w:t>
      </w:r>
      <w:r w:rsidR="00C62183">
        <w:t xml:space="preserve"> it</w:t>
      </w:r>
      <w:r w:rsidR="008730B2" w:rsidRPr="008730B2">
        <w:t xml:space="preserve">, </w:t>
      </w:r>
      <w:r w:rsidR="00C62183">
        <w:t>while the other indicated that it was</w:t>
      </w:r>
      <w:r w:rsidR="008730B2" w:rsidRPr="008730B2">
        <w:t xml:space="preserve"> a temporary and isolated experience. </w:t>
      </w:r>
    </w:p>
    <w:p w:rsidR="008730B2" w:rsidRPr="008730B2" w:rsidRDefault="008730B2" w:rsidP="008730B2">
      <w:pPr>
        <w:pStyle w:val="Heading2"/>
      </w:pPr>
      <w:bookmarkStart w:id="163" w:name="_Toc412455641"/>
      <w:bookmarkStart w:id="164" w:name="_Toc416683059"/>
      <w:r w:rsidRPr="008730B2">
        <w:t>Conclusions</w:t>
      </w:r>
      <w:bookmarkEnd w:id="163"/>
      <w:bookmarkEnd w:id="164"/>
    </w:p>
    <w:p w:rsidR="008730B2" w:rsidRPr="008730B2" w:rsidRDefault="008730B2" w:rsidP="008730B2">
      <w:pPr>
        <w:pStyle w:val="Text"/>
      </w:pPr>
      <w:r w:rsidRPr="008730B2">
        <w:t xml:space="preserve">The specific aim of this research was to examine the explicit and implicit understandings of the training plan in apprenticeship contracts, and the potential impact </w:t>
      </w:r>
      <w:r w:rsidR="00C62183">
        <w:t xml:space="preserve">of </w:t>
      </w:r>
      <w:r w:rsidR="00C62183" w:rsidRPr="008730B2">
        <w:t xml:space="preserve">mismatched expectations around training </w:t>
      </w:r>
      <w:r w:rsidR="00C62183">
        <w:t>on completion rates</w:t>
      </w:r>
      <w:r w:rsidRPr="008730B2">
        <w:t>. While this was a small research project, it</w:t>
      </w:r>
      <w:r w:rsidR="00C62183">
        <w:t>s findings have</w:t>
      </w:r>
      <w:r w:rsidRPr="008730B2">
        <w:t xml:space="preserve"> both supported the current research into apprenticeship non-compl</w:t>
      </w:r>
      <w:r w:rsidR="00C24DC3">
        <w:t>etion</w:t>
      </w:r>
      <w:r w:rsidRPr="008730B2">
        <w:t xml:space="preserve"> as well as identified </w:t>
      </w:r>
      <w:r w:rsidR="00C24DC3">
        <w:t>a number of</w:t>
      </w:r>
      <w:r w:rsidRPr="008730B2">
        <w:t xml:space="preserve"> areas for potential future research. As ident</w:t>
      </w:r>
      <w:r w:rsidR="00C24DC3">
        <w:t>ified in the literature, mis</w:t>
      </w:r>
      <w:r w:rsidRPr="008730B2">
        <w:t xml:space="preserve">understandings and poor training lead to disengagement and non-completion by apprentices. </w:t>
      </w:r>
      <w:r w:rsidR="00C24DC3">
        <w:t>The</w:t>
      </w:r>
      <w:r w:rsidRPr="008730B2">
        <w:t xml:space="preserve"> possibility </w:t>
      </w:r>
      <w:r w:rsidR="00C24DC3">
        <w:t xml:space="preserve">exists </w:t>
      </w:r>
      <w:r w:rsidRPr="008730B2">
        <w:t>that trainers are not fulfilli</w:t>
      </w:r>
      <w:r w:rsidR="00C24DC3">
        <w:t>ng their role of creating well-</w:t>
      </w:r>
      <w:r w:rsidRPr="008730B2">
        <w:t xml:space="preserve">understood training arrangements between all parties. There is also evidence to suggest that employers are selective in implementing </w:t>
      </w:r>
      <w:r w:rsidR="00C24DC3">
        <w:t>the required workplace training</w:t>
      </w:r>
      <w:r w:rsidRPr="008730B2">
        <w:t xml:space="preserve"> and relu</w:t>
      </w:r>
      <w:r w:rsidR="00C24DC3">
        <w:t>ctant to engage with competency-</w:t>
      </w:r>
      <w:r w:rsidRPr="008730B2">
        <w:t xml:space="preserve">based completion requirements. </w:t>
      </w:r>
    </w:p>
    <w:p w:rsidR="008730B2" w:rsidRPr="008730B2" w:rsidRDefault="008730B2" w:rsidP="00757A60">
      <w:pPr>
        <w:pStyle w:val="Text"/>
        <w:ind w:right="141"/>
      </w:pPr>
      <w:r w:rsidRPr="008730B2">
        <w:t>What this research indicates is that</w:t>
      </w:r>
      <w:r w:rsidR="00C24DC3">
        <w:t>,</w:t>
      </w:r>
      <w:r w:rsidRPr="008730B2">
        <w:t xml:space="preserve"> despite the important role that training plans could </w:t>
      </w:r>
      <w:r w:rsidR="00C24DC3">
        <w:t>play</w:t>
      </w:r>
      <w:r w:rsidRPr="008730B2">
        <w:t xml:space="preserve"> in clarifying understandings and delivering on training expectations, apprentice expectations are still not being met. </w:t>
      </w:r>
    </w:p>
    <w:p w:rsidR="008730B2" w:rsidRPr="008730B2" w:rsidRDefault="008730B2" w:rsidP="00DB5305">
      <w:pPr>
        <w:pStyle w:val="Heading2"/>
      </w:pPr>
      <w:bookmarkStart w:id="165" w:name="_Toc412455642"/>
      <w:bookmarkStart w:id="166" w:name="_Toc416683060"/>
      <w:r w:rsidRPr="008730B2">
        <w:t>References</w:t>
      </w:r>
      <w:bookmarkEnd w:id="165"/>
      <w:bookmarkEnd w:id="166"/>
      <w:r w:rsidR="00DB5305">
        <w:t xml:space="preserve"> </w:t>
      </w:r>
    </w:p>
    <w:p w:rsidR="008730B2" w:rsidRPr="008730B2" w:rsidRDefault="008730B2" w:rsidP="00757A60">
      <w:pPr>
        <w:pStyle w:val="References"/>
        <w:rPr>
          <w:rFonts w:eastAsiaTheme="minorEastAsia"/>
          <w:color w:val="FF0000"/>
          <w:lang w:eastAsia="zh-TW"/>
        </w:rPr>
      </w:pPr>
      <w:r w:rsidRPr="008730B2">
        <w:rPr>
          <w:rFonts w:eastAsiaTheme="minorEastAsia"/>
          <w:lang w:eastAsia="zh-TW"/>
        </w:rPr>
        <w:t>B</w:t>
      </w:r>
      <w:r w:rsidR="00DB5305">
        <w:rPr>
          <w:rFonts w:eastAsiaTheme="minorEastAsia"/>
          <w:lang w:eastAsia="zh-TW"/>
        </w:rPr>
        <w:t>eckett</w:t>
      </w:r>
      <w:r w:rsidRPr="008730B2">
        <w:rPr>
          <w:rFonts w:eastAsiaTheme="minorEastAsia"/>
          <w:lang w:eastAsia="zh-TW"/>
        </w:rPr>
        <w:t>, D &amp; H</w:t>
      </w:r>
      <w:r w:rsidR="00DB5305">
        <w:rPr>
          <w:rFonts w:eastAsiaTheme="minorEastAsia"/>
          <w:lang w:eastAsia="zh-TW"/>
        </w:rPr>
        <w:t>ager</w:t>
      </w:r>
      <w:r w:rsidRPr="008730B2">
        <w:rPr>
          <w:rFonts w:eastAsiaTheme="minorEastAsia"/>
          <w:lang w:eastAsia="zh-TW"/>
        </w:rPr>
        <w:t>, P 2002</w:t>
      </w:r>
      <w:r w:rsidR="00DB5305">
        <w:rPr>
          <w:rFonts w:eastAsiaTheme="minorEastAsia"/>
          <w:lang w:eastAsia="zh-TW"/>
        </w:rPr>
        <w:t>,</w:t>
      </w:r>
      <w:r w:rsidRPr="008730B2">
        <w:rPr>
          <w:rFonts w:eastAsiaTheme="minorEastAsia"/>
          <w:lang w:eastAsia="zh-TW"/>
        </w:rPr>
        <w:t xml:space="preserve"> </w:t>
      </w:r>
      <w:r w:rsidRPr="00E73655">
        <w:rPr>
          <w:rFonts w:eastAsiaTheme="minorEastAsia"/>
          <w:i/>
          <w:lang w:eastAsia="zh-TW"/>
        </w:rPr>
        <w:t xml:space="preserve">Life, </w:t>
      </w:r>
      <w:r w:rsidR="00E73655" w:rsidRPr="00E73655">
        <w:rPr>
          <w:rFonts w:eastAsiaTheme="minorEastAsia"/>
          <w:i/>
          <w:lang w:eastAsia="zh-TW"/>
        </w:rPr>
        <w:t xml:space="preserve">work </w:t>
      </w:r>
      <w:r w:rsidR="00DB5305" w:rsidRPr="00E73655">
        <w:rPr>
          <w:rFonts w:eastAsiaTheme="minorEastAsia"/>
          <w:i/>
          <w:lang w:eastAsia="zh-TW"/>
        </w:rPr>
        <w:t>and learning: practise in p</w:t>
      </w:r>
      <w:r w:rsidRPr="00E73655">
        <w:rPr>
          <w:rFonts w:eastAsiaTheme="minorEastAsia"/>
          <w:i/>
          <w:lang w:eastAsia="zh-TW"/>
        </w:rPr>
        <w:t>ostmodernity</w:t>
      </w:r>
      <w:r w:rsidR="00DB5305">
        <w:rPr>
          <w:rFonts w:eastAsiaTheme="minorEastAsia"/>
          <w:lang w:eastAsia="zh-TW"/>
        </w:rPr>
        <w:t xml:space="preserve">, </w:t>
      </w:r>
      <w:r w:rsidR="00C24DC3">
        <w:rPr>
          <w:rFonts w:eastAsiaTheme="minorEastAsia"/>
          <w:lang w:eastAsia="zh-TW"/>
        </w:rPr>
        <w:t>Routledge, London</w:t>
      </w:r>
      <w:r w:rsidR="00DB5305">
        <w:rPr>
          <w:rFonts w:eastAsiaTheme="minorEastAsia"/>
          <w:lang w:eastAsia="zh-TW"/>
        </w:rPr>
        <w:t>.</w:t>
      </w:r>
      <w:r w:rsidRPr="008730B2">
        <w:rPr>
          <w:rFonts w:eastAsiaTheme="minorEastAsia"/>
          <w:lang w:eastAsia="zh-TW"/>
        </w:rPr>
        <w:t xml:space="preserve"> </w:t>
      </w:r>
    </w:p>
    <w:p w:rsidR="008730B2" w:rsidRPr="008730B2" w:rsidRDefault="00C24DC3" w:rsidP="00757A60">
      <w:pPr>
        <w:pStyle w:val="References"/>
      </w:pPr>
      <w:proofErr w:type="spellStart"/>
      <w:r>
        <w:t>Billett</w:t>
      </w:r>
      <w:proofErr w:type="spellEnd"/>
      <w:r>
        <w:t>, S</w:t>
      </w:r>
      <w:r w:rsidR="00DB5305">
        <w:t xml:space="preserve"> 2004,</w:t>
      </w:r>
      <w:r w:rsidR="008730B2" w:rsidRPr="008730B2">
        <w:t xml:space="preserve"> </w:t>
      </w:r>
      <w:r w:rsidR="004C5471">
        <w:t>‘</w:t>
      </w:r>
      <w:r w:rsidR="008730B2" w:rsidRPr="008730B2">
        <w:t xml:space="preserve">Learning through </w:t>
      </w:r>
      <w:r w:rsidR="00DB5305">
        <w:t>w</w:t>
      </w:r>
      <w:r w:rsidR="008730B2" w:rsidRPr="008730B2">
        <w:t xml:space="preserve">ork: </w:t>
      </w:r>
      <w:r w:rsidR="00DB5305">
        <w:t>w</w:t>
      </w:r>
      <w:r>
        <w:t>orkplace participatory practic</w:t>
      </w:r>
      <w:r w:rsidR="008730B2" w:rsidRPr="008730B2">
        <w:t>es</w:t>
      </w:r>
      <w:r w:rsidR="004C5471">
        <w:t>’</w:t>
      </w:r>
      <w:r w:rsidR="00DB5305">
        <w:t>,</w:t>
      </w:r>
      <w:r w:rsidR="008730B2" w:rsidRPr="008730B2">
        <w:t xml:space="preserve"> </w:t>
      </w:r>
      <w:r w:rsidR="00DB5305">
        <w:t xml:space="preserve">in </w:t>
      </w:r>
      <w:r w:rsidR="00237907">
        <w:t xml:space="preserve">H Rainbird, A Fuller &amp; A Munro (eds), </w:t>
      </w:r>
      <w:r w:rsidR="008730B2" w:rsidRPr="00E73655">
        <w:rPr>
          <w:i/>
        </w:rPr>
        <w:t xml:space="preserve">Workplace </w:t>
      </w:r>
      <w:r w:rsidR="004700E4" w:rsidRPr="00E73655">
        <w:rPr>
          <w:i/>
        </w:rPr>
        <w:t>learning in context</w:t>
      </w:r>
      <w:r w:rsidR="00DB5305">
        <w:t>,</w:t>
      </w:r>
      <w:r w:rsidR="008730B2" w:rsidRPr="008730B2">
        <w:t xml:space="preserve"> </w:t>
      </w:r>
      <w:r w:rsidR="004700E4">
        <w:t>Routledge, London</w:t>
      </w:r>
      <w:r w:rsidR="00DB5305">
        <w:t>.</w:t>
      </w:r>
    </w:p>
    <w:p w:rsidR="008730B2" w:rsidRPr="008730B2" w:rsidRDefault="008730B2" w:rsidP="00757A60">
      <w:pPr>
        <w:pStyle w:val="References"/>
        <w:rPr>
          <w:noProof/>
        </w:rPr>
      </w:pPr>
      <w:r w:rsidRPr="008730B2">
        <w:rPr>
          <w:noProof/>
        </w:rPr>
        <w:t>C</w:t>
      </w:r>
      <w:r w:rsidR="004700E4">
        <w:rPr>
          <w:noProof/>
        </w:rPr>
        <w:t>han, S</w:t>
      </w:r>
      <w:r w:rsidR="00DB5305">
        <w:rPr>
          <w:noProof/>
        </w:rPr>
        <w:t xml:space="preserve"> 2011,</w:t>
      </w:r>
      <w:r w:rsidRPr="008730B2">
        <w:rPr>
          <w:noProof/>
        </w:rPr>
        <w:t xml:space="preserve"> </w:t>
      </w:r>
      <w:r w:rsidRPr="00E73655">
        <w:rPr>
          <w:i/>
          <w:noProof/>
        </w:rPr>
        <w:t xml:space="preserve">Belonging, becoming, and being: </w:t>
      </w:r>
      <w:r w:rsidR="00DB5305" w:rsidRPr="00E73655">
        <w:rPr>
          <w:i/>
          <w:noProof/>
        </w:rPr>
        <w:t>f</w:t>
      </w:r>
      <w:r w:rsidRPr="00E73655">
        <w:rPr>
          <w:i/>
          <w:noProof/>
        </w:rPr>
        <w:t>irst-year apprentices</w:t>
      </w:r>
      <w:r w:rsidR="004C5471" w:rsidRPr="00E73655">
        <w:rPr>
          <w:i/>
          <w:noProof/>
        </w:rPr>
        <w:t>’</w:t>
      </w:r>
      <w:r w:rsidRPr="00E73655">
        <w:rPr>
          <w:i/>
          <w:noProof/>
        </w:rPr>
        <w:t xml:space="preserve"> experiences in the workplace</w:t>
      </w:r>
      <w:r w:rsidR="00E73655">
        <w:rPr>
          <w:noProof/>
        </w:rPr>
        <w:t>,</w:t>
      </w:r>
      <w:r w:rsidRPr="008730B2">
        <w:rPr>
          <w:noProof/>
        </w:rPr>
        <w:t xml:space="preserve"> </w:t>
      </w:r>
      <w:r w:rsidR="004700E4">
        <w:rPr>
          <w:noProof/>
        </w:rPr>
        <w:t>viewed 20 May 2012,</w:t>
      </w:r>
      <w:r w:rsidRPr="008730B2">
        <w:rPr>
          <w:noProof/>
        </w:rPr>
        <w:t xml:space="preserve"> </w:t>
      </w:r>
      <w:r w:rsidR="004700E4">
        <w:rPr>
          <w:noProof/>
        </w:rPr>
        <w:t>&lt;</w:t>
      </w:r>
      <w:hyperlink r:id="rId43" w:history="1">
        <w:r w:rsidRPr="008730B2">
          <w:rPr>
            <w:noProof/>
          </w:rPr>
          <w:t>http://akoaotearoa.ac.nz/research-register/list/becoming-belonging-and-being-first-year-apprentices-experiences-workplace .pdf</w:t>
        </w:r>
      </w:hyperlink>
      <w:r w:rsidR="004700E4">
        <w:t>&gt;</w:t>
      </w:r>
      <w:r w:rsidRPr="008730B2">
        <w:rPr>
          <w:noProof/>
        </w:rPr>
        <w:t xml:space="preserve">. </w:t>
      </w:r>
    </w:p>
    <w:p w:rsidR="004700E4" w:rsidRDefault="00DB5305" w:rsidP="00757A60">
      <w:pPr>
        <w:pStyle w:val="References"/>
        <w:rPr>
          <w:rFonts w:eastAsiaTheme="minorEastAsia"/>
          <w:noProof/>
          <w:lang w:eastAsia="zh-TW"/>
        </w:rPr>
      </w:pPr>
      <w:r>
        <w:rPr>
          <w:rFonts w:eastAsiaTheme="minorEastAsia"/>
          <w:noProof/>
          <w:lang w:eastAsia="zh-TW"/>
        </w:rPr>
        <w:t>Commonwe</w:t>
      </w:r>
      <w:r w:rsidR="004700E4">
        <w:rPr>
          <w:rFonts w:eastAsiaTheme="minorEastAsia"/>
          <w:noProof/>
          <w:lang w:eastAsia="zh-TW"/>
        </w:rPr>
        <w:t>alth of Australia, Expert Panel</w:t>
      </w:r>
      <w:r>
        <w:rPr>
          <w:rFonts w:eastAsiaTheme="minorEastAsia"/>
          <w:noProof/>
          <w:lang w:eastAsia="zh-TW"/>
        </w:rPr>
        <w:t xml:space="preserve"> 2011,</w:t>
      </w:r>
      <w:r w:rsidR="008730B2" w:rsidRPr="008730B2">
        <w:rPr>
          <w:rFonts w:eastAsiaTheme="minorEastAsia"/>
          <w:noProof/>
          <w:lang w:eastAsia="zh-TW"/>
        </w:rPr>
        <w:t xml:space="preserve"> </w:t>
      </w:r>
      <w:r w:rsidR="004700E4" w:rsidRPr="00E73655">
        <w:rPr>
          <w:rFonts w:eastAsiaTheme="minorEastAsia"/>
          <w:i/>
          <w:noProof/>
          <w:lang w:eastAsia="zh-TW"/>
        </w:rPr>
        <w:t>A shared responsibility: a</w:t>
      </w:r>
      <w:r w:rsidR="008730B2" w:rsidRPr="00E73655">
        <w:rPr>
          <w:rFonts w:eastAsiaTheme="minorEastAsia"/>
          <w:i/>
          <w:noProof/>
          <w:lang w:eastAsia="zh-TW"/>
        </w:rPr>
        <w:t>pprenticeships for the 21st Century</w:t>
      </w:r>
      <w:r w:rsidR="008730B2" w:rsidRPr="008730B2">
        <w:rPr>
          <w:rFonts w:eastAsiaTheme="minorEastAsia"/>
          <w:noProof/>
          <w:lang w:eastAsia="zh-TW"/>
        </w:rPr>
        <w:t xml:space="preserve">, </w:t>
      </w:r>
      <w:r w:rsidR="004700E4">
        <w:rPr>
          <w:rFonts w:eastAsiaTheme="minorEastAsia"/>
          <w:noProof/>
          <w:lang w:eastAsia="zh-TW"/>
        </w:rPr>
        <w:t>Commonwealth of Australia,</w:t>
      </w:r>
      <w:r>
        <w:rPr>
          <w:rFonts w:eastAsiaTheme="minorEastAsia"/>
          <w:noProof/>
          <w:lang w:eastAsia="zh-TW"/>
        </w:rPr>
        <w:t xml:space="preserve"> Canberra.</w:t>
      </w:r>
    </w:p>
    <w:p w:rsidR="004700E4" w:rsidRPr="008730B2" w:rsidRDefault="004700E4" w:rsidP="00757A60">
      <w:pPr>
        <w:pStyle w:val="References"/>
        <w:rPr>
          <w:rFonts w:eastAsiaTheme="minorEastAsia"/>
          <w:noProof/>
          <w:lang w:eastAsia="zh-TW"/>
        </w:rPr>
      </w:pPr>
      <w:r>
        <w:rPr>
          <w:rFonts w:eastAsiaTheme="minorEastAsia"/>
          <w:noProof/>
          <w:lang w:eastAsia="zh-TW"/>
        </w:rPr>
        <w:t xml:space="preserve">Curtin University, Centre for Labour Market Research 2007, </w:t>
      </w:r>
      <w:r w:rsidRPr="00E73655">
        <w:rPr>
          <w:rFonts w:eastAsiaTheme="minorEastAsia"/>
          <w:i/>
          <w:noProof/>
          <w:lang w:eastAsia="zh-TW"/>
        </w:rPr>
        <w:t>Analysis of factors contributing to apprenticeship and traineeship completion</w:t>
      </w:r>
      <w:r>
        <w:rPr>
          <w:rFonts w:eastAsiaTheme="minorEastAsia"/>
          <w:noProof/>
          <w:lang w:eastAsia="zh-TW"/>
        </w:rPr>
        <w:t>, viewed 27 June 2012, &lt;</w:t>
      </w:r>
      <w:r w:rsidRPr="008730B2">
        <w:rPr>
          <w:rFonts w:eastAsiaTheme="minorEastAsia"/>
          <w:noProof/>
          <w:lang w:eastAsia="zh-TW"/>
        </w:rPr>
        <w:t>http://business.curtin.edu.au/local/docs/Apprenticeship_and_traineeship_completions_Final.pdf</w:t>
      </w:r>
      <w:r>
        <w:rPr>
          <w:rFonts w:eastAsiaTheme="minorEastAsia"/>
          <w:noProof/>
          <w:lang w:eastAsia="zh-TW"/>
        </w:rPr>
        <w:t>&gt;</w:t>
      </w:r>
      <w:r w:rsidRPr="008730B2">
        <w:rPr>
          <w:rFonts w:eastAsiaTheme="minorEastAsia"/>
          <w:noProof/>
          <w:lang w:eastAsia="zh-TW"/>
        </w:rPr>
        <w:t xml:space="preserve">. </w:t>
      </w:r>
    </w:p>
    <w:p w:rsidR="008730B2" w:rsidRPr="008730B2" w:rsidRDefault="008730B2" w:rsidP="00757A60">
      <w:pPr>
        <w:pStyle w:val="References"/>
        <w:rPr>
          <w:rFonts w:eastAsiaTheme="minorEastAsia"/>
          <w:noProof/>
          <w:lang w:eastAsia="zh-TW"/>
        </w:rPr>
      </w:pPr>
      <w:r w:rsidRPr="008730B2">
        <w:rPr>
          <w:rFonts w:eastAsiaTheme="minorEastAsia"/>
          <w:noProof/>
          <w:lang w:eastAsia="zh-TW"/>
        </w:rPr>
        <w:lastRenderedPageBreak/>
        <w:t>F</w:t>
      </w:r>
      <w:r w:rsidR="00DB5305">
        <w:rPr>
          <w:rFonts w:eastAsiaTheme="minorEastAsia"/>
          <w:noProof/>
          <w:lang w:eastAsia="zh-TW"/>
        </w:rPr>
        <w:t>uller</w:t>
      </w:r>
      <w:r w:rsidRPr="008730B2">
        <w:rPr>
          <w:rFonts w:eastAsiaTheme="minorEastAsia"/>
          <w:noProof/>
          <w:lang w:eastAsia="zh-TW"/>
        </w:rPr>
        <w:t>, A &amp; U</w:t>
      </w:r>
      <w:r w:rsidR="004700E4">
        <w:rPr>
          <w:rFonts w:eastAsiaTheme="minorEastAsia"/>
          <w:noProof/>
          <w:lang w:eastAsia="zh-TW"/>
        </w:rPr>
        <w:t>nwin, L</w:t>
      </w:r>
      <w:r w:rsidR="00DB5305">
        <w:rPr>
          <w:rFonts w:eastAsiaTheme="minorEastAsia"/>
          <w:noProof/>
          <w:lang w:eastAsia="zh-TW"/>
        </w:rPr>
        <w:t xml:space="preserve"> 2013, </w:t>
      </w:r>
      <w:r w:rsidR="004C5471">
        <w:rPr>
          <w:rFonts w:eastAsiaTheme="minorEastAsia"/>
          <w:noProof/>
          <w:lang w:eastAsia="zh-TW"/>
        </w:rPr>
        <w:t>‘</w:t>
      </w:r>
      <w:r w:rsidR="00DB5305">
        <w:rPr>
          <w:rFonts w:eastAsiaTheme="minorEastAsia"/>
          <w:noProof/>
          <w:lang w:eastAsia="zh-TW"/>
        </w:rPr>
        <w:t>Introduction: i</w:t>
      </w:r>
      <w:r w:rsidRPr="008730B2">
        <w:rPr>
          <w:rFonts w:eastAsiaTheme="minorEastAsia"/>
          <w:noProof/>
          <w:lang w:eastAsia="zh-TW"/>
        </w:rPr>
        <w:t xml:space="preserve">nternational </w:t>
      </w:r>
      <w:r w:rsidR="00DB5305">
        <w:rPr>
          <w:rFonts w:eastAsiaTheme="minorEastAsia"/>
          <w:noProof/>
          <w:lang w:eastAsia="zh-TW"/>
        </w:rPr>
        <w:t>p</w:t>
      </w:r>
      <w:r w:rsidRPr="008730B2">
        <w:rPr>
          <w:rFonts w:eastAsiaTheme="minorEastAsia"/>
          <w:noProof/>
          <w:lang w:eastAsia="zh-TW"/>
        </w:rPr>
        <w:t xml:space="preserve">erspectives on </w:t>
      </w:r>
      <w:r w:rsidR="00DB5305">
        <w:rPr>
          <w:rFonts w:eastAsiaTheme="minorEastAsia"/>
          <w:noProof/>
          <w:lang w:eastAsia="zh-TW"/>
        </w:rPr>
        <w:t>a</w:t>
      </w:r>
      <w:r w:rsidRPr="008730B2">
        <w:rPr>
          <w:rFonts w:eastAsiaTheme="minorEastAsia"/>
          <w:noProof/>
          <w:lang w:eastAsia="zh-TW"/>
        </w:rPr>
        <w:t>pprenticeship</w:t>
      </w:r>
      <w:r w:rsidR="004700E4">
        <w:rPr>
          <w:rFonts w:eastAsiaTheme="minorEastAsia"/>
          <w:noProof/>
          <w:lang w:eastAsia="zh-TW"/>
        </w:rPr>
        <w:t xml:space="preserve">, in </w:t>
      </w:r>
      <w:r w:rsidR="00237907">
        <w:rPr>
          <w:rFonts w:eastAsiaTheme="minorEastAsia"/>
          <w:noProof/>
          <w:lang w:eastAsia="zh-TW"/>
        </w:rPr>
        <w:t>A Fuller &amp; L Unwin</w:t>
      </w:r>
      <w:r w:rsidR="00237907" w:rsidRPr="00E73655">
        <w:rPr>
          <w:rFonts w:eastAsiaTheme="minorEastAsia"/>
          <w:i/>
          <w:noProof/>
          <w:lang w:eastAsia="zh-TW"/>
        </w:rPr>
        <w:t xml:space="preserve"> </w:t>
      </w:r>
      <w:r w:rsidR="00237907">
        <w:rPr>
          <w:rFonts w:eastAsiaTheme="minorEastAsia"/>
          <w:i/>
          <w:noProof/>
          <w:lang w:eastAsia="zh-TW"/>
        </w:rPr>
        <w:t xml:space="preserve">(eds), </w:t>
      </w:r>
      <w:r w:rsidRPr="00E73655">
        <w:rPr>
          <w:rFonts w:eastAsiaTheme="minorEastAsia"/>
          <w:i/>
          <w:noProof/>
          <w:lang w:eastAsia="zh-TW"/>
        </w:rPr>
        <w:t xml:space="preserve">Contemporary </w:t>
      </w:r>
      <w:r w:rsidR="004700E4" w:rsidRPr="00E73655">
        <w:rPr>
          <w:rFonts w:eastAsiaTheme="minorEastAsia"/>
          <w:i/>
          <w:noProof/>
          <w:lang w:eastAsia="zh-TW"/>
        </w:rPr>
        <w:t>apprenticeship: international perspectives on an evolving model of learning</w:t>
      </w:r>
      <w:r w:rsidR="004700E4">
        <w:rPr>
          <w:rFonts w:eastAsiaTheme="minorEastAsia"/>
          <w:noProof/>
          <w:lang w:eastAsia="zh-TW"/>
        </w:rPr>
        <w:t>, R</w:t>
      </w:r>
      <w:r w:rsidRPr="008730B2">
        <w:rPr>
          <w:rFonts w:eastAsiaTheme="minorEastAsia"/>
          <w:noProof/>
          <w:lang w:eastAsia="zh-TW"/>
        </w:rPr>
        <w:t>outledge</w:t>
      </w:r>
      <w:r w:rsidR="004700E4">
        <w:rPr>
          <w:rFonts w:eastAsiaTheme="minorEastAsia"/>
          <w:noProof/>
          <w:lang w:eastAsia="zh-TW"/>
        </w:rPr>
        <w:t>,</w:t>
      </w:r>
      <w:r w:rsidR="00F556E2" w:rsidRPr="00F556E2">
        <w:rPr>
          <w:rFonts w:eastAsiaTheme="minorEastAsia"/>
          <w:noProof/>
          <w:lang w:eastAsia="zh-TW"/>
        </w:rPr>
        <w:t xml:space="preserve"> </w:t>
      </w:r>
      <w:r w:rsidR="004700E4">
        <w:rPr>
          <w:rFonts w:eastAsiaTheme="minorEastAsia"/>
          <w:noProof/>
          <w:lang w:eastAsia="zh-TW"/>
        </w:rPr>
        <w:t>London</w:t>
      </w:r>
      <w:r w:rsidRPr="008730B2">
        <w:rPr>
          <w:rFonts w:eastAsiaTheme="minorEastAsia"/>
          <w:noProof/>
          <w:lang w:eastAsia="zh-TW"/>
        </w:rPr>
        <w:t>.</w:t>
      </w:r>
    </w:p>
    <w:p w:rsidR="008730B2" w:rsidRPr="008730B2" w:rsidRDefault="00DB5305" w:rsidP="00757A60">
      <w:pPr>
        <w:pStyle w:val="References"/>
        <w:rPr>
          <w:rFonts w:eastAsiaTheme="minorEastAsia"/>
          <w:noProof/>
          <w:lang w:eastAsia="zh-TW"/>
        </w:rPr>
      </w:pPr>
      <w:r>
        <w:rPr>
          <w:rFonts w:eastAsiaTheme="minorEastAsia"/>
          <w:noProof/>
          <w:lang w:eastAsia="zh-TW"/>
        </w:rPr>
        <w:t>Illeris, K 2011,</w:t>
      </w:r>
      <w:r w:rsidR="008730B2" w:rsidRPr="008730B2">
        <w:rPr>
          <w:rFonts w:eastAsiaTheme="minorEastAsia"/>
          <w:noProof/>
          <w:lang w:eastAsia="zh-TW"/>
        </w:rPr>
        <w:t xml:space="preserve"> </w:t>
      </w:r>
      <w:r w:rsidRPr="00E73655">
        <w:rPr>
          <w:rFonts w:eastAsiaTheme="minorEastAsia"/>
          <w:i/>
          <w:noProof/>
          <w:lang w:eastAsia="zh-TW"/>
        </w:rPr>
        <w:t>Workplace learning</w:t>
      </w:r>
      <w:r w:rsidR="004700E4" w:rsidRPr="00E73655">
        <w:rPr>
          <w:rFonts w:eastAsiaTheme="minorEastAsia"/>
          <w:i/>
          <w:noProof/>
          <w:lang w:eastAsia="zh-TW"/>
        </w:rPr>
        <w:t xml:space="preserve">, </w:t>
      </w:r>
      <w:r w:rsidRPr="00E73655">
        <w:rPr>
          <w:rFonts w:eastAsiaTheme="minorEastAsia"/>
          <w:i/>
          <w:noProof/>
          <w:lang w:eastAsia="zh-TW"/>
        </w:rPr>
        <w:t>understanding h</w:t>
      </w:r>
      <w:r w:rsidR="008730B2" w:rsidRPr="00E73655">
        <w:rPr>
          <w:rFonts w:eastAsiaTheme="minorEastAsia"/>
          <w:i/>
          <w:noProof/>
          <w:lang w:eastAsia="zh-TW"/>
        </w:rPr>
        <w:t xml:space="preserve">ow </w:t>
      </w:r>
      <w:r w:rsidRPr="00E73655">
        <w:rPr>
          <w:rFonts w:eastAsiaTheme="minorEastAsia"/>
          <w:i/>
          <w:noProof/>
          <w:lang w:eastAsia="zh-TW"/>
        </w:rPr>
        <w:t>people learn in working l</w:t>
      </w:r>
      <w:r w:rsidR="008730B2" w:rsidRPr="00E73655">
        <w:rPr>
          <w:rFonts w:eastAsiaTheme="minorEastAsia"/>
          <w:i/>
          <w:noProof/>
          <w:lang w:eastAsia="zh-TW"/>
        </w:rPr>
        <w:t>ife</w:t>
      </w:r>
      <w:r>
        <w:rPr>
          <w:rFonts w:eastAsiaTheme="minorEastAsia"/>
          <w:noProof/>
          <w:lang w:eastAsia="zh-TW"/>
        </w:rPr>
        <w:t>, Routledge</w:t>
      </w:r>
      <w:r w:rsidR="004700E4">
        <w:rPr>
          <w:rFonts w:eastAsiaTheme="minorEastAsia"/>
          <w:noProof/>
          <w:lang w:eastAsia="zh-TW"/>
        </w:rPr>
        <w:t xml:space="preserve">, </w:t>
      </w:r>
      <w:r w:rsidR="00E73655">
        <w:rPr>
          <w:rFonts w:eastAsiaTheme="minorEastAsia"/>
          <w:noProof/>
          <w:lang w:eastAsia="zh-TW"/>
        </w:rPr>
        <w:t>New York</w:t>
      </w:r>
      <w:r>
        <w:rPr>
          <w:rFonts w:eastAsiaTheme="minorEastAsia"/>
          <w:noProof/>
          <w:lang w:eastAsia="zh-TW"/>
        </w:rPr>
        <w:t>.</w:t>
      </w:r>
    </w:p>
    <w:p w:rsidR="008730B2" w:rsidRPr="008730B2" w:rsidRDefault="008730B2" w:rsidP="00757A60">
      <w:pPr>
        <w:pStyle w:val="References"/>
        <w:rPr>
          <w:rFonts w:eastAsiaTheme="minorEastAsia"/>
          <w:noProof/>
          <w:lang w:eastAsia="zh-TW"/>
        </w:rPr>
      </w:pPr>
      <w:r w:rsidRPr="008730B2">
        <w:rPr>
          <w:rFonts w:eastAsiaTheme="minorEastAsia"/>
          <w:noProof/>
          <w:lang w:eastAsia="zh-TW"/>
        </w:rPr>
        <w:t>K</w:t>
      </w:r>
      <w:r w:rsidR="00DB5305">
        <w:rPr>
          <w:rFonts w:eastAsiaTheme="minorEastAsia"/>
          <w:noProof/>
          <w:lang w:eastAsia="zh-TW"/>
        </w:rPr>
        <w:t xml:space="preserve">night, B 2012, </w:t>
      </w:r>
      <w:r w:rsidRPr="00E73655">
        <w:rPr>
          <w:rFonts w:eastAsiaTheme="minorEastAsia"/>
          <w:i/>
          <w:noProof/>
          <w:lang w:eastAsia="zh-TW"/>
        </w:rPr>
        <w:t>Evolution of apprenticeships and traineeships in Australia: an unfinished history</w:t>
      </w:r>
      <w:r w:rsidR="00DB5305">
        <w:rPr>
          <w:rFonts w:eastAsiaTheme="minorEastAsia"/>
          <w:noProof/>
          <w:lang w:eastAsia="zh-TW"/>
        </w:rPr>
        <w:t>,</w:t>
      </w:r>
      <w:r w:rsidRPr="008730B2">
        <w:rPr>
          <w:rFonts w:eastAsiaTheme="minorEastAsia"/>
          <w:noProof/>
          <w:lang w:eastAsia="zh-TW"/>
        </w:rPr>
        <w:t xml:space="preserve"> NCVER</w:t>
      </w:r>
      <w:r w:rsidR="004700E4">
        <w:rPr>
          <w:rFonts w:eastAsiaTheme="minorEastAsia"/>
          <w:noProof/>
          <w:lang w:eastAsia="zh-TW"/>
        </w:rPr>
        <w:t xml:space="preserve">, </w:t>
      </w:r>
      <w:r w:rsidR="00E73655">
        <w:rPr>
          <w:rFonts w:eastAsiaTheme="minorEastAsia"/>
          <w:noProof/>
          <w:lang w:eastAsia="zh-TW"/>
        </w:rPr>
        <w:t>Adelaide</w:t>
      </w:r>
      <w:r w:rsidRPr="008730B2">
        <w:rPr>
          <w:rFonts w:eastAsiaTheme="minorEastAsia"/>
          <w:noProof/>
          <w:lang w:eastAsia="zh-TW"/>
        </w:rPr>
        <w:t>.</w:t>
      </w:r>
    </w:p>
    <w:p w:rsidR="008730B2" w:rsidRPr="008730B2" w:rsidRDefault="00DB5305" w:rsidP="00757A60">
      <w:pPr>
        <w:pStyle w:val="References"/>
        <w:rPr>
          <w:rFonts w:eastAsiaTheme="minorEastAsia"/>
          <w:noProof/>
          <w:lang w:eastAsia="zh-TW"/>
        </w:rPr>
      </w:pPr>
      <w:r>
        <w:rPr>
          <w:rFonts w:eastAsiaTheme="minorEastAsia"/>
          <w:noProof/>
          <w:lang w:eastAsia="zh-TW"/>
        </w:rPr>
        <w:t>M</w:t>
      </w:r>
      <w:r w:rsidR="00DC28FB">
        <w:rPr>
          <w:rFonts w:eastAsiaTheme="minorEastAsia"/>
          <w:noProof/>
          <w:lang w:eastAsia="zh-TW"/>
        </w:rPr>
        <w:t>ertens, DM</w:t>
      </w:r>
      <w:r>
        <w:rPr>
          <w:rFonts w:eastAsiaTheme="minorEastAsia"/>
          <w:noProof/>
          <w:lang w:eastAsia="zh-TW"/>
        </w:rPr>
        <w:t xml:space="preserve"> 2005,</w:t>
      </w:r>
      <w:r w:rsidR="008730B2" w:rsidRPr="008730B2">
        <w:rPr>
          <w:rFonts w:eastAsiaTheme="minorEastAsia"/>
          <w:noProof/>
          <w:lang w:eastAsia="zh-TW"/>
        </w:rPr>
        <w:t xml:space="preserve"> </w:t>
      </w:r>
      <w:r w:rsidRPr="00E73655">
        <w:rPr>
          <w:rFonts w:eastAsiaTheme="minorEastAsia"/>
          <w:i/>
          <w:noProof/>
          <w:lang w:eastAsia="zh-TW"/>
        </w:rPr>
        <w:t>Research and evaluation in education and p</w:t>
      </w:r>
      <w:r w:rsidR="008730B2" w:rsidRPr="00E73655">
        <w:rPr>
          <w:rFonts w:eastAsiaTheme="minorEastAsia"/>
          <w:i/>
          <w:noProof/>
          <w:lang w:eastAsia="zh-TW"/>
        </w:rPr>
        <w:t>sychology</w:t>
      </w:r>
      <w:r>
        <w:rPr>
          <w:rFonts w:eastAsiaTheme="minorEastAsia"/>
          <w:noProof/>
          <w:lang w:eastAsia="zh-TW"/>
        </w:rPr>
        <w:t>,</w:t>
      </w:r>
      <w:r w:rsidR="008730B2" w:rsidRPr="008730B2">
        <w:rPr>
          <w:rFonts w:eastAsiaTheme="minorEastAsia"/>
          <w:noProof/>
          <w:lang w:eastAsia="zh-TW"/>
        </w:rPr>
        <w:t xml:space="preserve"> </w:t>
      </w:r>
      <w:r>
        <w:rPr>
          <w:rFonts w:eastAsiaTheme="minorEastAsia"/>
          <w:noProof/>
          <w:lang w:eastAsia="zh-TW"/>
        </w:rPr>
        <w:t>Sage</w:t>
      </w:r>
      <w:r w:rsidR="004700E4">
        <w:rPr>
          <w:rFonts w:eastAsiaTheme="minorEastAsia"/>
          <w:noProof/>
          <w:lang w:eastAsia="zh-TW"/>
        </w:rPr>
        <w:t xml:space="preserve">, </w:t>
      </w:r>
      <w:r w:rsidR="00DC28FB">
        <w:rPr>
          <w:rFonts w:eastAsiaTheme="minorEastAsia"/>
          <w:noProof/>
          <w:lang w:eastAsia="zh-TW"/>
        </w:rPr>
        <w:t>CA</w:t>
      </w:r>
      <w:r>
        <w:rPr>
          <w:rFonts w:eastAsiaTheme="minorEastAsia"/>
          <w:noProof/>
          <w:lang w:eastAsia="zh-TW"/>
        </w:rPr>
        <w:t>.</w:t>
      </w:r>
    </w:p>
    <w:p w:rsidR="008730B2" w:rsidRPr="008730B2" w:rsidRDefault="00DC28FB" w:rsidP="00757A60">
      <w:pPr>
        <w:pStyle w:val="References"/>
        <w:rPr>
          <w:rFonts w:eastAsiaTheme="minorEastAsia"/>
          <w:noProof/>
          <w:lang w:eastAsia="zh-TW"/>
        </w:rPr>
      </w:pPr>
      <w:r>
        <w:rPr>
          <w:rFonts w:eastAsiaTheme="minorEastAsia"/>
          <w:noProof/>
          <w:lang w:eastAsia="zh-TW"/>
        </w:rPr>
        <w:t>NCVER (National Centre for Vocational Education Research)</w:t>
      </w:r>
      <w:r w:rsidR="00DB5305">
        <w:rPr>
          <w:rFonts w:eastAsiaTheme="minorEastAsia"/>
          <w:noProof/>
          <w:lang w:eastAsia="zh-TW"/>
        </w:rPr>
        <w:t xml:space="preserve"> 2011, </w:t>
      </w:r>
      <w:r w:rsidRPr="00E73655">
        <w:rPr>
          <w:rFonts w:eastAsiaTheme="minorEastAsia"/>
          <w:i/>
          <w:noProof/>
          <w:lang w:eastAsia="zh-TW"/>
        </w:rPr>
        <w:t xml:space="preserve">Apprentices </w:t>
      </w:r>
      <w:r w:rsidR="00E73655" w:rsidRPr="00E73655">
        <w:rPr>
          <w:rFonts w:eastAsiaTheme="minorEastAsia"/>
          <w:i/>
          <w:noProof/>
          <w:lang w:eastAsia="zh-TW"/>
        </w:rPr>
        <w:t>and</w:t>
      </w:r>
      <w:r w:rsidRPr="00E73655">
        <w:rPr>
          <w:rFonts w:eastAsiaTheme="minorEastAsia"/>
          <w:i/>
          <w:noProof/>
          <w:lang w:eastAsia="zh-TW"/>
        </w:rPr>
        <w:t xml:space="preserve"> t</w:t>
      </w:r>
      <w:r w:rsidR="008730B2" w:rsidRPr="00E73655">
        <w:rPr>
          <w:rFonts w:eastAsiaTheme="minorEastAsia"/>
          <w:i/>
          <w:noProof/>
          <w:lang w:eastAsia="zh-TW"/>
        </w:rPr>
        <w:t>rainees: Au</w:t>
      </w:r>
      <w:r w:rsidR="00237907">
        <w:rPr>
          <w:rFonts w:eastAsiaTheme="minorEastAsia"/>
          <w:i/>
          <w:noProof/>
          <w:lang w:eastAsia="zh-TW"/>
        </w:rPr>
        <w:t xml:space="preserve">stralian vocational education and </w:t>
      </w:r>
      <w:r w:rsidR="008730B2" w:rsidRPr="00E73655">
        <w:rPr>
          <w:rFonts w:eastAsiaTheme="minorEastAsia"/>
          <w:i/>
          <w:noProof/>
          <w:lang w:eastAsia="zh-TW"/>
        </w:rPr>
        <w:t>training statistics</w:t>
      </w:r>
      <w:r w:rsidR="00DB5305">
        <w:rPr>
          <w:rFonts w:eastAsiaTheme="minorEastAsia"/>
          <w:noProof/>
          <w:lang w:eastAsia="zh-TW"/>
        </w:rPr>
        <w:t>,</w:t>
      </w:r>
      <w:r w:rsidR="008730B2" w:rsidRPr="008730B2">
        <w:rPr>
          <w:rFonts w:eastAsiaTheme="minorEastAsia"/>
          <w:noProof/>
          <w:lang w:eastAsia="zh-TW"/>
        </w:rPr>
        <w:t xml:space="preserve"> NCVER</w:t>
      </w:r>
      <w:r w:rsidR="004700E4">
        <w:rPr>
          <w:rFonts w:eastAsiaTheme="minorEastAsia"/>
          <w:noProof/>
          <w:lang w:eastAsia="zh-TW"/>
        </w:rPr>
        <w:t xml:space="preserve">, </w:t>
      </w:r>
      <w:r>
        <w:rPr>
          <w:rFonts w:eastAsiaTheme="minorEastAsia"/>
          <w:noProof/>
          <w:lang w:eastAsia="zh-TW"/>
        </w:rPr>
        <w:t>Adelaide</w:t>
      </w:r>
      <w:r w:rsidR="008730B2" w:rsidRPr="008730B2">
        <w:rPr>
          <w:rFonts w:eastAsiaTheme="minorEastAsia"/>
          <w:noProof/>
          <w:lang w:eastAsia="zh-TW"/>
        </w:rPr>
        <w:t>.</w:t>
      </w:r>
    </w:p>
    <w:p w:rsidR="008730B2" w:rsidRPr="008730B2" w:rsidRDefault="008730B2" w:rsidP="00757A60">
      <w:pPr>
        <w:pStyle w:val="References"/>
        <w:rPr>
          <w:rFonts w:eastAsiaTheme="minorEastAsia"/>
          <w:noProof/>
          <w:lang w:eastAsia="zh-TW"/>
        </w:rPr>
      </w:pPr>
      <w:r w:rsidRPr="008730B2">
        <w:rPr>
          <w:rFonts w:eastAsiaTheme="minorEastAsia"/>
          <w:noProof/>
          <w:lang w:eastAsia="zh-TW"/>
        </w:rPr>
        <w:t>S</w:t>
      </w:r>
      <w:r w:rsidR="00DB5305">
        <w:rPr>
          <w:rFonts w:eastAsiaTheme="minorEastAsia"/>
          <w:noProof/>
          <w:lang w:eastAsia="zh-TW"/>
        </w:rPr>
        <w:t>mith</w:t>
      </w:r>
      <w:r w:rsidRPr="008730B2">
        <w:rPr>
          <w:rFonts w:eastAsiaTheme="minorEastAsia"/>
          <w:noProof/>
          <w:lang w:eastAsia="zh-TW"/>
        </w:rPr>
        <w:t>, E, W</w:t>
      </w:r>
      <w:r w:rsidR="00DB5305">
        <w:rPr>
          <w:rFonts w:eastAsiaTheme="minorEastAsia"/>
          <w:noProof/>
          <w:lang w:eastAsia="zh-TW"/>
        </w:rPr>
        <w:t>alker</w:t>
      </w:r>
      <w:r w:rsidRPr="008730B2">
        <w:rPr>
          <w:rFonts w:eastAsiaTheme="minorEastAsia"/>
          <w:noProof/>
          <w:lang w:eastAsia="zh-TW"/>
        </w:rPr>
        <w:t xml:space="preserve">, A &amp; </w:t>
      </w:r>
      <w:r w:rsidR="00C62183">
        <w:rPr>
          <w:rFonts w:eastAsiaTheme="minorEastAsia"/>
          <w:noProof/>
          <w:lang w:eastAsia="zh-TW"/>
        </w:rPr>
        <w:t xml:space="preserve">Brennan </w:t>
      </w:r>
      <w:r w:rsidR="00DC28FB">
        <w:rPr>
          <w:rFonts w:eastAsiaTheme="minorEastAsia"/>
          <w:noProof/>
          <w:lang w:eastAsia="zh-TW"/>
        </w:rPr>
        <w:t>Kemmis, R</w:t>
      </w:r>
      <w:r w:rsidR="00DB5305">
        <w:rPr>
          <w:rFonts w:eastAsiaTheme="minorEastAsia"/>
          <w:noProof/>
          <w:lang w:eastAsia="zh-TW"/>
        </w:rPr>
        <w:t xml:space="preserve"> 2011, </w:t>
      </w:r>
      <w:r w:rsidRPr="00E73655">
        <w:rPr>
          <w:rFonts w:eastAsiaTheme="minorEastAsia"/>
          <w:i/>
          <w:noProof/>
          <w:lang w:eastAsia="zh-TW"/>
        </w:rPr>
        <w:t>Understanding the psychological contract in apprenticeships and traineeships to improve retention</w:t>
      </w:r>
      <w:r w:rsidR="00DB5305">
        <w:rPr>
          <w:rFonts w:eastAsiaTheme="minorEastAsia"/>
          <w:noProof/>
          <w:lang w:eastAsia="zh-TW"/>
        </w:rPr>
        <w:t>,</w:t>
      </w:r>
      <w:r w:rsidRPr="008730B2">
        <w:rPr>
          <w:rFonts w:eastAsiaTheme="minorEastAsia"/>
          <w:noProof/>
          <w:lang w:eastAsia="zh-TW"/>
        </w:rPr>
        <w:t xml:space="preserve"> </w:t>
      </w:r>
      <w:r w:rsidR="00DB5305">
        <w:rPr>
          <w:rFonts w:eastAsiaTheme="minorEastAsia"/>
          <w:noProof/>
          <w:lang w:eastAsia="zh-TW"/>
        </w:rPr>
        <w:t>NCVER</w:t>
      </w:r>
      <w:r w:rsidR="004700E4">
        <w:rPr>
          <w:rFonts w:eastAsiaTheme="minorEastAsia"/>
          <w:noProof/>
          <w:lang w:eastAsia="zh-TW"/>
        </w:rPr>
        <w:t xml:space="preserve">, </w:t>
      </w:r>
      <w:r w:rsidR="00DC28FB">
        <w:rPr>
          <w:rFonts w:eastAsiaTheme="minorEastAsia"/>
          <w:noProof/>
          <w:lang w:eastAsia="zh-TW"/>
        </w:rPr>
        <w:t>Adelaide</w:t>
      </w:r>
      <w:r w:rsidR="00DB5305">
        <w:rPr>
          <w:rFonts w:eastAsiaTheme="minorEastAsia"/>
          <w:noProof/>
          <w:lang w:eastAsia="zh-TW"/>
        </w:rPr>
        <w:t>.</w:t>
      </w:r>
    </w:p>
    <w:p w:rsidR="008730B2" w:rsidRPr="008730B2" w:rsidRDefault="008730B2" w:rsidP="00757A60">
      <w:pPr>
        <w:pStyle w:val="References"/>
        <w:rPr>
          <w:noProof/>
        </w:rPr>
      </w:pPr>
      <w:r w:rsidRPr="008730B2">
        <w:rPr>
          <w:noProof/>
        </w:rPr>
        <w:t>S</w:t>
      </w:r>
      <w:r w:rsidR="00DB5305">
        <w:rPr>
          <w:noProof/>
        </w:rPr>
        <w:t>trickland, A, Simons, M</w:t>
      </w:r>
      <w:r w:rsidRPr="008730B2">
        <w:rPr>
          <w:noProof/>
        </w:rPr>
        <w:t>, H</w:t>
      </w:r>
      <w:r w:rsidR="00DB5305">
        <w:rPr>
          <w:noProof/>
        </w:rPr>
        <w:t>arris, R</w:t>
      </w:r>
      <w:r w:rsidRPr="008730B2">
        <w:rPr>
          <w:noProof/>
        </w:rPr>
        <w:t>, R</w:t>
      </w:r>
      <w:r w:rsidR="00DB5305">
        <w:rPr>
          <w:noProof/>
        </w:rPr>
        <w:t>obertson, I</w:t>
      </w:r>
      <w:r w:rsidRPr="008730B2">
        <w:rPr>
          <w:noProof/>
        </w:rPr>
        <w:t>, H</w:t>
      </w:r>
      <w:r w:rsidR="00DB5305">
        <w:rPr>
          <w:noProof/>
        </w:rPr>
        <w:t>arford</w:t>
      </w:r>
      <w:r w:rsidR="00DC28FB">
        <w:rPr>
          <w:noProof/>
        </w:rPr>
        <w:t>, M</w:t>
      </w:r>
      <w:r w:rsidRPr="008730B2">
        <w:rPr>
          <w:noProof/>
        </w:rPr>
        <w:t xml:space="preserve"> &amp; E</w:t>
      </w:r>
      <w:r w:rsidR="00DC28FB">
        <w:rPr>
          <w:noProof/>
        </w:rPr>
        <w:t>dwards, A</w:t>
      </w:r>
      <w:r w:rsidR="00DB5305">
        <w:rPr>
          <w:noProof/>
        </w:rPr>
        <w:t xml:space="preserve"> 2001, </w:t>
      </w:r>
      <w:r w:rsidRPr="00E73655">
        <w:rPr>
          <w:i/>
          <w:noProof/>
        </w:rPr>
        <w:t>Evaluating on- and off-the-job approaches to learning and assessment in apprenticeships and traineeships</w:t>
      </w:r>
      <w:r w:rsidR="00DB5305">
        <w:rPr>
          <w:noProof/>
        </w:rPr>
        <w:t>,</w:t>
      </w:r>
      <w:r w:rsidRPr="008730B2">
        <w:rPr>
          <w:noProof/>
        </w:rPr>
        <w:t xml:space="preserve"> NCVER</w:t>
      </w:r>
      <w:r w:rsidR="004700E4">
        <w:rPr>
          <w:noProof/>
        </w:rPr>
        <w:t xml:space="preserve">, </w:t>
      </w:r>
      <w:r w:rsidR="00DC28FB">
        <w:rPr>
          <w:noProof/>
        </w:rPr>
        <w:t>Adelaide</w:t>
      </w:r>
      <w:r w:rsidR="00DB5305">
        <w:rPr>
          <w:noProof/>
        </w:rPr>
        <w:t>.</w:t>
      </w:r>
    </w:p>
    <w:p w:rsidR="008730B2" w:rsidRDefault="008730B2" w:rsidP="00757A60">
      <w:pPr>
        <w:pStyle w:val="References"/>
        <w:rPr>
          <w:rFonts w:eastAsiaTheme="minorEastAsia"/>
          <w:noProof/>
          <w:lang w:eastAsia="zh-TW"/>
        </w:rPr>
      </w:pPr>
      <w:r w:rsidRPr="008730B2">
        <w:rPr>
          <w:rFonts w:eastAsiaTheme="minorEastAsia"/>
          <w:noProof/>
          <w:lang w:eastAsia="zh-TW"/>
        </w:rPr>
        <w:t>S</w:t>
      </w:r>
      <w:r w:rsidR="00DB5305">
        <w:rPr>
          <w:rFonts w:eastAsiaTheme="minorEastAsia"/>
          <w:noProof/>
          <w:lang w:eastAsia="zh-TW"/>
        </w:rPr>
        <w:t>t</w:t>
      </w:r>
      <w:r w:rsidR="00DC28FB">
        <w:rPr>
          <w:rFonts w:eastAsiaTheme="minorEastAsia"/>
          <w:noProof/>
          <w:lang w:eastAsia="zh-TW"/>
        </w:rPr>
        <w:t>romback, T</w:t>
      </w:r>
      <w:r w:rsidR="00DB5305">
        <w:rPr>
          <w:rFonts w:eastAsiaTheme="minorEastAsia"/>
          <w:noProof/>
          <w:lang w:eastAsia="zh-TW"/>
        </w:rPr>
        <w:t xml:space="preserve"> 2006,</w:t>
      </w:r>
      <w:r w:rsidRPr="008730B2">
        <w:rPr>
          <w:rFonts w:eastAsiaTheme="minorEastAsia"/>
          <w:noProof/>
          <w:lang w:eastAsia="zh-TW"/>
        </w:rPr>
        <w:t xml:space="preserve"> </w:t>
      </w:r>
      <w:r w:rsidR="00DB5305" w:rsidRPr="00E73655">
        <w:rPr>
          <w:rFonts w:eastAsiaTheme="minorEastAsia"/>
          <w:i/>
          <w:noProof/>
          <w:lang w:eastAsia="zh-TW"/>
        </w:rPr>
        <w:t>By chance or choice: the regulation of the Australian apprenticeship s</w:t>
      </w:r>
      <w:r w:rsidR="00DC28FB" w:rsidRPr="00E73655">
        <w:rPr>
          <w:rFonts w:eastAsiaTheme="minorEastAsia"/>
          <w:i/>
          <w:noProof/>
          <w:lang w:eastAsia="zh-TW"/>
        </w:rPr>
        <w:t>ystem, 1900—</w:t>
      </w:r>
      <w:r w:rsidRPr="00E73655">
        <w:rPr>
          <w:rFonts w:eastAsiaTheme="minorEastAsia"/>
          <w:i/>
          <w:noProof/>
          <w:lang w:eastAsia="zh-TW"/>
        </w:rPr>
        <w:t>1930</w:t>
      </w:r>
      <w:r w:rsidR="00DC28FB">
        <w:rPr>
          <w:rFonts w:eastAsiaTheme="minorEastAsia"/>
          <w:noProof/>
          <w:lang w:eastAsia="zh-TW"/>
        </w:rPr>
        <w:t>, Centre for Labour Market Research, Curtin University, Perth.</w:t>
      </w:r>
    </w:p>
    <w:p w:rsidR="004700E4" w:rsidRDefault="004700E4" w:rsidP="00757A60">
      <w:pPr>
        <w:pStyle w:val="References"/>
        <w:rPr>
          <w:rFonts w:cs="Tahoma"/>
          <w:color w:val="000000"/>
          <w:kern w:val="28"/>
        </w:rPr>
      </w:pPr>
      <w:r>
        <w:t>Victorian Department of Education and Early Childhood Education</w:t>
      </w:r>
      <w:r w:rsidRPr="008730B2">
        <w:t xml:space="preserve"> </w:t>
      </w:r>
      <w:r w:rsidRPr="008730B2">
        <w:rPr>
          <w:rFonts w:cs="Tahoma"/>
          <w:color w:val="000000"/>
          <w:kern w:val="28"/>
        </w:rPr>
        <w:t>2014</w:t>
      </w:r>
      <w:r w:rsidRPr="00DB5305">
        <w:rPr>
          <w:rFonts w:cs="Tahoma"/>
          <w:color w:val="000000"/>
          <w:kern w:val="28"/>
        </w:rPr>
        <w:t>,</w:t>
      </w:r>
      <w:r w:rsidRPr="008730B2">
        <w:rPr>
          <w:rFonts w:cs="Tahoma"/>
          <w:color w:val="000000"/>
          <w:kern w:val="28"/>
        </w:rPr>
        <w:t xml:space="preserve"> </w:t>
      </w:r>
      <w:r w:rsidRPr="00E73655">
        <w:rPr>
          <w:rFonts w:cs="Tahoma"/>
          <w:i/>
          <w:color w:val="000000"/>
          <w:kern w:val="28"/>
        </w:rPr>
        <w:t xml:space="preserve">What is a </w:t>
      </w:r>
      <w:r w:rsidR="00DC28FB" w:rsidRPr="00E73655">
        <w:rPr>
          <w:rFonts w:cs="Tahoma"/>
          <w:i/>
          <w:color w:val="000000"/>
          <w:kern w:val="28"/>
        </w:rPr>
        <w:t>training plan</w:t>
      </w:r>
      <w:r w:rsidRPr="00E73655">
        <w:rPr>
          <w:rFonts w:cs="Tahoma"/>
          <w:i/>
          <w:color w:val="000000"/>
          <w:kern w:val="28"/>
        </w:rPr>
        <w:t>?</w:t>
      </w:r>
      <w:r w:rsidR="00E73655">
        <w:rPr>
          <w:rFonts w:cs="Tahoma"/>
          <w:color w:val="000000"/>
          <w:kern w:val="28"/>
        </w:rPr>
        <w:t>, v</w:t>
      </w:r>
      <w:r w:rsidR="00DC28FB">
        <w:rPr>
          <w:rFonts w:cs="Tahoma"/>
          <w:color w:val="000000"/>
          <w:kern w:val="28"/>
        </w:rPr>
        <w:t>iewed 21</w:t>
      </w:r>
      <w:r w:rsidR="00E73655">
        <w:rPr>
          <w:rFonts w:cs="Tahoma"/>
          <w:color w:val="000000"/>
          <w:kern w:val="28"/>
        </w:rPr>
        <w:t> </w:t>
      </w:r>
      <w:r w:rsidR="00DC28FB">
        <w:rPr>
          <w:rFonts w:cs="Tahoma"/>
          <w:color w:val="000000"/>
          <w:kern w:val="28"/>
        </w:rPr>
        <w:t>March 2014, &lt;</w:t>
      </w:r>
      <w:hyperlink r:id="rId44" w:history="1">
        <w:r w:rsidRPr="00DB5305">
          <w:rPr>
            <w:rFonts w:cs="Tahoma"/>
            <w:color w:val="000000"/>
            <w:kern w:val="28"/>
          </w:rPr>
          <w:t>http://www.education.vic.gov.au/training/employers/apprentices/Pages/what.aspx</w:t>
        </w:r>
      </w:hyperlink>
      <w:r w:rsidR="00DC28FB">
        <w:t>&gt;.</w:t>
      </w:r>
      <w:r w:rsidR="00DC28FB">
        <w:rPr>
          <w:rFonts w:cs="Tahoma"/>
          <w:color w:val="000000"/>
          <w:kern w:val="28"/>
        </w:rPr>
        <w:t xml:space="preserve"> </w:t>
      </w:r>
    </w:p>
    <w:p w:rsidR="008730B2" w:rsidRDefault="00237907" w:rsidP="00757A60">
      <w:pPr>
        <w:pStyle w:val="References"/>
        <w:rPr>
          <w:rFonts w:cs="Tahoma"/>
          <w:color w:val="000000"/>
          <w:kern w:val="28"/>
        </w:rPr>
      </w:pPr>
      <w:r>
        <w:rPr>
          <w:rFonts w:cs="Tahoma"/>
          <w:color w:val="000000"/>
          <w:kern w:val="28"/>
        </w:rPr>
        <w:t>Victorian Government</w:t>
      </w:r>
      <w:r w:rsidR="00DB5305">
        <w:rPr>
          <w:rFonts w:cs="Tahoma"/>
          <w:color w:val="000000"/>
          <w:kern w:val="28"/>
        </w:rPr>
        <w:t xml:space="preserve"> Auditor General, 2014,</w:t>
      </w:r>
      <w:r w:rsidR="008730B2" w:rsidRPr="008730B2">
        <w:rPr>
          <w:rFonts w:cs="Tahoma"/>
          <w:color w:val="000000"/>
          <w:kern w:val="28"/>
        </w:rPr>
        <w:t xml:space="preserve"> </w:t>
      </w:r>
      <w:r w:rsidR="008730B2" w:rsidRPr="00E73655">
        <w:rPr>
          <w:rFonts w:cs="Tahoma"/>
          <w:i/>
          <w:color w:val="000000"/>
          <w:kern w:val="28"/>
        </w:rPr>
        <w:t xml:space="preserve">Apprenticeship and </w:t>
      </w:r>
      <w:r w:rsidR="00DB5305" w:rsidRPr="00E73655">
        <w:rPr>
          <w:rFonts w:cs="Tahoma"/>
          <w:i/>
          <w:color w:val="000000"/>
          <w:kern w:val="28"/>
        </w:rPr>
        <w:t>traineeship completion: t</w:t>
      </w:r>
      <w:r w:rsidR="008730B2" w:rsidRPr="00E73655">
        <w:rPr>
          <w:rFonts w:cs="Tahoma"/>
          <w:i/>
          <w:color w:val="000000"/>
          <w:kern w:val="28"/>
        </w:rPr>
        <w:t>he Victorian Auditor-General</w:t>
      </w:r>
      <w:r w:rsidR="004C5471" w:rsidRPr="00E73655">
        <w:rPr>
          <w:rFonts w:cs="Tahoma"/>
          <w:i/>
          <w:color w:val="000000"/>
          <w:kern w:val="28"/>
        </w:rPr>
        <w:t>’</w:t>
      </w:r>
      <w:r w:rsidR="008730B2" w:rsidRPr="00E73655">
        <w:rPr>
          <w:rFonts w:cs="Tahoma"/>
          <w:i/>
          <w:color w:val="000000"/>
          <w:kern w:val="28"/>
        </w:rPr>
        <w:t>s report</w:t>
      </w:r>
      <w:r w:rsidR="008730B2" w:rsidRPr="008730B2">
        <w:rPr>
          <w:rFonts w:cs="Tahoma"/>
          <w:color w:val="000000"/>
          <w:kern w:val="28"/>
        </w:rPr>
        <w:t xml:space="preserve">, </w:t>
      </w:r>
      <w:r w:rsidR="00DC28FB">
        <w:rPr>
          <w:rFonts w:cs="Tahoma"/>
          <w:color w:val="000000"/>
          <w:kern w:val="28"/>
        </w:rPr>
        <w:t>Melbourne</w:t>
      </w:r>
      <w:r w:rsidR="00DB5305">
        <w:rPr>
          <w:rFonts w:cs="Tahoma"/>
          <w:color w:val="000000"/>
          <w:kern w:val="28"/>
        </w:rPr>
        <w:t>.</w:t>
      </w:r>
    </w:p>
    <w:p w:rsidR="008730B2" w:rsidRPr="004700E4" w:rsidRDefault="004700E4" w:rsidP="00757A60">
      <w:pPr>
        <w:pStyle w:val="References"/>
      </w:pPr>
      <w:r>
        <w:t>Victorian Registration and Qualifications Authority</w:t>
      </w:r>
      <w:r w:rsidRPr="008730B2">
        <w:t xml:space="preserve"> 2014</w:t>
      </w:r>
      <w:r w:rsidR="00DC28FB">
        <w:t xml:space="preserve">, </w:t>
      </w:r>
      <w:r w:rsidR="008730B2" w:rsidRPr="00E73655">
        <w:rPr>
          <w:rFonts w:cs="Tahoma"/>
          <w:i/>
          <w:color w:val="000000"/>
          <w:kern w:val="28"/>
        </w:rPr>
        <w:t>Apprentices, trainees and employers</w:t>
      </w:r>
      <w:r w:rsidR="00DC28FB">
        <w:rPr>
          <w:rFonts w:cs="Tahoma"/>
          <w:color w:val="000000"/>
          <w:kern w:val="28"/>
        </w:rPr>
        <w:t>, viewed 21</w:t>
      </w:r>
      <w:r w:rsidR="00E73655">
        <w:rPr>
          <w:rFonts w:cs="Tahoma"/>
          <w:color w:val="000000"/>
          <w:kern w:val="28"/>
        </w:rPr>
        <w:t> </w:t>
      </w:r>
      <w:r w:rsidR="00DC28FB" w:rsidRPr="008730B2">
        <w:rPr>
          <w:rFonts w:cs="Tahoma"/>
          <w:color w:val="000000"/>
          <w:kern w:val="28"/>
        </w:rPr>
        <w:t>March 2014</w:t>
      </w:r>
      <w:r w:rsidR="00DC28FB">
        <w:rPr>
          <w:rFonts w:cs="Tahoma"/>
          <w:color w:val="000000"/>
          <w:kern w:val="28"/>
        </w:rPr>
        <w:t>, &lt;</w:t>
      </w:r>
      <w:hyperlink r:id="rId45" w:history="1">
        <w:r w:rsidR="008730B2" w:rsidRPr="00DB5305">
          <w:rPr>
            <w:rFonts w:cs="Tahoma"/>
            <w:color w:val="000000"/>
            <w:kern w:val="28"/>
          </w:rPr>
          <w:t>http://www.vrqa.vic.gov.au/apptrain/Pages/appdefault.aspx</w:t>
        </w:r>
      </w:hyperlink>
      <w:r w:rsidR="00DC28FB">
        <w:t>&gt;</w:t>
      </w:r>
      <w:r w:rsidR="00DC28FB">
        <w:rPr>
          <w:rFonts w:cs="Tahoma"/>
          <w:color w:val="000000"/>
          <w:kern w:val="28"/>
        </w:rPr>
        <w:t>.</w:t>
      </w:r>
    </w:p>
    <w:p w:rsidR="00D73DFD" w:rsidRPr="00D73DFD" w:rsidRDefault="00D73DFD" w:rsidP="002A4EF3">
      <w:pPr>
        <w:spacing w:before="0" w:after="840" w:line="240" w:lineRule="auto"/>
        <w:ind w:left="1701"/>
        <w:rPr>
          <w:rFonts w:ascii="Tahoma" w:hAnsi="Tahoma" w:cs="Tahoma"/>
          <w:color w:val="000000"/>
          <w:kern w:val="28"/>
          <w:sz w:val="56"/>
          <w:szCs w:val="56"/>
        </w:rPr>
      </w:pPr>
    </w:p>
    <w:p w:rsidR="00757A60" w:rsidRDefault="00757A60">
      <w:pPr>
        <w:spacing w:before="0" w:line="240" w:lineRule="auto"/>
        <w:rPr>
          <w:rFonts w:ascii="Tahoma" w:hAnsi="Tahoma" w:cs="Tahoma"/>
          <w:color w:val="000000"/>
          <w:kern w:val="28"/>
          <w:sz w:val="56"/>
          <w:szCs w:val="56"/>
        </w:rPr>
      </w:pPr>
      <w:bookmarkStart w:id="167" w:name="_Toc416683061"/>
      <w:r>
        <w:br w:type="page"/>
      </w:r>
    </w:p>
    <w:p w:rsidR="00D73DFD" w:rsidRPr="00D73DFD" w:rsidRDefault="00D73DFD" w:rsidP="003C0F56">
      <w:pPr>
        <w:pStyle w:val="Heading1"/>
        <w:spacing w:after="240"/>
      </w:pPr>
      <w:r w:rsidRPr="00D73DFD">
        <w:lastRenderedPageBreak/>
        <w:t>Missing links</w:t>
      </w:r>
      <w:r w:rsidR="006E20D3">
        <w:t>: c</w:t>
      </w:r>
      <w:r w:rsidRPr="00D73DFD">
        <w:t>onnections between VET qualifications and pay in modern awards</w:t>
      </w:r>
      <w:bookmarkEnd w:id="167"/>
    </w:p>
    <w:p w:rsidR="00D73DFD" w:rsidRPr="00D73DFD" w:rsidRDefault="00D73DFD" w:rsidP="00F17BA9">
      <w:pPr>
        <w:pStyle w:val="StyleAuthorsLeft0cm"/>
      </w:pPr>
      <w:r w:rsidRPr="00D73DFD">
        <w:t xml:space="preserve">Damian Oliver </w:t>
      </w:r>
      <w:r w:rsidR="003C0F56">
        <w:br/>
      </w:r>
      <w:r w:rsidRPr="00D73DFD">
        <w:t>Kurt Walpole</w:t>
      </w:r>
    </w:p>
    <w:p w:rsidR="00D73DFD" w:rsidRPr="00D73DFD" w:rsidRDefault="00D73DFD" w:rsidP="00F17BA9">
      <w:pPr>
        <w:pStyle w:val="StyleOrganisationLeft0cmRight-0cm"/>
      </w:pPr>
      <w:r w:rsidRPr="00D73DFD">
        <w:t>University of Sydney</w:t>
      </w:r>
    </w:p>
    <w:p w:rsidR="00D73DFD" w:rsidRPr="00D73DFD" w:rsidRDefault="00D73DFD" w:rsidP="003C0F56">
      <w:pPr>
        <w:pStyle w:val="Text"/>
        <w:spacing w:before="240"/>
        <w:ind w:right="0"/>
      </w:pPr>
      <w:r w:rsidRPr="00D73DFD">
        <w:t>An assumed incentive for</w:t>
      </w:r>
      <w:r w:rsidR="0066284C">
        <w:t xml:space="preserve"> an individual to complete a VET </w:t>
      </w:r>
      <w:r w:rsidRPr="00D73DFD">
        <w:t>qualification is the chance to earn higher pay. This paper examines the relationship between AQF qualifications, job roles and pay rates in Australia</w:t>
      </w:r>
      <w:r w:rsidR="004C5471">
        <w:t>’</w:t>
      </w:r>
      <w:r w:rsidRPr="00D73DFD">
        <w:t>s 122 modern awards. Modern awards directly determine the pay and employment conditions of around one in five Australian workers (many of them in VET-relevant occupations) and indirectly influence many more</w:t>
      </w:r>
      <w:r w:rsidR="00E22F6D">
        <w:t>,</w:t>
      </w:r>
      <w:r w:rsidRPr="00D73DFD">
        <w:t xml:space="preserve"> by setting the standard for enterprise agreements. </w:t>
      </w:r>
    </w:p>
    <w:p w:rsidR="00D73DFD" w:rsidRPr="00D73DFD" w:rsidRDefault="00D73DFD" w:rsidP="002A4EF3">
      <w:pPr>
        <w:pStyle w:val="Text"/>
      </w:pPr>
      <w:r w:rsidRPr="00D73DFD">
        <w:t>Each classification in each modern award was analysed and allocated to one of six categories describing the relationship between an AQF qualification and the pay rate, ranging from no mention of an AQF qualification to exclusive (only someone with that AQF qualification can be employed in that classification). Preliminary data suggest:</w:t>
      </w:r>
    </w:p>
    <w:p w:rsidR="00D73DFD" w:rsidRPr="00E60D3B" w:rsidRDefault="00D73DFD" w:rsidP="003C0F56">
      <w:pPr>
        <w:pStyle w:val="Dotpoint1"/>
        <w:spacing w:before="60"/>
      </w:pPr>
      <w:r w:rsidRPr="00D73DFD">
        <w:t xml:space="preserve">35 out of 122 modern </w:t>
      </w:r>
      <w:r w:rsidRPr="00E60D3B">
        <w:t>awards contain no reference to AQF qualifications</w:t>
      </w:r>
      <w:r w:rsidR="000E1C87" w:rsidRPr="00E60D3B">
        <w:t>.</w:t>
      </w:r>
    </w:p>
    <w:p w:rsidR="00D73DFD" w:rsidRPr="00D73DFD" w:rsidRDefault="0066284C" w:rsidP="003C0F56">
      <w:pPr>
        <w:pStyle w:val="Dotpoint1"/>
        <w:spacing w:before="60"/>
      </w:pPr>
      <w:r w:rsidRPr="00E60D3B">
        <w:t>By</w:t>
      </w:r>
      <w:r w:rsidR="00D73DFD" w:rsidRPr="00E60D3B">
        <w:t xml:space="preserve"> contrast, 32 out of 122</w:t>
      </w:r>
      <w:r w:rsidR="00D73DFD" w:rsidRPr="00D73DFD">
        <w:t xml:space="preserve"> modern awards contain at least one classification that guarantees an employee with a particular qualification a higher pay rate</w:t>
      </w:r>
      <w:r>
        <w:t>.</w:t>
      </w:r>
    </w:p>
    <w:p w:rsidR="00D73DFD" w:rsidRPr="00D73DFD" w:rsidRDefault="00D73DFD" w:rsidP="00E61CA5">
      <w:pPr>
        <w:pStyle w:val="Text"/>
      </w:pPr>
      <w:r w:rsidRPr="00D73DFD">
        <w:t>The paper details how these patterns linking qualifications to classifications vary by industry. While awards in traditional blue collar areas such as manufacturing include extensive connections between AQF qualifications and job classificati</w:t>
      </w:r>
      <w:r w:rsidR="0066284C">
        <w:t>ons, many modern awards in fast-</w:t>
      </w:r>
      <w:r w:rsidRPr="00D73DFD">
        <w:t>growing service industries contain few, or no, connections.</w:t>
      </w:r>
    </w:p>
    <w:p w:rsidR="00D73DFD" w:rsidRPr="00D73DFD" w:rsidRDefault="00D73DFD" w:rsidP="00E61CA5">
      <w:pPr>
        <w:pStyle w:val="Text"/>
      </w:pPr>
      <w:r w:rsidRPr="00D73DFD">
        <w:t xml:space="preserve">The paper summarises how frequently the various qualification levels are mentioned in modern awards, as well as the pay range </w:t>
      </w:r>
      <w:r w:rsidR="0066284C">
        <w:t>to which</w:t>
      </w:r>
      <w:r w:rsidRPr="00D73DFD">
        <w:t xml:space="preserve"> different qu</w:t>
      </w:r>
      <w:r w:rsidR="0066284C">
        <w:t>alification levels are linked</w:t>
      </w:r>
      <w:r w:rsidRPr="00D73DFD">
        <w:t xml:space="preserve">. </w:t>
      </w:r>
    </w:p>
    <w:p w:rsidR="00D73DFD" w:rsidRPr="00D73DFD" w:rsidRDefault="00D73DFD" w:rsidP="00E61CA5">
      <w:pPr>
        <w:pStyle w:val="Text"/>
      </w:pPr>
      <w:r w:rsidRPr="00D73DFD">
        <w:t>Th</w:t>
      </w:r>
      <w:r w:rsidR="000E1C87">
        <w:t>ese findings show that the once-</w:t>
      </w:r>
      <w:r w:rsidRPr="00D73DFD">
        <w:t xml:space="preserve">strong links between the VET system and the industrial relations system in Australia have weakened over time, particularly in the last </w:t>
      </w:r>
      <w:r w:rsidR="000E1C87">
        <w:t>20</w:t>
      </w:r>
      <w:r w:rsidRPr="00D73DFD">
        <w:t xml:space="preserve"> years.</w:t>
      </w:r>
    </w:p>
    <w:p w:rsidR="00D73DFD" w:rsidRPr="00D73DFD" w:rsidRDefault="00D73DFD" w:rsidP="00923759">
      <w:pPr>
        <w:pStyle w:val="Heading2"/>
        <w:spacing w:before="200"/>
      </w:pPr>
      <w:bookmarkStart w:id="168" w:name="_Toc412455644"/>
      <w:bookmarkStart w:id="169" w:name="_Toc416683062"/>
      <w:r w:rsidRPr="00D73DFD">
        <w:t>Introduction</w:t>
      </w:r>
      <w:bookmarkEnd w:id="168"/>
      <w:bookmarkEnd w:id="169"/>
    </w:p>
    <w:p w:rsidR="00D73DFD" w:rsidRPr="00D73DFD" w:rsidRDefault="00D73DFD" w:rsidP="00E60D3B">
      <w:pPr>
        <w:pStyle w:val="Text"/>
        <w:ind w:right="141"/>
      </w:pPr>
      <w:r w:rsidRPr="00D73DFD">
        <w:t>A distinguishing feature of Australia</w:t>
      </w:r>
      <w:r w:rsidR="004C5471">
        <w:t>’</w:t>
      </w:r>
      <w:r w:rsidRPr="00D73DFD">
        <w:t xml:space="preserve">s workplace relations system is the fact that it does not feature one minimum wage. Instead, through </w:t>
      </w:r>
      <w:r w:rsidRPr="00E60D3B">
        <w:t>modern</w:t>
      </w:r>
      <w:r w:rsidRPr="00D73DFD">
        <w:t xml:space="preserve"> awards</w:t>
      </w:r>
      <w:r w:rsidR="000E1C87">
        <w:t>,</w:t>
      </w:r>
      <w:r w:rsidRPr="00D73DFD">
        <w:t xml:space="preserve"> multiple minimum wages</w:t>
      </w:r>
      <w:r w:rsidR="000E1C87">
        <w:t xml:space="preserve"> co-exist, which</w:t>
      </w:r>
      <w:r w:rsidRPr="00D73DFD">
        <w:t xml:space="preserve"> tak</w:t>
      </w:r>
      <w:r w:rsidR="000E1C87">
        <w:t>e into account</w:t>
      </w:r>
      <w:r w:rsidR="008069C2">
        <w:t>,</w:t>
      </w:r>
      <w:r w:rsidR="000E1C87">
        <w:t xml:space="preserve"> among other factors</w:t>
      </w:r>
      <w:r w:rsidR="008069C2">
        <w:t>,</w:t>
      </w:r>
      <w:r w:rsidRPr="00D73DFD">
        <w:t xml:space="preserve"> the value of the job being performed and the skills possessed by the worker. </w:t>
      </w:r>
    </w:p>
    <w:p w:rsidR="00D73DFD" w:rsidRPr="00D73DFD" w:rsidRDefault="00D73DFD" w:rsidP="00E61CA5">
      <w:pPr>
        <w:pStyle w:val="Text"/>
      </w:pPr>
      <w:r w:rsidRPr="00D73DFD">
        <w:t xml:space="preserve">This </w:t>
      </w:r>
      <w:r w:rsidR="000E1C87">
        <w:t>paper</w:t>
      </w:r>
      <w:r w:rsidRPr="00D73DFD">
        <w:t xml:space="preserve"> investigates the impact of labour marke</w:t>
      </w:r>
      <w:r w:rsidR="000E1C87">
        <w:t>t and educational institutions —</w:t>
      </w:r>
      <w:r w:rsidRPr="00D73DFD">
        <w:t xml:space="preserve"> particularly modern awards, collective agreements, and the Austr</w:t>
      </w:r>
      <w:r w:rsidR="000E1C87">
        <w:t>alian Qualifications Framework</w:t>
      </w:r>
      <w:r w:rsidR="00F4282B">
        <w:t xml:space="preserve"> </w:t>
      </w:r>
      <w:r w:rsidR="000E1C87">
        <w:t>—</w:t>
      </w:r>
      <w:r w:rsidRPr="00D73DFD">
        <w:t xml:space="preserve"> on the value of qualifications and the incentives to acquire additional skills. It addresses the following four questions:</w:t>
      </w:r>
    </w:p>
    <w:p w:rsidR="00D73DFD" w:rsidRPr="00D73DFD" w:rsidRDefault="00D73DFD" w:rsidP="00E60D3B">
      <w:pPr>
        <w:pStyle w:val="Dotpoint1"/>
      </w:pPr>
      <w:r w:rsidRPr="00D73DFD">
        <w:t>Across all 122 modern awards, how are qualifications recognised in classification structures?</w:t>
      </w:r>
    </w:p>
    <w:p w:rsidR="00D73DFD" w:rsidRPr="00D73DFD" w:rsidRDefault="00D73DFD" w:rsidP="003C0F56">
      <w:pPr>
        <w:pStyle w:val="Dotpoint1"/>
        <w:spacing w:before="60"/>
      </w:pPr>
      <w:r w:rsidRPr="00D73DFD">
        <w:t>How do these relationships vary between industries?</w:t>
      </w:r>
    </w:p>
    <w:p w:rsidR="00D73DFD" w:rsidRPr="00D73DFD" w:rsidRDefault="00D73DFD" w:rsidP="003C0F56">
      <w:pPr>
        <w:pStyle w:val="Dotpoint1"/>
        <w:spacing w:before="60"/>
      </w:pPr>
      <w:r w:rsidRPr="00D73DFD">
        <w:t>What relationships exist in modern awards between qualifications, classifications and pay?</w:t>
      </w:r>
    </w:p>
    <w:p w:rsidR="00D73DFD" w:rsidRPr="00D73DFD" w:rsidRDefault="00D73DFD" w:rsidP="003C0F56">
      <w:pPr>
        <w:pStyle w:val="Dotpoint1"/>
        <w:spacing w:before="60"/>
      </w:pPr>
      <w:r w:rsidRPr="00D73DFD">
        <w:lastRenderedPageBreak/>
        <w:t xml:space="preserve">What are the likely impacts of such arrangements on skill </w:t>
      </w:r>
      <w:r w:rsidR="0090592C">
        <w:t>utilis</w:t>
      </w:r>
      <w:r w:rsidRPr="00D73DFD">
        <w:t>ation and incentives for skill acquisition?</w:t>
      </w:r>
    </w:p>
    <w:p w:rsidR="00D73DFD" w:rsidRPr="00D73DFD" w:rsidRDefault="00D73DFD" w:rsidP="00A80071">
      <w:pPr>
        <w:pStyle w:val="Text"/>
      </w:pPr>
      <w:r w:rsidRPr="00D73DFD">
        <w:t>After briefly outlining the background to the modern awards and the classifications contained within them, this paper presents the findings from an analysis of all job classifications in all 122 Australian modern awards.</w:t>
      </w:r>
    </w:p>
    <w:p w:rsidR="00D73DFD" w:rsidRPr="00D73DFD" w:rsidRDefault="00D73DFD" w:rsidP="00A80071">
      <w:pPr>
        <w:pStyle w:val="Text"/>
      </w:pPr>
      <w:r w:rsidRPr="00D73DFD">
        <w:t xml:space="preserve">During the late 1980s and early 1990s, significant reforms in the VET system and the industrial relations system moved in tandem. An agenda known as award restructuring sought to encourage a more flexible use of labour, reduce demarcations and introduce incentives for skill acquisition and recognition (Hampson 2004). This was done through radically revising the job classifications found in awards. The result was a </w:t>
      </w:r>
      <w:r w:rsidR="0090592C">
        <w:t>great deal</w:t>
      </w:r>
      <w:r w:rsidRPr="00D73DFD">
        <w:t xml:space="preserve"> of broadbanding and the introduction of broad skill-based classifications to replace narrow job- or task-based classifications (Buchanan 2002). The advantage for workers and their unions for </w:t>
      </w:r>
      <w:r w:rsidR="0090592C">
        <w:t>their participation</w:t>
      </w:r>
      <w:r w:rsidRPr="00D73DFD">
        <w:t xml:space="preserve"> in this process was seen to be skill-based career paths.</w:t>
      </w:r>
    </w:p>
    <w:p w:rsidR="00D73DFD" w:rsidRPr="00D73DFD" w:rsidRDefault="0090592C" w:rsidP="00A80071">
      <w:pPr>
        <w:pStyle w:val="Text"/>
      </w:pPr>
      <w:r>
        <w:t>The prototype for skill-</w:t>
      </w:r>
      <w:r w:rsidR="00D73DFD" w:rsidRPr="00D73DFD">
        <w:t xml:space="preserve">based classification structures was adopted into </w:t>
      </w:r>
      <w:r>
        <w:t xml:space="preserve">the </w:t>
      </w:r>
      <w:r w:rsidR="00D73DFD" w:rsidRPr="0090592C">
        <w:rPr>
          <w:i/>
        </w:rPr>
        <w:t>Metal Award 1984</w:t>
      </w:r>
      <w:r>
        <w:t>: a 14-</w:t>
      </w:r>
      <w:r w:rsidR="00D73DFD" w:rsidRPr="00D73DFD">
        <w:t xml:space="preserve">point classification scheme, ranging from C14 (a minimum wage worker performing process worker or labourer roles) up to C1 </w:t>
      </w:r>
      <w:r w:rsidR="00C13377">
        <w:t>(a university-qualified worker [</w:t>
      </w:r>
      <w:r>
        <w:t xml:space="preserve">for example, </w:t>
      </w:r>
      <w:r w:rsidR="00D73DFD" w:rsidRPr="00D73DFD">
        <w:t>graduate eng</w:t>
      </w:r>
      <w:r>
        <w:t>ineer, surveyor, draftsperson</w:t>
      </w:r>
      <w:r w:rsidR="00C13377">
        <w:t>]</w:t>
      </w:r>
      <w:r>
        <w:t>).</w:t>
      </w:r>
      <w:r w:rsidR="00D73DFD" w:rsidRPr="00D73DFD">
        <w:t xml:space="preserve"> Under this structure, the minimum classification for a qualified tradesperson is C10. </w:t>
      </w:r>
    </w:p>
    <w:p w:rsidR="00D73DFD" w:rsidRPr="00D73DFD" w:rsidRDefault="00D73DFD" w:rsidP="00A80071">
      <w:pPr>
        <w:pStyle w:val="Text"/>
      </w:pPr>
      <w:r w:rsidRPr="00D73DFD">
        <w:t xml:space="preserve">While much has changed in the VET and </w:t>
      </w:r>
      <w:r w:rsidR="0090592C">
        <w:t>industrial relations systems in the last 20</w:t>
      </w:r>
      <w:r w:rsidRPr="00D73DFD">
        <w:t xml:space="preserve"> years, the foundations of that period of reform are still visible: a VET system wit</w:t>
      </w:r>
      <w:r w:rsidR="00F4282B">
        <w:t>h high levels of employer input;</w:t>
      </w:r>
      <w:r w:rsidRPr="00D73DFD">
        <w:t xml:space="preserve"> the Austr</w:t>
      </w:r>
      <w:r w:rsidR="0090592C">
        <w:t xml:space="preserve">alian Qualifications Framework, </w:t>
      </w:r>
      <w:r w:rsidRPr="00D73DFD">
        <w:t xml:space="preserve">a national system of qualifications intended to promote consistency of learning outcomes across </w:t>
      </w:r>
      <w:r w:rsidR="00F4282B">
        <w:t>and within qualification levels;</w:t>
      </w:r>
      <w:r w:rsidRPr="00D73DFD">
        <w:t xml:space="preserve"> and an award system that provides a framework of minimum rates of pay for workers with different qualifications performing different jobs, rather than a single minimum wage. Awards still directly determine the wag</w:t>
      </w:r>
      <w:r w:rsidR="0090592C">
        <w:t>es and conditions of 16% of Australian employees, with</w:t>
      </w:r>
      <w:r w:rsidRPr="00D73DFD">
        <w:t xml:space="preserve"> a higher proportion in some industries (ABS 2013). They also have an indirect impact through influencing outcomes, including pay and classification arrangements, in collective bargaining agreements (Buchanan et al</w:t>
      </w:r>
      <w:r w:rsidR="0090592C">
        <w:t>.</w:t>
      </w:r>
      <w:r w:rsidRPr="00D73DFD">
        <w:t xml:space="preserve"> 2013).</w:t>
      </w:r>
    </w:p>
    <w:p w:rsidR="00D73DFD" w:rsidRPr="00D73DFD" w:rsidRDefault="00D73DFD" w:rsidP="00923759">
      <w:pPr>
        <w:pStyle w:val="Heading2"/>
        <w:spacing w:before="200"/>
      </w:pPr>
      <w:bookmarkStart w:id="170" w:name="_Toc412455645"/>
      <w:bookmarkStart w:id="171" w:name="_Toc416683063"/>
      <w:r w:rsidRPr="00D73DFD">
        <w:t>Findings and discussion</w:t>
      </w:r>
      <w:bookmarkEnd w:id="170"/>
      <w:bookmarkEnd w:id="171"/>
    </w:p>
    <w:p w:rsidR="00D73DFD" w:rsidRPr="00D73DFD" w:rsidRDefault="00D73DFD" w:rsidP="00A80071">
      <w:pPr>
        <w:pStyle w:val="Text"/>
      </w:pPr>
      <w:r w:rsidRPr="00D73DFD">
        <w:t xml:space="preserve">With some exceptions, </w:t>
      </w:r>
      <w:r w:rsidR="0090592C">
        <w:t xml:space="preserve">the </w:t>
      </w:r>
      <w:r w:rsidRPr="00D73DFD">
        <w:t>classification in each of the 122 modern awards was analysed for its relationship to formal AQF qualifications, and allocated to one of six categories:</w:t>
      </w:r>
    </w:p>
    <w:p w:rsidR="00D73DFD" w:rsidRPr="00D73DFD" w:rsidRDefault="00D73DFD" w:rsidP="00E60D3B">
      <w:pPr>
        <w:pStyle w:val="Dotpoint1"/>
      </w:pPr>
      <w:r w:rsidRPr="0090592C">
        <w:rPr>
          <w:i/>
        </w:rPr>
        <w:t>No reference</w:t>
      </w:r>
      <w:r w:rsidRPr="00D73DFD">
        <w:t>: no reference to any AQF qualification</w:t>
      </w:r>
      <w:r w:rsidR="00CE4414">
        <w:t>.</w:t>
      </w:r>
    </w:p>
    <w:p w:rsidR="00D73DFD" w:rsidRPr="00D73DFD" w:rsidRDefault="00D73DFD" w:rsidP="003C0F56">
      <w:pPr>
        <w:pStyle w:val="Dotpoint1"/>
        <w:spacing w:before="60"/>
      </w:pPr>
      <w:r w:rsidRPr="0090592C">
        <w:rPr>
          <w:i/>
        </w:rPr>
        <w:t>Indicative</w:t>
      </w:r>
      <w:r w:rsidR="00CE4414">
        <w:t>: r</w:t>
      </w:r>
      <w:r w:rsidRPr="00D73DFD">
        <w:t>efers to an AQF qualification (or qualification level) as indicating that it may be a typical requirement or appropriate for that classification, but it is clear that the qualification is not required for that classification.</w:t>
      </w:r>
    </w:p>
    <w:p w:rsidR="00D73DFD" w:rsidRPr="00D73DFD" w:rsidRDefault="00D73DFD" w:rsidP="003C0F56">
      <w:pPr>
        <w:pStyle w:val="Dotpoint1"/>
        <w:spacing w:before="60"/>
      </w:pPr>
      <w:r w:rsidRPr="0090592C">
        <w:rPr>
          <w:i/>
        </w:rPr>
        <w:t>Partially determinative</w:t>
      </w:r>
      <w:r w:rsidR="00CE4414">
        <w:t>: r</w:t>
      </w:r>
      <w:r w:rsidRPr="00D73DFD">
        <w:t xml:space="preserve">efers to an AQF qualification/qualification level but </w:t>
      </w:r>
      <w:r w:rsidR="008069C2">
        <w:t xml:space="preserve">the </w:t>
      </w:r>
      <w:r w:rsidRPr="00D73DFD">
        <w:t>grade does not rely solely on possession of that qualification.</w:t>
      </w:r>
      <w:r w:rsidR="00CE4414">
        <w:t xml:space="preserve"> </w:t>
      </w:r>
      <w:r w:rsidRPr="00D73DFD">
        <w:t xml:space="preserve">There are two reasons why a classification may be recorded as partially determinative. First, the worker may be eligible for the classification if they have </w:t>
      </w:r>
      <w:r w:rsidR="00CE4414">
        <w:t xml:space="preserve">the </w:t>
      </w:r>
      <w:r w:rsidRPr="00D73DFD">
        <w:t xml:space="preserve">equivalent skills or experience without necessarily holding a formal qualification (marked in table 1 below </w:t>
      </w:r>
      <w:r w:rsidRPr="003718EF">
        <w:t xml:space="preserve">as </w:t>
      </w:r>
      <w:r w:rsidR="004C5471" w:rsidRPr="003718EF">
        <w:t>‘</w:t>
      </w:r>
      <w:r w:rsidRPr="003718EF">
        <w:t>Equiv</w:t>
      </w:r>
      <w:r w:rsidR="00CE4414" w:rsidRPr="003718EF">
        <w:t>.</w:t>
      </w:r>
      <w:r w:rsidR="004C5471" w:rsidRPr="003718EF">
        <w:t>’</w:t>
      </w:r>
      <w:r w:rsidRPr="003718EF">
        <w:t>).</w:t>
      </w:r>
      <w:r w:rsidRPr="00D73DFD">
        <w:t xml:space="preserve"> This may be subject to a formal recognition of prior learning process, on the basis of years of prior experience, or some less formal means. Second, the classification may be subject to skill use. In other words, a qualification may not be a sufficient condition to entitle a worker to a particular classification, and the employer is entitled to judge whether or not the qualification is relevant to the role being performed (marked in table 1 as </w:t>
      </w:r>
      <w:r w:rsidR="004C5471">
        <w:t>‘</w:t>
      </w:r>
      <w:r w:rsidRPr="00D73DFD">
        <w:t>skill use</w:t>
      </w:r>
      <w:r w:rsidR="004C5471">
        <w:t>’</w:t>
      </w:r>
      <w:r w:rsidRPr="00D73DFD">
        <w:t>).</w:t>
      </w:r>
    </w:p>
    <w:p w:rsidR="00D73DFD" w:rsidRPr="00D73DFD" w:rsidRDefault="00D73DFD" w:rsidP="00923759">
      <w:pPr>
        <w:pStyle w:val="Dotpoint1"/>
        <w:spacing w:before="40"/>
      </w:pPr>
      <w:r w:rsidRPr="00CE4414">
        <w:rPr>
          <w:i/>
        </w:rPr>
        <w:t>Fully determinative</w:t>
      </w:r>
      <w:r w:rsidR="00CE4414">
        <w:t>: a</w:t>
      </w:r>
      <w:r w:rsidRPr="00D73DFD">
        <w:t>n employee with that qualification must be employed on at least that classification.</w:t>
      </w:r>
    </w:p>
    <w:p w:rsidR="00D73DFD" w:rsidRPr="00D73DFD" w:rsidRDefault="00D73DFD" w:rsidP="008223D4">
      <w:pPr>
        <w:pStyle w:val="Dotpoint1"/>
        <w:spacing w:before="60"/>
      </w:pPr>
      <w:r w:rsidRPr="00CE4414">
        <w:rPr>
          <w:i/>
        </w:rPr>
        <w:lastRenderedPageBreak/>
        <w:t>Exclusive</w:t>
      </w:r>
      <w:r w:rsidRPr="00D73DFD">
        <w:t xml:space="preserve">: the classification definition refers to an AQF qualification and </w:t>
      </w:r>
      <w:r w:rsidRPr="00CE4414">
        <w:rPr>
          <w:i/>
        </w:rPr>
        <w:t>only</w:t>
      </w:r>
      <w:r w:rsidRPr="00D73DFD">
        <w:t xml:space="preserve"> someone holding that qualification is eligible to be employed in that classification.</w:t>
      </w:r>
    </w:p>
    <w:p w:rsidR="00D73DFD" w:rsidRPr="00D73DFD" w:rsidRDefault="00D73DFD" w:rsidP="008223D4">
      <w:pPr>
        <w:pStyle w:val="Dotpoint1"/>
        <w:spacing w:before="60"/>
      </w:pPr>
      <w:r w:rsidRPr="00CE4414">
        <w:rPr>
          <w:i/>
        </w:rPr>
        <w:t>Implied</w:t>
      </w:r>
      <w:r w:rsidR="00CE4414">
        <w:t>: m</w:t>
      </w:r>
      <w:r w:rsidRPr="00D73DFD">
        <w:t>akes reference to formal qualifications or being appropriately qualifi</w:t>
      </w:r>
      <w:r w:rsidR="00CE4414">
        <w:t>ed but does not mention an AQF qualification or an AQF q</w:t>
      </w:r>
      <w:r w:rsidRPr="00D73DFD">
        <w:t>ualification level (usually involves job roles that are restricted because of licensing or registration).</w:t>
      </w:r>
    </w:p>
    <w:p w:rsidR="00D73DFD" w:rsidRPr="00D73DFD" w:rsidRDefault="00D73DFD" w:rsidP="008223D4">
      <w:pPr>
        <w:pStyle w:val="Text"/>
        <w:spacing w:before="140"/>
        <w:ind w:right="0"/>
      </w:pPr>
      <w:r w:rsidRPr="00D73DFD">
        <w:t>Classifications referring to apprentices and trainees were excluded from this analysis, as they have already been the focus of detailed research (Oliver 2012) and the aim of this paper was to focus on the pay outcomes for workers who already have qualifications, rather than those undertaking them.</w:t>
      </w:r>
    </w:p>
    <w:p w:rsidR="00D73DFD" w:rsidRPr="00D73DFD" w:rsidRDefault="00D73DFD" w:rsidP="003718EF">
      <w:pPr>
        <w:pStyle w:val="Text"/>
      </w:pPr>
      <w:r w:rsidRPr="00D73DFD">
        <w:t>The first step in exploring the institutional relationship is to review the formal qualifications and job classifica</w:t>
      </w:r>
      <w:r w:rsidR="00CE4414">
        <w:t xml:space="preserve">tions in all </w:t>
      </w:r>
      <w:r w:rsidR="008069C2">
        <w:t>modern a</w:t>
      </w:r>
      <w:r w:rsidR="00CE4414">
        <w:t xml:space="preserve">wards. As table 1 </w:t>
      </w:r>
      <w:proofErr w:type="gramStart"/>
      <w:r w:rsidR="00CE4414">
        <w:t>shows</w:t>
      </w:r>
      <w:proofErr w:type="gramEnd"/>
      <w:r w:rsidR="00CE4414">
        <w:t>, c</w:t>
      </w:r>
      <w:r w:rsidRPr="00D73DFD">
        <w:t xml:space="preserve">ertificate III is the qualification level most frequently referenced in </w:t>
      </w:r>
      <w:r w:rsidR="008069C2">
        <w:t>m</w:t>
      </w:r>
      <w:r w:rsidRPr="00D73DFD">
        <w:t xml:space="preserve">odern </w:t>
      </w:r>
      <w:r w:rsidR="008069C2">
        <w:t>a</w:t>
      </w:r>
      <w:r w:rsidRPr="00D73DFD">
        <w:t>ward classifications. This reflects its status as the successor to trade certificates in the Australian Qualifications Framework. The next mos</w:t>
      </w:r>
      <w:r w:rsidR="00CE4414">
        <w:t>t commonly referenced level is c</w:t>
      </w:r>
      <w:r w:rsidRPr="00D73DFD">
        <w:t>ertificate IV. These two levels combined ac</w:t>
      </w:r>
      <w:r w:rsidR="00CE4414">
        <w:t>count for over 50%</w:t>
      </w:r>
      <w:r w:rsidRPr="00D73DFD">
        <w:t xml:space="preserve"> of all references to formal AQF qualifications, whereas postgraduate qualifications (graduate diploma or certificate, </w:t>
      </w:r>
      <w:r w:rsidR="00CE4414" w:rsidRPr="00D73DFD">
        <w:t>master</w:t>
      </w:r>
      <w:r w:rsidR="008069C2">
        <w:t>’</w:t>
      </w:r>
      <w:r w:rsidR="00CE4414" w:rsidRPr="00D73DFD">
        <w:t xml:space="preserve">s degree </w:t>
      </w:r>
      <w:r w:rsidRPr="00D73DFD">
        <w:t xml:space="preserve">or PhD) garner only 15 references, compared </w:t>
      </w:r>
      <w:r w:rsidR="00CE4414">
        <w:t>with 160 for c</w:t>
      </w:r>
      <w:r w:rsidRPr="00D73DFD">
        <w:t>ertificate III.</w:t>
      </w:r>
    </w:p>
    <w:p w:rsidR="00D73DFD" w:rsidRPr="00D73DFD" w:rsidRDefault="00D73DFD" w:rsidP="008223D4">
      <w:pPr>
        <w:pStyle w:val="Text"/>
        <w:spacing w:before="140"/>
        <w:ind w:right="0"/>
      </w:pPr>
      <w:r w:rsidRPr="00D73DFD">
        <w:t xml:space="preserve">Some classification categories are more strongly associated with particular qualification levels than others. </w:t>
      </w:r>
      <w:r w:rsidR="004C5471">
        <w:t>‘</w:t>
      </w:r>
      <w:r w:rsidRPr="00D73DFD">
        <w:t>Exclusive</w:t>
      </w:r>
      <w:r w:rsidR="004C5471">
        <w:t>’</w:t>
      </w:r>
      <w:r w:rsidRPr="00D73DFD">
        <w:t xml:space="preserve"> references, which state that a job classification can only be filled by a person holding the specified qualification, ar</w:t>
      </w:r>
      <w:r w:rsidR="00CE4414">
        <w:t>e most likely to require higher-</w:t>
      </w:r>
      <w:r w:rsidRPr="00D73DFD">
        <w:t xml:space="preserve">level </w:t>
      </w:r>
      <w:r w:rsidR="00CE4414">
        <w:t>VET training (c</w:t>
      </w:r>
      <w:r w:rsidR="00F4282B">
        <w:t>ertificate III</w:t>
      </w:r>
      <w:r w:rsidRPr="00D73DFD">
        <w:t xml:space="preserve"> to </w:t>
      </w:r>
      <w:r w:rsidR="00CE4414" w:rsidRPr="00D73DFD">
        <w:t>advanced diploma</w:t>
      </w:r>
      <w:r w:rsidRPr="00D73DFD">
        <w:t>). Often this reflects employee-level or enterprise-level regu</w:t>
      </w:r>
      <w:r w:rsidR="00CE4414">
        <w:t>lation of VET-level occupations;</w:t>
      </w:r>
      <w:r w:rsidRPr="00D73DFD">
        <w:t xml:space="preserve"> for example</w:t>
      </w:r>
      <w:r w:rsidR="00CE4414">
        <w:t>,</w:t>
      </w:r>
      <w:r w:rsidRPr="00D73DFD">
        <w:t xml:space="preserve"> childcare</w:t>
      </w:r>
      <w:r w:rsidR="00CE4414">
        <w:t>,</w:t>
      </w:r>
      <w:r w:rsidRPr="00D73DFD">
        <w:t xml:space="preserve"> where providers must now ensure</w:t>
      </w:r>
      <w:r w:rsidR="00CE4414">
        <w:t xml:space="preserve"> that employees have a minimum c</w:t>
      </w:r>
      <w:r w:rsidRPr="00D73DFD">
        <w:t xml:space="preserve">ertificate III qualification. A </w:t>
      </w:r>
      <w:r w:rsidR="00CE4414" w:rsidRPr="00D73DFD">
        <w:t xml:space="preserve">bachelor degree </w:t>
      </w:r>
      <w:r w:rsidRPr="00D73DFD">
        <w:t xml:space="preserve">is specified in over half of all </w:t>
      </w:r>
      <w:r w:rsidR="004C5471">
        <w:t>‘</w:t>
      </w:r>
      <w:r w:rsidRPr="00D73DFD">
        <w:t>Fully determinative</w:t>
      </w:r>
      <w:r w:rsidR="004C5471">
        <w:t>’</w:t>
      </w:r>
      <w:r w:rsidRPr="00D73DFD">
        <w:t xml:space="preserve"> clauses, which designate the lowest possible classification for an employee holding the named qualification, </w:t>
      </w:r>
      <w:r w:rsidR="00DB7F9D">
        <w:t>while</w:t>
      </w:r>
      <w:r w:rsidRPr="00D73DFD">
        <w:t xml:space="preserve"> the next most com</w:t>
      </w:r>
      <w:r w:rsidR="00CE4414">
        <w:t>mon qualification level is the c</w:t>
      </w:r>
      <w:r w:rsidRPr="00D73DFD">
        <w:t>ertificate III. Full</w:t>
      </w:r>
      <w:r w:rsidR="00F4282B">
        <w:t>y</w:t>
      </w:r>
      <w:r w:rsidRPr="00D73DFD">
        <w:t xml:space="preserve"> determinative clauses frequently designate entry-level classifications, so the predominance of these two qualification levels is unsurprising</w:t>
      </w:r>
      <w:r w:rsidR="00DB7F9D">
        <w:t>, given that bachelor d</w:t>
      </w:r>
      <w:r w:rsidRPr="00D73DFD">
        <w:t>egrees are linked to th</w:t>
      </w:r>
      <w:r w:rsidR="00DB7F9D">
        <w:t>e licensed professions and the c</w:t>
      </w:r>
      <w:r w:rsidRPr="00D73DFD">
        <w:t xml:space="preserve">ertificate III is linked to the licensed trades. A </w:t>
      </w:r>
      <w:r w:rsidR="00DB7F9D" w:rsidRPr="00D73DFD">
        <w:t xml:space="preserve">bachelor degree </w:t>
      </w:r>
      <w:r w:rsidRPr="00D73DFD">
        <w:t xml:space="preserve">is also denoted by the vast majority of </w:t>
      </w:r>
      <w:r w:rsidR="004C5471">
        <w:t>‘</w:t>
      </w:r>
      <w:r w:rsidRPr="00D73DFD">
        <w:t>Implied</w:t>
      </w:r>
      <w:r w:rsidR="004C5471">
        <w:t>’</w:t>
      </w:r>
      <w:r w:rsidRPr="00D73DFD">
        <w:t xml:space="preserve"> references, where the employee must be </w:t>
      </w:r>
      <w:r w:rsidR="004C5471">
        <w:t>‘</w:t>
      </w:r>
      <w:r w:rsidRPr="00D73DFD">
        <w:t>appropriately qualified</w:t>
      </w:r>
      <w:r w:rsidR="004C5471">
        <w:t>’</w:t>
      </w:r>
      <w:r w:rsidRPr="00D73DFD">
        <w:t xml:space="preserve"> according to formal licensing or registration requirements. </w:t>
      </w:r>
    </w:p>
    <w:p w:rsidR="003718EF" w:rsidRPr="00D73DFD" w:rsidRDefault="003718EF" w:rsidP="003718EF">
      <w:pPr>
        <w:pStyle w:val="tabletitle"/>
      </w:pPr>
      <w:r w:rsidRPr="00D73DFD">
        <w:t>Table 1</w:t>
      </w:r>
      <w:r w:rsidRPr="00D73DFD">
        <w:tab/>
        <w:t xml:space="preserve">References to AQF qualification levels in modern award classifications by reference type (N) </w:t>
      </w:r>
    </w:p>
    <w:tbl>
      <w:tblPr>
        <w:tblW w:w="8789" w:type="dxa"/>
        <w:tblInd w:w="108" w:type="dxa"/>
        <w:tblBorders>
          <w:top w:val="single" w:sz="4" w:space="0" w:color="auto"/>
          <w:bottom w:val="single" w:sz="4" w:space="0" w:color="auto"/>
        </w:tblBorders>
        <w:tblLayout w:type="fixed"/>
        <w:tblLook w:val="0000" w:firstRow="0" w:lastRow="0" w:firstColumn="0" w:lastColumn="0" w:noHBand="0" w:noVBand="0"/>
      </w:tblPr>
      <w:tblGrid>
        <w:gridCol w:w="1556"/>
        <w:gridCol w:w="904"/>
        <w:gridCol w:w="904"/>
        <w:gridCol w:w="904"/>
        <w:gridCol w:w="904"/>
        <w:gridCol w:w="905"/>
        <w:gridCol w:w="904"/>
        <w:gridCol w:w="904"/>
        <w:gridCol w:w="904"/>
      </w:tblGrid>
      <w:tr w:rsidR="003718EF" w:rsidRPr="00D73DFD" w:rsidTr="00D44409">
        <w:tc>
          <w:tcPr>
            <w:tcW w:w="886" w:type="pct"/>
            <w:tcBorders>
              <w:top w:val="single" w:sz="4" w:space="0" w:color="auto"/>
              <w:bottom w:val="nil"/>
              <w:right w:val="nil"/>
            </w:tcBorders>
          </w:tcPr>
          <w:p w:rsidR="003718EF" w:rsidRPr="00D73DFD" w:rsidRDefault="003718EF" w:rsidP="00D44409">
            <w:pPr>
              <w:pStyle w:val="Tablehead1"/>
              <w:spacing w:before="60" w:after="60"/>
            </w:pPr>
          </w:p>
        </w:tc>
        <w:tc>
          <w:tcPr>
            <w:tcW w:w="514" w:type="pct"/>
            <w:tcBorders>
              <w:top w:val="single" w:sz="4" w:space="0" w:color="auto"/>
              <w:left w:val="nil"/>
              <w:bottom w:val="nil"/>
            </w:tcBorders>
          </w:tcPr>
          <w:p w:rsidR="003718EF" w:rsidRPr="00D73DFD" w:rsidRDefault="003718EF" w:rsidP="00D44409">
            <w:pPr>
              <w:pStyle w:val="Tablehead1"/>
              <w:spacing w:before="60" w:after="60"/>
            </w:pPr>
          </w:p>
        </w:tc>
        <w:tc>
          <w:tcPr>
            <w:tcW w:w="514" w:type="pct"/>
            <w:tcBorders>
              <w:top w:val="single" w:sz="4" w:space="0" w:color="auto"/>
              <w:left w:val="nil"/>
              <w:bottom w:val="nil"/>
            </w:tcBorders>
          </w:tcPr>
          <w:p w:rsidR="003718EF" w:rsidRPr="00D73DFD" w:rsidRDefault="003718EF" w:rsidP="00D44409">
            <w:pPr>
              <w:pStyle w:val="Tablehead1"/>
              <w:spacing w:before="60" w:after="60"/>
            </w:pPr>
          </w:p>
        </w:tc>
        <w:tc>
          <w:tcPr>
            <w:tcW w:w="1543" w:type="pct"/>
            <w:gridSpan w:val="3"/>
            <w:tcBorders>
              <w:top w:val="single" w:sz="4" w:space="0" w:color="auto"/>
              <w:left w:val="nil"/>
              <w:bottom w:val="nil"/>
            </w:tcBorders>
          </w:tcPr>
          <w:p w:rsidR="003718EF" w:rsidRPr="00D73DFD" w:rsidRDefault="003718EF" w:rsidP="00D44409">
            <w:pPr>
              <w:pStyle w:val="Tablehead1"/>
              <w:spacing w:before="60" w:after="60"/>
              <w:jc w:val="center"/>
            </w:pPr>
            <w:r w:rsidRPr="00D73DFD">
              <w:t>Partially determinative</w:t>
            </w:r>
          </w:p>
        </w:tc>
        <w:tc>
          <w:tcPr>
            <w:tcW w:w="514" w:type="pct"/>
            <w:tcBorders>
              <w:top w:val="single" w:sz="4" w:space="0" w:color="auto"/>
              <w:left w:val="nil"/>
              <w:bottom w:val="nil"/>
            </w:tcBorders>
          </w:tcPr>
          <w:p w:rsidR="003718EF" w:rsidRPr="00D73DFD" w:rsidRDefault="003718EF" w:rsidP="00D44409">
            <w:pPr>
              <w:pStyle w:val="Tablehead1"/>
              <w:spacing w:before="60" w:after="60"/>
            </w:pPr>
          </w:p>
        </w:tc>
        <w:tc>
          <w:tcPr>
            <w:tcW w:w="514" w:type="pct"/>
            <w:tcBorders>
              <w:top w:val="single" w:sz="4" w:space="0" w:color="auto"/>
              <w:left w:val="nil"/>
              <w:bottom w:val="nil"/>
            </w:tcBorders>
          </w:tcPr>
          <w:p w:rsidR="003718EF" w:rsidRPr="00D73DFD" w:rsidRDefault="003718EF" w:rsidP="00D44409">
            <w:pPr>
              <w:pStyle w:val="Tablehead1"/>
              <w:spacing w:before="60" w:after="60"/>
            </w:pPr>
          </w:p>
        </w:tc>
        <w:tc>
          <w:tcPr>
            <w:tcW w:w="514" w:type="pct"/>
            <w:tcBorders>
              <w:top w:val="single" w:sz="4" w:space="0" w:color="auto"/>
              <w:left w:val="nil"/>
              <w:bottom w:val="nil"/>
            </w:tcBorders>
          </w:tcPr>
          <w:p w:rsidR="003718EF" w:rsidRPr="00D73DFD" w:rsidRDefault="003718EF" w:rsidP="00D44409">
            <w:pPr>
              <w:pStyle w:val="Tablehead1"/>
              <w:spacing w:before="60" w:after="60"/>
            </w:pPr>
          </w:p>
        </w:tc>
      </w:tr>
      <w:tr w:rsidR="003718EF" w:rsidRPr="008223D4" w:rsidTr="00D44409">
        <w:tc>
          <w:tcPr>
            <w:tcW w:w="886" w:type="pct"/>
            <w:tcBorders>
              <w:top w:val="nil"/>
              <w:bottom w:val="single" w:sz="4" w:space="0" w:color="auto"/>
              <w:right w:val="nil"/>
            </w:tcBorders>
          </w:tcPr>
          <w:p w:rsidR="003718EF" w:rsidRPr="008223D4" w:rsidRDefault="003718EF" w:rsidP="00D44409">
            <w:pPr>
              <w:pStyle w:val="Tablehead2"/>
              <w:spacing w:before="0"/>
            </w:pPr>
          </w:p>
        </w:tc>
        <w:tc>
          <w:tcPr>
            <w:tcW w:w="514" w:type="pct"/>
            <w:tcBorders>
              <w:top w:val="nil"/>
              <w:left w:val="nil"/>
              <w:bottom w:val="single" w:sz="4" w:space="0" w:color="auto"/>
              <w:right w:val="nil"/>
            </w:tcBorders>
            <w:tcMar>
              <w:left w:w="0" w:type="dxa"/>
              <w:right w:w="0" w:type="dxa"/>
            </w:tcMar>
          </w:tcPr>
          <w:p w:rsidR="003718EF" w:rsidRPr="008223D4" w:rsidRDefault="003718EF" w:rsidP="00D44409">
            <w:pPr>
              <w:pStyle w:val="Tablehead2"/>
              <w:spacing w:before="0"/>
              <w:jc w:val="center"/>
            </w:pPr>
            <w:r w:rsidRPr="008223D4">
              <w:t>Indicative</w:t>
            </w:r>
          </w:p>
        </w:tc>
        <w:tc>
          <w:tcPr>
            <w:tcW w:w="514" w:type="pct"/>
            <w:tcBorders>
              <w:top w:val="nil"/>
              <w:left w:val="nil"/>
              <w:bottom w:val="single" w:sz="4" w:space="0" w:color="auto"/>
              <w:right w:val="nil"/>
            </w:tcBorders>
            <w:tcMar>
              <w:left w:w="0" w:type="dxa"/>
              <w:right w:w="0" w:type="dxa"/>
            </w:tcMar>
          </w:tcPr>
          <w:p w:rsidR="003718EF" w:rsidRPr="008223D4" w:rsidRDefault="003718EF" w:rsidP="00D44409">
            <w:pPr>
              <w:pStyle w:val="Tablehead2"/>
              <w:spacing w:before="0"/>
              <w:jc w:val="center"/>
            </w:pPr>
            <w:r w:rsidRPr="008223D4">
              <w:t>Implied</w:t>
            </w:r>
          </w:p>
        </w:tc>
        <w:tc>
          <w:tcPr>
            <w:tcW w:w="514" w:type="pct"/>
            <w:tcBorders>
              <w:top w:val="nil"/>
              <w:left w:val="nil"/>
              <w:bottom w:val="single" w:sz="4" w:space="0" w:color="auto"/>
            </w:tcBorders>
            <w:tcMar>
              <w:left w:w="0" w:type="dxa"/>
              <w:right w:w="0" w:type="dxa"/>
            </w:tcMar>
          </w:tcPr>
          <w:p w:rsidR="003718EF" w:rsidRPr="008223D4" w:rsidRDefault="003718EF" w:rsidP="00D44409">
            <w:pPr>
              <w:pStyle w:val="Tablehead2"/>
              <w:spacing w:before="0"/>
              <w:jc w:val="center"/>
            </w:pPr>
            <w:r w:rsidRPr="008223D4">
              <w:t>Skill use</w:t>
            </w:r>
          </w:p>
        </w:tc>
        <w:tc>
          <w:tcPr>
            <w:tcW w:w="514" w:type="pct"/>
            <w:tcBorders>
              <w:top w:val="nil"/>
              <w:left w:val="nil"/>
              <w:bottom w:val="single" w:sz="4" w:space="0" w:color="auto"/>
            </w:tcBorders>
            <w:tcMar>
              <w:left w:w="0" w:type="dxa"/>
              <w:right w:w="0" w:type="dxa"/>
            </w:tcMar>
          </w:tcPr>
          <w:p w:rsidR="003718EF" w:rsidRPr="008223D4" w:rsidRDefault="003718EF" w:rsidP="00D44409">
            <w:pPr>
              <w:pStyle w:val="Tablehead2"/>
              <w:spacing w:before="0"/>
              <w:jc w:val="center"/>
            </w:pPr>
            <w:r w:rsidRPr="008223D4">
              <w:t>Equiv</w:t>
            </w:r>
            <w:r>
              <w:t>alent</w:t>
            </w:r>
          </w:p>
        </w:tc>
        <w:tc>
          <w:tcPr>
            <w:tcW w:w="514" w:type="pct"/>
            <w:tcBorders>
              <w:top w:val="nil"/>
              <w:left w:val="nil"/>
              <w:bottom w:val="single" w:sz="4" w:space="0" w:color="auto"/>
            </w:tcBorders>
            <w:tcMar>
              <w:left w:w="0" w:type="dxa"/>
              <w:right w:w="0" w:type="dxa"/>
            </w:tcMar>
          </w:tcPr>
          <w:p w:rsidR="003718EF" w:rsidRPr="008223D4" w:rsidRDefault="003718EF" w:rsidP="00D44409">
            <w:pPr>
              <w:pStyle w:val="Tablehead2"/>
              <w:spacing w:before="0"/>
              <w:jc w:val="center"/>
            </w:pPr>
            <w:r w:rsidRPr="008223D4">
              <w:t>Both</w:t>
            </w:r>
          </w:p>
        </w:tc>
        <w:tc>
          <w:tcPr>
            <w:tcW w:w="514" w:type="pct"/>
            <w:tcBorders>
              <w:top w:val="nil"/>
              <w:left w:val="nil"/>
              <w:bottom w:val="single" w:sz="4" w:space="0" w:color="auto"/>
            </w:tcBorders>
            <w:tcMar>
              <w:left w:w="0" w:type="dxa"/>
              <w:right w:w="0" w:type="dxa"/>
            </w:tcMar>
          </w:tcPr>
          <w:p w:rsidR="003718EF" w:rsidRPr="008223D4" w:rsidRDefault="003718EF" w:rsidP="00D44409">
            <w:pPr>
              <w:pStyle w:val="Tablehead2"/>
              <w:spacing w:before="0"/>
              <w:jc w:val="center"/>
            </w:pPr>
            <w:r w:rsidRPr="008223D4">
              <w:t xml:space="preserve">Fully </w:t>
            </w:r>
            <w:proofErr w:type="spellStart"/>
            <w:r w:rsidRPr="008223D4">
              <w:t>determ</w:t>
            </w:r>
            <w:r>
              <w:t>in</w:t>
            </w:r>
            <w:proofErr w:type="spellEnd"/>
            <w:r w:rsidRPr="008223D4">
              <w:t>.</w:t>
            </w:r>
          </w:p>
        </w:tc>
        <w:tc>
          <w:tcPr>
            <w:tcW w:w="514" w:type="pct"/>
            <w:tcBorders>
              <w:top w:val="nil"/>
              <w:left w:val="nil"/>
              <w:bottom w:val="single" w:sz="4" w:space="0" w:color="auto"/>
            </w:tcBorders>
            <w:tcMar>
              <w:left w:w="0" w:type="dxa"/>
              <w:right w:w="0" w:type="dxa"/>
            </w:tcMar>
          </w:tcPr>
          <w:p w:rsidR="003718EF" w:rsidRPr="008223D4" w:rsidRDefault="003718EF" w:rsidP="00D44409">
            <w:pPr>
              <w:pStyle w:val="Tablehead2"/>
              <w:spacing w:before="0"/>
              <w:jc w:val="center"/>
            </w:pPr>
            <w:r w:rsidRPr="008223D4">
              <w:t>Exclusive</w:t>
            </w:r>
          </w:p>
        </w:tc>
        <w:tc>
          <w:tcPr>
            <w:tcW w:w="514" w:type="pct"/>
            <w:tcBorders>
              <w:top w:val="nil"/>
              <w:left w:val="nil"/>
              <w:bottom w:val="single" w:sz="4" w:space="0" w:color="auto"/>
            </w:tcBorders>
            <w:tcMar>
              <w:left w:w="0" w:type="dxa"/>
              <w:right w:w="0" w:type="dxa"/>
            </w:tcMar>
          </w:tcPr>
          <w:p w:rsidR="003718EF" w:rsidRPr="008223D4" w:rsidRDefault="003718EF" w:rsidP="00D44409">
            <w:pPr>
              <w:pStyle w:val="Tablehead2"/>
              <w:spacing w:before="0"/>
              <w:jc w:val="center"/>
            </w:pPr>
            <w:r w:rsidRPr="008223D4">
              <w:t>All ref</w:t>
            </w:r>
            <w:r>
              <w:t>.</w:t>
            </w:r>
            <w:r>
              <w:br/>
            </w:r>
            <w:r w:rsidRPr="008223D4">
              <w:t>types</w:t>
            </w:r>
          </w:p>
        </w:tc>
      </w:tr>
      <w:tr w:rsidR="003718EF" w:rsidRPr="00D73DFD" w:rsidTr="00D44409">
        <w:tc>
          <w:tcPr>
            <w:tcW w:w="886" w:type="pct"/>
            <w:tcBorders>
              <w:top w:val="single" w:sz="4" w:space="0" w:color="auto"/>
              <w:bottom w:val="nil"/>
              <w:right w:val="nil"/>
            </w:tcBorders>
          </w:tcPr>
          <w:p w:rsidR="003718EF" w:rsidRPr="00D73DFD" w:rsidRDefault="003718EF" w:rsidP="00D44409">
            <w:pPr>
              <w:pStyle w:val="Tabletext"/>
            </w:pPr>
            <w:r w:rsidRPr="00D73DFD">
              <w:t>Year 12</w:t>
            </w:r>
          </w:p>
        </w:tc>
        <w:tc>
          <w:tcPr>
            <w:tcW w:w="514" w:type="pct"/>
            <w:tcBorders>
              <w:top w:val="single" w:sz="4" w:space="0" w:color="auto"/>
              <w:left w:val="nil"/>
              <w:bottom w:val="nil"/>
              <w:right w:val="nil"/>
            </w:tcBorders>
          </w:tcPr>
          <w:p w:rsidR="003718EF" w:rsidRPr="00D73DFD" w:rsidRDefault="003718EF" w:rsidP="00D44409">
            <w:pPr>
              <w:pStyle w:val="Tabletext"/>
              <w:tabs>
                <w:tab w:val="decimal" w:pos="369"/>
              </w:tabs>
            </w:pPr>
            <w:r w:rsidRPr="00D73DFD">
              <w:t>3</w:t>
            </w:r>
          </w:p>
        </w:tc>
        <w:tc>
          <w:tcPr>
            <w:tcW w:w="514" w:type="pct"/>
            <w:tcBorders>
              <w:top w:val="single" w:sz="4" w:space="0" w:color="auto"/>
              <w:left w:val="nil"/>
              <w:bottom w:val="nil"/>
              <w:right w:val="nil"/>
            </w:tcBorders>
          </w:tcPr>
          <w:p w:rsidR="003718EF" w:rsidRPr="00D73DFD" w:rsidRDefault="003718EF" w:rsidP="00D44409">
            <w:pPr>
              <w:pStyle w:val="Tabletext"/>
              <w:tabs>
                <w:tab w:val="decimal" w:pos="369"/>
              </w:tabs>
            </w:pPr>
            <w:r w:rsidRPr="00D73DFD">
              <w:t>2</w:t>
            </w:r>
          </w:p>
        </w:tc>
        <w:tc>
          <w:tcPr>
            <w:tcW w:w="514" w:type="pct"/>
            <w:tcBorders>
              <w:top w:val="single" w:sz="4" w:space="0" w:color="auto"/>
              <w:left w:val="nil"/>
              <w:bottom w:val="nil"/>
              <w:right w:val="nil"/>
            </w:tcBorders>
          </w:tcPr>
          <w:p w:rsidR="003718EF" w:rsidRPr="00D73DFD" w:rsidRDefault="003718EF" w:rsidP="00D44409">
            <w:pPr>
              <w:pStyle w:val="Tabletext"/>
              <w:tabs>
                <w:tab w:val="decimal" w:pos="369"/>
              </w:tabs>
            </w:pPr>
            <w:r w:rsidRPr="00D73DFD">
              <w:t>0</w:t>
            </w:r>
          </w:p>
        </w:tc>
        <w:tc>
          <w:tcPr>
            <w:tcW w:w="514" w:type="pct"/>
            <w:tcBorders>
              <w:top w:val="single" w:sz="4" w:space="0" w:color="auto"/>
              <w:left w:val="nil"/>
              <w:bottom w:val="nil"/>
            </w:tcBorders>
          </w:tcPr>
          <w:p w:rsidR="003718EF" w:rsidRPr="00D73DFD" w:rsidRDefault="003718EF" w:rsidP="00D44409">
            <w:pPr>
              <w:pStyle w:val="Tabletext"/>
              <w:tabs>
                <w:tab w:val="decimal" w:pos="369"/>
              </w:tabs>
            </w:pPr>
            <w:r w:rsidRPr="00D73DFD">
              <w:t>3</w:t>
            </w:r>
          </w:p>
        </w:tc>
        <w:tc>
          <w:tcPr>
            <w:tcW w:w="514" w:type="pct"/>
            <w:tcBorders>
              <w:top w:val="single" w:sz="4" w:space="0" w:color="auto"/>
              <w:left w:val="nil"/>
              <w:bottom w:val="nil"/>
            </w:tcBorders>
          </w:tcPr>
          <w:p w:rsidR="003718EF" w:rsidRPr="00D73DFD" w:rsidRDefault="003718EF" w:rsidP="00D44409">
            <w:pPr>
              <w:pStyle w:val="Tabletext"/>
              <w:tabs>
                <w:tab w:val="decimal" w:pos="369"/>
              </w:tabs>
            </w:pPr>
            <w:r w:rsidRPr="00D73DFD">
              <w:t>0</w:t>
            </w:r>
          </w:p>
        </w:tc>
        <w:tc>
          <w:tcPr>
            <w:tcW w:w="514" w:type="pct"/>
            <w:tcBorders>
              <w:top w:val="single" w:sz="4" w:space="0" w:color="auto"/>
              <w:left w:val="nil"/>
              <w:bottom w:val="nil"/>
            </w:tcBorders>
          </w:tcPr>
          <w:p w:rsidR="003718EF" w:rsidRPr="00D73DFD" w:rsidRDefault="003718EF" w:rsidP="00D44409">
            <w:pPr>
              <w:pStyle w:val="Tabletext"/>
              <w:tabs>
                <w:tab w:val="decimal" w:pos="369"/>
              </w:tabs>
            </w:pPr>
            <w:r w:rsidRPr="00D73DFD">
              <w:t>0</w:t>
            </w:r>
          </w:p>
        </w:tc>
        <w:tc>
          <w:tcPr>
            <w:tcW w:w="514" w:type="pct"/>
            <w:tcBorders>
              <w:top w:val="single" w:sz="4" w:space="0" w:color="auto"/>
              <w:left w:val="nil"/>
              <w:bottom w:val="nil"/>
            </w:tcBorders>
          </w:tcPr>
          <w:p w:rsidR="003718EF" w:rsidRPr="00D73DFD" w:rsidRDefault="003718EF" w:rsidP="00D44409">
            <w:pPr>
              <w:pStyle w:val="Tabletext"/>
              <w:tabs>
                <w:tab w:val="decimal" w:pos="369"/>
              </w:tabs>
            </w:pPr>
            <w:r w:rsidRPr="00D73DFD">
              <w:t>0</w:t>
            </w:r>
          </w:p>
        </w:tc>
        <w:tc>
          <w:tcPr>
            <w:tcW w:w="514" w:type="pct"/>
            <w:tcBorders>
              <w:top w:val="single" w:sz="4" w:space="0" w:color="auto"/>
              <w:left w:val="nil"/>
              <w:bottom w:val="nil"/>
            </w:tcBorders>
          </w:tcPr>
          <w:p w:rsidR="003718EF" w:rsidRPr="00D73DFD" w:rsidRDefault="003718EF" w:rsidP="00D44409">
            <w:pPr>
              <w:pStyle w:val="Tabletext"/>
              <w:tabs>
                <w:tab w:val="decimal" w:pos="369"/>
              </w:tabs>
            </w:pPr>
            <w:r w:rsidRPr="00D73DFD">
              <w:t>8</w:t>
            </w:r>
          </w:p>
        </w:tc>
      </w:tr>
      <w:tr w:rsidR="003718EF" w:rsidRPr="00D73DFD" w:rsidTr="00D44409">
        <w:tc>
          <w:tcPr>
            <w:tcW w:w="886" w:type="pct"/>
            <w:tcBorders>
              <w:top w:val="nil"/>
              <w:bottom w:val="nil"/>
              <w:right w:val="nil"/>
            </w:tcBorders>
          </w:tcPr>
          <w:p w:rsidR="003718EF" w:rsidRPr="00D73DFD" w:rsidRDefault="003718EF" w:rsidP="00D44409">
            <w:pPr>
              <w:pStyle w:val="Tabletext"/>
            </w:pPr>
            <w:r w:rsidRPr="00D73DFD">
              <w:t>Cert</w:t>
            </w:r>
            <w:r>
              <w:t>.</w:t>
            </w:r>
            <w:r w:rsidRPr="00D73DFD">
              <w:t xml:space="preserve"> I</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5</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5</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8</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1</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19</w:t>
            </w:r>
          </w:p>
        </w:tc>
      </w:tr>
      <w:tr w:rsidR="003718EF" w:rsidRPr="00D73DFD" w:rsidTr="00D44409">
        <w:tc>
          <w:tcPr>
            <w:tcW w:w="886" w:type="pct"/>
            <w:tcBorders>
              <w:top w:val="nil"/>
              <w:bottom w:val="nil"/>
              <w:right w:val="nil"/>
            </w:tcBorders>
          </w:tcPr>
          <w:p w:rsidR="003718EF" w:rsidRPr="00D73DFD" w:rsidRDefault="003718EF" w:rsidP="00D44409">
            <w:pPr>
              <w:pStyle w:val="Tabletext"/>
            </w:pPr>
            <w:r>
              <w:t xml:space="preserve">Cert. </w:t>
            </w:r>
            <w:r w:rsidRPr="00D73DFD">
              <w:t>II</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3</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14</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10</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1</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2</w:t>
            </w:r>
          </w:p>
        </w:tc>
        <w:tc>
          <w:tcPr>
            <w:tcW w:w="514" w:type="pct"/>
            <w:tcBorders>
              <w:top w:val="nil"/>
              <w:left w:val="nil"/>
              <w:bottom w:val="nil"/>
            </w:tcBorders>
          </w:tcPr>
          <w:p w:rsidR="003718EF" w:rsidRPr="00D73DFD" w:rsidRDefault="003718EF" w:rsidP="00D44409">
            <w:pPr>
              <w:pStyle w:val="Tabletext"/>
              <w:tabs>
                <w:tab w:val="decimal" w:pos="369"/>
              </w:tabs>
            </w:pPr>
            <w:r w:rsidRPr="00D73DFD">
              <w:t>30</w:t>
            </w:r>
          </w:p>
        </w:tc>
      </w:tr>
      <w:tr w:rsidR="003718EF" w:rsidRPr="00D73DFD" w:rsidTr="00D44409">
        <w:tc>
          <w:tcPr>
            <w:tcW w:w="886" w:type="pct"/>
            <w:tcBorders>
              <w:top w:val="nil"/>
              <w:bottom w:val="nil"/>
              <w:right w:val="nil"/>
            </w:tcBorders>
          </w:tcPr>
          <w:p w:rsidR="003718EF" w:rsidRPr="00D73DFD" w:rsidRDefault="003718EF" w:rsidP="00D44409">
            <w:pPr>
              <w:pStyle w:val="Tabletext"/>
            </w:pPr>
            <w:r w:rsidRPr="00D73DFD">
              <w:t>Cert</w:t>
            </w:r>
            <w:r>
              <w:t>.</w:t>
            </w:r>
            <w:r w:rsidRPr="00D73DFD">
              <w:t xml:space="preserve"> III</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21</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53</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55</w:t>
            </w:r>
          </w:p>
        </w:tc>
        <w:tc>
          <w:tcPr>
            <w:tcW w:w="514" w:type="pct"/>
            <w:tcBorders>
              <w:top w:val="nil"/>
              <w:left w:val="nil"/>
              <w:bottom w:val="nil"/>
            </w:tcBorders>
          </w:tcPr>
          <w:p w:rsidR="003718EF" w:rsidRPr="00D73DFD" w:rsidRDefault="003718EF" w:rsidP="00D44409">
            <w:pPr>
              <w:pStyle w:val="Tabletext"/>
              <w:tabs>
                <w:tab w:val="decimal" w:pos="369"/>
              </w:tabs>
            </w:pPr>
            <w:r w:rsidRPr="00D73DFD">
              <w:t>8</w:t>
            </w:r>
          </w:p>
        </w:tc>
        <w:tc>
          <w:tcPr>
            <w:tcW w:w="514" w:type="pct"/>
            <w:tcBorders>
              <w:top w:val="nil"/>
              <w:left w:val="nil"/>
              <w:bottom w:val="nil"/>
            </w:tcBorders>
          </w:tcPr>
          <w:p w:rsidR="003718EF" w:rsidRPr="00D73DFD" w:rsidRDefault="003718EF" w:rsidP="00D44409">
            <w:pPr>
              <w:pStyle w:val="Tabletext"/>
              <w:tabs>
                <w:tab w:val="decimal" w:pos="369"/>
              </w:tabs>
            </w:pPr>
            <w:r w:rsidRPr="00D73DFD">
              <w:t>6</w:t>
            </w:r>
          </w:p>
        </w:tc>
        <w:tc>
          <w:tcPr>
            <w:tcW w:w="514" w:type="pct"/>
            <w:tcBorders>
              <w:top w:val="nil"/>
              <w:left w:val="nil"/>
              <w:bottom w:val="nil"/>
            </w:tcBorders>
          </w:tcPr>
          <w:p w:rsidR="003718EF" w:rsidRPr="00D73DFD" w:rsidRDefault="003718EF" w:rsidP="00D44409">
            <w:pPr>
              <w:pStyle w:val="Tabletext"/>
              <w:tabs>
                <w:tab w:val="decimal" w:pos="369"/>
              </w:tabs>
            </w:pPr>
            <w:r w:rsidRPr="00D73DFD">
              <w:t>13</w:t>
            </w:r>
          </w:p>
        </w:tc>
        <w:tc>
          <w:tcPr>
            <w:tcW w:w="514" w:type="pct"/>
            <w:tcBorders>
              <w:top w:val="nil"/>
              <w:left w:val="nil"/>
              <w:bottom w:val="nil"/>
            </w:tcBorders>
          </w:tcPr>
          <w:p w:rsidR="003718EF" w:rsidRPr="00D73DFD" w:rsidRDefault="003718EF" w:rsidP="00D44409">
            <w:pPr>
              <w:pStyle w:val="Tabletext"/>
              <w:tabs>
                <w:tab w:val="decimal" w:pos="369"/>
              </w:tabs>
            </w:pPr>
            <w:r w:rsidRPr="00D73DFD">
              <w:t>4</w:t>
            </w:r>
          </w:p>
        </w:tc>
        <w:tc>
          <w:tcPr>
            <w:tcW w:w="514" w:type="pct"/>
            <w:tcBorders>
              <w:top w:val="nil"/>
              <w:left w:val="nil"/>
              <w:bottom w:val="nil"/>
            </w:tcBorders>
          </w:tcPr>
          <w:p w:rsidR="003718EF" w:rsidRPr="00D73DFD" w:rsidRDefault="003718EF" w:rsidP="00D44409">
            <w:pPr>
              <w:pStyle w:val="Tabletext"/>
              <w:tabs>
                <w:tab w:val="decimal" w:pos="369"/>
              </w:tabs>
            </w:pPr>
            <w:r w:rsidRPr="00D73DFD">
              <w:t>160</w:t>
            </w:r>
          </w:p>
        </w:tc>
      </w:tr>
      <w:tr w:rsidR="003718EF" w:rsidRPr="00D73DFD" w:rsidTr="00D44409">
        <w:tc>
          <w:tcPr>
            <w:tcW w:w="886" w:type="pct"/>
            <w:tcBorders>
              <w:top w:val="nil"/>
              <w:bottom w:val="nil"/>
              <w:right w:val="nil"/>
            </w:tcBorders>
          </w:tcPr>
          <w:p w:rsidR="003718EF" w:rsidRPr="00D73DFD" w:rsidRDefault="003718EF" w:rsidP="00D44409">
            <w:pPr>
              <w:pStyle w:val="Tabletext"/>
            </w:pPr>
            <w:r w:rsidRPr="00D73DFD">
              <w:t>Cert</w:t>
            </w:r>
            <w:r>
              <w:t>.</w:t>
            </w:r>
            <w:r w:rsidRPr="00D73DFD">
              <w:t xml:space="preserve"> IV</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6</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40</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30</w:t>
            </w:r>
          </w:p>
        </w:tc>
        <w:tc>
          <w:tcPr>
            <w:tcW w:w="514" w:type="pct"/>
            <w:tcBorders>
              <w:top w:val="nil"/>
              <w:left w:val="nil"/>
              <w:bottom w:val="nil"/>
            </w:tcBorders>
          </w:tcPr>
          <w:p w:rsidR="003718EF" w:rsidRPr="00D73DFD" w:rsidRDefault="003718EF" w:rsidP="00D44409">
            <w:pPr>
              <w:pStyle w:val="Tabletext"/>
              <w:tabs>
                <w:tab w:val="decimal" w:pos="369"/>
              </w:tabs>
            </w:pPr>
            <w:r w:rsidRPr="00D73DFD">
              <w:t>13</w:t>
            </w:r>
          </w:p>
        </w:tc>
        <w:tc>
          <w:tcPr>
            <w:tcW w:w="514" w:type="pct"/>
            <w:tcBorders>
              <w:top w:val="nil"/>
              <w:left w:val="nil"/>
              <w:bottom w:val="nil"/>
            </w:tcBorders>
          </w:tcPr>
          <w:p w:rsidR="003718EF" w:rsidRPr="00D73DFD" w:rsidRDefault="003718EF" w:rsidP="00D44409">
            <w:pPr>
              <w:pStyle w:val="Tabletext"/>
              <w:tabs>
                <w:tab w:val="decimal" w:pos="369"/>
              </w:tabs>
            </w:pPr>
            <w:r w:rsidRPr="00D73DFD">
              <w:t>3</w:t>
            </w:r>
          </w:p>
        </w:tc>
        <w:tc>
          <w:tcPr>
            <w:tcW w:w="514" w:type="pct"/>
            <w:tcBorders>
              <w:top w:val="nil"/>
              <w:left w:val="nil"/>
              <w:bottom w:val="nil"/>
            </w:tcBorders>
          </w:tcPr>
          <w:p w:rsidR="003718EF" w:rsidRPr="00D73DFD" w:rsidRDefault="003718EF" w:rsidP="00D44409">
            <w:pPr>
              <w:pStyle w:val="Tabletext"/>
              <w:tabs>
                <w:tab w:val="decimal" w:pos="369"/>
              </w:tabs>
            </w:pPr>
            <w:r w:rsidRPr="00D73DFD">
              <w:t>9</w:t>
            </w:r>
          </w:p>
        </w:tc>
        <w:tc>
          <w:tcPr>
            <w:tcW w:w="514" w:type="pct"/>
            <w:tcBorders>
              <w:top w:val="nil"/>
              <w:left w:val="nil"/>
              <w:bottom w:val="nil"/>
            </w:tcBorders>
          </w:tcPr>
          <w:p w:rsidR="003718EF" w:rsidRPr="00D73DFD" w:rsidRDefault="003718EF" w:rsidP="00D44409">
            <w:pPr>
              <w:pStyle w:val="Tabletext"/>
              <w:tabs>
                <w:tab w:val="decimal" w:pos="369"/>
              </w:tabs>
            </w:pPr>
            <w:r w:rsidRPr="00D73DFD">
              <w:t>3</w:t>
            </w:r>
          </w:p>
        </w:tc>
        <w:tc>
          <w:tcPr>
            <w:tcW w:w="514" w:type="pct"/>
            <w:tcBorders>
              <w:top w:val="nil"/>
              <w:left w:val="nil"/>
              <w:bottom w:val="nil"/>
            </w:tcBorders>
          </w:tcPr>
          <w:p w:rsidR="003718EF" w:rsidRPr="00D73DFD" w:rsidRDefault="003718EF" w:rsidP="00D44409">
            <w:pPr>
              <w:pStyle w:val="Tabletext"/>
              <w:tabs>
                <w:tab w:val="decimal" w:pos="369"/>
              </w:tabs>
            </w:pPr>
            <w:r w:rsidRPr="00D73DFD">
              <w:t>104</w:t>
            </w:r>
          </w:p>
        </w:tc>
      </w:tr>
      <w:tr w:rsidR="003718EF" w:rsidRPr="00D73DFD" w:rsidTr="00D44409">
        <w:tc>
          <w:tcPr>
            <w:tcW w:w="886" w:type="pct"/>
            <w:tcBorders>
              <w:top w:val="nil"/>
              <w:bottom w:val="nil"/>
              <w:right w:val="nil"/>
            </w:tcBorders>
          </w:tcPr>
          <w:p w:rsidR="003718EF" w:rsidRPr="00D73DFD" w:rsidRDefault="003718EF" w:rsidP="00D44409">
            <w:pPr>
              <w:pStyle w:val="Tabletext"/>
            </w:pPr>
            <w:r w:rsidRPr="00D73DFD">
              <w:t>Diploma</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8</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14</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15</w:t>
            </w:r>
          </w:p>
        </w:tc>
        <w:tc>
          <w:tcPr>
            <w:tcW w:w="514" w:type="pct"/>
            <w:tcBorders>
              <w:top w:val="nil"/>
              <w:left w:val="nil"/>
              <w:bottom w:val="nil"/>
            </w:tcBorders>
          </w:tcPr>
          <w:p w:rsidR="003718EF" w:rsidRPr="00D73DFD" w:rsidRDefault="003718EF" w:rsidP="00D44409">
            <w:pPr>
              <w:pStyle w:val="Tabletext"/>
              <w:tabs>
                <w:tab w:val="decimal" w:pos="369"/>
              </w:tabs>
            </w:pPr>
            <w:r w:rsidRPr="00D73DFD">
              <w:t>7</w:t>
            </w:r>
          </w:p>
        </w:tc>
        <w:tc>
          <w:tcPr>
            <w:tcW w:w="514" w:type="pct"/>
            <w:tcBorders>
              <w:top w:val="nil"/>
              <w:left w:val="nil"/>
              <w:bottom w:val="nil"/>
            </w:tcBorders>
          </w:tcPr>
          <w:p w:rsidR="003718EF" w:rsidRPr="00D73DFD" w:rsidRDefault="003718EF" w:rsidP="00D44409">
            <w:pPr>
              <w:pStyle w:val="Tabletext"/>
              <w:tabs>
                <w:tab w:val="decimal" w:pos="369"/>
              </w:tabs>
            </w:pPr>
            <w:r w:rsidRPr="00D73DFD">
              <w:t>3</w:t>
            </w:r>
          </w:p>
        </w:tc>
        <w:tc>
          <w:tcPr>
            <w:tcW w:w="514" w:type="pct"/>
            <w:tcBorders>
              <w:top w:val="nil"/>
              <w:left w:val="nil"/>
              <w:bottom w:val="nil"/>
            </w:tcBorders>
          </w:tcPr>
          <w:p w:rsidR="003718EF" w:rsidRPr="00D73DFD" w:rsidRDefault="003718EF" w:rsidP="00D44409">
            <w:pPr>
              <w:pStyle w:val="Tabletext"/>
              <w:tabs>
                <w:tab w:val="decimal" w:pos="369"/>
              </w:tabs>
            </w:pPr>
            <w:r w:rsidRPr="00D73DFD">
              <w:t>8</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55</w:t>
            </w:r>
          </w:p>
        </w:tc>
      </w:tr>
      <w:tr w:rsidR="003718EF" w:rsidRPr="00D73DFD" w:rsidTr="00D44409">
        <w:tc>
          <w:tcPr>
            <w:tcW w:w="886" w:type="pct"/>
            <w:tcBorders>
              <w:top w:val="nil"/>
              <w:bottom w:val="nil"/>
              <w:right w:val="nil"/>
            </w:tcBorders>
          </w:tcPr>
          <w:p w:rsidR="003718EF" w:rsidRPr="00D73DFD" w:rsidRDefault="003718EF" w:rsidP="00D44409">
            <w:pPr>
              <w:pStyle w:val="Tabletext"/>
            </w:pPr>
            <w:r>
              <w:t>Adv. d</w:t>
            </w:r>
            <w:r w:rsidRPr="00D73DFD">
              <w:t>iploma</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3</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7</w:t>
            </w:r>
          </w:p>
        </w:tc>
        <w:tc>
          <w:tcPr>
            <w:tcW w:w="514" w:type="pct"/>
            <w:tcBorders>
              <w:top w:val="nil"/>
              <w:left w:val="nil"/>
              <w:bottom w:val="nil"/>
            </w:tcBorders>
          </w:tcPr>
          <w:p w:rsidR="003718EF" w:rsidRPr="00D73DFD" w:rsidRDefault="003718EF" w:rsidP="00D44409">
            <w:pPr>
              <w:pStyle w:val="Tabletext"/>
              <w:tabs>
                <w:tab w:val="decimal" w:pos="369"/>
              </w:tabs>
            </w:pPr>
            <w:r w:rsidRPr="00D73DFD">
              <w:t>1</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3</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14</w:t>
            </w:r>
          </w:p>
        </w:tc>
      </w:tr>
      <w:tr w:rsidR="003718EF" w:rsidRPr="00D73DFD" w:rsidTr="00D44409">
        <w:tc>
          <w:tcPr>
            <w:tcW w:w="886" w:type="pct"/>
            <w:tcBorders>
              <w:top w:val="nil"/>
              <w:bottom w:val="nil"/>
              <w:right w:val="nil"/>
            </w:tcBorders>
          </w:tcPr>
          <w:p w:rsidR="003718EF" w:rsidRPr="00D73DFD" w:rsidRDefault="003718EF" w:rsidP="00D44409">
            <w:pPr>
              <w:pStyle w:val="Tabletext"/>
            </w:pPr>
            <w:r w:rsidRPr="00D73DFD">
              <w:t>Bachelor</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5</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13</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3</w:t>
            </w:r>
          </w:p>
        </w:tc>
        <w:tc>
          <w:tcPr>
            <w:tcW w:w="514" w:type="pct"/>
            <w:tcBorders>
              <w:top w:val="nil"/>
              <w:left w:val="nil"/>
              <w:bottom w:val="nil"/>
            </w:tcBorders>
          </w:tcPr>
          <w:p w:rsidR="003718EF" w:rsidRPr="00D73DFD" w:rsidRDefault="003718EF" w:rsidP="00D44409">
            <w:pPr>
              <w:pStyle w:val="Tabletext"/>
              <w:tabs>
                <w:tab w:val="decimal" w:pos="369"/>
              </w:tabs>
            </w:pPr>
            <w:r w:rsidRPr="00D73DFD">
              <w:t>3</w:t>
            </w:r>
          </w:p>
        </w:tc>
        <w:tc>
          <w:tcPr>
            <w:tcW w:w="514" w:type="pct"/>
            <w:tcBorders>
              <w:top w:val="nil"/>
              <w:left w:val="nil"/>
              <w:bottom w:val="nil"/>
            </w:tcBorders>
          </w:tcPr>
          <w:p w:rsidR="003718EF" w:rsidRPr="00D73DFD" w:rsidRDefault="003718EF" w:rsidP="00D44409">
            <w:pPr>
              <w:pStyle w:val="Tabletext"/>
              <w:tabs>
                <w:tab w:val="decimal" w:pos="369"/>
              </w:tabs>
            </w:pPr>
            <w:r w:rsidRPr="00D73DFD">
              <w:t>19</w:t>
            </w:r>
          </w:p>
        </w:tc>
        <w:tc>
          <w:tcPr>
            <w:tcW w:w="514" w:type="pct"/>
            <w:tcBorders>
              <w:top w:val="nil"/>
              <w:left w:val="nil"/>
              <w:bottom w:val="nil"/>
            </w:tcBorders>
          </w:tcPr>
          <w:p w:rsidR="003718EF" w:rsidRPr="00D73DFD" w:rsidRDefault="003718EF" w:rsidP="00D44409">
            <w:pPr>
              <w:pStyle w:val="Tabletext"/>
              <w:tabs>
                <w:tab w:val="decimal" w:pos="369"/>
              </w:tabs>
            </w:pPr>
            <w:r w:rsidRPr="00D73DFD">
              <w:t>5</w:t>
            </w:r>
          </w:p>
        </w:tc>
        <w:tc>
          <w:tcPr>
            <w:tcW w:w="514" w:type="pct"/>
            <w:tcBorders>
              <w:top w:val="nil"/>
              <w:left w:val="nil"/>
              <w:bottom w:val="nil"/>
            </w:tcBorders>
          </w:tcPr>
          <w:p w:rsidR="003718EF" w:rsidRPr="00D73DFD" w:rsidRDefault="003718EF" w:rsidP="00D44409">
            <w:pPr>
              <w:pStyle w:val="Tabletext"/>
              <w:tabs>
                <w:tab w:val="decimal" w:pos="369"/>
              </w:tabs>
            </w:pPr>
            <w:r w:rsidRPr="00D73DFD">
              <w:t>15</w:t>
            </w:r>
          </w:p>
        </w:tc>
        <w:tc>
          <w:tcPr>
            <w:tcW w:w="514" w:type="pct"/>
            <w:tcBorders>
              <w:top w:val="nil"/>
              <w:left w:val="nil"/>
              <w:bottom w:val="nil"/>
            </w:tcBorders>
          </w:tcPr>
          <w:p w:rsidR="003718EF" w:rsidRPr="00D73DFD" w:rsidRDefault="003718EF" w:rsidP="00D44409">
            <w:pPr>
              <w:pStyle w:val="Tabletext"/>
              <w:tabs>
                <w:tab w:val="decimal" w:pos="369"/>
              </w:tabs>
            </w:pPr>
            <w:r w:rsidRPr="00D73DFD">
              <w:t>63</w:t>
            </w:r>
          </w:p>
        </w:tc>
      </w:tr>
      <w:tr w:rsidR="003718EF" w:rsidRPr="00D73DFD" w:rsidTr="00D44409">
        <w:tc>
          <w:tcPr>
            <w:tcW w:w="886" w:type="pct"/>
            <w:tcBorders>
              <w:top w:val="nil"/>
              <w:bottom w:val="nil"/>
              <w:right w:val="nil"/>
            </w:tcBorders>
            <w:tcMar>
              <w:right w:w="0" w:type="dxa"/>
            </w:tcMar>
          </w:tcPr>
          <w:p w:rsidR="003718EF" w:rsidRPr="00D73DFD" w:rsidRDefault="003718EF" w:rsidP="00D44409">
            <w:pPr>
              <w:pStyle w:val="Tabletext"/>
            </w:pPr>
            <w:r w:rsidRPr="00D73DFD">
              <w:t>Grad</w:t>
            </w:r>
            <w:r>
              <w:t>.</w:t>
            </w:r>
            <w:r w:rsidRPr="00D73DFD">
              <w:t xml:space="preserve"> dip</w:t>
            </w:r>
            <w:proofErr w:type="gramStart"/>
            <w:r>
              <w:t>.</w:t>
            </w:r>
            <w:r w:rsidRPr="00D73DFD">
              <w:t>/</w:t>
            </w:r>
            <w:proofErr w:type="gramEnd"/>
            <w:r w:rsidRPr="00D73DFD">
              <w:t>grad</w:t>
            </w:r>
            <w:r>
              <w:t>. c</w:t>
            </w:r>
            <w:r w:rsidRPr="00D73DFD">
              <w:t>ert</w:t>
            </w:r>
            <w:r>
              <w:t>.</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2</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5</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1</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2</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10</w:t>
            </w:r>
          </w:p>
        </w:tc>
      </w:tr>
      <w:tr w:rsidR="003718EF" w:rsidRPr="00D73DFD" w:rsidTr="00D44409">
        <w:tc>
          <w:tcPr>
            <w:tcW w:w="886" w:type="pct"/>
            <w:tcBorders>
              <w:top w:val="nil"/>
              <w:bottom w:val="nil"/>
              <w:right w:val="nil"/>
            </w:tcBorders>
          </w:tcPr>
          <w:p w:rsidR="003718EF" w:rsidRPr="00D73DFD" w:rsidRDefault="003718EF" w:rsidP="00D44409">
            <w:pPr>
              <w:pStyle w:val="Tabletext"/>
            </w:pPr>
            <w:r w:rsidRPr="00D73DFD">
              <w:t>Master</w:t>
            </w:r>
            <w:r>
              <w:t>’</w:t>
            </w:r>
            <w:r w:rsidRPr="00D73DFD">
              <w:t>s</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1</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1</w:t>
            </w:r>
          </w:p>
        </w:tc>
        <w:tc>
          <w:tcPr>
            <w:tcW w:w="514" w:type="pct"/>
            <w:tcBorders>
              <w:top w:val="nil"/>
              <w:left w:val="nil"/>
              <w:bottom w:val="nil"/>
            </w:tcBorders>
          </w:tcPr>
          <w:p w:rsidR="003718EF" w:rsidRPr="00D73DFD" w:rsidRDefault="003718EF" w:rsidP="00D44409">
            <w:pPr>
              <w:pStyle w:val="Tabletext"/>
              <w:tabs>
                <w:tab w:val="decimal" w:pos="369"/>
              </w:tabs>
            </w:pPr>
            <w:r w:rsidRPr="00D73DFD">
              <w:t>2</w:t>
            </w:r>
          </w:p>
        </w:tc>
      </w:tr>
      <w:tr w:rsidR="003718EF" w:rsidRPr="00D73DFD" w:rsidTr="00D44409">
        <w:tc>
          <w:tcPr>
            <w:tcW w:w="886" w:type="pct"/>
            <w:tcBorders>
              <w:top w:val="nil"/>
              <w:bottom w:val="nil"/>
              <w:right w:val="nil"/>
            </w:tcBorders>
          </w:tcPr>
          <w:p w:rsidR="003718EF" w:rsidRPr="00D73DFD" w:rsidRDefault="003718EF" w:rsidP="00D44409">
            <w:pPr>
              <w:pStyle w:val="Tabletext"/>
            </w:pPr>
            <w:r w:rsidRPr="00D73DFD">
              <w:t>Doctoral degree</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right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3</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0</w:t>
            </w:r>
          </w:p>
        </w:tc>
        <w:tc>
          <w:tcPr>
            <w:tcW w:w="514" w:type="pct"/>
            <w:tcBorders>
              <w:top w:val="nil"/>
              <w:left w:val="nil"/>
              <w:bottom w:val="nil"/>
            </w:tcBorders>
          </w:tcPr>
          <w:p w:rsidR="003718EF" w:rsidRPr="00D73DFD" w:rsidRDefault="003718EF" w:rsidP="00D44409">
            <w:pPr>
              <w:pStyle w:val="Tabletext"/>
              <w:tabs>
                <w:tab w:val="decimal" w:pos="369"/>
              </w:tabs>
            </w:pPr>
            <w:r w:rsidRPr="00D73DFD">
              <w:t>3</w:t>
            </w:r>
          </w:p>
        </w:tc>
      </w:tr>
      <w:tr w:rsidR="003718EF" w:rsidRPr="00D73DFD" w:rsidTr="00D44409">
        <w:tc>
          <w:tcPr>
            <w:tcW w:w="886" w:type="pct"/>
            <w:tcBorders>
              <w:top w:val="nil"/>
              <w:bottom w:val="single" w:sz="4" w:space="0" w:color="auto"/>
              <w:right w:val="nil"/>
            </w:tcBorders>
          </w:tcPr>
          <w:p w:rsidR="003718EF" w:rsidRPr="00D73DFD" w:rsidRDefault="003718EF" w:rsidP="00D44409">
            <w:pPr>
              <w:pStyle w:val="Tabletext"/>
            </w:pPr>
            <w:r w:rsidRPr="00D73DFD">
              <w:t>All qualifications</w:t>
            </w:r>
          </w:p>
        </w:tc>
        <w:tc>
          <w:tcPr>
            <w:tcW w:w="514" w:type="pct"/>
            <w:tcBorders>
              <w:top w:val="nil"/>
              <w:left w:val="nil"/>
              <w:bottom w:val="single" w:sz="4" w:space="0" w:color="auto"/>
              <w:right w:val="nil"/>
            </w:tcBorders>
          </w:tcPr>
          <w:p w:rsidR="003718EF" w:rsidRPr="00D73DFD" w:rsidRDefault="003718EF" w:rsidP="00D44409">
            <w:pPr>
              <w:pStyle w:val="Tabletext"/>
              <w:tabs>
                <w:tab w:val="decimal" w:pos="369"/>
              </w:tabs>
            </w:pPr>
            <w:r w:rsidRPr="00D73DFD">
              <w:t>54</w:t>
            </w:r>
          </w:p>
        </w:tc>
        <w:tc>
          <w:tcPr>
            <w:tcW w:w="514" w:type="pct"/>
            <w:tcBorders>
              <w:top w:val="nil"/>
              <w:left w:val="nil"/>
              <w:bottom w:val="single" w:sz="4" w:space="0" w:color="auto"/>
              <w:right w:val="nil"/>
            </w:tcBorders>
          </w:tcPr>
          <w:p w:rsidR="003718EF" w:rsidRPr="00D73DFD" w:rsidRDefault="003718EF" w:rsidP="00D44409">
            <w:pPr>
              <w:pStyle w:val="Tabletext"/>
              <w:tabs>
                <w:tab w:val="decimal" w:pos="369"/>
              </w:tabs>
            </w:pPr>
            <w:r w:rsidRPr="00D73DFD">
              <w:t>149</w:t>
            </w:r>
          </w:p>
        </w:tc>
        <w:tc>
          <w:tcPr>
            <w:tcW w:w="514" w:type="pct"/>
            <w:tcBorders>
              <w:top w:val="nil"/>
              <w:left w:val="nil"/>
              <w:bottom w:val="single" w:sz="4" w:space="0" w:color="auto"/>
              <w:right w:val="nil"/>
            </w:tcBorders>
          </w:tcPr>
          <w:p w:rsidR="003718EF" w:rsidRPr="00D73DFD" w:rsidRDefault="003718EF" w:rsidP="00D44409">
            <w:pPr>
              <w:pStyle w:val="Tabletext"/>
              <w:tabs>
                <w:tab w:val="decimal" w:pos="369"/>
              </w:tabs>
            </w:pPr>
            <w:r w:rsidRPr="00D73DFD">
              <w:t>129</w:t>
            </w:r>
          </w:p>
        </w:tc>
        <w:tc>
          <w:tcPr>
            <w:tcW w:w="514" w:type="pct"/>
            <w:tcBorders>
              <w:top w:val="nil"/>
              <w:left w:val="nil"/>
              <w:bottom w:val="single" w:sz="4" w:space="0" w:color="auto"/>
            </w:tcBorders>
          </w:tcPr>
          <w:p w:rsidR="003718EF" w:rsidRPr="00D73DFD" w:rsidRDefault="003718EF" w:rsidP="00D44409">
            <w:pPr>
              <w:pStyle w:val="Tabletext"/>
              <w:tabs>
                <w:tab w:val="decimal" w:pos="369"/>
              </w:tabs>
            </w:pPr>
            <w:r w:rsidRPr="00D73DFD">
              <w:t>35</w:t>
            </w:r>
          </w:p>
        </w:tc>
        <w:tc>
          <w:tcPr>
            <w:tcW w:w="514" w:type="pct"/>
            <w:tcBorders>
              <w:top w:val="nil"/>
              <w:left w:val="nil"/>
              <w:bottom w:val="single" w:sz="4" w:space="0" w:color="auto"/>
            </w:tcBorders>
          </w:tcPr>
          <w:p w:rsidR="003718EF" w:rsidRPr="00D73DFD" w:rsidRDefault="003718EF" w:rsidP="00D44409">
            <w:pPr>
              <w:pStyle w:val="Tabletext"/>
              <w:tabs>
                <w:tab w:val="decimal" w:pos="369"/>
              </w:tabs>
            </w:pPr>
            <w:r w:rsidRPr="00D73DFD">
              <w:t>34</w:t>
            </w:r>
          </w:p>
        </w:tc>
        <w:tc>
          <w:tcPr>
            <w:tcW w:w="514" w:type="pct"/>
            <w:tcBorders>
              <w:top w:val="nil"/>
              <w:left w:val="nil"/>
              <w:bottom w:val="single" w:sz="4" w:space="0" w:color="auto"/>
            </w:tcBorders>
          </w:tcPr>
          <w:p w:rsidR="003718EF" w:rsidRPr="00D73DFD" w:rsidRDefault="003718EF" w:rsidP="00D44409">
            <w:pPr>
              <w:pStyle w:val="Tabletext"/>
              <w:tabs>
                <w:tab w:val="decimal" w:pos="369"/>
              </w:tabs>
            </w:pPr>
            <w:r w:rsidRPr="00D73DFD">
              <w:t>42</w:t>
            </w:r>
          </w:p>
        </w:tc>
        <w:tc>
          <w:tcPr>
            <w:tcW w:w="514" w:type="pct"/>
            <w:tcBorders>
              <w:top w:val="nil"/>
              <w:left w:val="nil"/>
              <w:bottom w:val="single" w:sz="4" w:space="0" w:color="auto"/>
            </w:tcBorders>
          </w:tcPr>
          <w:p w:rsidR="003718EF" w:rsidRPr="00D73DFD" w:rsidRDefault="003718EF" w:rsidP="00D44409">
            <w:pPr>
              <w:pStyle w:val="Tabletext"/>
              <w:tabs>
                <w:tab w:val="decimal" w:pos="369"/>
              </w:tabs>
            </w:pPr>
            <w:r w:rsidRPr="00D73DFD">
              <w:t>25</w:t>
            </w:r>
          </w:p>
        </w:tc>
        <w:tc>
          <w:tcPr>
            <w:tcW w:w="514" w:type="pct"/>
            <w:tcBorders>
              <w:top w:val="nil"/>
              <w:left w:val="nil"/>
              <w:bottom w:val="single" w:sz="4" w:space="0" w:color="auto"/>
            </w:tcBorders>
          </w:tcPr>
          <w:p w:rsidR="003718EF" w:rsidRPr="00D73DFD" w:rsidRDefault="003718EF" w:rsidP="00D44409">
            <w:pPr>
              <w:pStyle w:val="Tabletext"/>
              <w:tabs>
                <w:tab w:val="decimal" w:pos="369"/>
              </w:tabs>
            </w:pPr>
            <w:r w:rsidRPr="00D73DFD">
              <w:t>468</w:t>
            </w:r>
          </w:p>
        </w:tc>
      </w:tr>
    </w:tbl>
    <w:p w:rsidR="003718EF" w:rsidRDefault="003718EF" w:rsidP="003718EF">
      <w:pPr>
        <w:pStyle w:val="Source"/>
        <w:ind w:left="0" w:firstLine="0"/>
      </w:pPr>
      <w:r w:rsidRPr="00D73DFD">
        <w:t>Source:</w:t>
      </w:r>
      <w:r w:rsidRPr="00D73DFD">
        <w:tab/>
        <w:t>Authors</w:t>
      </w:r>
      <w:r>
        <w:t>’</w:t>
      </w:r>
      <w:r w:rsidRPr="00D73DFD">
        <w:t xml:space="preserve"> analysis of modern awards</w:t>
      </w:r>
      <w:r>
        <w:t>.</w:t>
      </w:r>
    </w:p>
    <w:p w:rsidR="00D73DFD" w:rsidRPr="00D73DFD" w:rsidRDefault="00D73DFD" w:rsidP="00A80071">
      <w:pPr>
        <w:pStyle w:val="Text"/>
      </w:pPr>
      <w:r w:rsidRPr="00D73DFD">
        <w:lastRenderedPageBreak/>
        <w:t>A similar pattern can be seen when the results are collated at the award level. Each award was allocated to a type</w:t>
      </w:r>
      <w:r w:rsidR="00141650">
        <w:t>,</w:t>
      </w:r>
      <w:r w:rsidRPr="00D73DFD">
        <w:t xml:space="preserve"> according to the strongest type of clause contained in any of the classific</w:t>
      </w:r>
      <w:r w:rsidR="00141650">
        <w:t>ations in that award; the results are shown in t</w:t>
      </w:r>
      <w:r w:rsidRPr="00D73DFD">
        <w:t>able 2. These types ranged from no reference to any qualifications at all</w:t>
      </w:r>
      <w:r w:rsidR="00141650">
        <w:t xml:space="preserve"> in the whole award, to containing</w:t>
      </w:r>
      <w:r w:rsidRPr="00D73DFD">
        <w:t xml:space="preserve"> at least one exclusive classification. As a separate category, awards containing at least one implied classification have been presented, because these are a different type of relationship, but this category overlaps with awards containing at least one partially determinative classification. The awards have been grouped by industry. </w:t>
      </w:r>
    </w:p>
    <w:p w:rsidR="00D73DFD" w:rsidRPr="00D73DFD" w:rsidRDefault="00D73DFD" w:rsidP="00A80071">
      <w:pPr>
        <w:pStyle w:val="Text"/>
      </w:pPr>
      <w:r w:rsidRPr="00D73DFD">
        <w:t xml:space="preserve">Across all awards, </w:t>
      </w:r>
      <w:r w:rsidR="00141650">
        <w:t>29%</w:t>
      </w:r>
      <w:r w:rsidRPr="00D73DFD">
        <w:t xml:space="preserve"> (or 35 out of 122 awards) have no reference to any AQF qualification. Only 68% of awards had at least one partially determinative (or stronger) classification, meaning </w:t>
      </w:r>
      <w:r w:rsidR="00141650">
        <w:t xml:space="preserve">that </w:t>
      </w:r>
      <w:r w:rsidRPr="00D73DFD">
        <w:t>in almost a third of awards the link between job classifications and formal qualifications is no more than a simple indication or illustration of the appropriate skill or qualification level.</w:t>
      </w:r>
    </w:p>
    <w:p w:rsidR="00D73DFD" w:rsidRPr="00D73DFD" w:rsidRDefault="00D73DFD" w:rsidP="00A80071">
      <w:pPr>
        <w:pStyle w:val="Text"/>
      </w:pPr>
      <w:r w:rsidRPr="00D73DFD">
        <w:t xml:space="preserve">The </w:t>
      </w:r>
      <w:r w:rsidR="004C5471">
        <w:t>‘</w:t>
      </w:r>
      <w:r w:rsidRPr="00D73DFD">
        <w:t>strongest</w:t>
      </w:r>
      <w:r w:rsidR="004C5471">
        <w:t>’</w:t>
      </w:r>
      <w:r w:rsidRPr="00D73DFD">
        <w:t xml:space="preserve"> awards are </w:t>
      </w:r>
      <w:r w:rsidRPr="00141650">
        <w:rPr>
          <w:i/>
        </w:rPr>
        <w:t>Metal Award 1984</w:t>
      </w:r>
      <w:r w:rsidRPr="00D73DFD">
        <w:t xml:space="preserve"> descendants (which for historical reasons have been given their own category) and awards in the</w:t>
      </w:r>
      <w:r w:rsidRPr="00A80071">
        <w:t xml:space="preserve"> </w:t>
      </w:r>
      <w:r w:rsidR="00A24E41">
        <w:t>g</w:t>
      </w:r>
      <w:r w:rsidRPr="00D73DFD">
        <w:t xml:space="preserve">overnment and </w:t>
      </w:r>
      <w:r w:rsidR="00141650" w:rsidRPr="00D73DFD">
        <w:t>community services, health and education</w:t>
      </w:r>
      <w:r w:rsidRPr="00D73DFD">
        <w:t xml:space="preserve"> groupi</w:t>
      </w:r>
      <w:r w:rsidR="00A24E41">
        <w:t>ng. The weakest industries are t</w:t>
      </w:r>
      <w:r w:rsidRPr="00D73DFD">
        <w:t xml:space="preserve">ransport, </w:t>
      </w:r>
      <w:r w:rsidR="00141650" w:rsidRPr="00D73DFD">
        <w:t>distribution and utilities</w:t>
      </w:r>
      <w:r w:rsidR="00A24E41">
        <w:t>;</w:t>
      </w:r>
      <w:r w:rsidR="00141650" w:rsidRPr="00D73DFD">
        <w:t xml:space="preserve"> </w:t>
      </w:r>
      <w:r w:rsidR="00A24E41">
        <w:t>and a</w:t>
      </w:r>
      <w:r w:rsidRPr="00D73DFD">
        <w:t xml:space="preserve">griculture, </w:t>
      </w:r>
      <w:r w:rsidR="00141650" w:rsidRPr="00D73DFD">
        <w:t>mining, manufacturing and construction</w:t>
      </w:r>
      <w:r w:rsidR="00141650">
        <w:t>. The g</w:t>
      </w:r>
      <w:r w:rsidRPr="00D73DFD">
        <w:t>rowing se</w:t>
      </w:r>
      <w:r w:rsidR="00141650">
        <w:t>rvices industries (both the low-</w:t>
      </w:r>
      <w:r w:rsidR="00A24E41">
        <w:t>skill p</w:t>
      </w:r>
      <w:r w:rsidRPr="00D73DFD">
        <w:t xml:space="preserve">ersonal </w:t>
      </w:r>
      <w:r w:rsidR="00141650" w:rsidRPr="00D73DFD">
        <w:t xml:space="preserve">services, hospitality, retail and recreation </w:t>
      </w:r>
      <w:r w:rsidR="00141650">
        <w:t>and the high-</w:t>
      </w:r>
      <w:r w:rsidR="00A24E41">
        <w:t>skill p</w:t>
      </w:r>
      <w:r w:rsidRPr="00D73DFD">
        <w:t xml:space="preserve">rofessional, </w:t>
      </w:r>
      <w:r w:rsidR="00141650" w:rsidRPr="00D73DFD">
        <w:t>financial, property and business services</w:t>
      </w:r>
      <w:r w:rsidR="00ED7184">
        <w:t>) fall somewhere in between —</w:t>
      </w:r>
      <w:r w:rsidRPr="00D73DFD">
        <w:t xml:space="preserve"> a third of awards </w:t>
      </w:r>
      <w:r w:rsidR="00ED7184">
        <w:t>contain</w:t>
      </w:r>
      <w:r w:rsidRPr="00D73DFD">
        <w:t xml:space="preserve"> no references at all</w:t>
      </w:r>
      <w:r w:rsidR="008069C2">
        <w:t>,</w:t>
      </w:r>
      <w:r w:rsidRPr="00D73DFD">
        <w:t xml:space="preserve"> but between a quarter and one in five have some exclusive or partially determinative clauses.</w:t>
      </w:r>
    </w:p>
    <w:p w:rsidR="00D73DFD" w:rsidRPr="00D73DFD" w:rsidRDefault="00D73DFD" w:rsidP="003718EF">
      <w:pPr>
        <w:pStyle w:val="tabletitle"/>
      </w:pPr>
      <w:r w:rsidRPr="00D73DFD">
        <w:t>Table 2</w:t>
      </w:r>
      <w:r w:rsidRPr="00D73DFD">
        <w:tab/>
        <w:t xml:space="preserve">References to AQF qualifications in modern awards by industry (row %) </w:t>
      </w:r>
    </w:p>
    <w:tbl>
      <w:tblPr>
        <w:tblW w:w="8789" w:type="dxa"/>
        <w:tblInd w:w="108" w:type="dxa"/>
        <w:tblBorders>
          <w:top w:val="single" w:sz="4" w:space="0" w:color="auto"/>
          <w:bottom w:val="single" w:sz="4" w:space="0" w:color="auto"/>
        </w:tblBorders>
        <w:tblLayout w:type="fixed"/>
        <w:tblLook w:val="0000" w:firstRow="0" w:lastRow="0" w:firstColumn="0" w:lastColumn="0" w:noHBand="0" w:noVBand="0"/>
      </w:tblPr>
      <w:tblGrid>
        <w:gridCol w:w="1623"/>
        <w:gridCol w:w="1194"/>
        <w:gridCol w:w="1194"/>
        <w:gridCol w:w="1195"/>
        <w:gridCol w:w="1194"/>
        <w:gridCol w:w="1194"/>
        <w:gridCol w:w="1195"/>
      </w:tblGrid>
      <w:tr w:rsidR="00D73DFD" w:rsidRPr="00D73DFD" w:rsidTr="008223D4">
        <w:trPr>
          <w:cantSplit/>
        </w:trPr>
        <w:tc>
          <w:tcPr>
            <w:tcW w:w="1623" w:type="dxa"/>
            <w:tcBorders>
              <w:top w:val="single" w:sz="4" w:space="0" w:color="auto"/>
              <w:bottom w:val="single" w:sz="4" w:space="0" w:color="auto"/>
              <w:right w:val="nil"/>
            </w:tcBorders>
          </w:tcPr>
          <w:p w:rsidR="00D73DFD" w:rsidRPr="00D73DFD" w:rsidRDefault="00D73DFD" w:rsidP="008223D4">
            <w:pPr>
              <w:pStyle w:val="Tablehead1"/>
            </w:pPr>
            <w:r w:rsidRPr="00D73DFD">
              <w:t>Industry</w:t>
            </w:r>
          </w:p>
        </w:tc>
        <w:tc>
          <w:tcPr>
            <w:tcW w:w="1194" w:type="dxa"/>
            <w:tcBorders>
              <w:top w:val="single" w:sz="4" w:space="0" w:color="auto"/>
              <w:left w:val="nil"/>
              <w:bottom w:val="single" w:sz="4" w:space="0" w:color="auto"/>
            </w:tcBorders>
            <w:tcMar>
              <w:left w:w="0" w:type="dxa"/>
              <w:right w:w="0" w:type="dxa"/>
            </w:tcMar>
          </w:tcPr>
          <w:p w:rsidR="00D73DFD" w:rsidRPr="00D73DFD" w:rsidRDefault="00D73DFD" w:rsidP="008223D4">
            <w:pPr>
              <w:pStyle w:val="Tablehead1"/>
              <w:jc w:val="center"/>
            </w:pPr>
            <w:r w:rsidRPr="00D73DFD">
              <w:t xml:space="preserve">No reference to AQF </w:t>
            </w:r>
            <w:proofErr w:type="spellStart"/>
            <w:r w:rsidRPr="00D73DFD">
              <w:t>quals</w:t>
            </w:r>
            <w:proofErr w:type="spellEnd"/>
            <w:r w:rsidRPr="00D73DFD">
              <w:t xml:space="preserve"> in award</w:t>
            </w:r>
          </w:p>
        </w:tc>
        <w:tc>
          <w:tcPr>
            <w:tcW w:w="1194" w:type="dxa"/>
            <w:tcBorders>
              <w:top w:val="single" w:sz="4" w:space="0" w:color="auto"/>
              <w:left w:val="nil"/>
              <w:bottom w:val="single" w:sz="4" w:space="0" w:color="auto"/>
            </w:tcBorders>
            <w:tcMar>
              <w:left w:w="0" w:type="dxa"/>
              <w:right w:w="0" w:type="dxa"/>
            </w:tcMar>
          </w:tcPr>
          <w:p w:rsidR="00D73DFD" w:rsidRPr="00D73DFD" w:rsidRDefault="00D73DFD" w:rsidP="008223D4">
            <w:pPr>
              <w:pStyle w:val="Tablehead1"/>
              <w:jc w:val="center"/>
            </w:pPr>
            <w:r w:rsidRPr="00D73DFD">
              <w:t>No reference or indicative only</w:t>
            </w:r>
          </w:p>
        </w:tc>
        <w:tc>
          <w:tcPr>
            <w:tcW w:w="1195" w:type="dxa"/>
            <w:tcBorders>
              <w:top w:val="single" w:sz="4" w:space="0" w:color="auto"/>
              <w:left w:val="nil"/>
              <w:bottom w:val="single" w:sz="4" w:space="0" w:color="auto"/>
            </w:tcBorders>
            <w:tcMar>
              <w:left w:w="0" w:type="dxa"/>
              <w:right w:w="0" w:type="dxa"/>
            </w:tcMar>
          </w:tcPr>
          <w:p w:rsidR="00D73DFD" w:rsidRPr="00D73DFD" w:rsidRDefault="00D73DFD" w:rsidP="008223D4">
            <w:pPr>
              <w:pStyle w:val="Tablehead1"/>
              <w:jc w:val="center"/>
            </w:pPr>
            <w:r w:rsidRPr="00D73DFD">
              <w:t xml:space="preserve">At least </w:t>
            </w:r>
            <w:r w:rsidR="008223D4">
              <w:br/>
            </w:r>
            <w:r w:rsidRPr="00D73DFD">
              <w:t xml:space="preserve">one partially </w:t>
            </w:r>
            <w:proofErr w:type="spellStart"/>
            <w:r w:rsidRPr="00D73DFD">
              <w:t>determ</w:t>
            </w:r>
            <w:proofErr w:type="spellEnd"/>
            <w:r w:rsidR="00ED7184">
              <w:t>.</w:t>
            </w:r>
            <w:r w:rsidRPr="00D73DFD">
              <w:t xml:space="preserve"> (or stronger) class</w:t>
            </w:r>
          </w:p>
        </w:tc>
        <w:tc>
          <w:tcPr>
            <w:tcW w:w="1194" w:type="dxa"/>
            <w:tcBorders>
              <w:top w:val="single" w:sz="4" w:space="0" w:color="auto"/>
              <w:left w:val="nil"/>
              <w:bottom w:val="single" w:sz="4" w:space="0" w:color="auto"/>
            </w:tcBorders>
            <w:tcMar>
              <w:left w:w="0" w:type="dxa"/>
              <w:right w:w="0" w:type="dxa"/>
            </w:tcMar>
          </w:tcPr>
          <w:p w:rsidR="00D73DFD" w:rsidRPr="00D73DFD" w:rsidRDefault="00D73DFD" w:rsidP="008223D4">
            <w:pPr>
              <w:pStyle w:val="Tablehead1"/>
              <w:jc w:val="center"/>
            </w:pPr>
            <w:r w:rsidRPr="00D73DFD">
              <w:t xml:space="preserve">At least </w:t>
            </w:r>
            <w:r w:rsidR="008223D4">
              <w:br/>
            </w:r>
            <w:r w:rsidRPr="00D73DFD">
              <w:t xml:space="preserve">one fully </w:t>
            </w:r>
            <w:proofErr w:type="spellStart"/>
            <w:r w:rsidRPr="00D73DFD">
              <w:t>determ</w:t>
            </w:r>
            <w:proofErr w:type="spellEnd"/>
            <w:r w:rsidR="00ED7184">
              <w:t>.</w:t>
            </w:r>
            <w:r w:rsidRPr="00D73DFD">
              <w:t xml:space="preserve"> (or stronger) class</w:t>
            </w:r>
          </w:p>
        </w:tc>
        <w:tc>
          <w:tcPr>
            <w:tcW w:w="1194" w:type="dxa"/>
            <w:tcBorders>
              <w:top w:val="single" w:sz="4" w:space="0" w:color="auto"/>
              <w:left w:val="nil"/>
              <w:bottom w:val="single" w:sz="4" w:space="0" w:color="auto"/>
            </w:tcBorders>
            <w:tcMar>
              <w:left w:w="0" w:type="dxa"/>
              <w:right w:w="0" w:type="dxa"/>
            </w:tcMar>
          </w:tcPr>
          <w:p w:rsidR="00D73DFD" w:rsidRPr="00D73DFD" w:rsidRDefault="00D73DFD" w:rsidP="008223D4">
            <w:pPr>
              <w:pStyle w:val="Tablehead1"/>
              <w:jc w:val="center"/>
            </w:pPr>
            <w:r w:rsidRPr="00D73DFD">
              <w:t xml:space="preserve">At least </w:t>
            </w:r>
            <w:r w:rsidR="008223D4">
              <w:br/>
            </w:r>
            <w:r w:rsidRPr="00D73DFD">
              <w:t>one exclusive class</w:t>
            </w:r>
          </w:p>
        </w:tc>
        <w:tc>
          <w:tcPr>
            <w:tcW w:w="1195" w:type="dxa"/>
            <w:tcBorders>
              <w:top w:val="single" w:sz="4" w:space="0" w:color="auto"/>
              <w:left w:val="nil"/>
              <w:bottom w:val="single" w:sz="4" w:space="0" w:color="auto"/>
            </w:tcBorders>
            <w:tcMar>
              <w:left w:w="0" w:type="dxa"/>
              <w:right w:w="0" w:type="dxa"/>
            </w:tcMar>
          </w:tcPr>
          <w:p w:rsidR="00D73DFD" w:rsidRPr="00D73DFD" w:rsidRDefault="00ED7184" w:rsidP="008223D4">
            <w:pPr>
              <w:pStyle w:val="Tablehead1"/>
              <w:jc w:val="center"/>
            </w:pPr>
            <w:r>
              <w:t xml:space="preserve">At least </w:t>
            </w:r>
            <w:r>
              <w:br/>
              <w:t xml:space="preserve">one </w:t>
            </w:r>
            <w:r w:rsidR="008223D4">
              <w:t xml:space="preserve">implied </w:t>
            </w:r>
            <w:r>
              <w:t>class</w:t>
            </w:r>
          </w:p>
        </w:tc>
      </w:tr>
      <w:tr w:rsidR="00D73DFD" w:rsidRPr="00D73DFD" w:rsidTr="008223D4">
        <w:trPr>
          <w:cantSplit/>
        </w:trPr>
        <w:tc>
          <w:tcPr>
            <w:tcW w:w="1623" w:type="dxa"/>
            <w:tcBorders>
              <w:top w:val="single" w:sz="4" w:space="0" w:color="auto"/>
              <w:bottom w:val="nil"/>
              <w:right w:val="nil"/>
            </w:tcBorders>
          </w:tcPr>
          <w:p w:rsidR="00D73DFD" w:rsidRPr="00D73DFD" w:rsidRDefault="00D73DFD" w:rsidP="008223D4">
            <w:pPr>
              <w:pStyle w:val="Tabletext"/>
            </w:pPr>
            <w:r w:rsidRPr="00D73DFD">
              <w:t xml:space="preserve">Agriculture, </w:t>
            </w:r>
            <w:r w:rsidR="00ED7184" w:rsidRPr="00D73DFD">
              <w:t>mining, manufacturing and construction</w:t>
            </w:r>
          </w:p>
        </w:tc>
        <w:tc>
          <w:tcPr>
            <w:tcW w:w="1194" w:type="dxa"/>
            <w:tcBorders>
              <w:top w:val="single" w:sz="4" w:space="0" w:color="auto"/>
              <w:left w:val="nil"/>
              <w:bottom w:val="nil"/>
              <w:right w:val="nil"/>
            </w:tcBorders>
          </w:tcPr>
          <w:p w:rsidR="00D73DFD" w:rsidRPr="00D73DFD" w:rsidRDefault="00D73DFD" w:rsidP="000D3BE7">
            <w:pPr>
              <w:pStyle w:val="Tabletext"/>
              <w:tabs>
                <w:tab w:val="decimal" w:pos="567"/>
              </w:tabs>
            </w:pPr>
            <w:r w:rsidRPr="00D73DFD">
              <w:t>34</w:t>
            </w:r>
          </w:p>
        </w:tc>
        <w:tc>
          <w:tcPr>
            <w:tcW w:w="1194" w:type="dxa"/>
            <w:tcBorders>
              <w:top w:val="single" w:sz="4" w:space="0" w:color="auto"/>
              <w:left w:val="nil"/>
              <w:bottom w:val="nil"/>
              <w:right w:val="nil"/>
            </w:tcBorders>
          </w:tcPr>
          <w:p w:rsidR="00D73DFD" w:rsidRPr="00D73DFD" w:rsidRDefault="00D73DFD" w:rsidP="000D3BE7">
            <w:pPr>
              <w:pStyle w:val="Tabletext"/>
              <w:tabs>
                <w:tab w:val="decimal" w:pos="567"/>
              </w:tabs>
            </w:pPr>
            <w:r w:rsidRPr="00D73DFD">
              <w:t>34</w:t>
            </w:r>
          </w:p>
        </w:tc>
        <w:tc>
          <w:tcPr>
            <w:tcW w:w="1195" w:type="dxa"/>
            <w:tcBorders>
              <w:top w:val="single" w:sz="4" w:space="0" w:color="auto"/>
              <w:left w:val="nil"/>
              <w:bottom w:val="nil"/>
              <w:right w:val="nil"/>
            </w:tcBorders>
          </w:tcPr>
          <w:p w:rsidR="00D73DFD" w:rsidRPr="00D73DFD" w:rsidRDefault="00D73DFD" w:rsidP="000D3BE7">
            <w:pPr>
              <w:pStyle w:val="Tabletext"/>
              <w:tabs>
                <w:tab w:val="decimal" w:pos="567"/>
              </w:tabs>
            </w:pPr>
            <w:r w:rsidRPr="00D73DFD">
              <w:t>66</w:t>
            </w:r>
          </w:p>
        </w:tc>
        <w:tc>
          <w:tcPr>
            <w:tcW w:w="1194" w:type="dxa"/>
            <w:tcBorders>
              <w:top w:val="single" w:sz="4" w:space="0" w:color="auto"/>
              <w:left w:val="nil"/>
              <w:bottom w:val="nil"/>
            </w:tcBorders>
          </w:tcPr>
          <w:p w:rsidR="00D73DFD" w:rsidRPr="00D73DFD" w:rsidRDefault="00D73DFD" w:rsidP="008223D4">
            <w:pPr>
              <w:pStyle w:val="Tabletext"/>
              <w:tabs>
                <w:tab w:val="decimal" w:pos="537"/>
              </w:tabs>
            </w:pPr>
            <w:r w:rsidRPr="00D73DFD">
              <w:t>6</w:t>
            </w:r>
          </w:p>
        </w:tc>
        <w:tc>
          <w:tcPr>
            <w:tcW w:w="1194" w:type="dxa"/>
            <w:tcBorders>
              <w:top w:val="single" w:sz="4" w:space="0" w:color="auto"/>
              <w:left w:val="nil"/>
              <w:bottom w:val="nil"/>
            </w:tcBorders>
          </w:tcPr>
          <w:p w:rsidR="00D73DFD" w:rsidRPr="00D73DFD" w:rsidRDefault="00D73DFD" w:rsidP="008223D4">
            <w:pPr>
              <w:pStyle w:val="Tabletext"/>
              <w:tabs>
                <w:tab w:val="decimal" w:pos="537"/>
              </w:tabs>
            </w:pPr>
            <w:r w:rsidRPr="00D73DFD">
              <w:t>6</w:t>
            </w:r>
          </w:p>
        </w:tc>
        <w:tc>
          <w:tcPr>
            <w:tcW w:w="1195" w:type="dxa"/>
            <w:tcBorders>
              <w:top w:val="single" w:sz="4" w:space="0" w:color="auto"/>
              <w:left w:val="nil"/>
              <w:bottom w:val="nil"/>
            </w:tcBorders>
          </w:tcPr>
          <w:p w:rsidR="00D73DFD" w:rsidRPr="00D73DFD" w:rsidRDefault="00D73DFD" w:rsidP="008223D4">
            <w:pPr>
              <w:pStyle w:val="Tabletext"/>
              <w:tabs>
                <w:tab w:val="decimal" w:pos="537"/>
              </w:tabs>
            </w:pPr>
            <w:r w:rsidRPr="00D73DFD">
              <w:t>9</w:t>
            </w:r>
          </w:p>
        </w:tc>
      </w:tr>
      <w:tr w:rsidR="00D73DFD" w:rsidRPr="00D73DFD" w:rsidTr="008223D4">
        <w:trPr>
          <w:cantSplit/>
        </w:trPr>
        <w:tc>
          <w:tcPr>
            <w:tcW w:w="1623" w:type="dxa"/>
            <w:tcBorders>
              <w:top w:val="nil"/>
              <w:bottom w:val="nil"/>
              <w:right w:val="nil"/>
            </w:tcBorders>
          </w:tcPr>
          <w:p w:rsidR="00D73DFD" w:rsidRPr="00D73DFD" w:rsidRDefault="00D73DFD" w:rsidP="008223D4">
            <w:pPr>
              <w:pStyle w:val="Tabletext"/>
            </w:pPr>
            <w:r w:rsidRPr="00D73DFD">
              <w:t xml:space="preserve">Government </w:t>
            </w:r>
            <w:r w:rsidR="00ED7184" w:rsidRPr="00D73DFD">
              <w:t>and community services, health and education</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0</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0</w:t>
            </w:r>
          </w:p>
        </w:tc>
        <w:tc>
          <w:tcPr>
            <w:tcW w:w="1195" w:type="dxa"/>
            <w:tcBorders>
              <w:top w:val="nil"/>
              <w:left w:val="nil"/>
              <w:bottom w:val="nil"/>
              <w:right w:val="nil"/>
            </w:tcBorders>
          </w:tcPr>
          <w:p w:rsidR="00D73DFD" w:rsidRPr="00D73DFD" w:rsidRDefault="00D73DFD" w:rsidP="000D3BE7">
            <w:pPr>
              <w:pStyle w:val="Tabletext"/>
              <w:tabs>
                <w:tab w:val="decimal" w:pos="567"/>
              </w:tabs>
            </w:pPr>
            <w:r w:rsidRPr="00D73DFD">
              <w:t>100</w:t>
            </w:r>
          </w:p>
        </w:tc>
        <w:tc>
          <w:tcPr>
            <w:tcW w:w="1194" w:type="dxa"/>
            <w:tcBorders>
              <w:top w:val="nil"/>
              <w:left w:val="nil"/>
              <w:bottom w:val="nil"/>
            </w:tcBorders>
          </w:tcPr>
          <w:p w:rsidR="00D73DFD" w:rsidRPr="00D73DFD" w:rsidRDefault="00D73DFD" w:rsidP="008223D4">
            <w:pPr>
              <w:pStyle w:val="Tabletext"/>
              <w:tabs>
                <w:tab w:val="decimal" w:pos="537"/>
              </w:tabs>
            </w:pPr>
            <w:r w:rsidRPr="00D73DFD">
              <w:t>63</w:t>
            </w:r>
          </w:p>
        </w:tc>
        <w:tc>
          <w:tcPr>
            <w:tcW w:w="1194" w:type="dxa"/>
            <w:tcBorders>
              <w:top w:val="nil"/>
              <w:left w:val="nil"/>
              <w:bottom w:val="nil"/>
            </w:tcBorders>
          </w:tcPr>
          <w:p w:rsidR="00D73DFD" w:rsidRPr="00D73DFD" w:rsidRDefault="00D73DFD" w:rsidP="008223D4">
            <w:pPr>
              <w:pStyle w:val="Tabletext"/>
              <w:tabs>
                <w:tab w:val="decimal" w:pos="537"/>
              </w:tabs>
            </w:pPr>
            <w:r w:rsidRPr="00D73DFD">
              <w:t>32</w:t>
            </w:r>
          </w:p>
        </w:tc>
        <w:tc>
          <w:tcPr>
            <w:tcW w:w="1195" w:type="dxa"/>
            <w:tcBorders>
              <w:top w:val="nil"/>
              <w:left w:val="nil"/>
              <w:bottom w:val="nil"/>
            </w:tcBorders>
          </w:tcPr>
          <w:p w:rsidR="00D73DFD" w:rsidRPr="00D73DFD" w:rsidRDefault="00D73DFD" w:rsidP="008223D4">
            <w:pPr>
              <w:pStyle w:val="Tabletext"/>
              <w:tabs>
                <w:tab w:val="decimal" w:pos="537"/>
              </w:tabs>
            </w:pPr>
            <w:r w:rsidRPr="00D73DFD">
              <w:t>37</w:t>
            </w:r>
          </w:p>
        </w:tc>
      </w:tr>
      <w:tr w:rsidR="00D73DFD" w:rsidRPr="00D73DFD" w:rsidTr="008223D4">
        <w:trPr>
          <w:cantSplit/>
        </w:trPr>
        <w:tc>
          <w:tcPr>
            <w:tcW w:w="1623" w:type="dxa"/>
            <w:tcBorders>
              <w:top w:val="nil"/>
              <w:bottom w:val="nil"/>
              <w:right w:val="nil"/>
            </w:tcBorders>
          </w:tcPr>
          <w:p w:rsidR="00D73DFD" w:rsidRPr="00D73DFD" w:rsidRDefault="00D73DFD" w:rsidP="008223D4">
            <w:pPr>
              <w:pStyle w:val="Tabletext"/>
            </w:pPr>
            <w:r w:rsidRPr="00D73DFD">
              <w:t>Metal Award 1984 descendants</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0</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0</w:t>
            </w:r>
          </w:p>
        </w:tc>
        <w:tc>
          <w:tcPr>
            <w:tcW w:w="1195" w:type="dxa"/>
            <w:tcBorders>
              <w:top w:val="nil"/>
              <w:left w:val="nil"/>
              <w:bottom w:val="nil"/>
              <w:right w:val="nil"/>
            </w:tcBorders>
          </w:tcPr>
          <w:p w:rsidR="00D73DFD" w:rsidRPr="00D73DFD" w:rsidRDefault="00D73DFD" w:rsidP="000D3BE7">
            <w:pPr>
              <w:pStyle w:val="Tabletext"/>
              <w:tabs>
                <w:tab w:val="decimal" w:pos="567"/>
              </w:tabs>
            </w:pPr>
            <w:r w:rsidRPr="00D73DFD">
              <w:t>100</w:t>
            </w:r>
          </w:p>
        </w:tc>
        <w:tc>
          <w:tcPr>
            <w:tcW w:w="1194" w:type="dxa"/>
            <w:tcBorders>
              <w:top w:val="nil"/>
              <w:left w:val="nil"/>
              <w:bottom w:val="nil"/>
            </w:tcBorders>
          </w:tcPr>
          <w:p w:rsidR="00D73DFD" w:rsidRPr="00D73DFD" w:rsidRDefault="00D73DFD" w:rsidP="008223D4">
            <w:pPr>
              <w:pStyle w:val="Tabletext"/>
              <w:tabs>
                <w:tab w:val="decimal" w:pos="537"/>
              </w:tabs>
            </w:pPr>
            <w:r w:rsidRPr="00D73DFD">
              <w:t>80</w:t>
            </w:r>
          </w:p>
        </w:tc>
        <w:tc>
          <w:tcPr>
            <w:tcW w:w="1194" w:type="dxa"/>
            <w:tcBorders>
              <w:top w:val="nil"/>
              <w:left w:val="nil"/>
              <w:bottom w:val="nil"/>
            </w:tcBorders>
          </w:tcPr>
          <w:p w:rsidR="00D73DFD" w:rsidRPr="00D73DFD" w:rsidRDefault="00D73DFD" w:rsidP="008223D4">
            <w:pPr>
              <w:pStyle w:val="Tabletext"/>
              <w:tabs>
                <w:tab w:val="decimal" w:pos="537"/>
              </w:tabs>
            </w:pPr>
            <w:r w:rsidRPr="00D73DFD">
              <w:t>60</w:t>
            </w:r>
          </w:p>
        </w:tc>
        <w:tc>
          <w:tcPr>
            <w:tcW w:w="1195" w:type="dxa"/>
            <w:tcBorders>
              <w:top w:val="nil"/>
              <w:left w:val="nil"/>
              <w:bottom w:val="nil"/>
            </w:tcBorders>
          </w:tcPr>
          <w:p w:rsidR="00D73DFD" w:rsidRPr="00D73DFD" w:rsidRDefault="00D73DFD" w:rsidP="008223D4">
            <w:pPr>
              <w:pStyle w:val="Tabletext"/>
              <w:tabs>
                <w:tab w:val="decimal" w:pos="537"/>
              </w:tabs>
            </w:pPr>
            <w:r w:rsidRPr="00D73DFD">
              <w:t>0</w:t>
            </w:r>
          </w:p>
        </w:tc>
      </w:tr>
      <w:tr w:rsidR="00D73DFD" w:rsidRPr="00D73DFD" w:rsidTr="008223D4">
        <w:trPr>
          <w:cantSplit/>
        </w:trPr>
        <w:tc>
          <w:tcPr>
            <w:tcW w:w="1623" w:type="dxa"/>
            <w:tcBorders>
              <w:top w:val="nil"/>
              <w:bottom w:val="nil"/>
              <w:right w:val="nil"/>
            </w:tcBorders>
          </w:tcPr>
          <w:p w:rsidR="00D73DFD" w:rsidRPr="00D73DFD" w:rsidRDefault="00D73DFD" w:rsidP="008223D4">
            <w:pPr>
              <w:pStyle w:val="Tabletext"/>
            </w:pPr>
            <w:r w:rsidRPr="00D73DFD">
              <w:t xml:space="preserve">Personal </w:t>
            </w:r>
            <w:r w:rsidR="00ED7184" w:rsidRPr="00D73DFD">
              <w:t>services, hospitality, retail and recreation</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30</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40</w:t>
            </w:r>
          </w:p>
        </w:tc>
        <w:tc>
          <w:tcPr>
            <w:tcW w:w="1195" w:type="dxa"/>
            <w:tcBorders>
              <w:top w:val="nil"/>
              <w:left w:val="nil"/>
              <w:bottom w:val="nil"/>
              <w:right w:val="nil"/>
            </w:tcBorders>
          </w:tcPr>
          <w:p w:rsidR="00D73DFD" w:rsidRPr="00D73DFD" w:rsidRDefault="00D73DFD" w:rsidP="000D3BE7">
            <w:pPr>
              <w:pStyle w:val="Tabletext"/>
              <w:tabs>
                <w:tab w:val="decimal" w:pos="567"/>
              </w:tabs>
            </w:pPr>
            <w:r w:rsidRPr="00D73DFD">
              <w:t>60</w:t>
            </w:r>
          </w:p>
        </w:tc>
        <w:tc>
          <w:tcPr>
            <w:tcW w:w="1194" w:type="dxa"/>
            <w:tcBorders>
              <w:top w:val="nil"/>
              <w:left w:val="nil"/>
              <w:bottom w:val="nil"/>
            </w:tcBorders>
          </w:tcPr>
          <w:p w:rsidR="00D73DFD" w:rsidRPr="00D73DFD" w:rsidRDefault="00D73DFD" w:rsidP="008223D4">
            <w:pPr>
              <w:pStyle w:val="Tabletext"/>
              <w:tabs>
                <w:tab w:val="decimal" w:pos="537"/>
              </w:tabs>
            </w:pPr>
            <w:r w:rsidRPr="00D73DFD">
              <w:t>20</w:t>
            </w:r>
          </w:p>
        </w:tc>
        <w:tc>
          <w:tcPr>
            <w:tcW w:w="1194" w:type="dxa"/>
            <w:tcBorders>
              <w:top w:val="nil"/>
              <w:left w:val="nil"/>
              <w:bottom w:val="nil"/>
            </w:tcBorders>
          </w:tcPr>
          <w:p w:rsidR="00D73DFD" w:rsidRPr="00D73DFD" w:rsidRDefault="00D73DFD" w:rsidP="008223D4">
            <w:pPr>
              <w:pStyle w:val="Tabletext"/>
              <w:tabs>
                <w:tab w:val="decimal" w:pos="537"/>
              </w:tabs>
            </w:pPr>
            <w:r w:rsidRPr="00D73DFD">
              <w:t>15</w:t>
            </w:r>
          </w:p>
        </w:tc>
        <w:tc>
          <w:tcPr>
            <w:tcW w:w="1195" w:type="dxa"/>
            <w:tcBorders>
              <w:top w:val="nil"/>
              <w:left w:val="nil"/>
              <w:bottom w:val="nil"/>
            </w:tcBorders>
          </w:tcPr>
          <w:p w:rsidR="00D73DFD" w:rsidRPr="00D73DFD" w:rsidRDefault="00D73DFD" w:rsidP="008223D4">
            <w:pPr>
              <w:pStyle w:val="Tabletext"/>
              <w:tabs>
                <w:tab w:val="decimal" w:pos="537"/>
              </w:tabs>
            </w:pPr>
            <w:r w:rsidRPr="00D73DFD">
              <w:t>5</w:t>
            </w:r>
          </w:p>
        </w:tc>
      </w:tr>
      <w:tr w:rsidR="00D73DFD" w:rsidRPr="00D73DFD" w:rsidTr="008223D4">
        <w:trPr>
          <w:cantSplit/>
        </w:trPr>
        <w:tc>
          <w:tcPr>
            <w:tcW w:w="1623" w:type="dxa"/>
            <w:tcBorders>
              <w:top w:val="nil"/>
              <w:bottom w:val="nil"/>
              <w:right w:val="nil"/>
            </w:tcBorders>
          </w:tcPr>
          <w:p w:rsidR="00D73DFD" w:rsidRPr="00D73DFD" w:rsidRDefault="00D73DFD" w:rsidP="008223D4">
            <w:pPr>
              <w:pStyle w:val="Tabletext"/>
            </w:pPr>
            <w:r w:rsidRPr="00D73DFD">
              <w:t xml:space="preserve">Professional, </w:t>
            </w:r>
            <w:r w:rsidR="00ED7184" w:rsidRPr="00D73DFD">
              <w:t>financial, property and business services</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33</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42</w:t>
            </w:r>
          </w:p>
        </w:tc>
        <w:tc>
          <w:tcPr>
            <w:tcW w:w="1195" w:type="dxa"/>
            <w:tcBorders>
              <w:top w:val="nil"/>
              <w:left w:val="nil"/>
              <w:bottom w:val="nil"/>
              <w:right w:val="nil"/>
            </w:tcBorders>
          </w:tcPr>
          <w:p w:rsidR="00D73DFD" w:rsidRPr="00D73DFD" w:rsidRDefault="00D73DFD" w:rsidP="000D3BE7">
            <w:pPr>
              <w:pStyle w:val="Tabletext"/>
              <w:tabs>
                <w:tab w:val="decimal" w:pos="567"/>
              </w:tabs>
            </w:pPr>
            <w:r w:rsidRPr="00D73DFD">
              <w:t>58</w:t>
            </w:r>
          </w:p>
        </w:tc>
        <w:tc>
          <w:tcPr>
            <w:tcW w:w="1194" w:type="dxa"/>
            <w:tcBorders>
              <w:top w:val="nil"/>
              <w:left w:val="nil"/>
              <w:bottom w:val="nil"/>
            </w:tcBorders>
          </w:tcPr>
          <w:p w:rsidR="00D73DFD" w:rsidRPr="00D73DFD" w:rsidRDefault="00D73DFD" w:rsidP="008223D4">
            <w:pPr>
              <w:pStyle w:val="Tabletext"/>
              <w:tabs>
                <w:tab w:val="decimal" w:pos="537"/>
              </w:tabs>
            </w:pPr>
            <w:r w:rsidRPr="00D73DFD">
              <w:t>25</w:t>
            </w:r>
          </w:p>
        </w:tc>
        <w:tc>
          <w:tcPr>
            <w:tcW w:w="1194" w:type="dxa"/>
            <w:tcBorders>
              <w:top w:val="nil"/>
              <w:left w:val="nil"/>
              <w:bottom w:val="nil"/>
            </w:tcBorders>
          </w:tcPr>
          <w:p w:rsidR="00D73DFD" w:rsidRPr="00D73DFD" w:rsidRDefault="00D73DFD" w:rsidP="008223D4">
            <w:pPr>
              <w:pStyle w:val="Tabletext"/>
              <w:tabs>
                <w:tab w:val="decimal" w:pos="537"/>
              </w:tabs>
            </w:pPr>
            <w:r w:rsidRPr="00D73DFD">
              <w:t>13</w:t>
            </w:r>
          </w:p>
        </w:tc>
        <w:tc>
          <w:tcPr>
            <w:tcW w:w="1195" w:type="dxa"/>
            <w:tcBorders>
              <w:top w:val="nil"/>
              <w:left w:val="nil"/>
              <w:bottom w:val="nil"/>
            </w:tcBorders>
          </w:tcPr>
          <w:p w:rsidR="00D73DFD" w:rsidRPr="00D73DFD" w:rsidRDefault="00D73DFD" w:rsidP="008223D4">
            <w:pPr>
              <w:pStyle w:val="Tabletext"/>
              <w:tabs>
                <w:tab w:val="decimal" w:pos="537"/>
              </w:tabs>
            </w:pPr>
            <w:r w:rsidRPr="00D73DFD">
              <w:t>0</w:t>
            </w:r>
          </w:p>
        </w:tc>
      </w:tr>
      <w:tr w:rsidR="00D73DFD" w:rsidRPr="00D73DFD" w:rsidTr="008223D4">
        <w:trPr>
          <w:cantSplit/>
        </w:trPr>
        <w:tc>
          <w:tcPr>
            <w:tcW w:w="1623" w:type="dxa"/>
            <w:tcBorders>
              <w:top w:val="nil"/>
              <w:bottom w:val="nil"/>
              <w:right w:val="nil"/>
            </w:tcBorders>
          </w:tcPr>
          <w:p w:rsidR="00D73DFD" w:rsidRPr="00D73DFD" w:rsidRDefault="00D73DFD" w:rsidP="008223D4">
            <w:pPr>
              <w:pStyle w:val="Tabletext"/>
            </w:pPr>
            <w:r w:rsidRPr="00D73DFD">
              <w:t xml:space="preserve">Transport, </w:t>
            </w:r>
            <w:r w:rsidR="00ED7184" w:rsidRPr="00D73DFD">
              <w:t>distribution and utilities</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45</w:t>
            </w:r>
          </w:p>
        </w:tc>
        <w:tc>
          <w:tcPr>
            <w:tcW w:w="1194" w:type="dxa"/>
            <w:tcBorders>
              <w:top w:val="nil"/>
              <w:left w:val="nil"/>
              <w:bottom w:val="nil"/>
              <w:right w:val="nil"/>
            </w:tcBorders>
          </w:tcPr>
          <w:p w:rsidR="00D73DFD" w:rsidRPr="00D73DFD" w:rsidRDefault="00D73DFD" w:rsidP="000D3BE7">
            <w:pPr>
              <w:pStyle w:val="Tabletext"/>
              <w:tabs>
                <w:tab w:val="decimal" w:pos="567"/>
              </w:tabs>
            </w:pPr>
            <w:r w:rsidRPr="00D73DFD">
              <w:t>45</w:t>
            </w:r>
          </w:p>
        </w:tc>
        <w:tc>
          <w:tcPr>
            <w:tcW w:w="1195" w:type="dxa"/>
            <w:tcBorders>
              <w:top w:val="nil"/>
              <w:left w:val="nil"/>
              <w:bottom w:val="nil"/>
              <w:right w:val="nil"/>
            </w:tcBorders>
          </w:tcPr>
          <w:p w:rsidR="00D73DFD" w:rsidRPr="00D73DFD" w:rsidRDefault="00D73DFD" w:rsidP="000D3BE7">
            <w:pPr>
              <w:pStyle w:val="Tabletext"/>
              <w:tabs>
                <w:tab w:val="decimal" w:pos="567"/>
              </w:tabs>
            </w:pPr>
            <w:r w:rsidRPr="00D73DFD">
              <w:t>55</w:t>
            </w:r>
          </w:p>
        </w:tc>
        <w:tc>
          <w:tcPr>
            <w:tcW w:w="1194" w:type="dxa"/>
            <w:tcBorders>
              <w:top w:val="nil"/>
              <w:left w:val="nil"/>
              <w:bottom w:val="nil"/>
            </w:tcBorders>
          </w:tcPr>
          <w:p w:rsidR="00D73DFD" w:rsidRPr="00D73DFD" w:rsidRDefault="00D73DFD" w:rsidP="008223D4">
            <w:pPr>
              <w:pStyle w:val="Tabletext"/>
              <w:tabs>
                <w:tab w:val="decimal" w:pos="537"/>
              </w:tabs>
            </w:pPr>
            <w:r w:rsidRPr="00D73DFD">
              <w:t>18</w:t>
            </w:r>
          </w:p>
        </w:tc>
        <w:tc>
          <w:tcPr>
            <w:tcW w:w="1194" w:type="dxa"/>
            <w:tcBorders>
              <w:top w:val="nil"/>
              <w:left w:val="nil"/>
              <w:bottom w:val="nil"/>
            </w:tcBorders>
          </w:tcPr>
          <w:p w:rsidR="00D73DFD" w:rsidRPr="00D73DFD" w:rsidRDefault="00D73DFD" w:rsidP="008223D4">
            <w:pPr>
              <w:pStyle w:val="Tabletext"/>
              <w:tabs>
                <w:tab w:val="decimal" w:pos="537"/>
              </w:tabs>
            </w:pPr>
            <w:r w:rsidRPr="00D73DFD">
              <w:t>18</w:t>
            </w:r>
          </w:p>
        </w:tc>
        <w:tc>
          <w:tcPr>
            <w:tcW w:w="1195" w:type="dxa"/>
            <w:tcBorders>
              <w:top w:val="nil"/>
              <w:left w:val="nil"/>
              <w:bottom w:val="nil"/>
            </w:tcBorders>
          </w:tcPr>
          <w:p w:rsidR="00D73DFD" w:rsidRPr="00D73DFD" w:rsidRDefault="00D73DFD" w:rsidP="008223D4">
            <w:pPr>
              <w:pStyle w:val="Tabletext"/>
              <w:tabs>
                <w:tab w:val="decimal" w:pos="537"/>
              </w:tabs>
            </w:pPr>
            <w:r w:rsidRPr="00D73DFD">
              <w:t>5</w:t>
            </w:r>
          </w:p>
        </w:tc>
      </w:tr>
      <w:tr w:rsidR="00D73DFD" w:rsidRPr="008223D4" w:rsidTr="008223D4">
        <w:trPr>
          <w:cantSplit/>
        </w:trPr>
        <w:tc>
          <w:tcPr>
            <w:tcW w:w="1623" w:type="dxa"/>
            <w:tcBorders>
              <w:top w:val="nil"/>
              <w:bottom w:val="single" w:sz="4" w:space="0" w:color="auto"/>
              <w:right w:val="nil"/>
            </w:tcBorders>
          </w:tcPr>
          <w:p w:rsidR="00D73DFD" w:rsidRPr="008223D4" w:rsidRDefault="008223D4" w:rsidP="008223D4">
            <w:pPr>
              <w:pStyle w:val="Tabletext"/>
              <w:rPr>
                <w:b/>
              </w:rPr>
            </w:pPr>
            <w:r w:rsidRPr="008223D4">
              <w:rPr>
                <w:b/>
              </w:rPr>
              <w:t>All industries</w:t>
            </w:r>
          </w:p>
        </w:tc>
        <w:tc>
          <w:tcPr>
            <w:tcW w:w="1194" w:type="dxa"/>
            <w:tcBorders>
              <w:top w:val="nil"/>
              <w:left w:val="nil"/>
              <w:bottom w:val="single" w:sz="4" w:space="0" w:color="auto"/>
              <w:right w:val="nil"/>
            </w:tcBorders>
          </w:tcPr>
          <w:p w:rsidR="00D73DFD" w:rsidRPr="008223D4" w:rsidRDefault="00D73DFD" w:rsidP="000D3BE7">
            <w:pPr>
              <w:pStyle w:val="Tabletext"/>
              <w:tabs>
                <w:tab w:val="decimal" w:pos="567"/>
              </w:tabs>
              <w:rPr>
                <w:b/>
              </w:rPr>
            </w:pPr>
            <w:r w:rsidRPr="008223D4">
              <w:rPr>
                <w:b/>
              </w:rPr>
              <w:t>29</w:t>
            </w:r>
          </w:p>
        </w:tc>
        <w:tc>
          <w:tcPr>
            <w:tcW w:w="1194" w:type="dxa"/>
            <w:tcBorders>
              <w:top w:val="nil"/>
              <w:left w:val="nil"/>
              <w:bottom w:val="single" w:sz="4" w:space="0" w:color="auto"/>
              <w:right w:val="nil"/>
            </w:tcBorders>
          </w:tcPr>
          <w:p w:rsidR="00D73DFD" w:rsidRPr="008223D4" w:rsidRDefault="00D73DFD" w:rsidP="000D3BE7">
            <w:pPr>
              <w:pStyle w:val="Tabletext"/>
              <w:tabs>
                <w:tab w:val="decimal" w:pos="567"/>
              </w:tabs>
              <w:rPr>
                <w:b/>
              </w:rPr>
            </w:pPr>
            <w:r w:rsidRPr="008223D4">
              <w:rPr>
                <w:b/>
              </w:rPr>
              <w:t>32</w:t>
            </w:r>
          </w:p>
        </w:tc>
        <w:tc>
          <w:tcPr>
            <w:tcW w:w="1195" w:type="dxa"/>
            <w:tcBorders>
              <w:top w:val="nil"/>
              <w:left w:val="nil"/>
              <w:bottom w:val="single" w:sz="4" w:space="0" w:color="auto"/>
              <w:right w:val="nil"/>
            </w:tcBorders>
          </w:tcPr>
          <w:p w:rsidR="00D73DFD" w:rsidRPr="008223D4" w:rsidRDefault="00D73DFD" w:rsidP="000D3BE7">
            <w:pPr>
              <w:pStyle w:val="Tabletext"/>
              <w:tabs>
                <w:tab w:val="decimal" w:pos="567"/>
              </w:tabs>
              <w:rPr>
                <w:b/>
              </w:rPr>
            </w:pPr>
            <w:r w:rsidRPr="008223D4">
              <w:rPr>
                <w:b/>
              </w:rPr>
              <w:t>68</w:t>
            </w:r>
          </w:p>
        </w:tc>
        <w:tc>
          <w:tcPr>
            <w:tcW w:w="1194" w:type="dxa"/>
            <w:tcBorders>
              <w:top w:val="nil"/>
              <w:left w:val="nil"/>
              <w:bottom w:val="single" w:sz="4" w:space="0" w:color="auto"/>
            </w:tcBorders>
          </w:tcPr>
          <w:p w:rsidR="00D73DFD" w:rsidRPr="008223D4" w:rsidRDefault="00D73DFD" w:rsidP="008223D4">
            <w:pPr>
              <w:pStyle w:val="Tabletext"/>
              <w:tabs>
                <w:tab w:val="decimal" w:pos="537"/>
              </w:tabs>
              <w:rPr>
                <w:b/>
              </w:rPr>
            </w:pPr>
            <w:r w:rsidRPr="008223D4">
              <w:rPr>
                <w:b/>
              </w:rPr>
              <w:t>26</w:t>
            </w:r>
          </w:p>
        </w:tc>
        <w:tc>
          <w:tcPr>
            <w:tcW w:w="1194" w:type="dxa"/>
            <w:tcBorders>
              <w:top w:val="nil"/>
              <w:left w:val="nil"/>
              <w:bottom w:val="single" w:sz="4" w:space="0" w:color="auto"/>
            </w:tcBorders>
          </w:tcPr>
          <w:p w:rsidR="00D73DFD" w:rsidRPr="008223D4" w:rsidRDefault="00D73DFD" w:rsidP="008223D4">
            <w:pPr>
              <w:pStyle w:val="Tabletext"/>
              <w:tabs>
                <w:tab w:val="decimal" w:pos="537"/>
              </w:tabs>
              <w:rPr>
                <w:b/>
              </w:rPr>
            </w:pPr>
            <w:r w:rsidRPr="008223D4">
              <w:rPr>
                <w:b/>
              </w:rPr>
              <w:t>17</w:t>
            </w:r>
          </w:p>
        </w:tc>
        <w:tc>
          <w:tcPr>
            <w:tcW w:w="1195" w:type="dxa"/>
            <w:tcBorders>
              <w:top w:val="nil"/>
              <w:left w:val="nil"/>
              <w:bottom w:val="single" w:sz="4" w:space="0" w:color="auto"/>
            </w:tcBorders>
          </w:tcPr>
          <w:p w:rsidR="00D73DFD" w:rsidRPr="008223D4" w:rsidRDefault="00D73DFD" w:rsidP="008223D4">
            <w:pPr>
              <w:pStyle w:val="Tabletext"/>
              <w:tabs>
                <w:tab w:val="decimal" w:pos="537"/>
              </w:tabs>
              <w:rPr>
                <w:b/>
              </w:rPr>
            </w:pPr>
            <w:r w:rsidRPr="008223D4">
              <w:rPr>
                <w:b/>
              </w:rPr>
              <w:t>10</w:t>
            </w:r>
          </w:p>
        </w:tc>
      </w:tr>
    </w:tbl>
    <w:p w:rsidR="00D73DFD" w:rsidRPr="00D73DFD" w:rsidRDefault="00D73DFD" w:rsidP="008223D4">
      <w:pPr>
        <w:pStyle w:val="Source"/>
      </w:pPr>
      <w:r w:rsidRPr="00D73DFD">
        <w:t>Source:</w:t>
      </w:r>
      <w:r w:rsidRPr="00D73DFD">
        <w:tab/>
        <w:t>Authors</w:t>
      </w:r>
      <w:r w:rsidR="004C5471">
        <w:t>’</w:t>
      </w:r>
      <w:r w:rsidRPr="00D73DFD">
        <w:t xml:space="preserve"> analysis of modern awards</w:t>
      </w:r>
      <w:r w:rsidR="00ED7184">
        <w:t>.</w:t>
      </w:r>
    </w:p>
    <w:p w:rsidR="00D73DFD" w:rsidRPr="00D73DFD" w:rsidRDefault="00ED7184" w:rsidP="000D3BE7">
      <w:pPr>
        <w:pStyle w:val="Text"/>
        <w:spacing w:before="360"/>
        <w:ind w:right="0"/>
      </w:pPr>
      <w:r>
        <w:t>Table 3</w:t>
      </w:r>
      <w:r w:rsidR="00D73DFD" w:rsidRPr="00D73DFD">
        <w:t xml:space="preserve"> reveals how unevenly the references to AQF qualification levels are dist</w:t>
      </w:r>
      <w:r>
        <w:t xml:space="preserve">ributed across industries. The </w:t>
      </w:r>
      <w:r w:rsidRPr="000D3BE7">
        <w:t>c</w:t>
      </w:r>
      <w:r w:rsidR="00D73DFD" w:rsidRPr="000D3BE7">
        <w:t>ertificate</w:t>
      </w:r>
      <w:r w:rsidR="00D73DFD" w:rsidRPr="00D73DFD">
        <w:t xml:space="preserve"> III is the most commonly referred to qualification overall and the most consistently referred to across all industry categories. This in large part reflects its position as the main qualification for trade occupations, which</w:t>
      </w:r>
      <w:r w:rsidR="008069C2">
        <w:t>,</w:t>
      </w:r>
      <w:r w:rsidR="00D73DFD" w:rsidRPr="00D73DFD">
        <w:t xml:space="preserve"> while most common in the manufacturing and construction industries</w:t>
      </w:r>
      <w:r w:rsidR="008069C2">
        <w:t>,</w:t>
      </w:r>
      <w:r w:rsidR="00D73DFD" w:rsidRPr="00D73DFD">
        <w:t xml:space="preserve"> are distributed across the labour market. References </w:t>
      </w:r>
      <w:r>
        <w:t>to bachelor-</w:t>
      </w:r>
      <w:r w:rsidR="00D73DFD" w:rsidRPr="00D73DFD">
        <w:t>level qu</w:t>
      </w:r>
      <w:r w:rsidR="00A24E41">
        <w:t>alifications are mostly in the g</w:t>
      </w:r>
      <w:r w:rsidR="00D73DFD" w:rsidRPr="00D73DFD">
        <w:t xml:space="preserve">overnment and </w:t>
      </w:r>
      <w:r w:rsidRPr="00D73DFD">
        <w:t xml:space="preserve">community services, health and education </w:t>
      </w:r>
      <w:r w:rsidR="00D73DFD" w:rsidRPr="00D73DFD">
        <w:t xml:space="preserve">category. </w:t>
      </w:r>
      <w:r w:rsidR="00D73DFD" w:rsidRPr="00D73DFD">
        <w:lastRenderedPageBreak/>
        <w:t xml:space="preserve">While not shown in the table, all references to </w:t>
      </w:r>
      <w:proofErr w:type="gramStart"/>
      <w:r w:rsidRPr="00D73DFD">
        <w:t>master</w:t>
      </w:r>
      <w:r w:rsidR="004C5471">
        <w:t>’</w:t>
      </w:r>
      <w:r w:rsidRPr="00D73DFD">
        <w:t>s</w:t>
      </w:r>
      <w:proofErr w:type="gramEnd"/>
      <w:r w:rsidRPr="00D73DFD">
        <w:t xml:space="preserve"> and doctoral </w:t>
      </w:r>
      <w:r w:rsidR="00D73DFD" w:rsidRPr="00D73DFD">
        <w:t>de</w:t>
      </w:r>
      <w:r w:rsidR="00A24E41">
        <w:t>gree qualifications are in the g</w:t>
      </w:r>
      <w:r w:rsidR="00D73DFD" w:rsidRPr="00D73DFD">
        <w:t xml:space="preserve">overnment and </w:t>
      </w:r>
      <w:r w:rsidRPr="00D73DFD">
        <w:t>community services, health and education</w:t>
      </w:r>
      <w:r>
        <w:t xml:space="preserve"> category</w:t>
      </w:r>
      <w:r w:rsidR="00D73DFD" w:rsidRPr="00D73DFD">
        <w:t>. Th</w:t>
      </w:r>
      <w:r>
        <w:t>ere are very few references to b</w:t>
      </w:r>
      <w:r w:rsidR="00A24E41">
        <w:t>achelor qualifications in p</w:t>
      </w:r>
      <w:r w:rsidR="00D73DFD" w:rsidRPr="00D73DFD">
        <w:t xml:space="preserve">rofessional, </w:t>
      </w:r>
      <w:r w:rsidRPr="00D73DFD">
        <w:t>financial, property and business services</w:t>
      </w:r>
      <w:r>
        <w:t>,</w:t>
      </w:r>
      <w:r w:rsidRPr="00D73DFD">
        <w:t xml:space="preserve"> </w:t>
      </w:r>
      <w:r w:rsidR="00D73DFD" w:rsidRPr="00D73DFD">
        <w:t>despite growing use of university-level qualifications in these fields. Diploma qualifications are less commonly referre</w:t>
      </w:r>
      <w:r w:rsidR="00A24E41">
        <w:t>d to than c</w:t>
      </w:r>
      <w:r w:rsidR="00D73DFD" w:rsidRPr="00D73DFD">
        <w:t>ertifi</w:t>
      </w:r>
      <w:r w:rsidR="00A24E41">
        <w:t>cate III/IV qualifications and b</w:t>
      </w:r>
      <w:r w:rsidR="00D73DFD" w:rsidRPr="00D73DFD">
        <w:t xml:space="preserve">achelor qualifications. Only the </w:t>
      </w:r>
      <w:r w:rsidR="00D73DFD" w:rsidRPr="00A24E41">
        <w:rPr>
          <w:i/>
        </w:rPr>
        <w:t>Metal Award 1984</w:t>
      </w:r>
      <w:r w:rsidR="00D73DFD" w:rsidRPr="00D73DFD">
        <w:t xml:space="preserve"> descendants make extensive reference to them, although they are not uncommon in government and community services, health and education; </w:t>
      </w:r>
      <w:r w:rsidR="00F4282B">
        <w:t xml:space="preserve">transport, distribution and utilities; </w:t>
      </w:r>
      <w:r w:rsidR="00D73DFD" w:rsidRPr="00D73DFD">
        <w:t>and professional, financial, property and business services.</w:t>
      </w:r>
    </w:p>
    <w:p w:rsidR="00D73DFD" w:rsidRPr="00D73DFD" w:rsidRDefault="00D73DFD" w:rsidP="003718EF">
      <w:pPr>
        <w:pStyle w:val="tabletitle"/>
      </w:pPr>
      <w:r w:rsidRPr="00D73DFD">
        <w:t>Table 3</w:t>
      </w:r>
      <w:r w:rsidRPr="00D73DFD">
        <w:tab/>
        <w:t xml:space="preserve">References to selected AQF qualification levels in modern awards by industry (row %) </w:t>
      </w:r>
    </w:p>
    <w:tbl>
      <w:tblPr>
        <w:tblW w:w="8789" w:type="dxa"/>
        <w:tblInd w:w="108" w:type="dxa"/>
        <w:tblBorders>
          <w:top w:val="single" w:sz="4" w:space="0" w:color="auto"/>
          <w:bottom w:val="single" w:sz="4" w:space="0" w:color="auto"/>
        </w:tblBorders>
        <w:tblLayout w:type="fixed"/>
        <w:tblLook w:val="0000" w:firstRow="0" w:lastRow="0" w:firstColumn="0" w:lastColumn="0" w:noHBand="0" w:noVBand="0"/>
      </w:tblPr>
      <w:tblGrid>
        <w:gridCol w:w="4518"/>
        <w:gridCol w:w="854"/>
        <w:gridCol w:w="854"/>
        <w:gridCol w:w="854"/>
        <w:gridCol w:w="854"/>
        <w:gridCol w:w="855"/>
      </w:tblGrid>
      <w:tr w:rsidR="00D73DFD" w:rsidRPr="00D73DFD" w:rsidTr="000D3BE7">
        <w:trPr>
          <w:cantSplit/>
        </w:trPr>
        <w:tc>
          <w:tcPr>
            <w:tcW w:w="4518" w:type="dxa"/>
            <w:tcBorders>
              <w:top w:val="single" w:sz="4" w:space="0" w:color="auto"/>
              <w:bottom w:val="single" w:sz="4" w:space="0" w:color="auto"/>
              <w:right w:val="nil"/>
            </w:tcBorders>
          </w:tcPr>
          <w:p w:rsidR="00D73DFD" w:rsidRPr="00D73DFD" w:rsidRDefault="00D73DFD" w:rsidP="000D3BE7">
            <w:pPr>
              <w:pStyle w:val="Tablehead1"/>
            </w:pPr>
            <w:r w:rsidRPr="00D73DFD">
              <w:t>Industry</w:t>
            </w:r>
          </w:p>
        </w:tc>
        <w:tc>
          <w:tcPr>
            <w:tcW w:w="854" w:type="dxa"/>
            <w:tcBorders>
              <w:top w:val="single" w:sz="4" w:space="0" w:color="auto"/>
              <w:left w:val="nil"/>
              <w:bottom w:val="single" w:sz="4" w:space="0" w:color="auto"/>
            </w:tcBorders>
          </w:tcPr>
          <w:p w:rsidR="00D73DFD" w:rsidRPr="00D73DFD" w:rsidRDefault="00D73DFD" w:rsidP="000D3BE7">
            <w:pPr>
              <w:pStyle w:val="Tablehead1"/>
              <w:jc w:val="center"/>
            </w:pPr>
            <w:r w:rsidRPr="00D73DFD">
              <w:t>Cert</w:t>
            </w:r>
            <w:r w:rsidR="00A24E41">
              <w:t>.</w:t>
            </w:r>
            <w:r w:rsidRPr="00D73DFD">
              <w:t xml:space="preserve"> III</w:t>
            </w:r>
          </w:p>
        </w:tc>
        <w:tc>
          <w:tcPr>
            <w:tcW w:w="854" w:type="dxa"/>
            <w:tcBorders>
              <w:top w:val="single" w:sz="4" w:space="0" w:color="auto"/>
              <w:left w:val="nil"/>
              <w:bottom w:val="single" w:sz="4" w:space="0" w:color="auto"/>
            </w:tcBorders>
          </w:tcPr>
          <w:p w:rsidR="00D73DFD" w:rsidRPr="00D73DFD" w:rsidRDefault="00D73DFD" w:rsidP="000D3BE7">
            <w:pPr>
              <w:pStyle w:val="Tablehead1"/>
              <w:jc w:val="center"/>
            </w:pPr>
            <w:r w:rsidRPr="00D73DFD">
              <w:t>Cert</w:t>
            </w:r>
            <w:r w:rsidR="00A24E41">
              <w:t>.</w:t>
            </w:r>
            <w:r w:rsidRPr="00D73DFD">
              <w:t xml:space="preserve"> IV</w:t>
            </w:r>
          </w:p>
        </w:tc>
        <w:tc>
          <w:tcPr>
            <w:tcW w:w="854" w:type="dxa"/>
            <w:tcBorders>
              <w:top w:val="single" w:sz="4" w:space="0" w:color="auto"/>
              <w:left w:val="nil"/>
              <w:bottom w:val="single" w:sz="4" w:space="0" w:color="auto"/>
            </w:tcBorders>
          </w:tcPr>
          <w:p w:rsidR="00D73DFD" w:rsidRPr="00D73DFD" w:rsidRDefault="00D73DFD" w:rsidP="000D3BE7">
            <w:pPr>
              <w:pStyle w:val="Tablehead1"/>
              <w:jc w:val="center"/>
            </w:pPr>
            <w:r w:rsidRPr="00D73DFD">
              <w:t>Dip</w:t>
            </w:r>
            <w:r w:rsidR="00A24E41">
              <w:t>.</w:t>
            </w:r>
          </w:p>
        </w:tc>
        <w:tc>
          <w:tcPr>
            <w:tcW w:w="854" w:type="dxa"/>
            <w:tcBorders>
              <w:top w:val="single" w:sz="4" w:space="0" w:color="auto"/>
              <w:left w:val="nil"/>
              <w:bottom w:val="single" w:sz="4" w:space="0" w:color="auto"/>
            </w:tcBorders>
          </w:tcPr>
          <w:p w:rsidR="00D73DFD" w:rsidRPr="00D73DFD" w:rsidRDefault="00D73DFD" w:rsidP="000D3BE7">
            <w:pPr>
              <w:pStyle w:val="Tablehead1"/>
              <w:jc w:val="center"/>
            </w:pPr>
            <w:r w:rsidRPr="00D73DFD">
              <w:t>Bach</w:t>
            </w:r>
            <w:r w:rsidR="00A24E41">
              <w:t>.</w:t>
            </w:r>
          </w:p>
        </w:tc>
        <w:tc>
          <w:tcPr>
            <w:tcW w:w="855" w:type="dxa"/>
            <w:tcBorders>
              <w:top w:val="single" w:sz="4" w:space="0" w:color="auto"/>
              <w:left w:val="nil"/>
              <w:bottom w:val="single" w:sz="4" w:space="0" w:color="auto"/>
            </w:tcBorders>
            <w:tcMar>
              <w:left w:w="0" w:type="dxa"/>
              <w:right w:w="0" w:type="dxa"/>
            </w:tcMar>
          </w:tcPr>
          <w:p w:rsidR="00D73DFD" w:rsidRPr="00D73DFD" w:rsidRDefault="00D73DFD" w:rsidP="000D3BE7">
            <w:pPr>
              <w:pStyle w:val="Tablehead1"/>
              <w:jc w:val="center"/>
            </w:pPr>
            <w:r w:rsidRPr="00D73DFD">
              <w:t>Any AQF level</w:t>
            </w:r>
          </w:p>
        </w:tc>
      </w:tr>
      <w:tr w:rsidR="00D73DFD" w:rsidRPr="00D73DFD" w:rsidTr="000D3BE7">
        <w:trPr>
          <w:cantSplit/>
        </w:trPr>
        <w:tc>
          <w:tcPr>
            <w:tcW w:w="4518" w:type="dxa"/>
            <w:tcBorders>
              <w:top w:val="single" w:sz="4" w:space="0" w:color="auto"/>
              <w:bottom w:val="nil"/>
              <w:right w:val="nil"/>
            </w:tcBorders>
          </w:tcPr>
          <w:p w:rsidR="00D73DFD" w:rsidRPr="00D73DFD" w:rsidRDefault="00D73DFD" w:rsidP="000D3BE7">
            <w:pPr>
              <w:pStyle w:val="Tabletext"/>
            </w:pPr>
            <w:r w:rsidRPr="00D73DFD">
              <w:t xml:space="preserve">Agriculture, </w:t>
            </w:r>
            <w:r w:rsidR="00A24E41" w:rsidRPr="00D73DFD">
              <w:t>mining, manufacturing and construction</w:t>
            </w:r>
          </w:p>
        </w:tc>
        <w:tc>
          <w:tcPr>
            <w:tcW w:w="854" w:type="dxa"/>
            <w:tcBorders>
              <w:top w:val="single" w:sz="4" w:space="0" w:color="auto"/>
              <w:left w:val="nil"/>
              <w:bottom w:val="nil"/>
              <w:right w:val="nil"/>
            </w:tcBorders>
          </w:tcPr>
          <w:p w:rsidR="00D73DFD" w:rsidRPr="00D73DFD" w:rsidRDefault="00D73DFD" w:rsidP="000D3BE7">
            <w:pPr>
              <w:pStyle w:val="Tabletext"/>
              <w:tabs>
                <w:tab w:val="decimal" w:pos="425"/>
              </w:tabs>
            </w:pPr>
            <w:r w:rsidRPr="00D73DFD">
              <w:t>63</w:t>
            </w:r>
          </w:p>
        </w:tc>
        <w:tc>
          <w:tcPr>
            <w:tcW w:w="854" w:type="dxa"/>
            <w:tcBorders>
              <w:top w:val="single" w:sz="4" w:space="0" w:color="auto"/>
              <w:left w:val="nil"/>
              <w:bottom w:val="nil"/>
              <w:right w:val="nil"/>
            </w:tcBorders>
          </w:tcPr>
          <w:p w:rsidR="00D73DFD" w:rsidRPr="00D73DFD" w:rsidRDefault="00D73DFD" w:rsidP="000D3BE7">
            <w:pPr>
              <w:pStyle w:val="Tabletext"/>
              <w:tabs>
                <w:tab w:val="decimal" w:pos="425"/>
              </w:tabs>
            </w:pPr>
            <w:r w:rsidRPr="00D73DFD">
              <w:t>34</w:t>
            </w:r>
          </w:p>
        </w:tc>
        <w:tc>
          <w:tcPr>
            <w:tcW w:w="854" w:type="dxa"/>
            <w:tcBorders>
              <w:top w:val="single" w:sz="4" w:space="0" w:color="auto"/>
              <w:left w:val="nil"/>
              <w:bottom w:val="nil"/>
              <w:right w:val="nil"/>
            </w:tcBorders>
          </w:tcPr>
          <w:p w:rsidR="00D73DFD" w:rsidRPr="00D73DFD" w:rsidRDefault="00D73DFD" w:rsidP="000D3BE7">
            <w:pPr>
              <w:pStyle w:val="Tabletext"/>
              <w:tabs>
                <w:tab w:val="decimal" w:pos="425"/>
              </w:tabs>
            </w:pPr>
            <w:r w:rsidRPr="00D73DFD">
              <w:t>0</w:t>
            </w:r>
          </w:p>
        </w:tc>
        <w:tc>
          <w:tcPr>
            <w:tcW w:w="854" w:type="dxa"/>
            <w:tcBorders>
              <w:top w:val="single" w:sz="4" w:space="0" w:color="auto"/>
              <w:left w:val="nil"/>
              <w:bottom w:val="nil"/>
            </w:tcBorders>
          </w:tcPr>
          <w:p w:rsidR="00D73DFD" w:rsidRPr="00D73DFD" w:rsidRDefault="00D73DFD" w:rsidP="000D3BE7">
            <w:pPr>
              <w:pStyle w:val="Tabletext"/>
              <w:tabs>
                <w:tab w:val="decimal" w:pos="425"/>
              </w:tabs>
            </w:pPr>
            <w:r w:rsidRPr="00D73DFD">
              <w:t>6</w:t>
            </w:r>
          </w:p>
        </w:tc>
        <w:tc>
          <w:tcPr>
            <w:tcW w:w="855" w:type="dxa"/>
            <w:tcBorders>
              <w:top w:val="single" w:sz="4" w:space="0" w:color="auto"/>
              <w:left w:val="nil"/>
              <w:bottom w:val="nil"/>
            </w:tcBorders>
          </w:tcPr>
          <w:p w:rsidR="00D73DFD" w:rsidRPr="00D73DFD" w:rsidRDefault="00D73DFD" w:rsidP="000D3BE7">
            <w:pPr>
              <w:pStyle w:val="Tabletext"/>
              <w:tabs>
                <w:tab w:val="decimal" w:pos="425"/>
              </w:tabs>
            </w:pPr>
            <w:r w:rsidRPr="00D73DFD">
              <w:t>66</w:t>
            </w:r>
          </w:p>
        </w:tc>
      </w:tr>
      <w:tr w:rsidR="00D73DFD" w:rsidRPr="00D73DFD" w:rsidTr="000D3BE7">
        <w:trPr>
          <w:cantSplit/>
        </w:trPr>
        <w:tc>
          <w:tcPr>
            <w:tcW w:w="4518" w:type="dxa"/>
            <w:tcBorders>
              <w:top w:val="nil"/>
              <w:bottom w:val="nil"/>
              <w:right w:val="nil"/>
            </w:tcBorders>
          </w:tcPr>
          <w:p w:rsidR="00D73DFD" w:rsidRPr="00D73DFD" w:rsidRDefault="00D73DFD" w:rsidP="000D3BE7">
            <w:pPr>
              <w:pStyle w:val="Tabletext"/>
            </w:pPr>
            <w:r w:rsidRPr="00D73DFD">
              <w:t xml:space="preserve">Government and </w:t>
            </w:r>
            <w:r w:rsidR="00A24E41" w:rsidRPr="00D73DFD">
              <w:t>community services, health and education</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63</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74</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37</w:t>
            </w:r>
          </w:p>
        </w:tc>
        <w:tc>
          <w:tcPr>
            <w:tcW w:w="854" w:type="dxa"/>
            <w:tcBorders>
              <w:top w:val="nil"/>
              <w:left w:val="nil"/>
              <w:bottom w:val="nil"/>
            </w:tcBorders>
          </w:tcPr>
          <w:p w:rsidR="00D73DFD" w:rsidRPr="00D73DFD" w:rsidRDefault="00D73DFD" w:rsidP="000D3BE7">
            <w:pPr>
              <w:pStyle w:val="Tabletext"/>
              <w:tabs>
                <w:tab w:val="decimal" w:pos="425"/>
              </w:tabs>
            </w:pPr>
            <w:r w:rsidRPr="00D73DFD">
              <w:t>79</w:t>
            </w:r>
          </w:p>
        </w:tc>
        <w:tc>
          <w:tcPr>
            <w:tcW w:w="855" w:type="dxa"/>
            <w:tcBorders>
              <w:top w:val="nil"/>
              <w:left w:val="nil"/>
              <w:bottom w:val="nil"/>
            </w:tcBorders>
          </w:tcPr>
          <w:p w:rsidR="00D73DFD" w:rsidRPr="00D73DFD" w:rsidRDefault="00D73DFD" w:rsidP="000D3BE7">
            <w:pPr>
              <w:pStyle w:val="Tabletext"/>
              <w:tabs>
                <w:tab w:val="decimal" w:pos="425"/>
              </w:tabs>
            </w:pPr>
            <w:r w:rsidRPr="00D73DFD">
              <w:t>100</w:t>
            </w:r>
          </w:p>
        </w:tc>
      </w:tr>
      <w:tr w:rsidR="00D73DFD" w:rsidRPr="00D73DFD" w:rsidTr="000D3BE7">
        <w:trPr>
          <w:cantSplit/>
        </w:trPr>
        <w:tc>
          <w:tcPr>
            <w:tcW w:w="4518" w:type="dxa"/>
            <w:tcBorders>
              <w:top w:val="nil"/>
              <w:bottom w:val="nil"/>
              <w:right w:val="nil"/>
            </w:tcBorders>
          </w:tcPr>
          <w:p w:rsidR="00D73DFD" w:rsidRPr="00D73DFD" w:rsidRDefault="00D73DFD" w:rsidP="000D3BE7">
            <w:pPr>
              <w:pStyle w:val="Tabletext"/>
            </w:pPr>
            <w:r w:rsidRPr="00D73DFD">
              <w:t>Metal Award 1984 descendants</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80</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80</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60</w:t>
            </w:r>
          </w:p>
        </w:tc>
        <w:tc>
          <w:tcPr>
            <w:tcW w:w="854" w:type="dxa"/>
            <w:tcBorders>
              <w:top w:val="nil"/>
              <w:left w:val="nil"/>
              <w:bottom w:val="nil"/>
            </w:tcBorders>
          </w:tcPr>
          <w:p w:rsidR="00D73DFD" w:rsidRPr="00D73DFD" w:rsidRDefault="00D73DFD" w:rsidP="000D3BE7">
            <w:pPr>
              <w:pStyle w:val="Tabletext"/>
              <w:tabs>
                <w:tab w:val="decimal" w:pos="425"/>
              </w:tabs>
            </w:pPr>
            <w:r w:rsidRPr="00D73DFD">
              <w:t>40</w:t>
            </w:r>
          </w:p>
        </w:tc>
        <w:tc>
          <w:tcPr>
            <w:tcW w:w="855" w:type="dxa"/>
            <w:tcBorders>
              <w:top w:val="nil"/>
              <w:left w:val="nil"/>
              <w:bottom w:val="nil"/>
            </w:tcBorders>
          </w:tcPr>
          <w:p w:rsidR="00D73DFD" w:rsidRPr="00D73DFD" w:rsidRDefault="00D73DFD" w:rsidP="000D3BE7">
            <w:pPr>
              <w:pStyle w:val="Tabletext"/>
              <w:tabs>
                <w:tab w:val="decimal" w:pos="425"/>
              </w:tabs>
            </w:pPr>
            <w:r w:rsidRPr="00D73DFD">
              <w:t>100</w:t>
            </w:r>
          </w:p>
        </w:tc>
      </w:tr>
      <w:tr w:rsidR="00D73DFD" w:rsidRPr="00D73DFD" w:rsidTr="000D3BE7">
        <w:trPr>
          <w:cantSplit/>
        </w:trPr>
        <w:tc>
          <w:tcPr>
            <w:tcW w:w="4518" w:type="dxa"/>
            <w:tcBorders>
              <w:top w:val="nil"/>
              <w:bottom w:val="nil"/>
              <w:right w:val="nil"/>
            </w:tcBorders>
          </w:tcPr>
          <w:p w:rsidR="00D73DFD" w:rsidRPr="00D73DFD" w:rsidRDefault="00D73DFD" w:rsidP="000D3BE7">
            <w:pPr>
              <w:pStyle w:val="Tabletext"/>
            </w:pPr>
            <w:r w:rsidRPr="00D73DFD">
              <w:t xml:space="preserve">Personal </w:t>
            </w:r>
            <w:r w:rsidR="00A24E41" w:rsidRPr="00D73DFD">
              <w:t>services, hospitality, retail and recreation</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65</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30</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20</w:t>
            </w:r>
          </w:p>
        </w:tc>
        <w:tc>
          <w:tcPr>
            <w:tcW w:w="854" w:type="dxa"/>
            <w:tcBorders>
              <w:top w:val="nil"/>
              <w:left w:val="nil"/>
              <w:bottom w:val="nil"/>
            </w:tcBorders>
          </w:tcPr>
          <w:p w:rsidR="00D73DFD" w:rsidRPr="00D73DFD" w:rsidRDefault="00D73DFD" w:rsidP="000D3BE7">
            <w:pPr>
              <w:pStyle w:val="Tabletext"/>
              <w:tabs>
                <w:tab w:val="decimal" w:pos="425"/>
              </w:tabs>
            </w:pPr>
            <w:r w:rsidRPr="00D73DFD">
              <w:t>5</w:t>
            </w:r>
          </w:p>
        </w:tc>
        <w:tc>
          <w:tcPr>
            <w:tcW w:w="855" w:type="dxa"/>
            <w:tcBorders>
              <w:top w:val="nil"/>
              <w:left w:val="nil"/>
              <w:bottom w:val="nil"/>
            </w:tcBorders>
          </w:tcPr>
          <w:p w:rsidR="00D73DFD" w:rsidRPr="00D73DFD" w:rsidRDefault="00D73DFD" w:rsidP="000D3BE7">
            <w:pPr>
              <w:pStyle w:val="Tabletext"/>
              <w:tabs>
                <w:tab w:val="decimal" w:pos="425"/>
              </w:tabs>
            </w:pPr>
            <w:r w:rsidRPr="00D73DFD">
              <w:t>70</w:t>
            </w:r>
          </w:p>
        </w:tc>
      </w:tr>
      <w:tr w:rsidR="00D73DFD" w:rsidRPr="00D73DFD" w:rsidTr="000D3BE7">
        <w:trPr>
          <w:cantSplit/>
        </w:trPr>
        <w:tc>
          <w:tcPr>
            <w:tcW w:w="4518" w:type="dxa"/>
            <w:tcBorders>
              <w:top w:val="nil"/>
              <w:bottom w:val="nil"/>
              <w:right w:val="nil"/>
            </w:tcBorders>
          </w:tcPr>
          <w:p w:rsidR="00D73DFD" w:rsidRPr="00D73DFD" w:rsidRDefault="00D73DFD" w:rsidP="000D3BE7">
            <w:pPr>
              <w:pStyle w:val="Tabletext"/>
            </w:pPr>
            <w:r w:rsidRPr="00D73DFD">
              <w:t xml:space="preserve">Professional, </w:t>
            </w:r>
            <w:r w:rsidR="00A24E41" w:rsidRPr="00D73DFD">
              <w:t>financial, property and business services</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38</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38</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33</w:t>
            </w:r>
          </w:p>
        </w:tc>
        <w:tc>
          <w:tcPr>
            <w:tcW w:w="854" w:type="dxa"/>
            <w:tcBorders>
              <w:top w:val="nil"/>
              <w:left w:val="nil"/>
              <w:bottom w:val="nil"/>
            </w:tcBorders>
          </w:tcPr>
          <w:p w:rsidR="00D73DFD" w:rsidRPr="00D73DFD" w:rsidRDefault="00D73DFD" w:rsidP="000D3BE7">
            <w:pPr>
              <w:pStyle w:val="Tabletext"/>
              <w:tabs>
                <w:tab w:val="decimal" w:pos="425"/>
              </w:tabs>
            </w:pPr>
            <w:r w:rsidRPr="00D73DFD">
              <w:t>21</w:t>
            </w:r>
          </w:p>
        </w:tc>
        <w:tc>
          <w:tcPr>
            <w:tcW w:w="855" w:type="dxa"/>
            <w:tcBorders>
              <w:top w:val="nil"/>
              <w:left w:val="nil"/>
              <w:bottom w:val="nil"/>
            </w:tcBorders>
          </w:tcPr>
          <w:p w:rsidR="00D73DFD" w:rsidRPr="00D73DFD" w:rsidRDefault="00D73DFD" w:rsidP="000D3BE7">
            <w:pPr>
              <w:pStyle w:val="Tabletext"/>
              <w:tabs>
                <w:tab w:val="decimal" w:pos="425"/>
              </w:tabs>
            </w:pPr>
            <w:r w:rsidRPr="00D73DFD">
              <w:t>67</w:t>
            </w:r>
          </w:p>
        </w:tc>
      </w:tr>
      <w:tr w:rsidR="00D73DFD" w:rsidRPr="00D73DFD" w:rsidTr="000D3BE7">
        <w:trPr>
          <w:cantSplit/>
        </w:trPr>
        <w:tc>
          <w:tcPr>
            <w:tcW w:w="4518" w:type="dxa"/>
            <w:tcBorders>
              <w:top w:val="nil"/>
              <w:bottom w:val="nil"/>
              <w:right w:val="nil"/>
            </w:tcBorders>
          </w:tcPr>
          <w:p w:rsidR="00D73DFD" w:rsidRPr="00D73DFD" w:rsidRDefault="00D73DFD" w:rsidP="000D3BE7">
            <w:pPr>
              <w:pStyle w:val="Tabletext"/>
            </w:pPr>
            <w:r w:rsidRPr="00D73DFD">
              <w:t xml:space="preserve">Transport, </w:t>
            </w:r>
            <w:r w:rsidR="00A24E41" w:rsidRPr="00D73DFD">
              <w:t>distribution and utilities</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50</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41</w:t>
            </w:r>
          </w:p>
        </w:tc>
        <w:tc>
          <w:tcPr>
            <w:tcW w:w="854" w:type="dxa"/>
            <w:tcBorders>
              <w:top w:val="nil"/>
              <w:left w:val="nil"/>
              <w:bottom w:val="nil"/>
              <w:right w:val="nil"/>
            </w:tcBorders>
          </w:tcPr>
          <w:p w:rsidR="00D73DFD" w:rsidRPr="00D73DFD" w:rsidRDefault="00D73DFD" w:rsidP="000D3BE7">
            <w:pPr>
              <w:pStyle w:val="Tabletext"/>
              <w:tabs>
                <w:tab w:val="decimal" w:pos="425"/>
              </w:tabs>
            </w:pPr>
            <w:r w:rsidRPr="00D73DFD">
              <w:t>27</w:t>
            </w:r>
          </w:p>
        </w:tc>
        <w:tc>
          <w:tcPr>
            <w:tcW w:w="854" w:type="dxa"/>
            <w:tcBorders>
              <w:top w:val="nil"/>
              <w:left w:val="nil"/>
              <w:bottom w:val="nil"/>
            </w:tcBorders>
          </w:tcPr>
          <w:p w:rsidR="00D73DFD" w:rsidRPr="00D73DFD" w:rsidRDefault="00D73DFD" w:rsidP="000D3BE7">
            <w:pPr>
              <w:pStyle w:val="Tabletext"/>
              <w:tabs>
                <w:tab w:val="decimal" w:pos="425"/>
              </w:tabs>
            </w:pPr>
            <w:r w:rsidRPr="00D73DFD">
              <w:t>18</w:t>
            </w:r>
          </w:p>
        </w:tc>
        <w:tc>
          <w:tcPr>
            <w:tcW w:w="855" w:type="dxa"/>
            <w:tcBorders>
              <w:top w:val="nil"/>
              <w:left w:val="nil"/>
              <w:bottom w:val="nil"/>
            </w:tcBorders>
          </w:tcPr>
          <w:p w:rsidR="00D73DFD" w:rsidRPr="00D73DFD" w:rsidRDefault="00D73DFD" w:rsidP="000D3BE7">
            <w:pPr>
              <w:pStyle w:val="Tabletext"/>
              <w:tabs>
                <w:tab w:val="decimal" w:pos="425"/>
              </w:tabs>
            </w:pPr>
            <w:r w:rsidRPr="00D73DFD">
              <w:t>55</w:t>
            </w:r>
          </w:p>
        </w:tc>
      </w:tr>
      <w:tr w:rsidR="00D73DFD" w:rsidRPr="000D3BE7" w:rsidTr="000D3BE7">
        <w:trPr>
          <w:cantSplit/>
        </w:trPr>
        <w:tc>
          <w:tcPr>
            <w:tcW w:w="4518" w:type="dxa"/>
            <w:tcBorders>
              <w:top w:val="nil"/>
              <w:bottom w:val="single" w:sz="4" w:space="0" w:color="auto"/>
              <w:right w:val="nil"/>
            </w:tcBorders>
          </w:tcPr>
          <w:p w:rsidR="00D73DFD" w:rsidRPr="000D3BE7" w:rsidRDefault="000D3BE7" w:rsidP="000D3BE7">
            <w:pPr>
              <w:pStyle w:val="Tabletext"/>
              <w:rPr>
                <w:b/>
              </w:rPr>
            </w:pPr>
            <w:r w:rsidRPr="000D3BE7">
              <w:rPr>
                <w:b/>
              </w:rPr>
              <w:t>All industries</w:t>
            </w:r>
          </w:p>
        </w:tc>
        <w:tc>
          <w:tcPr>
            <w:tcW w:w="854" w:type="dxa"/>
            <w:tcBorders>
              <w:top w:val="nil"/>
              <w:left w:val="nil"/>
              <w:bottom w:val="single" w:sz="4" w:space="0" w:color="auto"/>
              <w:right w:val="nil"/>
            </w:tcBorders>
          </w:tcPr>
          <w:p w:rsidR="00D73DFD" w:rsidRPr="000D3BE7" w:rsidRDefault="00D73DFD" w:rsidP="000D3BE7">
            <w:pPr>
              <w:pStyle w:val="Tabletext"/>
              <w:tabs>
                <w:tab w:val="decimal" w:pos="425"/>
              </w:tabs>
              <w:rPr>
                <w:b/>
              </w:rPr>
            </w:pPr>
            <w:r w:rsidRPr="000D3BE7">
              <w:rPr>
                <w:b/>
              </w:rPr>
              <w:t>57</w:t>
            </w:r>
          </w:p>
        </w:tc>
        <w:tc>
          <w:tcPr>
            <w:tcW w:w="854" w:type="dxa"/>
            <w:tcBorders>
              <w:top w:val="nil"/>
              <w:left w:val="nil"/>
              <w:bottom w:val="single" w:sz="4" w:space="0" w:color="auto"/>
              <w:right w:val="nil"/>
            </w:tcBorders>
          </w:tcPr>
          <w:p w:rsidR="00D73DFD" w:rsidRPr="000D3BE7" w:rsidRDefault="00D73DFD" w:rsidP="000D3BE7">
            <w:pPr>
              <w:pStyle w:val="Tabletext"/>
              <w:tabs>
                <w:tab w:val="decimal" w:pos="425"/>
              </w:tabs>
              <w:rPr>
                <w:b/>
              </w:rPr>
            </w:pPr>
            <w:r w:rsidRPr="000D3BE7">
              <w:rPr>
                <w:b/>
              </w:rPr>
              <w:t>43</w:t>
            </w:r>
          </w:p>
        </w:tc>
        <w:tc>
          <w:tcPr>
            <w:tcW w:w="854" w:type="dxa"/>
            <w:tcBorders>
              <w:top w:val="nil"/>
              <w:left w:val="nil"/>
              <w:bottom w:val="single" w:sz="4" w:space="0" w:color="auto"/>
              <w:right w:val="nil"/>
            </w:tcBorders>
          </w:tcPr>
          <w:p w:rsidR="00D73DFD" w:rsidRPr="000D3BE7" w:rsidRDefault="00D73DFD" w:rsidP="000D3BE7">
            <w:pPr>
              <w:pStyle w:val="Tabletext"/>
              <w:tabs>
                <w:tab w:val="decimal" w:pos="425"/>
              </w:tabs>
              <w:rPr>
                <w:b/>
              </w:rPr>
            </w:pPr>
            <w:r w:rsidRPr="000D3BE7">
              <w:rPr>
                <w:b/>
              </w:rPr>
              <w:t>23</w:t>
            </w:r>
          </w:p>
        </w:tc>
        <w:tc>
          <w:tcPr>
            <w:tcW w:w="854" w:type="dxa"/>
            <w:tcBorders>
              <w:top w:val="nil"/>
              <w:left w:val="nil"/>
              <w:bottom w:val="single" w:sz="4" w:space="0" w:color="auto"/>
            </w:tcBorders>
          </w:tcPr>
          <w:p w:rsidR="00D73DFD" w:rsidRPr="000D3BE7" w:rsidRDefault="00D73DFD" w:rsidP="000D3BE7">
            <w:pPr>
              <w:pStyle w:val="Tabletext"/>
              <w:tabs>
                <w:tab w:val="decimal" w:pos="425"/>
              </w:tabs>
              <w:rPr>
                <w:b/>
              </w:rPr>
            </w:pPr>
            <w:r w:rsidRPr="000D3BE7">
              <w:rPr>
                <w:b/>
              </w:rPr>
              <w:t>24</w:t>
            </w:r>
          </w:p>
        </w:tc>
        <w:tc>
          <w:tcPr>
            <w:tcW w:w="855" w:type="dxa"/>
            <w:tcBorders>
              <w:top w:val="nil"/>
              <w:left w:val="nil"/>
              <w:bottom w:val="single" w:sz="4" w:space="0" w:color="auto"/>
            </w:tcBorders>
          </w:tcPr>
          <w:p w:rsidR="00D73DFD" w:rsidRPr="000D3BE7" w:rsidRDefault="00D73DFD" w:rsidP="000D3BE7">
            <w:pPr>
              <w:pStyle w:val="Tabletext"/>
              <w:tabs>
                <w:tab w:val="decimal" w:pos="425"/>
              </w:tabs>
              <w:rPr>
                <w:b/>
              </w:rPr>
            </w:pPr>
            <w:r w:rsidRPr="000D3BE7">
              <w:rPr>
                <w:b/>
              </w:rPr>
              <w:t>71</w:t>
            </w:r>
          </w:p>
        </w:tc>
      </w:tr>
    </w:tbl>
    <w:p w:rsidR="00D73DFD" w:rsidRPr="00D73DFD" w:rsidRDefault="00D73DFD" w:rsidP="000D3BE7">
      <w:pPr>
        <w:pStyle w:val="Source"/>
      </w:pPr>
      <w:r w:rsidRPr="00D73DFD">
        <w:t>Source:</w:t>
      </w:r>
      <w:r w:rsidRPr="00D73DFD">
        <w:tab/>
        <w:t>Authors</w:t>
      </w:r>
      <w:r w:rsidR="004C5471">
        <w:t>’</w:t>
      </w:r>
      <w:r w:rsidRPr="00D73DFD">
        <w:t xml:space="preserve"> analysis of modern awards</w:t>
      </w:r>
      <w:r w:rsidR="00A24E41">
        <w:t>.</w:t>
      </w:r>
    </w:p>
    <w:p w:rsidR="00D73DFD" w:rsidRPr="00D73DFD" w:rsidRDefault="00D73DFD" w:rsidP="000D3BE7">
      <w:pPr>
        <w:pStyle w:val="Text"/>
        <w:spacing w:before="360"/>
        <w:ind w:right="0"/>
      </w:pPr>
      <w:r w:rsidRPr="00D73DFD">
        <w:t>Table 4 presents the pay range data relating to award pay rates for classifications referring to AQF qualifications. Th</w:t>
      </w:r>
      <w:r w:rsidR="00A24E41">
        <w:t xml:space="preserve">e data already presented show that </w:t>
      </w:r>
      <w:r w:rsidR="00A24E41" w:rsidRPr="000D3BE7">
        <w:t>the</w:t>
      </w:r>
      <w:r w:rsidR="00A24E41">
        <w:t xml:space="preserve"> c</w:t>
      </w:r>
      <w:r w:rsidRPr="00D73DFD">
        <w:t xml:space="preserve">ertificate III is still the core connection linking the training system with the award system. However, the idea of the </w:t>
      </w:r>
      <w:r w:rsidR="004C5471">
        <w:t>‘</w:t>
      </w:r>
      <w:r w:rsidR="00B90901">
        <w:t>c</w:t>
      </w:r>
      <w:r w:rsidRPr="00D73DFD">
        <w:t>ertificate III</w:t>
      </w:r>
      <w:r w:rsidR="008069C2">
        <w:t>—</w:t>
      </w:r>
      <w:r w:rsidRPr="00D73DFD">
        <w:t>C10 nexus</w:t>
      </w:r>
      <w:r w:rsidR="004C5471">
        <w:t>’</w:t>
      </w:r>
      <w:r w:rsidRPr="00D73DFD">
        <w:t xml:space="preserve"> has been severely fragmented. The median </w:t>
      </w:r>
      <w:r w:rsidR="00F4282B">
        <w:t xml:space="preserve">weekly </w:t>
      </w:r>
      <w:r w:rsidRPr="00D73DFD">
        <w:t xml:space="preserve">rate is $724.50 (the same as the C10 rate found in the </w:t>
      </w:r>
      <w:r w:rsidRPr="00A24E41">
        <w:rPr>
          <w:i/>
        </w:rPr>
        <w:t>Manufacturing and Associated Industries and Occupations Award 2010</w:t>
      </w:r>
      <w:r w:rsidRPr="00D73DFD">
        <w:t xml:space="preserve">). However, the </w:t>
      </w:r>
      <w:r w:rsidR="00F4282B">
        <w:t xml:space="preserve">weekly </w:t>
      </w:r>
      <w:r w:rsidRPr="00D73DFD">
        <w:t xml:space="preserve">pay rates for </w:t>
      </w:r>
      <w:r w:rsidR="00A24E41">
        <w:t>classifications referring to a c</w:t>
      </w:r>
      <w:r w:rsidRPr="00D73DFD">
        <w:t xml:space="preserve">ertificate III qualification range from $623.80 to $928.90. </w:t>
      </w:r>
    </w:p>
    <w:p w:rsidR="00D73DFD" w:rsidRPr="00D73DFD" w:rsidRDefault="00D73DFD" w:rsidP="00A80071">
      <w:pPr>
        <w:pStyle w:val="Text"/>
      </w:pPr>
      <w:r w:rsidRPr="00D73DFD">
        <w:t>In addition to the dispersion within qualification levels, there is also significant overlap between qualification l</w:t>
      </w:r>
      <w:r w:rsidR="00A24E41">
        <w:t>evels, especially among the VET-level qualifications and bachelor-</w:t>
      </w:r>
      <w:r w:rsidRPr="00D73DFD">
        <w:t xml:space="preserve">level qualifications. Very few classification rates mention Year 12 as a qualification level but those that do pay a substantially higher rate than </w:t>
      </w:r>
      <w:r w:rsidR="00F4282B">
        <w:t>many</w:t>
      </w:r>
      <w:r w:rsidRPr="00D73DFD">
        <w:t xml:space="preserve"> </w:t>
      </w:r>
      <w:r w:rsidR="00A24E41">
        <w:t>classifications referring to a certificate I or c</w:t>
      </w:r>
      <w:r w:rsidRPr="00D73DFD">
        <w:t xml:space="preserve">ertificate II qualification. Likewise, there are few mentions of </w:t>
      </w:r>
      <w:r w:rsidR="00A24E41" w:rsidRPr="00D73DFD">
        <w:t xml:space="preserve">advanced diploma </w:t>
      </w:r>
      <w:r w:rsidRPr="00D73DFD">
        <w:t>qualifications but the associated pay rates are higher than for many bachelor-linked classifications. Perhaps the most striking feature of the data, however,</w:t>
      </w:r>
      <w:r w:rsidR="00A24E41">
        <w:t xml:space="preserve"> is the wide dispersion of the b</w:t>
      </w:r>
      <w:r w:rsidRPr="00D73DFD">
        <w:t xml:space="preserve">achelor rate, ranging from $672.67 (or just 108% of the national minimum wage) to $1512.88. Despite the growing proportion of workers with university qualifications (even in the award-reliant segment of the workforce), there is clearly no corresponding </w:t>
      </w:r>
      <w:r w:rsidR="004C5471">
        <w:t>‘</w:t>
      </w:r>
      <w:r w:rsidR="00B90901">
        <w:t>b</w:t>
      </w:r>
      <w:r w:rsidRPr="00D73DFD">
        <w:t>achelor</w:t>
      </w:r>
      <w:r w:rsidR="008069C2">
        <w:t>—</w:t>
      </w:r>
      <w:r w:rsidRPr="00D73DFD">
        <w:t>C1</w:t>
      </w:r>
      <w:r w:rsidR="004C5471">
        <w:t>’</w:t>
      </w:r>
      <w:r w:rsidRPr="00D73DFD">
        <w:t xml:space="preserve"> nexus. </w:t>
      </w:r>
    </w:p>
    <w:p w:rsidR="00D73DFD" w:rsidRPr="00D73DFD" w:rsidRDefault="00D73DFD" w:rsidP="00A80071">
      <w:pPr>
        <w:pStyle w:val="Text"/>
      </w:pPr>
      <w:r w:rsidRPr="00D73DFD">
        <w:t>A final observation relating to pay is the very tight relativities between qualification levels. A period of flat rate rather than percentage increases to award wages during the 2000s compressed relativities (Healy 2010). As a consequence, the award rate for a worker using a doctoral degree in</w:t>
      </w:r>
      <w:r w:rsidR="00B90901">
        <w:t xml:space="preserve"> their work is just 140%</w:t>
      </w:r>
      <w:r w:rsidRPr="00D73DFD">
        <w:t xml:space="preserve"> of the current minimum wage of $622.20 a week. This finding is all the more significant because other research (Wright </w:t>
      </w:r>
      <w:r w:rsidR="00B90901">
        <w:t>&amp;</w:t>
      </w:r>
      <w:r w:rsidRPr="00D73DFD">
        <w:t xml:space="preserve"> Buchanan 2013) has shown that award-reliant workers are typically employed on the lowest possible classification level.</w:t>
      </w:r>
    </w:p>
    <w:p w:rsidR="00D73DFD" w:rsidRPr="00D73DFD" w:rsidRDefault="00D73DFD" w:rsidP="00D73DFD">
      <w:pPr>
        <w:spacing w:before="0" w:line="240" w:lineRule="auto"/>
      </w:pPr>
      <w:r w:rsidRPr="00D73DFD">
        <w:br w:type="page"/>
      </w:r>
    </w:p>
    <w:p w:rsidR="00D73DFD" w:rsidRPr="00D73DFD" w:rsidRDefault="00D73DFD" w:rsidP="003718EF">
      <w:pPr>
        <w:pStyle w:val="tabletitle"/>
      </w:pPr>
      <w:r w:rsidRPr="00D73DFD">
        <w:lastRenderedPageBreak/>
        <w:t>Table 4</w:t>
      </w:r>
      <w:r w:rsidRPr="00D73DFD">
        <w:tab/>
        <w:t xml:space="preserve">Minimum award pay rates by qualification level </w:t>
      </w:r>
    </w:p>
    <w:tbl>
      <w:tblPr>
        <w:tblW w:w="8789" w:type="dxa"/>
        <w:tblInd w:w="108" w:type="dxa"/>
        <w:tblBorders>
          <w:top w:val="single" w:sz="4" w:space="0" w:color="auto"/>
          <w:bottom w:val="single" w:sz="4" w:space="0" w:color="auto"/>
        </w:tblBorders>
        <w:tblLayout w:type="fixed"/>
        <w:tblLook w:val="0000" w:firstRow="0" w:lastRow="0" w:firstColumn="0" w:lastColumn="0" w:noHBand="0" w:noVBand="0"/>
      </w:tblPr>
      <w:tblGrid>
        <w:gridCol w:w="2131"/>
        <w:gridCol w:w="1333"/>
        <w:gridCol w:w="1332"/>
        <w:gridCol w:w="1332"/>
        <w:gridCol w:w="1332"/>
        <w:gridCol w:w="1329"/>
      </w:tblGrid>
      <w:tr w:rsidR="000D3BE7" w:rsidRPr="00D73DFD" w:rsidTr="000D3BE7">
        <w:tc>
          <w:tcPr>
            <w:tcW w:w="1212" w:type="pct"/>
            <w:tcBorders>
              <w:top w:val="single" w:sz="4" w:space="0" w:color="auto"/>
              <w:bottom w:val="nil"/>
              <w:right w:val="nil"/>
            </w:tcBorders>
          </w:tcPr>
          <w:p w:rsidR="000D3BE7" w:rsidRPr="00D73DFD" w:rsidRDefault="000D3BE7" w:rsidP="000D3BE7">
            <w:pPr>
              <w:pStyle w:val="Tablehead1"/>
            </w:pPr>
            <w:r w:rsidRPr="00D73DFD">
              <w:t>AQF Level</w:t>
            </w:r>
          </w:p>
        </w:tc>
        <w:tc>
          <w:tcPr>
            <w:tcW w:w="1516" w:type="pct"/>
            <w:gridSpan w:val="2"/>
            <w:tcBorders>
              <w:top w:val="single" w:sz="4" w:space="0" w:color="auto"/>
              <w:left w:val="nil"/>
              <w:bottom w:val="nil"/>
            </w:tcBorders>
          </w:tcPr>
          <w:p w:rsidR="000D3BE7" w:rsidRPr="00D73DFD" w:rsidRDefault="000D3BE7" w:rsidP="000D3BE7">
            <w:pPr>
              <w:pStyle w:val="Tablehead1"/>
              <w:jc w:val="center"/>
            </w:pPr>
            <w:r w:rsidRPr="00D73DFD">
              <w:t>Mentioned in</w:t>
            </w:r>
          </w:p>
        </w:tc>
        <w:tc>
          <w:tcPr>
            <w:tcW w:w="2272" w:type="pct"/>
            <w:gridSpan w:val="3"/>
            <w:tcBorders>
              <w:top w:val="single" w:sz="4" w:space="0" w:color="auto"/>
              <w:left w:val="nil"/>
              <w:bottom w:val="nil"/>
            </w:tcBorders>
          </w:tcPr>
          <w:p w:rsidR="000D3BE7" w:rsidRPr="00D73DFD" w:rsidRDefault="000D3BE7" w:rsidP="000D3BE7">
            <w:pPr>
              <w:pStyle w:val="Tablehead1"/>
              <w:jc w:val="center"/>
            </w:pPr>
            <w:r w:rsidRPr="00D73DFD">
              <w:t>Minimum weekly pay rates ($)</w:t>
            </w:r>
          </w:p>
        </w:tc>
      </w:tr>
      <w:tr w:rsidR="00D73DFD" w:rsidRPr="000D3BE7" w:rsidTr="000D3BE7">
        <w:tc>
          <w:tcPr>
            <w:tcW w:w="1212" w:type="pct"/>
            <w:tcBorders>
              <w:top w:val="nil"/>
              <w:bottom w:val="single" w:sz="4" w:space="0" w:color="auto"/>
              <w:right w:val="nil"/>
            </w:tcBorders>
          </w:tcPr>
          <w:p w:rsidR="00D73DFD" w:rsidRPr="000D3BE7" w:rsidRDefault="00D73DFD" w:rsidP="000D3BE7">
            <w:pPr>
              <w:pStyle w:val="Tablehead2"/>
            </w:pPr>
          </w:p>
        </w:tc>
        <w:tc>
          <w:tcPr>
            <w:tcW w:w="758" w:type="pct"/>
            <w:tcBorders>
              <w:top w:val="nil"/>
              <w:left w:val="nil"/>
              <w:bottom w:val="single" w:sz="4" w:space="0" w:color="auto"/>
              <w:right w:val="nil"/>
            </w:tcBorders>
          </w:tcPr>
          <w:p w:rsidR="00D73DFD" w:rsidRPr="000D3BE7" w:rsidRDefault="00D73DFD" w:rsidP="000D3BE7">
            <w:pPr>
              <w:pStyle w:val="Tablehead2"/>
              <w:jc w:val="center"/>
            </w:pPr>
            <w:r w:rsidRPr="000D3BE7">
              <w:t>Classifications</w:t>
            </w:r>
          </w:p>
        </w:tc>
        <w:tc>
          <w:tcPr>
            <w:tcW w:w="758" w:type="pct"/>
            <w:tcBorders>
              <w:top w:val="nil"/>
              <w:left w:val="nil"/>
              <w:bottom w:val="single" w:sz="4" w:space="0" w:color="auto"/>
              <w:right w:val="nil"/>
            </w:tcBorders>
          </w:tcPr>
          <w:p w:rsidR="00D73DFD" w:rsidRPr="000D3BE7" w:rsidRDefault="00D73DFD" w:rsidP="000D3BE7">
            <w:pPr>
              <w:pStyle w:val="Tablehead2"/>
              <w:jc w:val="center"/>
            </w:pPr>
            <w:r w:rsidRPr="000D3BE7">
              <w:t>Awards</w:t>
            </w:r>
          </w:p>
        </w:tc>
        <w:tc>
          <w:tcPr>
            <w:tcW w:w="758" w:type="pct"/>
            <w:tcBorders>
              <w:top w:val="nil"/>
              <w:left w:val="nil"/>
              <w:bottom w:val="single" w:sz="4" w:space="0" w:color="auto"/>
            </w:tcBorders>
          </w:tcPr>
          <w:p w:rsidR="00D73DFD" w:rsidRPr="000D3BE7" w:rsidRDefault="00D73DFD" w:rsidP="000D3BE7">
            <w:pPr>
              <w:pStyle w:val="Tablehead2"/>
              <w:jc w:val="center"/>
            </w:pPr>
            <w:r w:rsidRPr="000D3BE7">
              <w:t>Median</w:t>
            </w:r>
          </w:p>
        </w:tc>
        <w:tc>
          <w:tcPr>
            <w:tcW w:w="758" w:type="pct"/>
            <w:tcBorders>
              <w:top w:val="nil"/>
              <w:left w:val="nil"/>
              <w:bottom w:val="single" w:sz="4" w:space="0" w:color="auto"/>
            </w:tcBorders>
          </w:tcPr>
          <w:p w:rsidR="00D73DFD" w:rsidRPr="000D3BE7" w:rsidRDefault="00D73DFD" w:rsidP="000D3BE7">
            <w:pPr>
              <w:pStyle w:val="Tablehead2"/>
              <w:jc w:val="center"/>
            </w:pPr>
            <w:r w:rsidRPr="000D3BE7">
              <w:t>Lowest</w:t>
            </w:r>
          </w:p>
        </w:tc>
        <w:tc>
          <w:tcPr>
            <w:tcW w:w="756" w:type="pct"/>
            <w:tcBorders>
              <w:top w:val="nil"/>
              <w:left w:val="nil"/>
              <w:bottom w:val="single" w:sz="4" w:space="0" w:color="auto"/>
            </w:tcBorders>
          </w:tcPr>
          <w:p w:rsidR="00D73DFD" w:rsidRPr="000D3BE7" w:rsidRDefault="00D73DFD" w:rsidP="000D3BE7">
            <w:pPr>
              <w:pStyle w:val="Tablehead2"/>
              <w:jc w:val="center"/>
            </w:pPr>
            <w:r w:rsidRPr="000D3BE7">
              <w:t>Highest</w:t>
            </w:r>
          </w:p>
        </w:tc>
      </w:tr>
      <w:tr w:rsidR="00D73DFD" w:rsidRPr="00D73DFD" w:rsidTr="000D3BE7">
        <w:tc>
          <w:tcPr>
            <w:tcW w:w="1212" w:type="pct"/>
            <w:tcBorders>
              <w:top w:val="single" w:sz="4" w:space="0" w:color="auto"/>
              <w:bottom w:val="nil"/>
              <w:right w:val="nil"/>
            </w:tcBorders>
          </w:tcPr>
          <w:p w:rsidR="00D73DFD" w:rsidRPr="00D73DFD" w:rsidRDefault="00D73DFD" w:rsidP="000D3BE7">
            <w:pPr>
              <w:pStyle w:val="Tabletext"/>
            </w:pPr>
            <w:r w:rsidRPr="00D73DFD">
              <w:t>Year 12</w:t>
            </w:r>
          </w:p>
        </w:tc>
        <w:tc>
          <w:tcPr>
            <w:tcW w:w="758" w:type="pct"/>
            <w:tcBorders>
              <w:top w:val="single" w:sz="4" w:space="0" w:color="auto"/>
              <w:left w:val="nil"/>
              <w:bottom w:val="nil"/>
              <w:right w:val="nil"/>
            </w:tcBorders>
          </w:tcPr>
          <w:p w:rsidR="00D73DFD" w:rsidRPr="00D73DFD" w:rsidRDefault="00D73DFD" w:rsidP="000D3BE7">
            <w:pPr>
              <w:pStyle w:val="Tabletext"/>
              <w:tabs>
                <w:tab w:val="decimal" w:pos="567"/>
              </w:tabs>
            </w:pPr>
            <w:r w:rsidRPr="00D73DFD">
              <w:t>8</w:t>
            </w:r>
          </w:p>
        </w:tc>
        <w:tc>
          <w:tcPr>
            <w:tcW w:w="758" w:type="pct"/>
            <w:tcBorders>
              <w:top w:val="single" w:sz="4" w:space="0" w:color="auto"/>
              <w:left w:val="nil"/>
              <w:bottom w:val="nil"/>
              <w:right w:val="nil"/>
            </w:tcBorders>
          </w:tcPr>
          <w:p w:rsidR="00D73DFD" w:rsidRPr="00D73DFD" w:rsidRDefault="00D73DFD" w:rsidP="000D3BE7">
            <w:pPr>
              <w:pStyle w:val="Tabletext"/>
              <w:tabs>
                <w:tab w:val="decimal" w:pos="567"/>
              </w:tabs>
            </w:pPr>
            <w:r w:rsidRPr="00D73DFD">
              <w:t>5</w:t>
            </w:r>
          </w:p>
        </w:tc>
        <w:tc>
          <w:tcPr>
            <w:tcW w:w="758" w:type="pct"/>
            <w:tcBorders>
              <w:top w:val="single" w:sz="4" w:space="0" w:color="auto"/>
              <w:left w:val="nil"/>
              <w:bottom w:val="nil"/>
              <w:right w:val="nil"/>
            </w:tcBorders>
          </w:tcPr>
          <w:p w:rsidR="00D73DFD" w:rsidRPr="00D73DFD" w:rsidRDefault="00D73DFD" w:rsidP="000D3BE7">
            <w:pPr>
              <w:pStyle w:val="Tabletext"/>
              <w:tabs>
                <w:tab w:val="decimal" w:pos="567"/>
              </w:tabs>
            </w:pPr>
            <w:r w:rsidRPr="00D73DFD">
              <w:t>724.90</w:t>
            </w:r>
          </w:p>
        </w:tc>
        <w:tc>
          <w:tcPr>
            <w:tcW w:w="758" w:type="pct"/>
            <w:tcBorders>
              <w:top w:val="single" w:sz="4" w:space="0" w:color="auto"/>
              <w:left w:val="nil"/>
              <w:bottom w:val="nil"/>
            </w:tcBorders>
          </w:tcPr>
          <w:p w:rsidR="00D73DFD" w:rsidRPr="00D73DFD" w:rsidRDefault="00D73DFD" w:rsidP="000D3BE7">
            <w:pPr>
              <w:pStyle w:val="Tabletext"/>
              <w:tabs>
                <w:tab w:val="decimal" w:pos="567"/>
              </w:tabs>
            </w:pPr>
            <w:r w:rsidRPr="00D73DFD">
              <w:t>661.60</w:t>
            </w:r>
          </w:p>
        </w:tc>
        <w:tc>
          <w:tcPr>
            <w:tcW w:w="756" w:type="pct"/>
            <w:tcBorders>
              <w:top w:val="single" w:sz="4" w:space="0" w:color="auto"/>
              <w:left w:val="nil"/>
              <w:bottom w:val="nil"/>
            </w:tcBorders>
          </w:tcPr>
          <w:p w:rsidR="00D73DFD" w:rsidRPr="00D73DFD" w:rsidRDefault="00D73DFD" w:rsidP="000D3BE7">
            <w:pPr>
              <w:pStyle w:val="Tabletext"/>
              <w:tabs>
                <w:tab w:val="decimal" w:pos="567"/>
              </w:tabs>
            </w:pPr>
            <w:r w:rsidRPr="00D73DFD">
              <w:t>831.67</w:t>
            </w:r>
          </w:p>
        </w:tc>
      </w:tr>
      <w:tr w:rsidR="00D73DFD" w:rsidRPr="00D73DFD" w:rsidTr="000D3BE7">
        <w:tc>
          <w:tcPr>
            <w:tcW w:w="1212" w:type="pct"/>
            <w:tcBorders>
              <w:top w:val="nil"/>
              <w:bottom w:val="nil"/>
              <w:right w:val="nil"/>
            </w:tcBorders>
          </w:tcPr>
          <w:p w:rsidR="00D73DFD" w:rsidRPr="00D73DFD" w:rsidRDefault="00D73DFD" w:rsidP="000D3BE7">
            <w:pPr>
              <w:pStyle w:val="Tabletext"/>
            </w:pPr>
            <w:r w:rsidRPr="00D73DFD">
              <w:t>Cert</w:t>
            </w:r>
            <w:r w:rsidR="00B90901">
              <w:t>.</w:t>
            </w:r>
            <w:r w:rsidRPr="00D73DFD">
              <w:t xml:space="preserve"> I</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19</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19</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687.50</w:t>
            </w:r>
          </w:p>
        </w:tc>
        <w:tc>
          <w:tcPr>
            <w:tcW w:w="758" w:type="pct"/>
            <w:tcBorders>
              <w:top w:val="nil"/>
              <w:left w:val="nil"/>
              <w:bottom w:val="nil"/>
            </w:tcBorders>
          </w:tcPr>
          <w:p w:rsidR="00D73DFD" w:rsidRPr="00D73DFD" w:rsidRDefault="00D73DFD" w:rsidP="000D3BE7">
            <w:pPr>
              <w:pStyle w:val="Tabletext"/>
              <w:tabs>
                <w:tab w:val="decimal" w:pos="567"/>
              </w:tabs>
            </w:pPr>
            <w:r w:rsidRPr="00D73DFD">
              <w:t>654.00</w:t>
            </w:r>
          </w:p>
        </w:tc>
        <w:tc>
          <w:tcPr>
            <w:tcW w:w="756" w:type="pct"/>
            <w:tcBorders>
              <w:top w:val="nil"/>
              <w:left w:val="nil"/>
              <w:bottom w:val="nil"/>
            </w:tcBorders>
          </w:tcPr>
          <w:p w:rsidR="00D73DFD" w:rsidRPr="00D73DFD" w:rsidRDefault="00D73DFD" w:rsidP="000D3BE7">
            <w:pPr>
              <w:pStyle w:val="Tabletext"/>
              <w:tabs>
                <w:tab w:val="decimal" w:pos="567"/>
              </w:tabs>
            </w:pPr>
            <w:r w:rsidRPr="00D73DFD">
              <w:t>728.30</w:t>
            </w:r>
          </w:p>
        </w:tc>
      </w:tr>
      <w:tr w:rsidR="00D73DFD" w:rsidRPr="00D73DFD" w:rsidTr="000D3BE7">
        <w:tc>
          <w:tcPr>
            <w:tcW w:w="1212" w:type="pct"/>
            <w:tcBorders>
              <w:top w:val="nil"/>
              <w:bottom w:val="nil"/>
              <w:right w:val="nil"/>
            </w:tcBorders>
          </w:tcPr>
          <w:p w:rsidR="00D73DFD" w:rsidRPr="00D73DFD" w:rsidRDefault="00D73DFD" w:rsidP="000D3BE7">
            <w:pPr>
              <w:pStyle w:val="Tabletext"/>
            </w:pPr>
            <w:r w:rsidRPr="00D73DFD">
              <w:t>Cert</w:t>
            </w:r>
            <w:r w:rsidR="00B90901">
              <w:t>.</w:t>
            </w:r>
            <w:r w:rsidRPr="00D73DFD">
              <w:t xml:space="preserve"> II</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30</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24</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687.65</w:t>
            </w:r>
          </w:p>
        </w:tc>
        <w:tc>
          <w:tcPr>
            <w:tcW w:w="758" w:type="pct"/>
            <w:tcBorders>
              <w:top w:val="nil"/>
              <w:left w:val="nil"/>
              <w:bottom w:val="nil"/>
            </w:tcBorders>
          </w:tcPr>
          <w:p w:rsidR="00D73DFD" w:rsidRPr="00D73DFD" w:rsidRDefault="00D73DFD" w:rsidP="000D3BE7">
            <w:pPr>
              <w:pStyle w:val="Tabletext"/>
              <w:tabs>
                <w:tab w:val="decimal" w:pos="567"/>
              </w:tabs>
            </w:pPr>
            <w:r w:rsidRPr="00D73DFD">
              <w:t>660.80</w:t>
            </w:r>
          </w:p>
        </w:tc>
        <w:tc>
          <w:tcPr>
            <w:tcW w:w="756" w:type="pct"/>
            <w:tcBorders>
              <w:top w:val="nil"/>
              <w:left w:val="nil"/>
              <w:bottom w:val="nil"/>
            </w:tcBorders>
          </w:tcPr>
          <w:p w:rsidR="00D73DFD" w:rsidRPr="00D73DFD" w:rsidRDefault="00D73DFD" w:rsidP="000D3BE7">
            <w:pPr>
              <w:pStyle w:val="Tabletext"/>
              <w:tabs>
                <w:tab w:val="decimal" w:pos="567"/>
              </w:tabs>
            </w:pPr>
            <w:r w:rsidRPr="00D73DFD">
              <w:t>769.90</w:t>
            </w:r>
          </w:p>
        </w:tc>
      </w:tr>
      <w:tr w:rsidR="00D73DFD" w:rsidRPr="00D73DFD" w:rsidTr="000D3BE7">
        <w:tc>
          <w:tcPr>
            <w:tcW w:w="1212" w:type="pct"/>
            <w:tcBorders>
              <w:top w:val="nil"/>
              <w:bottom w:val="nil"/>
              <w:right w:val="nil"/>
            </w:tcBorders>
          </w:tcPr>
          <w:p w:rsidR="00D73DFD" w:rsidRPr="00D73DFD" w:rsidRDefault="00D73DFD" w:rsidP="000D3BE7">
            <w:pPr>
              <w:pStyle w:val="Tabletext"/>
            </w:pPr>
            <w:r w:rsidRPr="00D73DFD">
              <w:t>Cert</w:t>
            </w:r>
            <w:r w:rsidR="00B90901">
              <w:t>.</w:t>
            </w:r>
            <w:r w:rsidRPr="00D73DFD">
              <w:t xml:space="preserve"> III</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153</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69</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724.50</w:t>
            </w:r>
          </w:p>
        </w:tc>
        <w:tc>
          <w:tcPr>
            <w:tcW w:w="758" w:type="pct"/>
            <w:tcBorders>
              <w:top w:val="nil"/>
              <w:left w:val="nil"/>
              <w:bottom w:val="nil"/>
            </w:tcBorders>
          </w:tcPr>
          <w:p w:rsidR="00D73DFD" w:rsidRPr="00D73DFD" w:rsidRDefault="00D73DFD" w:rsidP="000D3BE7">
            <w:pPr>
              <w:pStyle w:val="Tabletext"/>
              <w:tabs>
                <w:tab w:val="decimal" w:pos="567"/>
              </w:tabs>
            </w:pPr>
            <w:r w:rsidRPr="00D73DFD">
              <w:t>623.80</w:t>
            </w:r>
          </w:p>
        </w:tc>
        <w:tc>
          <w:tcPr>
            <w:tcW w:w="756" w:type="pct"/>
            <w:tcBorders>
              <w:top w:val="nil"/>
              <w:left w:val="nil"/>
              <w:bottom w:val="nil"/>
            </w:tcBorders>
          </w:tcPr>
          <w:p w:rsidR="00D73DFD" w:rsidRPr="00D73DFD" w:rsidRDefault="00D73DFD" w:rsidP="000D3BE7">
            <w:pPr>
              <w:pStyle w:val="Tabletext"/>
              <w:tabs>
                <w:tab w:val="decimal" w:pos="567"/>
              </w:tabs>
            </w:pPr>
            <w:r w:rsidRPr="00D73DFD">
              <w:t>928.90</w:t>
            </w:r>
          </w:p>
        </w:tc>
      </w:tr>
      <w:tr w:rsidR="00D73DFD" w:rsidRPr="00D73DFD" w:rsidTr="000D3BE7">
        <w:tc>
          <w:tcPr>
            <w:tcW w:w="1212" w:type="pct"/>
            <w:tcBorders>
              <w:top w:val="nil"/>
              <w:bottom w:val="nil"/>
              <w:right w:val="nil"/>
            </w:tcBorders>
          </w:tcPr>
          <w:p w:rsidR="00D73DFD" w:rsidRPr="00D73DFD" w:rsidRDefault="00D73DFD" w:rsidP="000D3BE7">
            <w:pPr>
              <w:pStyle w:val="Tabletext"/>
            </w:pPr>
            <w:r w:rsidRPr="00D73DFD">
              <w:t>Cert</w:t>
            </w:r>
            <w:r w:rsidR="00B90901">
              <w:t>.</w:t>
            </w:r>
            <w:r w:rsidRPr="00D73DFD">
              <w:t xml:space="preserve"> IV</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85</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53</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790.50</w:t>
            </w:r>
          </w:p>
        </w:tc>
        <w:tc>
          <w:tcPr>
            <w:tcW w:w="758" w:type="pct"/>
            <w:tcBorders>
              <w:top w:val="nil"/>
              <w:left w:val="nil"/>
              <w:bottom w:val="nil"/>
            </w:tcBorders>
          </w:tcPr>
          <w:p w:rsidR="00D73DFD" w:rsidRPr="00D73DFD" w:rsidRDefault="00D73DFD" w:rsidP="000D3BE7">
            <w:pPr>
              <w:pStyle w:val="Tabletext"/>
              <w:tabs>
                <w:tab w:val="decimal" w:pos="567"/>
              </w:tabs>
            </w:pPr>
            <w:r w:rsidRPr="00D73DFD">
              <w:t>706.70</w:t>
            </w:r>
          </w:p>
        </w:tc>
        <w:tc>
          <w:tcPr>
            <w:tcW w:w="756" w:type="pct"/>
            <w:tcBorders>
              <w:top w:val="nil"/>
              <w:left w:val="nil"/>
              <w:bottom w:val="nil"/>
            </w:tcBorders>
          </w:tcPr>
          <w:p w:rsidR="00D73DFD" w:rsidRPr="00D73DFD" w:rsidRDefault="00D73DFD" w:rsidP="000D3BE7">
            <w:pPr>
              <w:pStyle w:val="Tabletext"/>
              <w:tabs>
                <w:tab w:val="decimal" w:pos="567"/>
              </w:tabs>
            </w:pPr>
            <w:r w:rsidRPr="00D73DFD">
              <w:t>968.00</w:t>
            </w:r>
          </w:p>
        </w:tc>
      </w:tr>
      <w:tr w:rsidR="00D73DFD" w:rsidRPr="00D73DFD" w:rsidTr="000D3BE7">
        <w:tc>
          <w:tcPr>
            <w:tcW w:w="1212" w:type="pct"/>
            <w:tcBorders>
              <w:top w:val="nil"/>
              <w:bottom w:val="nil"/>
              <w:right w:val="nil"/>
            </w:tcBorders>
          </w:tcPr>
          <w:p w:rsidR="00D73DFD" w:rsidRPr="00D73DFD" w:rsidRDefault="00D73DFD" w:rsidP="000D3BE7">
            <w:pPr>
              <w:pStyle w:val="Tabletext"/>
            </w:pPr>
            <w:r w:rsidRPr="00D73DFD">
              <w:t>Diploma</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43</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28</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847.60</w:t>
            </w:r>
          </w:p>
        </w:tc>
        <w:tc>
          <w:tcPr>
            <w:tcW w:w="758" w:type="pct"/>
            <w:tcBorders>
              <w:top w:val="nil"/>
              <w:left w:val="nil"/>
              <w:bottom w:val="nil"/>
            </w:tcBorders>
          </w:tcPr>
          <w:p w:rsidR="00D73DFD" w:rsidRPr="00D73DFD" w:rsidRDefault="00D73DFD" w:rsidP="000D3BE7">
            <w:pPr>
              <w:pStyle w:val="Tabletext"/>
              <w:tabs>
                <w:tab w:val="decimal" w:pos="567"/>
              </w:tabs>
            </w:pPr>
            <w:r w:rsidRPr="00D73DFD">
              <w:t>711.45</w:t>
            </w:r>
          </w:p>
        </w:tc>
        <w:tc>
          <w:tcPr>
            <w:tcW w:w="756" w:type="pct"/>
            <w:tcBorders>
              <w:top w:val="nil"/>
              <w:left w:val="nil"/>
              <w:bottom w:val="nil"/>
            </w:tcBorders>
          </w:tcPr>
          <w:p w:rsidR="00D73DFD" w:rsidRPr="00D73DFD" w:rsidRDefault="00D73DFD" w:rsidP="000D3BE7">
            <w:pPr>
              <w:pStyle w:val="Tabletext"/>
              <w:tabs>
                <w:tab w:val="decimal" w:pos="567"/>
              </w:tabs>
            </w:pPr>
            <w:r w:rsidRPr="00D73DFD">
              <w:t>1029.00</w:t>
            </w:r>
          </w:p>
        </w:tc>
      </w:tr>
      <w:tr w:rsidR="00D73DFD" w:rsidRPr="00D73DFD" w:rsidTr="000D3BE7">
        <w:tc>
          <w:tcPr>
            <w:tcW w:w="1212" w:type="pct"/>
            <w:tcBorders>
              <w:top w:val="nil"/>
              <w:bottom w:val="nil"/>
              <w:right w:val="nil"/>
            </w:tcBorders>
          </w:tcPr>
          <w:p w:rsidR="00D73DFD" w:rsidRPr="00D73DFD" w:rsidRDefault="00B90901" w:rsidP="000D3BE7">
            <w:pPr>
              <w:pStyle w:val="Tabletext"/>
            </w:pPr>
            <w:r>
              <w:t>Adv. d</w:t>
            </w:r>
            <w:r w:rsidR="00D73DFD" w:rsidRPr="00D73DFD">
              <w:t>iploma</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11</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7</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938.60</w:t>
            </w:r>
          </w:p>
        </w:tc>
        <w:tc>
          <w:tcPr>
            <w:tcW w:w="758" w:type="pct"/>
            <w:tcBorders>
              <w:top w:val="nil"/>
              <w:left w:val="nil"/>
              <w:bottom w:val="nil"/>
            </w:tcBorders>
          </w:tcPr>
          <w:p w:rsidR="00D73DFD" w:rsidRPr="00D73DFD" w:rsidRDefault="00D73DFD" w:rsidP="000D3BE7">
            <w:pPr>
              <w:pStyle w:val="Tabletext"/>
              <w:tabs>
                <w:tab w:val="decimal" w:pos="567"/>
              </w:tabs>
            </w:pPr>
            <w:r w:rsidRPr="00D73DFD">
              <w:t>915.80</w:t>
            </w:r>
          </w:p>
        </w:tc>
        <w:tc>
          <w:tcPr>
            <w:tcW w:w="756" w:type="pct"/>
            <w:tcBorders>
              <w:top w:val="nil"/>
              <w:left w:val="nil"/>
              <w:bottom w:val="nil"/>
            </w:tcBorders>
          </w:tcPr>
          <w:p w:rsidR="00D73DFD" w:rsidRPr="00D73DFD" w:rsidRDefault="00D73DFD" w:rsidP="000D3BE7">
            <w:pPr>
              <w:pStyle w:val="Tabletext"/>
              <w:tabs>
                <w:tab w:val="decimal" w:pos="567"/>
              </w:tabs>
            </w:pPr>
            <w:r w:rsidRPr="00D73DFD">
              <w:t>1120.69</w:t>
            </w:r>
          </w:p>
        </w:tc>
      </w:tr>
      <w:tr w:rsidR="00D73DFD" w:rsidRPr="00D73DFD" w:rsidTr="000D3BE7">
        <w:tc>
          <w:tcPr>
            <w:tcW w:w="1212" w:type="pct"/>
            <w:tcBorders>
              <w:top w:val="nil"/>
              <w:bottom w:val="nil"/>
              <w:right w:val="nil"/>
            </w:tcBorders>
          </w:tcPr>
          <w:p w:rsidR="00D73DFD" w:rsidRPr="00D73DFD" w:rsidRDefault="00D73DFD" w:rsidP="000D3BE7">
            <w:pPr>
              <w:pStyle w:val="Tabletext"/>
            </w:pPr>
            <w:r w:rsidRPr="00D73DFD">
              <w:t>Bachelor</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62</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29</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859.90</w:t>
            </w:r>
          </w:p>
        </w:tc>
        <w:tc>
          <w:tcPr>
            <w:tcW w:w="758" w:type="pct"/>
            <w:tcBorders>
              <w:top w:val="nil"/>
              <w:left w:val="nil"/>
              <w:bottom w:val="nil"/>
            </w:tcBorders>
          </w:tcPr>
          <w:p w:rsidR="00D73DFD" w:rsidRPr="00D73DFD" w:rsidRDefault="00D73DFD" w:rsidP="000D3BE7">
            <w:pPr>
              <w:pStyle w:val="Tabletext"/>
              <w:tabs>
                <w:tab w:val="decimal" w:pos="567"/>
              </w:tabs>
            </w:pPr>
            <w:r w:rsidRPr="00D73DFD">
              <w:t>672.67</w:t>
            </w:r>
          </w:p>
        </w:tc>
        <w:tc>
          <w:tcPr>
            <w:tcW w:w="756" w:type="pct"/>
            <w:tcBorders>
              <w:top w:val="nil"/>
              <w:left w:val="nil"/>
              <w:bottom w:val="nil"/>
            </w:tcBorders>
          </w:tcPr>
          <w:p w:rsidR="00D73DFD" w:rsidRPr="00D73DFD" w:rsidRDefault="00D73DFD" w:rsidP="000D3BE7">
            <w:pPr>
              <w:pStyle w:val="Tabletext"/>
              <w:tabs>
                <w:tab w:val="decimal" w:pos="567"/>
              </w:tabs>
            </w:pPr>
            <w:r w:rsidRPr="00D73DFD">
              <w:t>1512.88</w:t>
            </w:r>
          </w:p>
        </w:tc>
      </w:tr>
      <w:tr w:rsidR="00D73DFD" w:rsidRPr="00D73DFD" w:rsidTr="000D3BE7">
        <w:tc>
          <w:tcPr>
            <w:tcW w:w="1212" w:type="pct"/>
            <w:tcBorders>
              <w:top w:val="nil"/>
              <w:bottom w:val="nil"/>
              <w:right w:val="nil"/>
            </w:tcBorders>
          </w:tcPr>
          <w:p w:rsidR="00D73DFD" w:rsidRPr="00D73DFD" w:rsidRDefault="00B230ED" w:rsidP="000D3BE7">
            <w:pPr>
              <w:pStyle w:val="Tabletext"/>
            </w:pPr>
            <w:r>
              <w:t>Grad. d</w:t>
            </w:r>
            <w:r w:rsidR="00D73DFD" w:rsidRPr="00D73DFD">
              <w:t>ip</w:t>
            </w:r>
            <w:r>
              <w:t>./grad c</w:t>
            </w:r>
            <w:r w:rsidR="00D73DFD" w:rsidRPr="00D73DFD">
              <w:t>ert</w:t>
            </w:r>
            <w:r>
              <w:t>.</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6</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6</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1203.38</w:t>
            </w:r>
          </w:p>
        </w:tc>
        <w:tc>
          <w:tcPr>
            <w:tcW w:w="758" w:type="pct"/>
            <w:tcBorders>
              <w:top w:val="nil"/>
              <w:left w:val="nil"/>
              <w:bottom w:val="nil"/>
            </w:tcBorders>
          </w:tcPr>
          <w:p w:rsidR="00D73DFD" w:rsidRPr="00D73DFD" w:rsidRDefault="00D73DFD" w:rsidP="000D3BE7">
            <w:pPr>
              <w:pStyle w:val="Tabletext"/>
              <w:tabs>
                <w:tab w:val="decimal" w:pos="567"/>
              </w:tabs>
            </w:pPr>
            <w:r w:rsidRPr="00D73DFD">
              <w:t>927.43</w:t>
            </w:r>
          </w:p>
        </w:tc>
        <w:tc>
          <w:tcPr>
            <w:tcW w:w="756" w:type="pct"/>
            <w:tcBorders>
              <w:top w:val="nil"/>
              <w:left w:val="nil"/>
              <w:bottom w:val="nil"/>
            </w:tcBorders>
          </w:tcPr>
          <w:p w:rsidR="00D73DFD" w:rsidRPr="00D73DFD" w:rsidRDefault="00D73DFD" w:rsidP="000D3BE7">
            <w:pPr>
              <w:pStyle w:val="Tabletext"/>
              <w:tabs>
                <w:tab w:val="decimal" w:pos="567"/>
              </w:tabs>
            </w:pPr>
            <w:r w:rsidRPr="00D73DFD">
              <w:t>1280.49</w:t>
            </w:r>
          </w:p>
        </w:tc>
      </w:tr>
      <w:tr w:rsidR="00D73DFD" w:rsidRPr="00D73DFD" w:rsidTr="000D3BE7">
        <w:tc>
          <w:tcPr>
            <w:tcW w:w="1212" w:type="pct"/>
            <w:tcBorders>
              <w:top w:val="nil"/>
              <w:bottom w:val="nil"/>
              <w:right w:val="nil"/>
            </w:tcBorders>
          </w:tcPr>
          <w:p w:rsidR="00D73DFD" w:rsidRPr="00D73DFD" w:rsidRDefault="00D73DFD" w:rsidP="000D3BE7">
            <w:pPr>
              <w:pStyle w:val="Tabletext"/>
            </w:pPr>
            <w:r w:rsidRPr="00D73DFD">
              <w:t>Master</w:t>
            </w:r>
            <w:r w:rsidR="004C5471">
              <w:t>’</w:t>
            </w:r>
            <w:r w:rsidRPr="00D73DFD">
              <w:t>s</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2</w:t>
            </w:r>
          </w:p>
        </w:tc>
        <w:tc>
          <w:tcPr>
            <w:tcW w:w="758" w:type="pct"/>
            <w:tcBorders>
              <w:top w:val="nil"/>
              <w:left w:val="nil"/>
              <w:bottom w:val="nil"/>
              <w:right w:val="nil"/>
            </w:tcBorders>
          </w:tcPr>
          <w:p w:rsidR="00D73DFD" w:rsidRPr="00D73DFD" w:rsidRDefault="00D73DFD" w:rsidP="000D3BE7">
            <w:pPr>
              <w:pStyle w:val="Tabletext"/>
              <w:tabs>
                <w:tab w:val="decimal" w:pos="567"/>
              </w:tabs>
            </w:pPr>
            <w:r w:rsidRPr="00D73DFD">
              <w:t>2</w:t>
            </w:r>
          </w:p>
        </w:tc>
        <w:tc>
          <w:tcPr>
            <w:tcW w:w="758" w:type="pct"/>
            <w:tcBorders>
              <w:top w:val="nil"/>
              <w:left w:val="nil"/>
              <w:bottom w:val="nil"/>
              <w:right w:val="nil"/>
            </w:tcBorders>
          </w:tcPr>
          <w:p w:rsidR="00D73DFD" w:rsidRPr="00D73DFD" w:rsidRDefault="00D73DFD" w:rsidP="000D3BE7">
            <w:pPr>
              <w:pStyle w:val="Tabletext"/>
              <w:tabs>
                <w:tab w:val="decimal" w:pos="567"/>
              </w:tabs>
            </w:pPr>
          </w:p>
        </w:tc>
        <w:tc>
          <w:tcPr>
            <w:tcW w:w="758" w:type="pct"/>
            <w:tcBorders>
              <w:top w:val="nil"/>
              <w:left w:val="nil"/>
              <w:bottom w:val="nil"/>
            </w:tcBorders>
          </w:tcPr>
          <w:p w:rsidR="00D73DFD" w:rsidRPr="00D73DFD" w:rsidRDefault="00D73DFD" w:rsidP="000D3BE7">
            <w:pPr>
              <w:pStyle w:val="Tabletext"/>
              <w:tabs>
                <w:tab w:val="decimal" w:pos="567"/>
              </w:tabs>
            </w:pPr>
            <w:r w:rsidRPr="00D73DFD">
              <w:t>858.81</w:t>
            </w:r>
          </w:p>
        </w:tc>
        <w:tc>
          <w:tcPr>
            <w:tcW w:w="756" w:type="pct"/>
            <w:tcBorders>
              <w:top w:val="nil"/>
              <w:left w:val="nil"/>
              <w:bottom w:val="nil"/>
            </w:tcBorders>
          </w:tcPr>
          <w:p w:rsidR="00D73DFD" w:rsidRPr="00D73DFD" w:rsidRDefault="00D73DFD" w:rsidP="000D3BE7">
            <w:pPr>
              <w:pStyle w:val="Tabletext"/>
              <w:tabs>
                <w:tab w:val="decimal" w:pos="567"/>
              </w:tabs>
            </w:pPr>
            <w:r w:rsidRPr="00D73DFD">
              <w:t>1215.00</w:t>
            </w:r>
          </w:p>
        </w:tc>
      </w:tr>
      <w:tr w:rsidR="00D73DFD" w:rsidRPr="00D73DFD" w:rsidTr="000D3BE7">
        <w:tc>
          <w:tcPr>
            <w:tcW w:w="1212" w:type="pct"/>
            <w:tcBorders>
              <w:top w:val="nil"/>
              <w:bottom w:val="single" w:sz="4" w:space="0" w:color="auto"/>
              <w:right w:val="nil"/>
            </w:tcBorders>
          </w:tcPr>
          <w:p w:rsidR="00D73DFD" w:rsidRPr="00D73DFD" w:rsidRDefault="00D73DFD" w:rsidP="000D3BE7">
            <w:pPr>
              <w:pStyle w:val="Tabletext"/>
            </w:pPr>
            <w:r w:rsidRPr="00D73DFD">
              <w:t>Doctoral degree</w:t>
            </w:r>
          </w:p>
        </w:tc>
        <w:tc>
          <w:tcPr>
            <w:tcW w:w="758" w:type="pct"/>
            <w:tcBorders>
              <w:top w:val="nil"/>
              <w:left w:val="nil"/>
              <w:bottom w:val="single" w:sz="4" w:space="0" w:color="auto"/>
              <w:right w:val="nil"/>
            </w:tcBorders>
          </w:tcPr>
          <w:p w:rsidR="00D73DFD" w:rsidRPr="00D73DFD" w:rsidRDefault="00D73DFD" w:rsidP="000D3BE7">
            <w:pPr>
              <w:pStyle w:val="Tabletext"/>
              <w:tabs>
                <w:tab w:val="decimal" w:pos="567"/>
              </w:tabs>
            </w:pPr>
            <w:r w:rsidRPr="00D73DFD">
              <w:t>3</w:t>
            </w:r>
          </w:p>
        </w:tc>
        <w:tc>
          <w:tcPr>
            <w:tcW w:w="758" w:type="pct"/>
            <w:tcBorders>
              <w:top w:val="nil"/>
              <w:left w:val="nil"/>
              <w:bottom w:val="single" w:sz="4" w:space="0" w:color="auto"/>
              <w:right w:val="nil"/>
            </w:tcBorders>
          </w:tcPr>
          <w:p w:rsidR="00D73DFD" w:rsidRPr="00D73DFD" w:rsidRDefault="00D73DFD" w:rsidP="000D3BE7">
            <w:pPr>
              <w:pStyle w:val="Tabletext"/>
              <w:tabs>
                <w:tab w:val="decimal" w:pos="567"/>
              </w:tabs>
            </w:pPr>
            <w:r w:rsidRPr="00D73DFD">
              <w:t>2</w:t>
            </w:r>
          </w:p>
        </w:tc>
        <w:tc>
          <w:tcPr>
            <w:tcW w:w="758" w:type="pct"/>
            <w:tcBorders>
              <w:top w:val="nil"/>
              <w:left w:val="nil"/>
              <w:bottom w:val="single" w:sz="4" w:space="0" w:color="auto"/>
              <w:right w:val="nil"/>
            </w:tcBorders>
          </w:tcPr>
          <w:p w:rsidR="00D73DFD" w:rsidRPr="00D73DFD" w:rsidRDefault="00D73DFD" w:rsidP="000D3BE7">
            <w:pPr>
              <w:pStyle w:val="Tabletext"/>
              <w:tabs>
                <w:tab w:val="decimal" w:pos="567"/>
              </w:tabs>
            </w:pPr>
            <w:r w:rsidRPr="00D73DFD">
              <w:t>1013.67</w:t>
            </w:r>
          </w:p>
        </w:tc>
        <w:tc>
          <w:tcPr>
            <w:tcW w:w="758" w:type="pct"/>
            <w:tcBorders>
              <w:top w:val="nil"/>
              <w:left w:val="nil"/>
              <w:bottom w:val="single" w:sz="4" w:space="0" w:color="auto"/>
            </w:tcBorders>
          </w:tcPr>
          <w:p w:rsidR="00D73DFD" w:rsidRPr="00D73DFD" w:rsidRDefault="00D73DFD" w:rsidP="000D3BE7">
            <w:pPr>
              <w:pStyle w:val="Tabletext"/>
              <w:tabs>
                <w:tab w:val="decimal" w:pos="567"/>
              </w:tabs>
            </w:pPr>
            <w:r w:rsidRPr="00D73DFD">
              <w:t>1013.67</w:t>
            </w:r>
          </w:p>
        </w:tc>
        <w:tc>
          <w:tcPr>
            <w:tcW w:w="756" w:type="pct"/>
            <w:tcBorders>
              <w:top w:val="nil"/>
              <w:left w:val="nil"/>
              <w:bottom w:val="single" w:sz="4" w:space="0" w:color="auto"/>
            </w:tcBorders>
          </w:tcPr>
          <w:p w:rsidR="00D73DFD" w:rsidRPr="00D73DFD" w:rsidRDefault="00D73DFD" w:rsidP="000D3BE7">
            <w:pPr>
              <w:pStyle w:val="Tabletext"/>
              <w:tabs>
                <w:tab w:val="decimal" w:pos="567"/>
              </w:tabs>
            </w:pPr>
            <w:r w:rsidRPr="00D73DFD">
              <w:t>1013.67</w:t>
            </w:r>
          </w:p>
        </w:tc>
      </w:tr>
    </w:tbl>
    <w:p w:rsidR="00D73DFD" w:rsidRPr="00D73DFD" w:rsidRDefault="00D73DFD" w:rsidP="000D3BE7">
      <w:pPr>
        <w:pStyle w:val="Source"/>
      </w:pPr>
      <w:r w:rsidRPr="00D73DFD">
        <w:t>Source:</w:t>
      </w:r>
      <w:r w:rsidRPr="00D73DFD">
        <w:tab/>
        <w:t>Authors</w:t>
      </w:r>
      <w:r w:rsidR="004C5471">
        <w:t>’</w:t>
      </w:r>
      <w:r w:rsidRPr="00D73DFD">
        <w:t xml:space="preserve"> analysis of modern awards</w:t>
      </w:r>
    </w:p>
    <w:p w:rsidR="00D73DFD" w:rsidRPr="00D73DFD" w:rsidRDefault="00D73DFD" w:rsidP="00923759">
      <w:pPr>
        <w:pStyle w:val="Heading2"/>
        <w:spacing w:before="240"/>
      </w:pPr>
      <w:bookmarkStart w:id="172" w:name="_Toc412455646"/>
      <w:bookmarkStart w:id="173" w:name="_Toc416683064"/>
      <w:r w:rsidRPr="00D73DFD">
        <w:t>Conclusions</w:t>
      </w:r>
      <w:bookmarkEnd w:id="172"/>
      <w:bookmarkEnd w:id="173"/>
    </w:p>
    <w:p w:rsidR="00D73DFD" w:rsidRPr="00D73DFD" w:rsidRDefault="00D73DFD" w:rsidP="000D3BE7">
      <w:pPr>
        <w:pStyle w:val="Text"/>
        <w:ind w:right="-143"/>
      </w:pPr>
      <w:r w:rsidRPr="00D73DFD">
        <w:t xml:space="preserve">The results of this study show the very limited reach of the </w:t>
      </w:r>
      <w:r w:rsidR="00B230ED">
        <w:t xml:space="preserve">Australian Qualifications Framework </w:t>
      </w:r>
      <w:r w:rsidRPr="00D73DFD">
        <w:t xml:space="preserve">in the award system. Outside the </w:t>
      </w:r>
      <w:r w:rsidRPr="00B230ED">
        <w:rPr>
          <w:i/>
        </w:rPr>
        <w:t>Metal Award 1984</w:t>
      </w:r>
      <w:r w:rsidRPr="00D73DFD">
        <w:t xml:space="preserve"> descendants and the </w:t>
      </w:r>
      <w:r w:rsidR="00B230ED">
        <w:t>government, education, health and</w:t>
      </w:r>
      <w:r w:rsidR="00B230ED" w:rsidRPr="00D73DFD">
        <w:t xml:space="preserve"> community services</w:t>
      </w:r>
      <w:r w:rsidRPr="00D73DFD">
        <w:t xml:space="preserve"> industries, awards provide little incentive for workers to complete formal qualifications. This is particularly the case given the high proportion of partially determinative classifications across awards. In relation to the level of qualifications, the most commonly r</w:t>
      </w:r>
      <w:r w:rsidR="00B230ED">
        <w:t>eferred to qualifications are certificate III and c</w:t>
      </w:r>
      <w:r w:rsidRPr="00D73DFD">
        <w:t>ertificate IV qualifications (a legacy of the old trade certificate and</w:t>
      </w:r>
      <w:r w:rsidR="00B230ED">
        <w:t xml:space="preserve"> advanced certificates). Higher-</w:t>
      </w:r>
      <w:r w:rsidRPr="00D73DFD">
        <w:t>level VET qualifications, entry-level certificates, and higher education qualifications receive much less attention, despite their growing importance in the modern labour market. Even for fully determinative, exclusive and implied classifications, low wage rates (in absolute and relative terms) provide little incentive for workers. Where strong relationships exist, licensing and registration arrangements often play a role, introducing another set of institutions into the analysis.</w:t>
      </w:r>
      <w:r w:rsidR="00611BDD">
        <w:t xml:space="preserve"> </w:t>
      </w:r>
      <w:r w:rsidRPr="00D73DFD">
        <w:t>Taken together, these findings suggest that the relationship between the AQF and the modern award system do</w:t>
      </w:r>
      <w:r w:rsidR="00B230ED">
        <w:t>es</w:t>
      </w:r>
      <w:r w:rsidRPr="00D73DFD">
        <w:t xml:space="preserve"> little to encourage the skill acquisition objectives set by government policy. More work is required, however, to draw out what this means in practice. In particular, the findings associated with managerial discretion, skill use and variation by industry deserve further research.</w:t>
      </w:r>
    </w:p>
    <w:p w:rsidR="00A80071" w:rsidRPr="00A80071" w:rsidRDefault="00D73DFD" w:rsidP="00923759">
      <w:pPr>
        <w:pStyle w:val="Heading2"/>
        <w:spacing w:before="240"/>
      </w:pPr>
      <w:bookmarkStart w:id="174" w:name="_Toc412455647"/>
      <w:bookmarkStart w:id="175" w:name="_Toc416683065"/>
      <w:r w:rsidRPr="00D73DFD">
        <w:t>References</w:t>
      </w:r>
      <w:bookmarkEnd w:id="174"/>
      <w:bookmarkEnd w:id="175"/>
    </w:p>
    <w:p w:rsidR="00D73DFD" w:rsidRPr="00A80071" w:rsidRDefault="0066284C" w:rsidP="000D3BE7">
      <w:pPr>
        <w:pStyle w:val="References"/>
        <w:rPr>
          <w:rFonts w:eastAsiaTheme="minorEastAsia"/>
          <w:lang w:eastAsia="zh-TW"/>
        </w:rPr>
      </w:pPr>
      <w:proofErr w:type="gramStart"/>
      <w:r>
        <w:rPr>
          <w:rFonts w:eastAsiaTheme="minorEastAsia"/>
          <w:lang w:eastAsia="zh-TW"/>
        </w:rPr>
        <w:t>ABS (Australian Bureau of Statistics)</w:t>
      </w:r>
      <w:r w:rsidR="00E22F6D">
        <w:rPr>
          <w:rFonts w:eastAsiaTheme="minorEastAsia"/>
          <w:lang w:eastAsia="zh-TW"/>
        </w:rPr>
        <w:t xml:space="preserve"> </w:t>
      </w:r>
      <w:r w:rsidR="00A80071">
        <w:rPr>
          <w:rFonts w:eastAsiaTheme="minorEastAsia"/>
          <w:lang w:eastAsia="zh-TW"/>
        </w:rPr>
        <w:t xml:space="preserve">2013, </w:t>
      </w:r>
      <w:r w:rsidRPr="0066284C">
        <w:rPr>
          <w:rFonts w:eastAsiaTheme="minorEastAsia"/>
          <w:i/>
          <w:lang w:eastAsia="zh-TW"/>
        </w:rPr>
        <w:t>Employee earnings and hours</w:t>
      </w:r>
      <w:r w:rsidR="00D73DFD" w:rsidRPr="00A80071">
        <w:rPr>
          <w:rFonts w:eastAsiaTheme="minorEastAsia"/>
          <w:lang w:eastAsia="zh-TW"/>
        </w:rPr>
        <w:t xml:space="preserve">, </w:t>
      </w:r>
      <w:r>
        <w:rPr>
          <w:rFonts w:eastAsiaTheme="minorEastAsia"/>
          <w:lang w:eastAsia="zh-TW"/>
        </w:rPr>
        <w:t>cat.no.</w:t>
      </w:r>
      <w:r w:rsidR="00D73DFD" w:rsidRPr="00A80071">
        <w:rPr>
          <w:rFonts w:eastAsiaTheme="minorEastAsia"/>
          <w:lang w:eastAsia="zh-TW"/>
        </w:rPr>
        <w:t xml:space="preserve">6306.0, </w:t>
      </w:r>
      <w:r w:rsidR="00E22F6D">
        <w:rPr>
          <w:rFonts w:eastAsiaTheme="minorEastAsia"/>
          <w:lang w:eastAsia="zh-TW"/>
        </w:rPr>
        <w:t>ABS,</w:t>
      </w:r>
      <w:r w:rsidR="00D73DFD" w:rsidRPr="00A80071">
        <w:rPr>
          <w:rFonts w:eastAsiaTheme="minorEastAsia"/>
          <w:lang w:eastAsia="zh-TW"/>
        </w:rPr>
        <w:t xml:space="preserve"> Canberra.</w:t>
      </w:r>
      <w:proofErr w:type="gramEnd"/>
    </w:p>
    <w:p w:rsidR="00D73DFD" w:rsidRPr="00A80071" w:rsidRDefault="00E22F6D" w:rsidP="000D3BE7">
      <w:pPr>
        <w:pStyle w:val="References"/>
        <w:rPr>
          <w:rFonts w:eastAsiaTheme="minorEastAsia"/>
          <w:lang w:eastAsia="zh-TW"/>
        </w:rPr>
      </w:pPr>
      <w:proofErr w:type="gramStart"/>
      <w:r>
        <w:rPr>
          <w:rFonts w:eastAsiaTheme="minorEastAsia"/>
          <w:lang w:eastAsia="zh-TW"/>
        </w:rPr>
        <w:t>Buchanan, J</w:t>
      </w:r>
      <w:r w:rsidR="00A80071">
        <w:rPr>
          <w:rFonts w:eastAsiaTheme="minorEastAsia"/>
          <w:lang w:eastAsia="zh-TW"/>
        </w:rPr>
        <w:t xml:space="preserve"> </w:t>
      </w:r>
      <w:r w:rsidR="00D73DFD" w:rsidRPr="00A80071">
        <w:rPr>
          <w:rFonts w:eastAsiaTheme="minorEastAsia"/>
          <w:lang w:eastAsia="zh-TW"/>
        </w:rPr>
        <w:t>2002</w:t>
      </w:r>
      <w:r w:rsidR="00A80071">
        <w:rPr>
          <w:rFonts w:eastAsiaTheme="minorEastAsia"/>
          <w:lang w:eastAsia="zh-TW"/>
        </w:rPr>
        <w:t>,</w:t>
      </w:r>
      <w:r w:rsidR="00D73DFD" w:rsidRPr="00A80071">
        <w:rPr>
          <w:rFonts w:eastAsiaTheme="minorEastAsia"/>
          <w:lang w:eastAsia="zh-TW"/>
        </w:rPr>
        <w:t xml:space="preserve"> </w:t>
      </w:r>
      <w:r w:rsidR="004C5471">
        <w:rPr>
          <w:rFonts w:eastAsiaTheme="minorEastAsia"/>
          <w:lang w:eastAsia="zh-TW"/>
        </w:rPr>
        <w:t>‘</w:t>
      </w:r>
      <w:r w:rsidR="00D73DFD" w:rsidRPr="00E22F6D">
        <w:rPr>
          <w:rFonts w:eastAsiaTheme="minorEastAsia"/>
          <w:lang w:eastAsia="zh-TW"/>
        </w:rPr>
        <w:t>Beyond fragmented</w:t>
      </w:r>
      <w:r w:rsidR="00A80071" w:rsidRPr="00E22F6D">
        <w:rPr>
          <w:rFonts w:eastAsiaTheme="minorEastAsia"/>
          <w:lang w:eastAsia="zh-TW"/>
        </w:rPr>
        <w:t xml:space="preserve"> flexibility?</w:t>
      </w:r>
      <w:proofErr w:type="gramEnd"/>
      <w:r w:rsidR="00A80071" w:rsidRPr="00E22F6D">
        <w:rPr>
          <w:rFonts w:eastAsiaTheme="minorEastAsia"/>
          <w:lang w:eastAsia="zh-TW"/>
        </w:rPr>
        <w:t xml:space="preserve"> </w:t>
      </w:r>
      <w:proofErr w:type="gramStart"/>
      <w:r w:rsidR="000D3BE7" w:rsidRPr="00E22F6D">
        <w:rPr>
          <w:rFonts w:eastAsiaTheme="minorEastAsia"/>
          <w:lang w:eastAsia="zh-TW"/>
        </w:rPr>
        <w:t xml:space="preserve">The </w:t>
      </w:r>
      <w:r w:rsidR="00D73DFD" w:rsidRPr="00E22F6D">
        <w:rPr>
          <w:rFonts w:eastAsiaTheme="minorEastAsia"/>
          <w:lang w:eastAsia="zh-TW"/>
        </w:rPr>
        <w:t>restructuring of labour management in the Australian metal industry since the mid</w:t>
      </w:r>
      <w:r w:rsidR="000D3BE7">
        <w:rPr>
          <w:rFonts w:eastAsiaTheme="minorEastAsia"/>
          <w:lang w:eastAsia="zh-TW"/>
        </w:rPr>
        <w:t>-</w:t>
      </w:r>
      <w:r w:rsidR="00D73DFD" w:rsidRPr="00E22F6D">
        <w:rPr>
          <w:rFonts w:eastAsiaTheme="minorEastAsia"/>
          <w:lang w:eastAsia="zh-TW"/>
        </w:rPr>
        <w:t>1980s</w:t>
      </w:r>
      <w:r w:rsidR="004C5471">
        <w:rPr>
          <w:rFonts w:eastAsiaTheme="minorEastAsia"/>
          <w:lang w:eastAsia="zh-TW"/>
        </w:rPr>
        <w:t>’</w:t>
      </w:r>
      <w:r w:rsidR="00D73DFD" w:rsidRPr="00E22F6D">
        <w:rPr>
          <w:rFonts w:eastAsiaTheme="minorEastAsia"/>
          <w:lang w:eastAsia="zh-TW"/>
        </w:rPr>
        <w:t>,</w:t>
      </w:r>
      <w:r w:rsidR="00D73DFD" w:rsidRPr="00A80071">
        <w:rPr>
          <w:rFonts w:eastAsiaTheme="minorEastAsia"/>
          <w:lang w:eastAsia="zh-TW"/>
        </w:rPr>
        <w:t xml:space="preserve"> PhD </w:t>
      </w:r>
      <w:r>
        <w:rPr>
          <w:rFonts w:eastAsiaTheme="minorEastAsia"/>
          <w:lang w:eastAsia="zh-TW"/>
        </w:rPr>
        <w:t>thesis,</w:t>
      </w:r>
      <w:r w:rsidR="00D73DFD" w:rsidRPr="00A80071">
        <w:rPr>
          <w:rFonts w:eastAsiaTheme="minorEastAsia"/>
          <w:lang w:eastAsia="zh-TW"/>
        </w:rPr>
        <w:t xml:space="preserve"> University of Sydney</w:t>
      </w:r>
      <w:r>
        <w:rPr>
          <w:rFonts w:eastAsiaTheme="minorEastAsia"/>
          <w:lang w:eastAsia="zh-TW"/>
        </w:rPr>
        <w:t>, Sydney</w:t>
      </w:r>
      <w:r w:rsidR="00D73DFD" w:rsidRPr="00A80071">
        <w:rPr>
          <w:rFonts w:eastAsiaTheme="minorEastAsia"/>
          <w:lang w:eastAsia="zh-TW"/>
        </w:rPr>
        <w:t>.</w:t>
      </w:r>
      <w:proofErr w:type="gramEnd"/>
    </w:p>
    <w:p w:rsidR="00D73DFD" w:rsidRPr="00A80071" w:rsidRDefault="00EA1D97" w:rsidP="000D3BE7">
      <w:pPr>
        <w:pStyle w:val="References"/>
        <w:rPr>
          <w:rFonts w:eastAsiaTheme="minorEastAsia"/>
          <w:lang w:eastAsia="zh-TW"/>
        </w:rPr>
      </w:pPr>
      <w:r>
        <w:rPr>
          <w:rFonts w:eastAsiaTheme="minorEastAsia"/>
          <w:lang w:eastAsia="zh-TW"/>
        </w:rPr>
        <w:t xml:space="preserve">Buchanan, J, </w:t>
      </w:r>
      <w:proofErr w:type="spellStart"/>
      <w:r>
        <w:rPr>
          <w:rFonts w:eastAsiaTheme="minorEastAsia"/>
          <w:lang w:eastAsia="zh-TW"/>
        </w:rPr>
        <w:t>Bretherton</w:t>
      </w:r>
      <w:proofErr w:type="spellEnd"/>
      <w:r>
        <w:rPr>
          <w:rFonts w:eastAsiaTheme="minorEastAsia"/>
          <w:lang w:eastAsia="zh-TW"/>
        </w:rPr>
        <w:t>, T</w:t>
      </w:r>
      <w:r w:rsidR="00D73DFD" w:rsidRPr="00A80071">
        <w:rPr>
          <w:rFonts w:eastAsiaTheme="minorEastAsia"/>
          <w:lang w:eastAsia="zh-TW"/>
        </w:rPr>
        <w:t xml:space="preserve">, </w:t>
      </w:r>
      <w:proofErr w:type="spellStart"/>
      <w:r w:rsidR="00D73DFD" w:rsidRPr="00A80071">
        <w:rPr>
          <w:rFonts w:eastAsiaTheme="minorEastAsia"/>
          <w:lang w:eastAsia="zh-TW"/>
        </w:rPr>
        <w:t>Frino</w:t>
      </w:r>
      <w:proofErr w:type="spellEnd"/>
      <w:r w:rsidR="00D73DFD" w:rsidRPr="00A80071">
        <w:rPr>
          <w:rFonts w:eastAsiaTheme="minorEastAsia"/>
          <w:lang w:eastAsia="zh-TW"/>
        </w:rPr>
        <w:t>, B</w:t>
      </w:r>
      <w:r>
        <w:rPr>
          <w:rFonts w:eastAsiaTheme="minorEastAsia"/>
          <w:lang w:eastAsia="zh-TW"/>
        </w:rPr>
        <w:t xml:space="preserve">, </w:t>
      </w:r>
      <w:proofErr w:type="spellStart"/>
      <w:r>
        <w:rPr>
          <w:rFonts w:eastAsiaTheme="minorEastAsia"/>
          <w:lang w:eastAsia="zh-TW"/>
        </w:rPr>
        <w:t>Jakubauskas</w:t>
      </w:r>
      <w:proofErr w:type="spellEnd"/>
      <w:r>
        <w:rPr>
          <w:rFonts w:eastAsiaTheme="minorEastAsia"/>
          <w:lang w:eastAsia="zh-TW"/>
        </w:rPr>
        <w:t>, M</w:t>
      </w:r>
      <w:r w:rsidR="00D73DFD" w:rsidRPr="00A80071">
        <w:rPr>
          <w:rFonts w:eastAsiaTheme="minorEastAsia"/>
          <w:lang w:eastAsia="zh-TW"/>
        </w:rPr>
        <w:t xml:space="preserve">, </w:t>
      </w:r>
      <w:proofErr w:type="spellStart"/>
      <w:r w:rsidR="00E22F6D">
        <w:rPr>
          <w:rFonts w:eastAsiaTheme="minorEastAsia"/>
          <w:lang w:eastAsia="zh-TW"/>
        </w:rPr>
        <w:t>Schutz</w:t>
      </w:r>
      <w:proofErr w:type="spellEnd"/>
      <w:r w:rsidR="00E22F6D">
        <w:rPr>
          <w:rFonts w:eastAsiaTheme="minorEastAsia"/>
          <w:lang w:eastAsia="zh-TW"/>
        </w:rPr>
        <w:t xml:space="preserve">, J, </w:t>
      </w:r>
      <w:proofErr w:type="spellStart"/>
      <w:r w:rsidR="00E22F6D">
        <w:rPr>
          <w:rFonts w:eastAsiaTheme="minorEastAsia"/>
          <w:lang w:eastAsia="zh-TW"/>
        </w:rPr>
        <w:t>Verman</w:t>
      </w:r>
      <w:proofErr w:type="spellEnd"/>
      <w:r w:rsidR="00E22F6D">
        <w:rPr>
          <w:rFonts w:eastAsiaTheme="minorEastAsia"/>
          <w:lang w:eastAsia="zh-TW"/>
        </w:rPr>
        <w:t>, G &amp; Yu, S</w:t>
      </w:r>
      <w:r w:rsidR="00A80071">
        <w:rPr>
          <w:rFonts w:eastAsiaTheme="minorEastAsia"/>
          <w:lang w:eastAsia="zh-TW"/>
        </w:rPr>
        <w:t xml:space="preserve"> </w:t>
      </w:r>
      <w:r w:rsidR="00D73DFD" w:rsidRPr="00A80071">
        <w:rPr>
          <w:rFonts w:eastAsiaTheme="minorEastAsia"/>
          <w:lang w:eastAsia="zh-TW"/>
        </w:rPr>
        <w:t>2013</w:t>
      </w:r>
      <w:r w:rsidR="00A80071">
        <w:rPr>
          <w:rFonts w:eastAsiaTheme="minorEastAsia"/>
          <w:lang w:eastAsia="zh-TW"/>
        </w:rPr>
        <w:t>,</w:t>
      </w:r>
      <w:r w:rsidR="00D73DFD" w:rsidRPr="00A80071">
        <w:rPr>
          <w:rFonts w:eastAsiaTheme="minorEastAsia"/>
          <w:lang w:eastAsia="zh-TW"/>
        </w:rPr>
        <w:t xml:space="preserve"> </w:t>
      </w:r>
      <w:r w:rsidR="00D73DFD" w:rsidRPr="00A80071">
        <w:rPr>
          <w:rFonts w:eastAsiaTheme="minorEastAsia"/>
          <w:i/>
          <w:lang w:eastAsia="zh-TW"/>
        </w:rPr>
        <w:t>Minimum wages and their role in the process and incentives to bargain,</w:t>
      </w:r>
      <w:r w:rsidR="00D73DFD" w:rsidRPr="00A80071">
        <w:rPr>
          <w:rFonts w:eastAsiaTheme="minorEastAsia"/>
          <w:lang w:eastAsia="zh-TW"/>
        </w:rPr>
        <w:t xml:space="preserve"> Research report 7/2013, Fair Work Commission</w:t>
      </w:r>
      <w:r w:rsidR="00E22F6D">
        <w:rPr>
          <w:rFonts w:eastAsiaTheme="minorEastAsia"/>
          <w:lang w:eastAsia="zh-TW"/>
        </w:rPr>
        <w:t>, Melbourne</w:t>
      </w:r>
      <w:r w:rsidR="00A80071">
        <w:rPr>
          <w:rFonts w:eastAsiaTheme="minorEastAsia"/>
          <w:lang w:eastAsia="zh-TW"/>
        </w:rPr>
        <w:t>.</w:t>
      </w:r>
    </w:p>
    <w:p w:rsidR="00D73DFD" w:rsidRPr="00A80071" w:rsidRDefault="00E22F6D" w:rsidP="000D3BE7">
      <w:pPr>
        <w:pStyle w:val="References"/>
        <w:rPr>
          <w:rFonts w:eastAsiaTheme="minorEastAsia"/>
          <w:lang w:eastAsia="zh-TW"/>
        </w:rPr>
      </w:pPr>
      <w:r>
        <w:rPr>
          <w:rFonts w:eastAsiaTheme="minorEastAsia"/>
          <w:lang w:eastAsia="zh-TW"/>
        </w:rPr>
        <w:t>Hampson, I</w:t>
      </w:r>
      <w:r w:rsidR="00EA1D97">
        <w:rPr>
          <w:rFonts w:eastAsiaTheme="minorEastAsia"/>
          <w:lang w:eastAsia="zh-TW"/>
        </w:rPr>
        <w:t xml:space="preserve"> 2004,</w:t>
      </w:r>
      <w:r w:rsidR="00D73DFD" w:rsidRPr="00A80071">
        <w:rPr>
          <w:rFonts w:eastAsiaTheme="minorEastAsia"/>
          <w:lang w:eastAsia="zh-TW"/>
        </w:rPr>
        <w:t xml:space="preserve"> </w:t>
      </w:r>
      <w:r w:rsidR="004C5471">
        <w:rPr>
          <w:rFonts w:eastAsiaTheme="minorEastAsia"/>
          <w:lang w:eastAsia="zh-TW"/>
        </w:rPr>
        <w:t>‘</w:t>
      </w:r>
      <w:r w:rsidR="00D73DFD" w:rsidRPr="00A80071">
        <w:rPr>
          <w:rFonts w:eastAsiaTheme="minorEastAsia"/>
          <w:lang w:eastAsia="zh-TW"/>
        </w:rPr>
        <w:t>Training reform in a</w:t>
      </w:r>
      <w:r>
        <w:rPr>
          <w:rFonts w:eastAsiaTheme="minorEastAsia"/>
          <w:lang w:eastAsia="zh-TW"/>
        </w:rPr>
        <w:t xml:space="preserve"> weakened state: Australia 1987—2000</w:t>
      </w:r>
      <w:r w:rsidR="004C5471">
        <w:rPr>
          <w:rFonts w:eastAsiaTheme="minorEastAsia"/>
          <w:lang w:eastAsia="zh-TW"/>
        </w:rPr>
        <w:t>’</w:t>
      </w:r>
      <w:r>
        <w:rPr>
          <w:rFonts w:eastAsiaTheme="minorEastAsia"/>
          <w:lang w:eastAsia="zh-TW"/>
        </w:rPr>
        <w:t xml:space="preserve">, in </w:t>
      </w:r>
      <w:r w:rsidR="008069C2">
        <w:rPr>
          <w:rFonts w:eastAsiaTheme="minorEastAsia"/>
          <w:lang w:eastAsia="zh-TW"/>
        </w:rPr>
        <w:t>C</w:t>
      </w:r>
      <w:r w:rsidR="008069C2" w:rsidRPr="00A80071">
        <w:rPr>
          <w:rFonts w:eastAsiaTheme="minorEastAsia"/>
          <w:lang w:eastAsia="zh-TW"/>
        </w:rPr>
        <w:t xml:space="preserve"> </w:t>
      </w:r>
      <w:proofErr w:type="spellStart"/>
      <w:r w:rsidR="008069C2" w:rsidRPr="00A80071">
        <w:rPr>
          <w:rFonts w:eastAsiaTheme="minorEastAsia"/>
          <w:lang w:eastAsia="zh-TW"/>
        </w:rPr>
        <w:t>Warh</w:t>
      </w:r>
      <w:r w:rsidR="008069C2">
        <w:rPr>
          <w:rFonts w:eastAsiaTheme="minorEastAsia"/>
          <w:lang w:eastAsia="zh-TW"/>
        </w:rPr>
        <w:t>urst</w:t>
      </w:r>
      <w:proofErr w:type="spellEnd"/>
      <w:r w:rsidR="008069C2">
        <w:rPr>
          <w:rFonts w:eastAsiaTheme="minorEastAsia"/>
          <w:lang w:eastAsia="zh-TW"/>
        </w:rPr>
        <w:t xml:space="preserve">, I </w:t>
      </w:r>
      <w:proofErr w:type="spellStart"/>
      <w:r w:rsidR="008069C2">
        <w:rPr>
          <w:rFonts w:eastAsiaTheme="minorEastAsia"/>
          <w:lang w:eastAsia="zh-TW"/>
        </w:rPr>
        <w:t>Grugulis</w:t>
      </w:r>
      <w:proofErr w:type="spellEnd"/>
      <w:r w:rsidR="008069C2">
        <w:rPr>
          <w:rFonts w:eastAsiaTheme="minorEastAsia"/>
          <w:lang w:eastAsia="zh-TW"/>
        </w:rPr>
        <w:t xml:space="preserve"> &amp; E Keep</w:t>
      </w:r>
      <w:r w:rsidR="008069C2" w:rsidRPr="00A80071">
        <w:rPr>
          <w:rFonts w:eastAsiaTheme="minorEastAsia"/>
          <w:i/>
          <w:lang w:eastAsia="zh-TW"/>
        </w:rPr>
        <w:t xml:space="preserve"> </w:t>
      </w:r>
      <w:r w:rsidR="008069C2">
        <w:rPr>
          <w:rFonts w:eastAsiaTheme="minorEastAsia"/>
          <w:i/>
          <w:lang w:eastAsia="zh-TW"/>
        </w:rPr>
        <w:t xml:space="preserve">(eds), </w:t>
      </w:r>
      <w:r w:rsidR="00D73DFD" w:rsidRPr="00A80071">
        <w:rPr>
          <w:rFonts w:eastAsiaTheme="minorEastAsia"/>
          <w:i/>
          <w:lang w:eastAsia="zh-TW"/>
        </w:rPr>
        <w:t xml:space="preserve">The </w:t>
      </w:r>
      <w:r w:rsidRPr="00A80071">
        <w:rPr>
          <w:rFonts w:eastAsiaTheme="minorEastAsia"/>
          <w:i/>
          <w:lang w:eastAsia="zh-TW"/>
        </w:rPr>
        <w:t>skills that matter</w:t>
      </w:r>
      <w:r w:rsidRPr="00A80071">
        <w:rPr>
          <w:rFonts w:eastAsiaTheme="minorEastAsia"/>
          <w:lang w:eastAsia="zh-TW"/>
        </w:rPr>
        <w:t xml:space="preserve">, </w:t>
      </w:r>
      <w:r w:rsidR="00D73DFD" w:rsidRPr="00A80071">
        <w:rPr>
          <w:rFonts w:eastAsiaTheme="minorEastAsia"/>
          <w:lang w:eastAsia="zh-TW"/>
        </w:rPr>
        <w:t>Palgrave Macmillan</w:t>
      </w:r>
      <w:r>
        <w:rPr>
          <w:rFonts w:eastAsiaTheme="minorEastAsia"/>
          <w:lang w:eastAsia="zh-TW"/>
        </w:rPr>
        <w:t xml:space="preserve">, </w:t>
      </w:r>
      <w:r w:rsidR="00A80071">
        <w:rPr>
          <w:rFonts w:eastAsiaTheme="minorEastAsia"/>
          <w:lang w:eastAsia="zh-TW"/>
        </w:rPr>
        <w:t>Basingstoke</w:t>
      </w:r>
      <w:r w:rsidR="00D73DFD" w:rsidRPr="00A80071">
        <w:rPr>
          <w:rFonts w:eastAsiaTheme="minorEastAsia"/>
          <w:lang w:eastAsia="zh-TW"/>
        </w:rPr>
        <w:t>,</w:t>
      </w:r>
      <w:r>
        <w:rPr>
          <w:rFonts w:eastAsiaTheme="minorEastAsia"/>
          <w:lang w:eastAsia="zh-TW"/>
        </w:rPr>
        <w:t xml:space="preserve"> Eng.</w:t>
      </w:r>
      <w:r w:rsidR="00F556E2">
        <w:rPr>
          <w:rFonts w:eastAsiaTheme="minorEastAsia"/>
          <w:lang w:eastAsia="zh-TW"/>
        </w:rPr>
        <w:t xml:space="preserve">, </w:t>
      </w:r>
      <w:r>
        <w:rPr>
          <w:rFonts w:eastAsiaTheme="minorEastAsia"/>
          <w:lang w:eastAsia="zh-TW"/>
        </w:rPr>
        <w:t>pp.72—</w:t>
      </w:r>
      <w:r w:rsidR="00D73DFD" w:rsidRPr="00A80071">
        <w:rPr>
          <w:rFonts w:eastAsiaTheme="minorEastAsia"/>
          <w:lang w:eastAsia="zh-TW"/>
        </w:rPr>
        <w:t>90.</w:t>
      </w:r>
    </w:p>
    <w:p w:rsidR="00D73DFD" w:rsidRPr="00A80071" w:rsidRDefault="00E22F6D" w:rsidP="000D3BE7">
      <w:pPr>
        <w:pStyle w:val="References"/>
        <w:rPr>
          <w:rFonts w:eastAsiaTheme="minorEastAsia"/>
          <w:lang w:eastAsia="zh-TW"/>
        </w:rPr>
      </w:pPr>
      <w:r>
        <w:rPr>
          <w:rFonts w:eastAsiaTheme="minorEastAsia"/>
          <w:lang w:eastAsia="zh-TW"/>
        </w:rPr>
        <w:t>Healy, J</w:t>
      </w:r>
      <w:r w:rsidR="00EA1D97">
        <w:rPr>
          <w:rFonts w:eastAsiaTheme="minorEastAsia"/>
          <w:lang w:eastAsia="zh-TW"/>
        </w:rPr>
        <w:t xml:space="preserve"> 2010,</w:t>
      </w:r>
      <w:r w:rsidR="00D73DFD" w:rsidRPr="00A80071">
        <w:rPr>
          <w:rFonts w:eastAsiaTheme="minorEastAsia"/>
          <w:lang w:eastAsia="zh-TW"/>
        </w:rPr>
        <w:t xml:space="preserve"> </w:t>
      </w:r>
      <w:r w:rsidR="00D73DFD" w:rsidRPr="00A80071">
        <w:rPr>
          <w:rFonts w:eastAsiaTheme="minorEastAsia"/>
          <w:i/>
          <w:lang w:eastAsia="zh-TW"/>
        </w:rPr>
        <w:t xml:space="preserve">The </w:t>
      </w:r>
      <w:r w:rsidRPr="00A80071">
        <w:rPr>
          <w:rFonts w:eastAsiaTheme="minorEastAsia"/>
          <w:i/>
          <w:lang w:eastAsia="zh-TW"/>
        </w:rPr>
        <w:t xml:space="preserve">wages safety net of </w:t>
      </w:r>
      <w:r w:rsidR="00D73DFD" w:rsidRPr="00A80071">
        <w:rPr>
          <w:rFonts w:eastAsiaTheme="minorEastAsia"/>
          <w:i/>
          <w:lang w:eastAsia="zh-TW"/>
        </w:rPr>
        <w:t>the Australian Industrial Relations Commission, 1</w:t>
      </w:r>
      <w:r>
        <w:rPr>
          <w:rFonts w:eastAsiaTheme="minorEastAsia"/>
          <w:i/>
          <w:lang w:eastAsia="zh-TW"/>
        </w:rPr>
        <w:t>993—</w:t>
      </w:r>
      <w:r w:rsidR="00D73DFD" w:rsidRPr="00A80071">
        <w:rPr>
          <w:rFonts w:eastAsiaTheme="minorEastAsia"/>
          <w:i/>
          <w:lang w:eastAsia="zh-TW"/>
        </w:rPr>
        <w:t>2005</w:t>
      </w:r>
      <w:r>
        <w:rPr>
          <w:rFonts w:eastAsiaTheme="minorEastAsia"/>
          <w:lang w:eastAsia="zh-TW"/>
        </w:rPr>
        <w:t>,</w:t>
      </w:r>
      <w:r w:rsidR="00D73DFD" w:rsidRPr="00A80071">
        <w:rPr>
          <w:rFonts w:eastAsiaTheme="minorEastAsia"/>
          <w:lang w:eastAsia="zh-TW"/>
        </w:rPr>
        <w:t xml:space="preserve"> National </w:t>
      </w:r>
      <w:r w:rsidR="00274D68" w:rsidRPr="00A80071">
        <w:rPr>
          <w:rFonts w:eastAsiaTheme="minorEastAsia"/>
          <w:lang w:eastAsia="zh-TW"/>
        </w:rPr>
        <w:t>Institute</w:t>
      </w:r>
      <w:r w:rsidR="00D73DFD" w:rsidRPr="00A80071">
        <w:rPr>
          <w:rFonts w:eastAsiaTheme="minorEastAsia"/>
          <w:lang w:eastAsia="zh-TW"/>
        </w:rPr>
        <w:t xml:space="preserve"> of Lab</w:t>
      </w:r>
      <w:r>
        <w:rPr>
          <w:rFonts w:eastAsiaTheme="minorEastAsia"/>
          <w:lang w:eastAsia="zh-TW"/>
        </w:rPr>
        <w:t>our Studies,</w:t>
      </w:r>
      <w:r w:rsidR="00EA1D97">
        <w:rPr>
          <w:rFonts w:eastAsiaTheme="minorEastAsia"/>
          <w:lang w:eastAsia="zh-TW"/>
        </w:rPr>
        <w:t xml:space="preserve"> Flinders Universit</w:t>
      </w:r>
      <w:r w:rsidR="00F556E2">
        <w:rPr>
          <w:rFonts w:eastAsiaTheme="minorEastAsia"/>
          <w:lang w:eastAsia="zh-TW"/>
        </w:rPr>
        <w:t>y</w:t>
      </w:r>
      <w:r w:rsidR="00EA1D97">
        <w:rPr>
          <w:rFonts w:eastAsiaTheme="minorEastAsia"/>
          <w:lang w:eastAsia="zh-TW"/>
        </w:rPr>
        <w:t xml:space="preserve">, </w:t>
      </w:r>
      <w:r>
        <w:rPr>
          <w:rFonts w:eastAsiaTheme="minorEastAsia"/>
          <w:lang w:eastAsia="zh-TW"/>
        </w:rPr>
        <w:t>Adelaide</w:t>
      </w:r>
      <w:r w:rsidR="00EA1D97">
        <w:rPr>
          <w:rFonts w:eastAsiaTheme="minorEastAsia"/>
          <w:lang w:eastAsia="zh-TW"/>
        </w:rPr>
        <w:t>.</w:t>
      </w:r>
    </w:p>
    <w:p w:rsidR="00D73DFD" w:rsidRPr="00A80071" w:rsidRDefault="00E22F6D" w:rsidP="000D3BE7">
      <w:pPr>
        <w:pStyle w:val="References"/>
        <w:rPr>
          <w:rFonts w:eastAsiaTheme="minorEastAsia"/>
          <w:lang w:eastAsia="zh-TW"/>
        </w:rPr>
      </w:pPr>
      <w:proofErr w:type="gramStart"/>
      <w:r>
        <w:rPr>
          <w:rFonts w:eastAsiaTheme="minorEastAsia"/>
          <w:lang w:eastAsia="zh-TW"/>
        </w:rPr>
        <w:t>Oliver, D</w:t>
      </w:r>
      <w:r w:rsidR="00EA1D97">
        <w:rPr>
          <w:rFonts w:eastAsiaTheme="minorEastAsia"/>
          <w:lang w:eastAsia="zh-TW"/>
        </w:rPr>
        <w:t xml:space="preserve"> 2012,</w:t>
      </w:r>
      <w:r w:rsidR="00D73DFD" w:rsidRPr="00A80071">
        <w:rPr>
          <w:rFonts w:eastAsiaTheme="minorEastAsia"/>
          <w:lang w:eastAsia="zh-TW"/>
        </w:rPr>
        <w:t xml:space="preserve"> </w:t>
      </w:r>
      <w:r w:rsidR="004C5471">
        <w:rPr>
          <w:rFonts w:eastAsiaTheme="minorEastAsia"/>
          <w:lang w:eastAsia="zh-TW"/>
        </w:rPr>
        <w:t>‘</w:t>
      </w:r>
      <w:r w:rsidR="00D73DFD" w:rsidRPr="00A80071">
        <w:rPr>
          <w:rFonts w:eastAsiaTheme="minorEastAsia"/>
          <w:lang w:eastAsia="zh-TW"/>
        </w:rPr>
        <w:t>An examination of award wages among Australian apprentices and trainees</w:t>
      </w:r>
      <w:r w:rsidR="004C5471">
        <w:rPr>
          <w:rFonts w:eastAsiaTheme="minorEastAsia"/>
          <w:lang w:eastAsia="zh-TW"/>
        </w:rPr>
        <w:t>’</w:t>
      </w:r>
      <w:r w:rsidR="00D73DFD" w:rsidRPr="00A80071">
        <w:rPr>
          <w:rFonts w:eastAsiaTheme="minorEastAsia"/>
          <w:lang w:eastAsia="zh-TW"/>
        </w:rPr>
        <w:t xml:space="preserve">, </w:t>
      </w:r>
      <w:r w:rsidR="00D73DFD" w:rsidRPr="00EA1D97">
        <w:rPr>
          <w:rFonts w:eastAsiaTheme="minorEastAsia"/>
          <w:i/>
          <w:lang w:eastAsia="zh-TW"/>
        </w:rPr>
        <w:t>Australian Bulletin of Labour</w:t>
      </w:r>
      <w:r w:rsidR="00EA1D97">
        <w:rPr>
          <w:rFonts w:eastAsiaTheme="minorEastAsia"/>
          <w:lang w:eastAsia="zh-TW"/>
        </w:rPr>
        <w:t>, vol.38 no.</w:t>
      </w:r>
      <w:r>
        <w:rPr>
          <w:rFonts w:eastAsiaTheme="minorEastAsia"/>
          <w:lang w:eastAsia="zh-TW"/>
        </w:rPr>
        <w:t>2, pp.158—</w:t>
      </w:r>
      <w:r w:rsidR="00D73DFD" w:rsidRPr="00A80071">
        <w:rPr>
          <w:rFonts w:eastAsiaTheme="minorEastAsia"/>
          <w:lang w:eastAsia="zh-TW"/>
        </w:rPr>
        <w:t>76</w:t>
      </w:r>
      <w:r>
        <w:rPr>
          <w:rFonts w:eastAsiaTheme="minorEastAsia"/>
          <w:lang w:eastAsia="zh-TW"/>
        </w:rPr>
        <w:t>.</w:t>
      </w:r>
      <w:proofErr w:type="gramEnd"/>
    </w:p>
    <w:p w:rsidR="002A281D" w:rsidRDefault="00E22F6D" w:rsidP="000D3BE7">
      <w:pPr>
        <w:pStyle w:val="References"/>
        <w:rPr>
          <w:rFonts w:eastAsiaTheme="minorEastAsia"/>
          <w:lang w:eastAsia="zh-TW"/>
        </w:rPr>
      </w:pPr>
      <w:proofErr w:type="gramStart"/>
      <w:r>
        <w:rPr>
          <w:rFonts w:eastAsiaTheme="minorEastAsia"/>
          <w:lang w:eastAsia="zh-TW"/>
        </w:rPr>
        <w:t>Wright, S</w:t>
      </w:r>
      <w:r w:rsidR="00EA1D97">
        <w:rPr>
          <w:rFonts w:eastAsiaTheme="minorEastAsia"/>
          <w:lang w:eastAsia="zh-TW"/>
        </w:rPr>
        <w:t xml:space="preserve"> &amp; </w:t>
      </w:r>
      <w:r>
        <w:rPr>
          <w:rFonts w:eastAsiaTheme="minorEastAsia"/>
          <w:lang w:eastAsia="zh-TW"/>
        </w:rPr>
        <w:t>Buchanan, J</w:t>
      </w:r>
      <w:r w:rsidR="00EA1D97">
        <w:rPr>
          <w:rFonts w:eastAsiaTheme="minorEastAsia"/>
          <w:lang w:eastAsia="zh-TW"/>
        </w:rPr>
        <w:t xml:space="preserve"> 2013,</w:t>
      </w:r>
      <w:r w:rsidR="00D73DFD" w:rsidRPr="00A80071">
        <w:rPr>
          <w:rFonts w:eastAsiaTheme="minorEastAsia"/>
          <w:lang w:eastAsia="zh-TW"/>
        </w:rPr>
        <w:t xml:space="preserve"> </w:t>
      </w:r>
      <w:r w:rsidR="00D73DFD" w:rsidRPr="00EA1D97">
        <w:rPr>
          <w:rFonts w:eastAsiaTheme="minorEastAsia"/>
          <w:i/>
          <w:lang w:eastAsia="zh-TW"/>
        </w:rPr>
        <w:t>Award reliance</w:t>
      </w:r>
      <w:r w:rsidR="00D73DFD" w:rsidRPr="00A80071">
        <w:rPr>
          <w:rFonts w:eastAsiaTheme="minorEastAsia"/>
          <w:lang w:eastAsia="zh-TW"/>
        </w:rPr>
        <w:t>, Research report 6/2013</w:t>
      </w:r>
      <w:r w:rsidR="00EA1D97">
        <w:rPr>
          <w:rFonts w:eastAsiaTheme="minorEastAsia"/>
          <w:lang w:eastAsia="zh-TW"/>
        </w:rPr>
        <w:t xml:space="preserve">, </w:t>
      </w:r>
      <w:r w:rsidR="00D73DFD" w:rsidRPr="00A80071">
        <w:rPr>
          <w:rFonts w:eastAsiaTheme="minorEastAsia"/>
          <w:lang w:eastAsia="zh-TW"/>
        </w:rPr>
        <w:t>Fair Work Commission</w:t>
      </w:r>
      <w:r>
        <w:rPr>
          <w:rFonts w:eastAsiaTheme="minorEastAsia"/>
          <w:lang w:eastAsia="zh-TW"/>
        </w:rPr>
        <w:t>, Melbourne</w:t>
      </w:r>
      <w:r w:rsidR="00D73DFD" w:rsidRPr="00A80071">
        <w:rPr>
          <w:rFonts w:eastAsiaTheme="minorEastAsia"/>
          <w:lang w:eastAsia="zh-TW"/>
        </w:rPr>
        <w:t>.</w:t>
      </w:r>
      <w:proofErr w:type="gramEnd"/>
    </w:p>
    <w:p w:rsidR="002A281D" w:rsidRDefault="002A281D">
      <w:pPr>
        <w:spacing w:before="0" w:line="240" w:lineRule="auto"/>
        <w:rPr>
          <w:rFonts w:eastAsiaTheme="minorEastAsia"/>
          <w:sz w:val="18"/>
          <w:lang w:eastAsia="zh-TW"/>
        </w:rPr>
      </w:pPr>
    </w:p>
    <w:p w:rsidR="002A281D" w:rsidRDefault="002A281D" w:rsidP="000D3BE7">
      <w:pPr>
        <w:pStyle w:val="References"/>
        <w:rPr>
          <w:rFonts w:eastAsiaTheme="minorEastAsia"/>
          <w:lang w:eastAsia="zh-TW"/>
        </w:rPr>
        <w:sectPr w:rsidR="002A281D" w:rsidSect="003C0F56">
          <w:footerReference w:type="even" r:id="rId46"/>
          <w:footerReference w:type="default" r:id="rId47"/>
          <w:footnotePr>
            <w:numRestart w:val="eachSect"/>
          </w:footnotePr>
          <w:pgSz w:w="11907" w:h="16840" w:code="9"/>
          <w:pgMar w:top="1276" w:right="1701" w:bottom="1276" w:left="1418" w:header="709" w:footer="283" w:gutter="0"/>
          <w:cols w:space="708"/>
          <w:docGrid w:linePitch="360"/>
        </w:sectPr>
      </w:pPr>
    </w:p>
    <w:p w:rsidR="009F1522" w:rsidRDefault="009F1522" w:rsidP="009F1522">
      <w:pPr>
        <w:pStyle w:val="References"/>
        <w:ind w:left="0" w:firstLine="0"/>
        <w:rPr>
          <w:rFonts w:eastAsiaTheme="minorEastAsia"/>
          <w:lang w:eastAsia="zh-TW"/>
        </w:rPr>
      </w:pPr>
    </w:p>
    <w:p w:rsidR="009F1522" w:rsidRDefault="009F1522" w:rsidP="000D3BE7">
      <w:pPr>
        <w:pStyle w:val="References"/>
        <w:rPr>
          <w:rFonts w:eastAsiaTheme="minorEastAsia"/>
          <w:lang w:eastAsia="zh-TW"/>
        </w:rPr>
        <w:sectPr w:rsidR="009F1522" w:rsidSect="00F60BA5">
          <w:footerReference w:type="even" r:id="rId48"/>
          <w:footerReference w:type="default" r:id="rId49"/>
          <w:footnotePr>
            <w:numRestart w:val="eachSect"/>
          </w:footnotePr>
          <w:pgSz w:w="11907" w:h="16840" w:code="9"/>
          <w:pgMar w:top="1276" w:right="1701" w:bottom="1276" w:left="1418" w:header="709" w:footer="556" w:gutter="0"/>
          <w:cols w:space="708"/>
          <w:docGrid w:linePitch="360"/>
        </w:sectPr>
      </w:pPr>
    </w:p>
    <w:p w:rsidR="009F1522" w:rsidRDefault="009F1522" w:rsidP="000D3BE7">
      <w:pPr>
        <w:pStyle w:val="References"/>
        <w:rPr>
          <w:rFonts w:eastAsiaTheme="minorEastAsia"/>
          <w:lang w:eastAsia="zh-TW"/>
        </w:rPr>
      </w:pPr>
    </w:p>
    <w:p w:rsidR="00D73DFD" w:rsidRPr="00A80071" w:rsidRDefault="009F1522" w:rsidP="000D3BE7">
      <w:pPr>
        <w:pStyle w:val="References"/>
        <w:rPr>
          <w:rFonts w:eastAsiaTheme="minorEastAsia"/>
          <w:lang w:eastAsia="zh-TW"/>
        </w:rPr>
      </w:pPr>
      <w:r w:rsidRPr="002A281D">
        <w:rPr>
          <w:rFonts w:eastAsiaTheme="minorEastAsia"/>
          <w:noProof/>
          <w:lang w:eastAsia="en-AU"/>
        </w:rPr>
        <w:drawing>
          <wp:anchor distT="0" distB="0" distL="114300" distR="114300" simplePos="0" relativeHeight="251769856" behindDoc="0" locked="0" layoutInCell="1" allowOverlap="1" wp14:anchorId="525CCA3C" wp14:editId="4CC72FAC">
            <wp:simplePos x="0" y="0"/>
            <wp:positionH relativeFrom="column">
              <wp:posOffset>-728345</wp:posOffset>
            </wp:positionH>
            <wp:positionV relativeFrom="paragraph">
              <wp:posOffset>9067165</wp:posOffset>
            </wp:positionV>
            <wp:extent cx="7542530" cy="561975"/>
            <wp:effectExtent l="0" t="0" r="1270" b="9525"/>
            <wp:wrapNone/>
            <wp:docPr id="31" name="Picture 31"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81D" w:rsidRPr="00246BBF">
        <w:rPr>
          <w:noProof/>
          <w:lang w:eastAsia="en-AU"/>
        </w:rPr>
        <w:drawing>
          <wp:anchor distT="0" distB="0" distL="114300" distR="114300" simplePos="0" relativeHeight="251773952" behindDoc="0" locked="0" layoutInCell="1" allowOverlap="1" wp14:anchorId="4FDC41B8" wp14:editId="4FD20DE1">
            <wp:simplePos x="0" y="0"/>
            <wp:positionH relativeFrom="column">
              <wp:posOffset>2906395</wp:posOffset>
            </wp:positionH>
            <wp:positionV relativeFrom="paragraph">
              <wp:posOffset>9043670</wp:posOffset>
            </wp:positionV>
            <wp:extent cx="141605" cy="152400"/>
            <wp:effectExtent l="0" t="0" r="0" b="0"/>
            <wp:wrapNone/>
            <wp:docPr id="2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A281D" w:rsidRPr="00246BBF">
        <w:rPr>
          <w:noProof/>
          <w:lang w:eastAsia="en-AU"/>
        </w:rPr>
        <w:drawing>
          <wp:anchor distT="0" distB="0" distL="114300" distR="114300" simplePos="0" relativeHeight="251776000" behindDoc="0" locked="0" layoutInCell="1" allowOverlap="1" wp14:anchorId="486B5478" wp14:editId="5894505E">
            <wp:simplePos x="0" y="0"/>
            <wp:positionH relativeFrom="column">
              <wp:posOffset>4288790</wp:posOffset>
            </wp:positionH>
            <wp:positionV relativeFrom="paragraph">
              <wp:posOffset>9032611</wp:posOffset>
            </wp:positionV>
            <wp:extent cx="139065" cy="152400"/>
            <wp:effectExtent l="0" t="0" r="0" b="0"/>
            <wp:wrapNone/>
            <wp:docPr id="28" name="Picture 2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5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2A281D" w:rsidRPr="009F3844">
        <w:rPr>
          <w:noProof/>
          <w:lang w:eastAsia="en-AU"/>
        </w:rPr>
        <mc:AlternateContent>
          <mc:Choice Requires="wps">
            <w:drawing>
              <wp:anchor distT="0" distB="0" distL="114300" distR="114300" simplePos="0" relativeHeight="251771904" behindDoc="0" locked="0" layoutInCell="1" allowOverlap="1" wp14:anchorId="4CDBF8A5" wp14:editId="2DDEAB42">
                <wp:simplePos x="0" y="0"/>
                <wp:positionH relativeFrom="column">
                  <wp:posOffset>1356995</wp:posOffset>
                </wp:positionH>
                <wp:positionV relativeFrom="paragraph">
                  <wp:posOffset>7895590</wp:posOffset>
                </wp:positionV>
                <wp:extent cx="5143500" cy="1638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9E8" w:rsidRPr="006E0B9E" w:rsidRDefault="005219E8" w:rsidP="002A281D">
                            <w:pPr>
                              <w:jc w:val="right"/>
                              <w:rPr>
                                <w:rFonts w:ascii="Arial" w:hAnsi="Arial" w:cs="Arial"/>
                                <w:b/>
                              </w:rPr>
                            </w:pPr>
                            <w:r w:rsidRPr="006E0B9E">
                              <w:rPr>
                                <w:rFonts w:ascii="Arial" w:hAnsi="Arial" w:cs="Arial"/>
                                <w:b/>
                              </w:rPr>
                              <w:t>National Centre for Vocational Education Research</w:t>
                            </w:r>
                          </w:p>
                          <w:p w:rsidR="005219E8" w:rsidRPr="006E0B9E" w:rsidRDefault="005219E8" w:rsidP="002A281D">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5219E8" w:rsidRPr="006E0B9E" w:rsidRDefault="005219E8" w:rsidP="002A281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5219E8" w:rsidRPr="002A281D" w:rsidRDefault="005219E8" w:rsidP="002A281D">
                            <w:pPr>
                              <w:pStyle w:val="Imprint"/>
                              <w:spacing w:before="0"/>
                              <w:jc w:val="right"/>
                              <w:rPr>
                                <w:rFonts w:ascii="Arial" w:hAnsi="Arial" w:cs="Arial"/>
                                <w:szCs w:val="16"/>
                              </w:rPr>
                            </w:pPr>
                            <w:r w:rsidRPr="006E0B9E">
                              <w:rPr>
                                <w:rFonts w:ascii="Arial" w:hAnsi="Arial" w:cs="Arial"/>
                                <w:b/>
                              </w:rPr>
                              <w:t>Email</w:t>
                            </w:r>
                            <w:r w:rsidRPr="006E0B9E">
                              <w:rPr>
                                <w:rFonts w:ascii="Arial" w:hAnsi="Arial" w:cs="Arial"/>
                              </w:rPr>
                              <w:t xml:space="preserve"> </w:t>
                            </w:r>
                            <w:hyperlink r:id="rId53" w:history="1">
                              <w:r w:rsidRPr="002A28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w:t>
                            </w:r>
                            <w:r w:rsidRPr="002A281D">
                              <w:rPr>
                                <w:rFonts w:ascii="Arial" w:hAnsi="Arial" w:cs="Arial"/>
                                <w:szCs w:val="16"/>
                              </w:rPr>
                              <w:t>&lt;</w:t>
                            </w:r>
                            <w:hyperlink r:id="rId54" w:history="1">
                              <w:r w:rsidRPr="002A281D">
                                <w:rPr>
                                  <w:rStyle w:val="Hyperlink"/>
                                  <w:rFonts w:ascii="Arial" w:hAnsi="Arial" w:cs="Arial"/>
                                  <w:sz w:val="16"/>
                                  <w:szCs w:val="16"/>
                                </w:rPr>
                                <w:t>http://www.lsay.edu.au</w:t>
                              </w:r>
                            </w:hyperlink>
                            <w:r w:rsidRPr="002A281D">
                              <w:rPr>
                                <w:rFonts w:ascii="Arial" w:hAnsi="Arial" w:cs="Arial"/>
                                <w:szCs w:val="16"/>
                              </w:rPr>
                              <w:t>&gt;</w:t>
                            </w:r>
                          </w:p>
                          <w:p w:rsidR="005219E8" w:rsidRPr="006E0B9E" w:rsidRDefault="005219E8" w:rsidP="002A281D">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2A281D">
                              <w:rPr>
                                <w:rFonts w:ascii="Arial" w:hAnsi="Arial" w:cs="Arial"/>
                                <w:szCs w:val="16"/>
                              </w:rPr>
                              <w:t>&lt;</w:t>
                            </w:r>
                            <w:hyperlink r:id="rId55" w:history="1">
                              <w:r w:rsidRPr="002A281D">
                                <w:rPr>
                                  <w:rStyle w:val="Hyperlink"/>
                                  <w:rFonts w:ascii="Arial" w:hAnsi="Arial" w:cs="Arial"/>
                                  <w:sz w:val="16"/>
                                  <w:szCs w:val="16"/>
                                </w:rPr>
                                <w:t>http://twitter.com/ncver</w:t>
                              </w:r>
                            </w:hyperlink>
                            <w:r w:rsidRPr="002A281D">
                              <w:rPr>
                                <w:rFonts w:ascii="Arial" w:hAnsi="Arial" w:cs="Arial"/>
                                <w:szCs w:val="16"/>
                              </w:rPr>
                              <w:t>&gt;</w:t>
                            </w:r>
                            <w:r w:rsidRPr="006C271D">
                              <w:rPr>
                                <w:rFonts w:ascii="Arial" w:hAnsi="Arial" w:cs="Arial"/>
                                <w:szCs w:val="16"/>
                              </w:rPr>
                              <w:t xml:space="preserve">         </w:t>
                            </w:r>
                            <w:r w:rsidRPr="006E0B9E">
                              <w:rPr>
                                <w:rFonts w:ascii="Arial" w:hAnsi="Arial" w:cs="Arial"/>
                              </w:rPr>
                              <w:t>&lt;http://www.linkedin.com/company/ncver&gt;</w:t>
                            </w:r>
                          </w:p>
                          <w:p w:rsidR="005219E8" w:rsidRPr="009F3844" w:rsidRDefault="005219E8" w:rsidP="002A281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left:0;text-align:left;margin-left:106.85pt;margin-top:621.7pt;width:405pt;height:12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" filled="f" stroked="f" strokeweight=".5pt">
                <v:textbox>
                  <w:txbxContent>
                    <w:p w:rsidR="005219E8" w:rsidRPr="006E0B9E" w:rsidRDefault="005219E8" w:rsidP="002A281D">
                      <w:pPr>
                        <w:jc w:val="right"/>
                        <w:rPr>
                          <w:rFonts w:ascii="Arial" w:hAnsi="Arial" w:cs="Arial"/>
                          <w:b/>
                        </w:rPr>
                      </w:pPr>
                      <w:r w:rsidRPr="006E0B9E">
                        <w:rPr>
                          <w:rFonts w:ascii="Arial" w:hAnsi="Arial" w:cs="Arial"/>
                          <w:b/>
                        </w:rPr>
                        <w:t>National Centre for Vocational Education Research</w:t>
                      </w:r>
                    </w:p>
                    <w:p w:rsidR="005219E8" w:rsidRPr="006E0B9E" w:rsidRDefault="005219E8" w:rsidP="002A281D">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5219E8" w:rsidRPr="006E0B9E" w:rsidRDefault="005219E8" w:rsidP="002A281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5219E8" w:rsidRPr="002A281D" w:rsidRDefault="005219E8" w:rsidP="002A281D">
                      <w:pPr>
                        <w:pStyle w:val="Imprint"/>
                        <w:spacing w:before="0"/>
                        <w:jc w:val="right"/>
                        <w:rPr>
                          <w:rFonts w:ascii="Arial" w:hAnsi="Arial" w:cs="Arial"/>
                          <w:szCs w:val="16"/>
                        </w:rPr>
                      </w:pPr>
                      <w:r w:rsidRPr="006E0B9E">
                        <w:rPr>
                          <w:rFonts w:ascii="Arial" w:hAnsi="Arial" w:cs="Arial"/>
                          <w:b/>
                        </w:rPr>
                        <w:t>Email</w:t>
                      </w:r>
                      <w:r w:rsidRPr="006E0B9E">
                        <w:rPr>
                          <w:rFonts w:ascii="Arial" w:hAnsi="Arial" w:cs="Arial"/>
                        </w:rPr>
                        <w:t xml:space="preserve"> </w:t>
                      </w:r>
                      <w:hyperlink r:id="rId56" w:history="1">
                        <w:r w:rsidRPr="002A28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w:t>
                      </w:r>
                      <w:r w:rsidRPr="002A281D">
                        <w:rPr>
                          <w:rFonts w:ascii="Arial" w:hAnsi="Arial" w:cs="Arial"/>
                          <w:szCs w:val="16"/>
                        </w:rPr>
                        <w:t>&lt;</w:t>
                      </w:r>
                      <w:hyperlink r:id="rId57" w:history="1">
                        <w:r w:rsidRPr="002A281D">
                          <w:rPr>
                            <w:rStyle w:val="Hyperlink"/>
                            <w:rFonts w:ascii="Arial" w:hAnsi="Arial" w:cs="Arial"/>
                            <w:sz w:val="16"/>
                            <w:szCs w:val="16"/>
                          </w:rPr>
                          <w:t>http://www.lsay.edu.au</w:t>
                        </w:r>
                      </w:hyperlink>
                      <w:r w:rsidRPr="002A281D">
                        <w:rPr>
                          <w:rFonts w:ascii="Arial" w:hAnsi="Arial" w:cs="Arial"/>
                          <w:szCs w:val="16"/>
                        </w:rPr>
                        <w:t>&gt;</w:t>
                      </w:r>
                    </w:p>
                    <w:p w:rsidR="005219E8" w:rsidRPr="006E0B9E" w:rsidRDefault="005219E8" w:rsidP="002A281D">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2A281D">
                        <w:rPr>
                          <w:rFonts w:ascii="Arial" w:hAnsi="Arial" w:cs="Arial"/>
                          <w:szCs w:val="16"/>
                        </w:rPr>
                        <w:t>&lt;</w:t>
                      </w:r>
                      <w:hyperlink r:id="rId58" w:history="1">
                        <w:r w:rsidRPr="002A281D">
                          <w:rPr>
                            <w:rStyle w:val="Hyperlink"/>
                            <w:rFonts w:ascii="Arial" w:hAnsi="Arial" w:cs="Arial"/>
                            <w:sz w:val="16"/>
                            <w:szCs w:val="16"/>
                          </w:rPr>
                          <w:t>http://twitter.com/ncver</w:t>
                        </w:r>
                      </w:hyperlink>
                      <w:r w:rsidRPr="002A281D">
                        <w:rPr>
                          <w:rFonts w:ascii="Arial" w:hAnsi="Arial" w:cs="Arial"/>
                          <w:szCs w:val="16"/>
                        </w:rPr>
                        <w:t>&gt;</w:t>
                      </w:r>
                      <w:r w:rsidRPr="006C271D">
                        <w:rPr>
                          <w:rFonts w:ascii="Arial" w:hAnsi="Arial" w:cs="Arial"/>
                          <w:szCs w:val="16"/>
                        </w:rPr>
                        <w:t xml:space="preserve">         </w:t>
                      </w:r>
                      <w:r w:rsidRPr="006E0B9E">
                        <w:rPr>
                          <w:rFonts w:ascii="Arial" w:hAnsi="Arial" w:cs="Arial"/>
                        </w:rPr>
                        <w:t>&lt;http://www.linkedin.com/company/ncver&gt;</w:t>
                      </w:r>
                    </w:p>
                    <w:p w:rsidR="005219E8" w:rsidRPr="009F3844" w:rsidRDefault="005219E8" w:rsidP="002A281D">
                      <w:pPr>
                        <w:rPr>
                          <w:rFonts w:ascii="Arial" w:hAnsi="Arial" w:cs="Arial"/>
                          <w:sz w:val="16"/>
                          <w:szCs w:val="16"/>
                        </w:rPr>
                      </w:pPr>
                    </w:p>
                  </w:txbxContent>
                </v:textbox>
              </v:shape>
            </w:pict>
          </mc:Fallback>
        </mc:AlternateContent>
      </w:r>
      <w:r w:rsidR="002A281D" w:rsidRPr="002A281D">
        <w:rPr>
          <w:rFonts w:eastAsiaTheme="minorEastAsia"/>
          <w:noProof/>
          <w:lang w:eastAsia="en-AU"/>
        </w:rPr>
        <w:drawing>
          <wp:anchor distT="0" distB="0" distL="114300" distR="114300" simplePos="0" relativeHeight="251768832" behindDoc="0" locked="0" layoutInCell="1" allowOverlap="1" wp14:anchorId="4770E572" wp14:editId="511F0F52">
            <wp:simplePos x="0" y="0"/>
            <wp:positionH relativeFrom="column">
              <wp:posOffset>4151630</wp:posOffset>
            </wp:positionH>
            <wp:positionV relativeFrom="paragraph">
              <wp:posOffset>7195185</wp:posOffset>
            </wp:positionV>
            <wp:extent cx="2276475" cy="486410"/>
            <wp:effectExtent l="0" t="0" r="9525" b="8890"/>
            <wp:wrapNone/>
            <wp:docPr id="30" name="Picture 30"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3DFD" w:rsidRPr="00A80071" w:rsidSect="00F60BA5">
      <w:footnotePr>
        <w:numRestart w:val="eachSect"/>
      </w:footnotePr>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9E8" w:rsidRDefault="005219E8">
      <w:r>
        <w:separator/>
      </w:r>
    </w:p>
  </w:endnote>
  <w:endnote w:type="continuationSeparator" w:id="0">
    <w:p w:rsidR="005219E8" w:rsidRDefault="0052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KRVGP+Palatino-Bold">
    <w:altName w:val="Book Antiqua"/>
    <w:panose1 w:val="00000000000000000000"/>
    <w:charset w:val="00"/>
    <w:family w:val="roman"/>
    <w:notTrueType/>
    <w:pitch w:val="default"/>
    <w:sig w:usb0="00000003" w:usb1="00000000" w:usb2="00000000" w:usb3="00000000" w:csb0="00000001" w:csb1="00000000"/>
  </w:font>
  <w:font w:name="RUXJET+Palatino-Italic">
    <w:altName w:val="Book Antiqu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9E8" w:rsidRPr="006F2116" w:rsidRDefault="005219E8" w:rsidP="00FF5931">
    <w:pPr>
      <w:pStyle w:val="Footer"/>
      <w:tabs>
        <w:tab w:val="clear" w:pos="8505"/>
        <w:tab w:val="right" w:pos="8789"/>
      </w:tabs>
      <w:rPr>
        <w:rFonts w:ascii="Arial" w:hAnsi="Arial" w:cs="Arial"/>
        <w:b/>
      </w:rPr>
    </w:pPr>
    <w:r w:rsidRPr="006F2116">
      <w:rPr>
        <w:rFonts w:ascii="Arial" w:hAnsi="Arial" w:cs="Arial"/>
        <w:b/>
      </w:rPr>
      <w:fldChar w:fldCharType="begin"/>
    </w:r>
    <w:r w:rsidRPr="006F2116">
      <w:rPr>
        <w:rFonts w:ascii="Arial" w:hAnsi="Arial" w:cs="Arial"/>
        <w:b/>
      </w:rPr>
      <w:instrText xml:space="preserve"> PAGE </w:instrText>
    </w:r>
    <w:r w:rsidRPr="006F2116">
      <w:rPr>
        <w:rFonts w:ascii="Arial" w:hAnsi="Arial" w:cs="Arial"/>
        <w:b/>
      </w:rPr>
      <w:fldChar w:fldCharType="separate"/>
    </w:r>
    <w:r w:rsidR="004E0CB6">
      <w:rPr>
        <w:rFonts w:ascii="Arial" w:hAnsi="Arial" w:cs="Arial"/>
        <w:b/>
        <w:noProof/>
      </w:rPr>
      <w:t>72</w:t>
    </w:r>
    <w:r w:rsidRPr="006F2116">
      <w:rPr>
        <w:rFonts w:ascii="Arial" w:hAnsi="Arial" w:cs="Arial"/>
        <w:b/>
      </w:rPr>
      <w:fldChar w:fldCharType="end"/>
    </w:r>
    <w:r w:rsidRPr="006F2116">
      <w:rPr>
        <w:rFonts w:ascii="Arial" w:hAnsi="Arial" w:cs="Arial"/>
        <w:b/>
        <w:color w:val="FFFFFF" w:themeColor="background1"/>
      </w:rPr>
      <w:tab/>
    </w:r>
    <w:r w:rsidRPr="006F2116">
      <w:rPr>
        <w:rFonts w:ascii="Arial" w:hAnsi="Arial" w:cs="Arial"/>
        <w:b/>
      </w:rPr>
      <w:t>23</w:t>
    </w:r>
    <w:r w:rsidRPr="006F2116">
      <w:rPr>
        <w:rFonts w:ascii="Arial" w:hAnsi="Arial" w:cs="Arial"/>
        <w:b/>
        <w:vertAlign w:val="superscript"/>
      </w:rPr>
      <w:t>rd</w:t>
    </w:r>
    <w:r w:rsidRPr="006F2116">
      <w:rPr>
        <w:rFonts w:ascii="Arial" w:hAnsi="Arial" w:cs="Arial"/>
        <w:b/>
      </w:rPr>
      <w:t xml:space="preserve"> National Vocational Education and Training Research Conference ‘No Frills’: </w:t>
    </w:r>
  </w:p>
  <w:p w:rsidR="005219E8" w:rsidRPr="006F2116" w:rsidRDefault="005219E8" w:rsidP="00FF5931">
    <w:pPr>
      <w:pStyle w:val="Footer"/>
      <w:tabs>
        <w:tab w:val="clear" w:pos="8505"/>
        <w:tab w:val="right" w:pos="8789"/>
      </w:tabs>
      <w:rPr>
        <w:rFonts w:ascii="Arial" w:hAnsi="Arial" w:cs="Arial"/>
        <w:b/>
      </w:rPr>
    </w:pPr>
    <w:r w:rsidRPr="006F2116">
      <w:rPr>
        <w:rFonts w:ascii="Arial" w:hAnsi="Arial" w:cs="Arial"/>
        <w:b/>
      </w:rPr>
      <w:tab/>
      <w:t>refereed papers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9E8" w:rsidRDefault="005219E8" w:rsidP="008C0A74">
    <w:pPr>
      <w:pStyle w:val="Footer"/>
      <w:tabs>
        <w:tab w:val="clear" w:pos="8505"/>
        <w:tab w:val="right" w:pos="8789"/>
      </w:tabs>
      <w:rPr>
        <w:b/>
      </w:rPr>
    </w:pPr>
    <w:r w:rsidRPr="006F2116">
      <w:rPr>
        <w:rFonts w:ascii="Arial" w:hAnsi="Arial" w:cs="Arial"/>
        <w:b/>
      </w:rPr>
      <w:t>NCVER</w:t>
    </w:r>
    <w:r>
      <w:rPr>
        <w:b/>
      </w:rPr>
      <w:tab/>
    </w:r>
    <w:r w:rsidRPr="006F2116">
      <w:rPr>
        <w:rStyle w:val="PageNumber"/>
        <w:rFonts w:cs="Tahoma"/>
        <w:b/>
        <w:sz w:val="17"/>
      </w:rPr>
      <w:fldChar w:fldCharType="begin"/>
    </w:r>
    <w:r w:rsidRPr="006F2116">
      <w:rPr>
        <w:rStyle w:val="PageNumber"/>
        <w:rFonts w:cs="Tahoma"/>
        <w:b/>
        <w:sz w:val="17"/>
      </w:rPr>
      <w:instrText xml:space="preserve"> PAGE </w:instrText>
    </w:r>
    <w:r w:rsidRPr="006F2116">
      <w:rPr>
        <w:rStyle w:val="PageNumber"/>
        <w:rFonts w:cs="Tahoma"/>
        <w:b/>
        <w:sz w:val="17"/>
      </w:rPr>
      <w:fldChar w:fldCharType="separate"/>
    </w:r>
    <w:r w:rsidR="004E0CB6">
      <w:rPr>
        <w:rStyle w:val="PageNumber"/>
        <w:rFonts w:cs="Tahoma"/>
        <w:b/>
        <w:noProof/>
        <w:sz w:val="17"/>
      </w:rPr>
      <w:t>7</w:t>
    </w:r>
    <w:r w:rsidRPr="006F2116">
      <w:rPr>
        <w:rStyle w:val="PageNumber"/>
        <w:rFonts w:cs="Tahoma"/>
        <w:b/>
        <w:sz w:val="17"/>
      </w:rPr>
      <w:fldChar w:fldCharType="end"/>
    </w:r>
  </w:p>
  <w:p w:rsidR="005219E8" w:rsidRPr="009775C7" w:rsidRDefault="005219E8" w:rsidP="008C0A74">
    <w:pPr>
      <w:pStyle w:val="Footer"/>
      <w:tabs>
        <w:tab w:val="clear" w:pos="8505"/>
        <w:tab w:val="right" w:pos="8789"/>
      </w:tabs>
      <w:rPr>
        <w:color w:val="FFFFFF" w:themeColor="background1"/>
      </w:rPr>
    </w:pPr>
    <w:r w:rsidRPr="009775C7">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9E8" w:rsidRPr="008C0A74" w:rsidRDefault="005219E8" w:rsidP="00FF5931">
    <w:pPr>
      <w:pStyle w:val="Footer"/>
      <w:tabs>
        <w:tab w:val="clear" w:pos="8505"/>
        <w:tab w:val="right" w:pos="8789"/>
      </w:tabs>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9E8" w:rsidRPr="009775C7" w:rsidRDefault="005219E8" w:rsidP="008C0A74">
    <w:pPr>
      <w:pStyle w:val="Footer"/>
      <w:tabs>
        <w:tab w:val="clear" w:pos="8505"/>
        <w:tab w:val="right" w:pos="8789"/>
      </w:tabs>
      <w:rPr>
        <w:color w:val="FFFFFF" w:themeColor="background1"/>
      </w:rPr>
    </w:pPr>
    <w:r w:rsidRPr="009775C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9E8" w:rsidRDefault="005219E8">
      <w:r>
        <w:separator/>
      </w:r>
    </w:p>
  </w:footnote>
  <w:footnote w:type="continuationSeparator" w:id="0">
    <w:p w:rsidR="005219E8" w:rsidRDefault="005219E8">
      <w:r>
        <w:continuationSeparator/>
      </w:r>
    </w:p>
  </w:footnote>
  <w:footnote w:id="1">
    <w:p w:rsidR="005219E8" w:rsidRDefault="005219E8">
      <w:pPr>
        <w:pStyle w:val="FootnoteText"/>
      </w:pPr>
      <w:r w:rsidRPr="00834983">
        <w:rPr>
          <w:rStyle w:val="FootnoteReference"/>
        </w:rPr>
        <w:footnoteRef/>
      </w:r>
      <w:r w:rsidRPr="00834983">
        <w:t xml:space="preserve"> </w:t>
      </w:r>
      <w:r>
        <w:tab/>
      </w:r>
      <w:r w:rsidRPr="00834983">
        <w:t>Previously known as Central Queensland University</w:t>
      </w:r>
      <w:r>
        <w:t>.</w:t>
      </w:r>
    </w:p>
  </w:footnote>
  <w:footnote w:id="2">
    <w:p w:rsidR="005219E8" w:rsidRDefault="005219E8" w:rsidP="00C15CB0">
      <w:pPr>
        <w:pStyle w:val="FootnoteText"/>
      </w:pPr>
      <w:r w:rsidRPr="00834983">
        <w:rPr>
          <w:rStyle w:val="FootnoteReference"/>
        </w:rPr>
        <w:footnoteRef/>
      </w:r>
      <w:r w:rsidRPr="00834983">
        <w:t xml:space="preserve"> </w:t>
      </w:r>
      <w:r>
        <w:tab/>
      </w:r>
      <w:r w:rsidRPr="00834983">
        <w:t>As at 30 May, the Parliamentary websit</w:t>
      </w:r>
      <w:r>
        <w:t>e listed 172 submissions;</w:t>
      </w:r>
      <w:r w:rsidRPr="00834983">
        <w:t xml:space="preserve"> however</w:t>
      </w:r>
      <w:r>
        <w:t>,</w:t>
      </w:r>
      <w:r w:rsidRPr="00834983">
        <w:t xml:space="preserve"> this included some duplicates.</w:t>
      </w:r>
      <w:r>
        <w:t xml:space="preserve"> </w:t>
      </w:r>
    </w:p>
  </w:footnote>
  <w:footnote w:id="3">
    <w:p w:rsidR="005219E8" w:rsidRDefault="005219E8" w:rsidP="00D80C81">
      <w:pPr>
        <w:pStyle w:val="FootnoteText"/>
      </w:pPr>
      <w:r w:rsidRPr="00834983">
        <w:rPr>
          <w:rStyle w:val="FootnoteReference"/>
        </w:rPr>
        <w:footnoteRef/>
      </w:r>
      <w:r w:rsidRPr="00834983">
        <w:t xml:space="preserve"> </w:t>
      </w:r>
      <w:r>
        <w:tab/>
      </w:r>
      <w:proofErr w:type="gramStart"/>
      <w:r w:rsidRPr="00834983">
        <w:t>Culturally and linguistically diverse (including migrants, refugees, and non-English speaking backgrounds)</w:t>
      </w:r>
      <w:r>
        <w:t>.</w:t>
      </w:r>
      <w:proofErr w:type="gramEnd"/>
    </w:p>
  </w:footnote>
  <w:footnote w:id="4">
    <w:p w:rsidR="005219E8" w:rsidRDefault="005219E8" w:rsidP="00C15CB0">
      <w:pPr>
        <w:pStyle w:val="FootnoteText"/>
      </w:pPr>
      <w:r w:rsidRPr="00834983">
        <w:rPr>
          <w:rStyle w:val="FootnoteReference"/>
        </w:rPr>
        <w:footnoteRef/>
      </w:r>
      <w:r w:rsidRPr="00834983">
        <w:t xml:space="preserve"> </w:t>
      </w:r>
      <w:r>
        <w:tab/>
      </w:r>
      <w:r w:rsidRPr="00834983">
        <w:t xml:space="preserve">The CQUniversity submission does not appear in the content analysis; at time of writing it had </w:t>
      </w:r>
      <w:r>
        <w:t>been formally receipted by the i</w:t>
      </w:r>
      <w:r w:rsidRPr="00834983">
        <w:t>nquiry but was yet to appear on the website.</w:t>
      </w:r>
      <w:r>
        <w:t xml:space="preserve"> </w:t>
      </w:r>
    </w:p>
  </w:footnote>
  <w:footnote w:id="5">
    <w:p w:rsidR="005219E8" w:rsidRDefault="005219E8" w:rsidP="00D375D7">
      <w:pPr>
        <w:pStyle w:val="FootnoteText"/>
      </w:pPr>
      <w:r w:rsidRPr="00733FAB">
        <w:rPr>
          <w:rStyle w:val="FootnoteReference"/>
        </w:rPr>
        <w:footnoteRef/>
      </w:r>
      <w:r w:rsidRPr="00733FAB">
        <w:t xml:space="preserve"> </w:t>
      </w:r>
      <w:r>
        <w:tab/>
      </w:r>
      <w:r w:rsidRPr="00733FAB">
        <w:rPr>
          <w:sz w:val="18"/>
          <w:szCs w:val="18"/>
        </w:rPr>
        <w:t xml:space="preserve">The Victorian </w:t>
      </w:r>
      <w:proofErr w:type="gramStart"/>
      <w:r w:rsidRPr="00733FAB">
        <w:rPr>
          <w:i/>
          <w:iCs/>
          <w:sz w:val="18"/>
          <w:szCs w:val="18"/>
        </w:rPr>
        <w:t>On</w:t>
      </w:r>
      <w:proofErr w:type="gramEnd"/>
      <w:r w:rsidRPr="00733FAB">
        <w:rPr>
          <w:i/>
          <w:iCs/>
          <w:sz w:val="18"/>
          <w:szCs w:val="18"/>
        </w:rPr>
        <w:t xml:space="preserve"> Track </w:t>
      </w:r>
      <w:r w:rsidRPr="00733FAB">
        <w:rPr>
          <w:sz w:val="18"/>
          <w:szCs w:val="18"/>
        </w:rPr>
        <w:t xml:space="preserve">survey, conducted annually, is the first and largest survey of school completers. In the absence of national data on post-school transitions, the Victorian tracking data </w:t>
      </w:r>
      <w:r>
        <w:rPr>
          <w:sz w:val="18"/>
          <w:szCs w:val="18"/>
        </w:rPr>
        <w:t>usefully illustrate</w:t>
      </w:r>
      <w:r w:rsidRPr="00733FAB">
        <w:rPr>
          <w:sz w:val="18"/>
          <w:szCs w:val="18"/>
        </w:rPr>
        <w:t xml:space="preserve"> </w:t>
      </w:r>
      <w:r>
        <w:rPr>
          <w:sz w:val="18"/>
          <w:szCs w:val="18"/>
        </w:rPr>
        <w:t xml:space="preserve">the </w:t>
      </w:r>
      <w:r w:rsidRPr="00733FAB">
        <w:rPr>
          <w:sz w:val="18"/>
          <w:szCs w:val="18"/>
        </w:rPr>
        <w:t>gendered patterns of entry to apprenticeships and traineeships.</w:t>
      </w:r>
      <w:r>
        <w:rPr>
          <w:sz w:val="18"/>
          <w:szCs w:val="18"/>
        </w:rPr>
        <w:t xml:space="preserve"> </w:t>
      </w:r>
      <w:r>
        <w:t xml:space="preserve"> </w:t>
      </w:r>
    </w:p>
  </w:footnote>
  <w:footnote w:id="6">
    <w:p w:rsidR="005219E8" w:rsidRPr="00733FAB" w:rsidRDefault="005219E8" w:rsidP="00577E35">
      <w:pPr>
        <w:pStyle w:val="FootnoteText"/>
        <w:ind w:left="0" w:firstLine="0"/>
      </w:pPr>
      <w:r w:rsidRPr="00733FAB">
        <w:rPr>
          <w:rStyle w:val="FootnoteReference"/>
        </w:rPr>
        <w:footnoteRef/>
      </w:r>
      <w:r>
        <w:tab/>
        <w:t>&lt;</w:t>
      </w:r>
      <w:r w:rsidRPr="00733FAB">
        <w:t>http://www.constructmycareer.com.au/industry-women-central</w:t>
      </w:r>
      <w:r>
        <w:t>&gt;.</w:t>
      </w:r>
    </w:p>
  </w:footnote>
  <w:footnote w:id="7">
    <w:p w:rsidR="005219E8" w:rsidRPr="00733FAB" w:rsidRDefault="005219E8">
      <w:pPr>
        <w:pStyle w:val="FootnoteText"/>
      </w:pPr>
      <w:r w:rsidRPr="00733FAB">
        <w:rPr>
          <w:rStyle w:val="FootnoteReference"/>
        </w:rPr>
        <w:footnoteRef/>
      </w:r>
      <w:r w:rsidRPr="00733FAB">
        <w:t xml:space="preserve"> </w:t>
      </w:r>
      <w:r>
        <w:tab/>
        <w:t>&lt;</w:t>
      </w:r>
      <w:r w:rsidRPr="00733FAB">
        <w:t>http://fanelle.com.au/</w:t>
      </w:r>
      <w:r>
        <w:t>&gt;.</w:t>
      </w:r>
    </w:p>
  </w:footnote>
  <w:footnote w:id="8">
    <w:p w:rsidR="005219E8" w:rsidRDefault="005219E8" w:rsidP="00577E35">
      <w:pPr>
        <w:pStyle w:val="FootnoteText"/>
        <w:ind w:left="0" w:firstLine="0"/>
      </w:pPr>
      <w:r w:rsidRPr="00733FAB">
        <w:rPr>
          <w:rStyle w:val="FootnoteReference"/>
        </w:rPr>
        <w:footnoteRef/>
      </w:r>
      <w:r w:rsidRPr="00733FAB">
        <w:t xml:space="preserve"> </w:t>
      </w:r>
      <w:r>
        <w:tab/>
        <w:t>&lt;</w:t>
      </w:r>
      <w:r w:rsidRPr="00733FAB">
        <w:t>http://www.saltaustralia.org/</w:t>
      </w:r>
      <w:r>
        <w:t>&gt;.</w:t>
      </w:r>
    </w:p>
  </w:footnote>
  <w:footnote w:id="9">
    <w:p w:rsidR="005219E8" w:rsidRDefault="005219E8">
      <w:pPr>
        <w:pStyle w:val="FootnoteText"/>
      </w:pPr>
      <w:r>
        <w:rPr>
          <w:rStyle w:val="FootnoteReference"/>
        </w:rPr>
        <w:footnoteRef/>
      </w:r>
      <w:r>
        <w:t xml:space="preserve"> A collaborative project conducted by the University of Southern Queensland, Department of Education and Training (TAFE Qld), Careers Australia Group and the Australian Council for Private Education and Training.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0EF"/>
    <w:multiLevelType w:val="hybridMultilevel"/>
    <w:tmpl w:val="B6F0B62E"/>
    <w:lvl w:ilvl="0" w:tplc="98A0994A">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25F323B"/>
    <w:multiLevelType w:val="hybridMultilevel"/>
    <w:tmpl w:val="9028F9D2"/>
    <w:lvl w:ilvl="0" w:tplc="0C090001">
      <w:numFmt w:val="bullet"/>
      <w:lvlText w:val=""/>
      <w:lvlJc w:val="left"/>
      <w:pPr>
        <w:ind w:left="720" w:hanging="360"/>
      </w:pPr>
      <w:rPr>
        <w:rFonts w:ascii="Symbol" w:eastAsia="Times New Roman" w:hAnsi="Symbol" w:cs="Times New Roman"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7F2CA7"/>
    <w:multiLevelType w:val="hybridMultilevel"/>
    <w:tmpl w:val="5EE4D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4">
    <w:nsid w:val="27A06C7F"/>
    <w:multiLevelType w:val="hybridMultilevel"/>
    <w:tmpl w:val="564E6C9E"/>
    <w:lvl w:ilvl="0" w:tplc="55D41E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56760D6"/>
    <w:multiLevelType w:val="hybridMultilevel"/>
    <w:tmpl w:val="58401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1E95A50"/>
    <w:multiLevelType w:val="hybridMultilevel"/>
    <w:tmpl w:val="F53A61B8"/>
    <w:lvl w:ilvl="0" w:tplc="0C090001">
      <w:start w:val="1"/>
      <w:numFmt w:val="bullet"/>
      <w:lvlText w:val=""/>
      <w:lvlJc w:val="left"/>
      <w:pPr>
        <w:tabs>
          <w:tab w:val="num" w:pos="284"/>
        </w:tabs>
        <w:ind w:left="0" w:firstLine="0"/>
      </w:pPr>
      <w:rPr>
        <w:rFonts w:ascii="Symbol" w:hAnsi="Symbol" w:hint="default"/>
      </w:rPr>
    </w:lvl>
    <w:lvl w:ilvl="1" w:tplc="0994B9E0">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42E51F0F"/>
    <w:multiLevelType w:val="hybridMultilevel"/>
    <w:tmpl w:val="4516BB32"/>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B21345"/>
    <w:multiLevelType w:val="hybridMultilevel"/>
    <w:tmpl w:val="D05CE834"/>
    <w:lvl w:ilvl="0" w:tplc="9D845C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88D6842"/>
    <w:multiLevelType w:val="hybridMultilevel"/>
    <w:tmpl w:val="DAE40626"/>
    <w:lvl w:ilvl="0" w:tplc="4B02EA6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nsid w:val="62133FD5"/>
    <w:multiLevelType w:val="hybridMultilevel"/>
    <w:tmpl w:val="03DA2A48"/>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2">
    <w:nsid w:val="6D2F7C69"/>
    <w:multiLevelType w:val="hybridMultilevel"/>
    <w:tmpl w:val="28B2B8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E6568BB"/>
    <w:multiLevelType w:val="hybridMultilevel"/>
    <w:tmpl w:val="E27C6F86"/>
    <w:lvl w:ilvl="0" w:tplc="C1E4D21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3752FE8"/>
    <w:multiLevelType w:val="hybridMultilevel"/>
    <w:tmpl w:val="E9BC808A"/>
    <w:lvl w:ilvl="0" w:tplc="0C090001">
      <w:start w:val="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52554E4"/>
    <w:multiLevelType w:val="hybridMultilevel"/>
    <w:tmpl w:val="D7B0FA84"/>
    <w:lvl w:ilvl="0" w:tplc="C79C2C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0"/>
  </w:num>
  <w:num w:numId="3">
    <w:abstractNumId w:val="0"/>
  </w:num>
  <w:num w:numId="4">
    <w:abstractNumId w:val="12"/>
  </w:num>
  <w:num w:numId="5">
    <w:abstractNumId w:val="8"/>
  </w:num>
  <w:num w:numId="6">
    <w:abstractNumId w:val="9"/>
  </w:num>
  <w:num w:numId="7">
    <w:abstractNumId w:val="9"/>
    <w:lvlOverride w:ilvl="0">
      <w:startOverride w:val="1"/>
    </w:lvlOverride>
  </w:num>
  <w:num w:numId="8">
    <w:abstractNumId w:val="7"/>
  </w:num>
  <w:num w:numId="9">
    <w:abstractNumId w:val="1"/>
  </w:num>
  <w:num w:numId="10">
    <w:abstractNumId w:val="3"/>
  </w:num>
  <w:num w:numId="11">
    <w:abstractNumId w:val="11"/>
  </w:num>
  <w:num w:numId="12">
    <w:abstractNumId w:val="13"/>
  </w:num>
  <w:num w:numId="13">
    <w:abstractNumId w:val="13"/>
  </w:num>
  <w:num w:numId="14">
    <w:abstractNumId w:val="10"/>
  </w:num>
  <w:num w:numId="15">
    <w:abstractNumId w:val="13"/>
  </w:num>
  <w:num w:numId="16">
    <w:abstractNumId w:val="6"/>
  </w:num>
  <w:num w:numId="17">
    <w:abstractNumId w:val="2"/>
  </w:num>
  <w:num w:numId="18">
    <w:abstractNumId w:val="15"/>
  </w:num>
  <w:num w:numId="19">
    <w:abstractNumId w:val="5"/>
  </w:num>
  <w:num w:numId="20">
    <w:abstractNumId w:val="4"/>
  </w:num>
  <w:num w:numId="21">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C7A"/>
    <w:rsid w:val="00007BEE"/>
    <w:rsid w:val="000108B2"/>
    <w:rsid w:val="00012B64"/>
    <w:rsid w:val="00013265"/>
    <w:rsid w:val="00013AF5"/>
    <w:rsid w:val="0001476F"/>
    <w:rsid w:val="00015F17"/>
    <w:rsid w:val="0001601D"/>
    <w:rsid w:val="00016ADE"/>
    <w:rsid w:val="00022290"/>
    <w:rsid w:val="000248DB"/>
    <w:rsid w:val="000274CC"/>
    <w:rsid w:val="000315D7"/>
    <w:rsid w:val="00033CD2"/>
    <w:rsid w:val="00034CC0"/>
    <w:rsid w:val="0003610F"/>
    <w:rsid w:val="00044E13"/>
    <w:rsid w:val="00055CAE"/>
    <w:rsid w:val="0005692D"/>
    <w:rsid w:val="0006125F"/>
    <w:rsid w:val="00065505"/>
    <w:rsid w:val="000679D9"/>
    <w:rsid w:val="000720E3"/>
    <w:rsid w:val="0007215F"/>
    <w:rsid w:val="00073D0A"/>
    <w:rsid w:val="00074BD4"/>
    <w:rsid w:val="00081B8B"/>
    <w:rsid w:val="00082649"/>
    <w:rsid w:val="000935C3"/>
    <w:rsid w:val="0009535B"/>
    <w:rsid w:val="00096228"/>
    <w:rsid w:val="000A0745"/>
    <w:rsid w:val="000A1A5E"/>
    <w:rsid w:val="000A1CA3"/>
    <w:rsid w:val="000A2ED5"/>
    <w:rsid w:val="000B1744"/>
    <w:rsid w:val="000C0D11"/>
    <w:rsid w:val="000C4083"/>
    <w:rsid w:val="000C5C37"/>
    <w:rsid w:val="000D3BE7"/>
    <w:rsid w:val="000E1C87"/>
    <w:rsid w:val="000E3583"/>
    <w:rsid w:val="000E39CE"/>
    <w:rsid w:val="000E5163"/>
    <w:rsid w:val="000E5D35"/>
    <w:rsid w:val="000F5602"/>
    <w:rsid w:val="000F641C"/>
    <w:rsid w:val="000F677C"/>
    <w:rsid w:val="000F6D8E"/>
    <w:rsid w:val="0010761A"/>
    <w:rsid w:val="00115A5B"/>
    <w:rsid w:val="001218E7"/>
    <w:rsid w:val="00123B5C"/>
    <w:rsid w:val="00132888"/>
    <w:rsid w:val="00135C75"/>
    <w:rsid w:val="00141650"/>
    <w:rsid w:val="00150874"/>
    <w:rsid w:val="001509F3"/>
    <w:rsid w:val="00155839"/>
    <w:rsid w:val="00157690"/>
    <w:rsid w:val="00161105"/>
    <w:rsid w:val="0016133C"/>
    <w:rsid w:val="001637E3"/>
    <w:rsid w:val="00164693"/>
    <w:rsid w:val="0016586A"/>
    <w:rsid w:val="00165C2A"/>
    <w:rsid w:val="0016655A"/>
    <w:rsid w:val="00166EF6"/>
    <w:rsid w:val="00170452"/>
    <w:rsid w:val="00171F8A"/>
    <w:rsid w:val="00172863"/>
    <w:rsid w:val="00173BCA"/>
    <w:rsid w:val="00177827"/>
    <w:rsid w:val="00184276"/>
    <w:rsid w:val="00184504"/>
    <w:rsid w:val="001A327F"/>
    <w:rsid w:val="001A33BF"/>
    <w:rsid w:val="001A58F4"/>
    <w:rsid w:val="001B43CF"/>
    <w:rsid w:val="001C2CB5"/>
    <w:rsid w:val="001C7313"/>
    <w:rsid w:val="001D1B18"/>
    <w:rsid w:val="001D46F5"/>
    <w:rsid w:val="001E032C"/>
    <w:rsid w:val="001E536E"/>
    <w:rsid w:val="001E6E0A"/>
    <w:rsid w:val="001F0597"/>
    <w:rsid w:val="001F33E7"/>
    <w:rsid w:val="001F4611"/>
    <w:rsid w:val="001F7D84"/>
    <w:rsid w:val="00203026"/>
    <w:rsid w:val="00215316"/>
    <w:rsid w:val="002220F5"/>
    <w:rsid w:val="0022386A"/>
    <w:rsid w:val="002262CC"/>
    <w:rsid w:val="002271BF"/>
    <w:rsid w:val="002277A9"/>
    <w:rsid w:val="0023154F"/>
    <w:rsid w:val="00233BFA"/>
    <w:rsid w:val="00237907"/>
    <w:rsid w:val="00243D08"/>
    <w:rsid w:val="00251E6A"/>
    <w:rsid w:val="00261E4C"/>
    <w:rsid w:val="00271733"/>
    <w:rsid w:val="00273835"/>
    <w:rsid w:val="00274D68"/>
    <w:rsid w:val="00282964"/>
    <w:rsid w:val="00284FCB"/>
    <w:rsid w:val="00286114"/>
    <w:rsid w:val="0029577C"/>
    <w:rsid w:val="00295944"/>
    <w:rsid w:val="002A1F34"/>
    <w:rsid w:val="002A281D"/>
    <w:rsid w:val="002A448A"/>
    <w:rsid w:val="002A4EF3"/>
    <w:rsid w:val="002A6936"/>
    <w:rsid w:val="002B1D4A"/>
    <w:rsid w:val="002B479B"/>
    <w:rsid w:val="002B7C02"/>
    <w:rsid w:val="002C7DB5"/>
    <w:rsid w:val="002E196B"/>
    <w:rsid w:val="002E64E3"/>
    <w:rsid w:val="002E6C84"/>
    <w:rsid w:val="002E76AC"/>
    <w:rsid w:val="002E7F9A"/>
    <w:rsid w:val="003030ED"/>
    <w:rsid w:val="0031787F"/>
    <w:rsid w:val="00323F7F"/>
    <w:rsid w:val="00325265"/>
    <w:rsid w:val="0033027B"/>
    <w:rsid w:val="00331FA5"/>
    <w:rsid w:val="00333F0E"/>
    <w:rsid w:val="00334CE3"/>
    <w:rsid w:val="00340B4D"/>
    <w:rsid w:val="00341603"/>
    <w:rsid w:val="00342748"/>
    <w:rsid w:val="00342A9F"/>
    <w:rsid w:val="00345017"/>
    <w:rsid w:val="00351980"/>
    <w:rsid w:val="00364642"/>
    <w:rsid w:val="00364EDC"/>
    <w:rsid w:val="00366EE1"/>
    <w:rsid w:val="003718EF"/>
    <w:rsid w:val="00374EDB"/>
    <w:rsid w:val="00375496"/>
    <w:rsid w:val="0038256E"/>
    <w:rsid w:val="00383DAF"/>
    <w:rsid w:val="00390CCF"/>
    <w:rsid w:val="0039142E"/>
    <w:rsid w:val="00397C94"/>
    <w:rsid w:val="003A0AC4"/>
    <w:rsid w:val="003B16DA"/>
    <w:rsid w:val="003B2A3D"/>
    <w:rsid w:val="003B483E"/>
    <w:rsid w:val="003B609C"/>
    <w:rsid w:val="003C0180"/>
    <w:rsid w:val="003C0EDC"/>
    <w:rsid w:val="003C0F56"/>
    <w:rsid w:val="003C1F59"/>
    <w:rsid w:val="003C31AA"/>
    <w:rsid w:val="003C4457"/>
    <w:rsid w:val="003C49EF"/>
    <w:rsid w:val="003D03FE"/>
    <w:rsid w:val="003D0AFF"/>
    <w:rsid w:val="003D12E4"/>
    <w:rsid w:val="003D5EB0"/>
    <w:rsid w:val="003D6251"/>
    <w:rsid w:val="003E3F69"/>
    <w:rsid w:val="003E67CB"/>
    <w:rsid w:val="003F084D"/>
    <w:rsid w:val="003F6C6A"/>
    <w:rsid w:val="004011EB"/>
    <w:rsid w:val="00403A38"/>
    <w:rsid w:val="00404960"/>
    <w:rsid w:val="00406026"/>
    <w:rsid w:val="004202CD"/>
    <w:rsid w:val="00422A7F"/>
    <w:rsid w:val="00422DBF"/>
    <w:rsid w:val="00430B34"/>
    <w:rsid w:val="00430FD7"/>
    <w:rsid w:val="004315C9"/>
    <w:rsid w:val="004319DD"/>
    <w:rsid w:val="00434917"/>
    <w:rsid w:val="00440579"/>
    <w:rsid w:val="0044136A"/>
    <w:rsid w:val="004532E0"/>
    <w:rsid w:val="004555B3"/>
    <w:rsid w:val="00464AF4"/>
    <w:rsid w:val="004700E4"/>
    <w:rsid w:val="00471E6C"/>
    <w:rsid w:val="004725A7"/>
    <w:rsid w:val="004815D6"/>
    <w:rsid w:val="00485724"/>
    <w:rsid w:val="0048643A"/>
    <w:rsid w:val="0048663C"/>
    <w:rsid w:val="00487657"/>
    <w:rsid w:val="004876A9"/>
    <w:rsid w:val="0049453B"/>
    <w:rsid w:val="00494E7C"/>
    <w:rsid w:val="004B13D9"/>
    <w:rsid w:val="004C002A"/>
    <w:rsid w:val="004C12EB"/>
    <w:rsid w:val="004C4063"/>
    <w:rsid w:val="004C5471"/>
    <w:rsid w:val="004D18C0"/>
    <w:rsid w:val="004D4802"/>
    <w:rsid w:val="004D7DB7"/>
    <w:rsid w:val="004E0CB6"/>
    <w:rsid w:val="004E164F"/>
    <w:rsid w:val="004E43FB"/>
    <w:rsid w:val="004E5E58"/>
    <w:rsid w:val="004E7227"/>
    <w:rsid w:val="004E7610"/>
    <w:rsid w:val="004F062D"/>
    <w:rsid w:val="004F5D47"/>
    <w:rsid w:val="004F6046"/>
    <w:rsid w:val="004F6DEE"/>
    <w:rsid w:val="004F7E8A"/>
    <w:rsid w:val="00516FE1"/>
    <w:rsid w:val="00520315"/>
    <w:rsid w:val="005215FF"/>
    <w:rsid w:val="005219E8"/>
    <w:rsid w:val="0052276C"/>
    <w:rsid w:val="00523926"/>
    <w:rsid w:val="005319A8"/>
    <w:rsid w:val="005412ED"/>
    <w:rsid w:val="00541B94"/>
    <w:rsid w:val="0055527D"/>
    <w:rsid w:val="005563D3"/>
    <w:rsid w:val="00560CAF"/>
    <w:rsid w:val="00564121"/>
    <w:rsid w:val="00566CFB"/>
    <w:rsid w:val="00570758"/>
    <w:rsid w:val="00577091"/>
    <w:rsid w:val="00577E35"/>
    <w:rsid w:val="00584B1F"/>
    <w:rsid w:val="00585372"/>
    <w:rsid w:val="00587DCB"/>
    <w:rsid w:val="005A00A8"/>
    <w:rsid w:val="005A0180"/>
    <w:rsid w:val="005A33DD"/>
    <w:rsid w:val="005A565F"/>
    <w:rsid w:val="005B59A1"/>
    <w:rsid w:val="005C1885"/>
    <w:rsid w:val="005C277E"/>
    <w:rsid w:val="005C2D94"/>
    <w:rsid w:val="005C4B7F"/>
    <w:rsid w:val="005C61F8"/>
    <w:rsid w:val="005D36EC"/>
    <w:rsid w:val="005E2A70"/>
    <w:rsid w:val="005E4764"/>
    <w:rsid w:val="005F16CF"/>
    <w:rsid w:val="005F5F6E"/>
    <w:rsid w:val="00611BDD"/>
    <w:rsid w:val="00615993"/>
    <w:rsid w:val="00622236"/>
    <w:rsid w:val="00623D40"/>
    <w:rsid w:val="0062673A"/>
    <w:rsid w:val="0063760A"/>
    <w:rsid w:val="00641998"/>
    <w:rsid w:val="00641F31"/>
    <w:rsid w:val="00642C3F"/>
    <w:rsid w:val="00650A37"/>
    <w:rsid w:val="00652973"/>
    <w:rsid w:val="00652AF2"/>
    <w:rsid w:val="0065637A"/>
    <w:rsid w:val="00656679"/>
    <w:rsid w:val="00657E80"/>
    <w:rsid w:val="00660B1A"/>
    <w:rsid w:val="0066161D"/>
    <w:rsid w:val="0066284C"/>
    <w:rsid w:val="0066383D"/>
    <w:rsid w:val="0066460E"/>
    <w:rsid w:val="00671C09"/>
    <w:rsid w:val="00674BB3"/>
    <w:rsid w:val="0067712D"/>
    <w:rsid w:val="00680710"/>
    <w:rsid w:val="00682A97"/>
    <w:rsid w:val="00696A48"/>
    <w:rsid w:val="00696FE2"/>
    <w:rsid w:val="006A0830"/>
    <w:rsid w:val="006A1CE4"/>
    <w:rsid w:val="006A429E"/>
    <w:rsid w:val="006A4757"/>
    <w:rsid w:val="006A7AE2"/>
    <w:rsid w:val="006B4D9B"/>
    <w:rsid w:val="006B4E7B"/>
    <w:rsid w:val="006B5BFF"/>
    <w:rsid w:val="006B773E"/>
    <w:rsid w:val="006C05D6"/>
    <w:rsid w:val="006C14B4"/>
    <w:rsid w:val="006C38C1"/>
    <w:rsid w:val="006C5DA9"/>
    <w:rsid w:val="006C7FEA"/>
    <w:rsid w:val="006D165C"/>
    <w:rsid w:val="006E20D3"/>
    <w:rsid w:val="006E23C9"/>
    <w:rsid w:val="006F2116"/>
    <w:rsid w:val="006F37EE"/>
    <w:rsid w:val="006F6F83"/>
    <w:rsid w:val="007014AC"/>
    <w:rsid w:val="0070214F"/>
    <w:rsid w:val="00702C7A"/>
    <w:rsid w:val="00703546"/>
    <w:rsid w:val="007037A4"/>
    <w:rsid w:val="00705CA8"/>
    <w:rsid w:val="007131C9"/>
    <w:rsid w:val="0072596F"/>
    <w:rsid w:val="00731EC8"/>
    <w:rsid w:val="00733FAB"/>
    <w:rsid w:val="00737B77"/>
    <w:rsid w:val="0074770D"/>
    <w:rsid w:val="0075449D"/>
    <w:rsid w:val="0075603A"/>
    <w:rsid w:val="00757A60"/>
    <w:rsid w:val="00760816"/>
    <w:rsid w:val="007642B5"/>
    <w:rsid w:val="0076598C"/>
    <w:rsid w:val="007736C1"/>
    <w:rsid w:val="00775C1B"/>
    <w:rsid w:val="00777EF4"/>
    <w:rsid w:val="00783F44"/>
    <w:rsid w:val="00784F4E"/>
    <w:rsid w:val="00787494"/>
    <w:rsid w:val="007A119D"/>
    <w:rsid w:val="007A2079"/>
    <w:rsid w:val="007A2424"/>
    <w:rsid w:val="007A3D7F"/>
    <w:rsid w:val="007A608D"/>
    <w:rsid w:val="007A7500"/>
    <w:rsid w:val="007A7D62"/>
    <w:rsid w:val="007B0A81"/>
    <w:rsid w:val="007B1398"/>
    <w:rsid w:val="007B4DD9"/>
    <w:rsid w:val="007B6C4A"/>
    <w:rsid w:val="007B6D51"/>
    <w:rsid w:val="007C0DEB"/>
    <w:rsid w:val="007C11FE"/>
    <w:rsid w:val="007C1EC9"/>
    <w:rsid w:val="007C3281"/>
    <w:rsid w:val="007C50A7"/>
    <w:rsid w:val="007C75D3"/>
    <w:rsid w:val="007D5567"/>
    <w:rsid w:val="007E2D8C"/>
    <w:rsid w:val="007E31BF"/>
    <w:rsid w:val="007E49E7"/>
    <w:rsid w:val="007F111F"/>
    <w:rsid w:val="007F1A9E"/>
    <w:rsid w:val="007F5132"/>
    <w:rsid w:val="00800A2B"/>
    <w:rsid w:val="00802E57"/>
    <w:rsid w:val="008040F5"/>
    <w:rsid w:val="008056ED"/>
    <w:rsid w:val="008069C2"/>
    <w:rsid w:val="00806C1C"/>
    <w:rsid w:val="00807550"/>
    <w:rsid w:val="008103A5"/>
    <w:rsid w:val="008138E5"/>
    <w:rsid w:val="00815BDE"/>
    <w:rsid w:val="00817C6A"/>
    <w:rsid w:val="008223D4"/>
    <w:rsid w:val="0082409B"/>
    <w:rsid w:val="00826757"/>
    <w:rsid w:val="00830B0E"/>
    <w:rsid w:val="008318C5"/>
    <w:rsid w:val="00834983"/>
    <w:rsid w:val="0083629B"/>
    <w:rsid w:val="00840D5D"/>
    <w:rsid w:val="00842044"/>
    <w:rsid w:val="0084604B"/>
    <w:rsid w:val="00852661"/>
    <w:rsid w:val="00852665"/>
    <w:rsid w:val="00852F44"/>
    <w:rsid w:val="00854DE8"/>
    <w:rsid w:val="0085562E"/>
    <w:rsid w:val="00860102"/>
    <w:rsid w:val="00860126"/>
    <w:rsid w:val="00863223"/>
    <w:rsid w:val="00863375"/>
    <w:rsid w:val="00863D73"/>
    <w:rsid w:val="008730B2"/>
    <w:rsid w:val="00874DA5"/>
    <w:rsid w:val="00882B32"/>
    <w:rsid w:val="00886CBF"/>
    <w:rsid w:val="00887109"/>
    <w:rsid w:val="00891F91"/>
    <w:rsid w:val="008923B6"/>
    <w:rsid w:val="00894271"/>
    <w:rsid w:val="00895661"/>
    <w:rsid w:val="008A1C55"/>
    <w:rsid w:val="008B0D94"/>
    <w:rsid w:val="008B22E2"/>
    <w:rsid w:val="008B4B8A"/>
    <w:rsid w:val="008B7F72"/>
    <w:rsid w:val="008C0A74"/>
    <w:rsid w:val="008C2283"/>
    <w:rsid w:val="008C2967"/>
    <w:rsid w:val="008C30FC"/>
    <w:rsid w:val="008C3567"/>
    <w:rsid w:val="008D1CD1"/>
    <w:rsid w:val="008D5A7E"/>
    <w:rsid w:val="008E1AD1"/>
    <w:rsid w:val="008E45EB"/>
    <w:rsid w:val="008F20BA"/>
    <w:rsid w:val="00902C60"/>
    <w:rsid w:val="009058B5"/>
    <w:rsid w:val="0090592C"/>
    <w:rsid w:val="0091749B"/>
    <w:rsid w:val="00923759"/>
    <w:rsid w:val="009272BB"/>
    <w:rsid w:val="009313B2"/>
    <w:rsid w:val="0093279C"/>
    <w:rsid w:val="00933317"/>
    <w:rsid w:val="00933F51"/>
    <w:rsid w:val="00940FC8"/>
    <w:rsid w:val="00941068"/>
    <w:rsid w:val="00941446"/>
    <w:rsid w:val="00942FB7"/>
    <w:rsid w:val="009461ED"/>
    <w:rsid w:val="00946EFD"/>
    <w:rsid w:val="00950881"/>
    <w:rsid w:val="009538E6"/>
    <w:rsid w:val="009607B3"/>
    <w:rsid w:val="00963725"/>
    <w:rsid w:val="00967D58"/>
    <w:rsid w:val="009704E4"/>
    <w:rsid w:val="00970685"/>
    <w:rsid w:val="00973376"/>
    <w:rsid w:val="009775C7"/>
    <w:rsid w:val="00977651"/>
    <w:rsid w:val="009812F6"/>
    <w:rsid w:val="00996066"/>
    <w:rsid w:val="009B1F3D"/>
    <w:rsid w:val="009B1FE5"/>
    <w:rsid w:val="009B5BA0"/>
    <w:rsid w:val="009B6874"/>
    <w:rsid w:val="009C185E"/>
    <w:rsid w:val="009C22BE"/>
    <w:rsid w:val="009C5884"/>
    <w:rsid w:val="009C7F2C"/>
    <w:rsid w:val="009D0E07"/>
    <w:rsid w:val="009E19DF"/>
    <w:rsid w:val="009E231A"/>
    <w:rsid w:val="009E2F64"/>
    <w:rsid w:val="009E5418"/>
    <w:rsid w:val="009E7072"/>
    <w:rsid w:val="009F07D7"/>
    <w:rsid w:val="009F1522"/>
    <w:rsid w:val="009F5B5C"/>
    <w:rsid w:val="00A05625"/>
    <w:rsid w:val="00A058DF"/>
    <w:rsid w:val="00A10A6B"/>
    <w:rsid w:val="00A10E2B"/>
    <w:rsid w:val="00A1216B"/>
    <w:rsid w:val="00A12E16"/>
    <w:rsid w:val="00A236C0"/>
    <w:rsid w:val="00A24B89"/>
    <w:rsid w:val="00A24E41"/>
    <w:rsid w:val="00A25CBD"/>
    <w:rsid w:val="00A26C7F"/>
    <w:rsid w:val="00A30084"/>
    <w:rsid w:val="00A30A27"/>
    <w:rsid w:val="00A30C68"/>
    <w:rsid w:val="00A33B98"/>
    <w:rsid w:val="00A36837"/>
    <w:rsid w:val="00A40466"/>
    <w:rsid w:val="00A4137A"/>
    <w:rsid w:val="00A50895"/>
    <w:rsid w:val="00A50D1C"/>
    <w:rsid w:val="00A52541"/>
    <w:rsid w:val="00A5674C"/>
    <w:rsid w:val="00A567A3"/>
    <w:rsid w:val="00A56A4A"/>
    <w:rsid w:val="00A5768C"/>
    <w:rsid w:val="00A63023"/>
    <w:rsid w:val="00A65204"/>
    <w:rsid w:val="00A67AB4"/>
    <w:rsid w:val="00A72B35"/>
    <w:rsid w:val="00A73318"/>
    <w:rsid w:val="00A76AFE"/>
    <w:rsid w:val="00A80071"/>
    <w:rsid w:val="00A81742"/>
    <w:rsid w:val="00A91A8A"/>
    <w:rsid w:val="00A93402"/>
    <w:rsid w:val="00A93867"/>
    <w:rsid w:val="00A9505A"/>
    <w:rsid w:val="00AA1936"/>
    <w:rsid w:val="00AA44D4"/>
    <w:rsid w:val="00AA767E"/>
    <w:rsid w:val="00AB145C"/>
    <w:rsid w:val="00AB5CA8"/>
    <w:rsid w:val="00AB6EA4"/>
    <w:rsid w:val="00AB7C9D"/>
    <w:rsid w:val="00AC053D"/>
    <w:rsid w:val="00AC25BD"/>
    <w:rsid w:val="00AC688A"/>
    <w:rsid w:val="00AE2A38"/>
    <w:rsid w:val="00AE347C"/>
    <w:rsid w:val="00AE6568"/>
    <w:rsid w:val="00AF1005"/>
    <w:rsid w:val="00AF1250"/>
    <w:rsid w:val="00AF355A"/>
    <w:rsid w:val="00AF71F5"/>
    <w:rsid w:val="00B01AFF"/>
    <w:rsid w:val="00B02264"/>
    <w:rsid w:val="00B031E1"/>
    <w:rsid w:val="00B03C61"/>
    <w:rsid w:val="00B05F5C"/>
    <w:rsid w:val="00B1004D"/>
    <w:rsid w:val="00B10B16"/>
    <w:rsid w:val="00B16C29"/>
    <w:rsid w:val="00B224A2"/>
    <w:rsid w:val="00B230ED"/>
    <w:rsid w:val="00B258F9"/>
    <w:rsid w:val="00B32D22"/>
    <w:rsid w:val="00B3394A"/>
    <w:rsid w:val="00B35CA4"/>
    <w:rsid w:val="00B360E7"/>
    <w:rsid w:val="00B3704A"/>
    <w:rsid w:val="00B41272"/>
    <w:rsid w:val="00B426FE"/>
    <w:rsid w:val="00B42ADB"/>
    <w:rsid w:val="00B43DA7"/>
    <w:rsid w:val="00B5329F"/>
    <w:rsid w:val="00B56619"/>
    <w:rsid w:val="00B631C3"/>
    <w:rsid w:val="00B6375B"/>
    <w:rsid w:val="00B73706"/>
    <w:rsid w:val="00B77043"/>
    <w:rsid w:val="00B771C8"/>
    <w:rsid w:val="00B86D06"/>
    <w:rsid w:val="00B90901"/>
    <w:rsid w:val="00B91BE4"/>
    <w:rsid w:val="00B9266C"/>
    <w:rsid w:val="00B92DDB"/>
    <w:rsid w:val="00B93128"/>
    <w:rsid w:val="00B947C9"/>
    <w:rsid w:val="00B9722A"/>
    <w:rsid w:val="00BA2946"/>
    <w:rsid w:val="00BA41C1"/>
    <w:rsid w:val="00BA4E7E"/>
    <w:rsid w:val="00BA64FC"/>
    <w:rsid w:val="00BB113D"/>
    <w:rsid w:val="00BC30AE"/>
    <w:rsid w:val="00BC6D6F"/>
    <w:rsid w:val="00BC770A"/>
    <w:rsid w:val="00BC7C47"/>
    <w:rsid w:val="00BD028F"/>
    <w:rsid w:val="00BD326A"/>
    <w:rsid w:val="00BD453F"/>
    <w:rsid w:val="00BE6E13"/>
    <w:rsid w:val="00BF466F"/>
    <w:rsid w:val="00BF690E"/>
    <w:rsid w:val="00C0026D"/>
    <w:rsid w:val="00C01014"/>
    <w:rsid w:val="00C041D5"/>
    <w:rsid w:val="00C053D5"/>
    <w:rsid w:val="00C10411"/>
    <w:rsid w:val="00C13377"/>
    <w:rsid w:val="00C14828"/>
    <w:rsid w:val="00C15CB0"/>
    <w:rsid w:val="00C22199"/>
    <w:rsid w:val="00C23F87"/>
    <w:rsid w:val="00C24DC3"/>
    <w:rsid w:val="00C35184"/>
    <w:rsid w:val="00C37003"/>
    <w:rsid w:val="00C40D71"/>
    <w:rsid w:val="00C4709B"/>
    <w:rsid w:val="00C53C56"/>
    <w:rsid w:val="00C54125"/>
    <w:rsid w:val="00C559F5"/>
    <w:rsid w:val="00C56ED6"/>
    <w:rsid w:val="00C62183"/>
    <w:rsid w:val="00C63294"/>
    <w:rsid w:val="00C635E4"/>
    <w:rsid w:val="00C72F2B"/>
    <w:rsid w:val="00C762F7"/>
    <w:rsid w:val="00C77652"/>
    <w:rsid w:val="00C77DC6"/>
    <w:rsid w:val="00C801DA"/>
    <w:rsid w:val="00C81551"/>
    <w:rsid w:val="00C85DDE"/>
    <w:rsid w:val="00C86166"/>
    <w:rsid w:val="00C9124B"/>
    <w:rsid w:val="00C926F0"/>
    <w:rsid w:val="00C9656D"/>
    <w:rsid w:val="00C96CCE"/>
    <w:rsid w:val="00C9724C"/>
    <w:rsid w:val="00C973E0"/>
    <w:rsid w:val="00CA0E2B"/>
    <w:rsid w:val="00CA4AFC"/>
    <w:rsid w:val="00CC6060"/>
    <w:rsid w:val="00CD4ED4"/>
    <w:rsid w:val="00CD54E2"/>
    <w:rsid w:val="00CD5F32"/>
    <w:rsid w:val="00CE4414"/>
    <w:rsid w:val="00CE7D3E"/>
    <w:rsid w:val="00CF3CED"/>
    <w:rsid w:val="00CF7C87"/>
    <w:rsid w:val="00D018B7"/>
    <w:rsid w:val="00D02B6C"/>
    <w:rsid w:val="00D0425B"/>
    <w:rsid w:val="00D05849"/>
    <w:rsid w:val="00D1337E"/>
    <w:rsid w:val="00D1457E"/>
    <w:rsid w:val="00D20A6B"/>
    <w:rsid w:val="00D21A11"/>
    <w:rsid w:val="00D23414"/>
    <w:rsid w:val="00D25EB1"/>
    <w:rsid w:val="00D27E34"/>
    <w:rsid w:val="00D302A8"/>
    <w:rsid w:val="00D32BEB"/>
    <w:rsid w:val="00D35205"/>
    <w:rsid w:val="00D375D7"/>
    <w:rsid w:val="00D42268"/>
    <w:rsid w:val="00D43B5F"/>
    <w:rsid w:val="00D44409"/>
    <w:rsid w:val="00D547C5"/>
    <w:rsid w:val="00D64519"/>
    <w:rsid w:val="00D6516C"/>
    <w:rsid w:val="00D73DFD"/>
    <w:rsid w:val="00D806B0"/>
    <w:rsid w:val="00D80C81"/>
    <w:rsid w:val="00D860C9"/>
    <w:rsid w:val="00D92B79"/>
    <w:rsid w:val="00D92C0F"/>
    <w:rsid w:val="00D9346B"/>
    <w:rsid w:val="00D9482D"/>
    <w:rsid w:val="00DA075C"/>
    <w:rsid w:val="00DB5305"/>
    <w:rsid w:val="00DB599C"/>
    <w:rsid w:val="00DB5BCA"/>
    <w:rsid w:val="00DB7F9D"/>
    <w:rsid w:val="00DC28FB"/>
    <w:rsid w:val="00DC3904"/>
    <w:rsid w:val="00DC3B78"/>
    <w:rsid w:val="00DC5686"/>
    <w:rsid w:val="00DC5F5C"/>
    <w:rsid w:val="00DC6BB5"/>
    <w:rsid w:val="00DC7D69"/>
    <w:rsid w:val="00DD5DEB"/>
    <w:rsid w:val="00DE2009"/>
    <w:rsid w:val="00DE2C71"/>
    <w:rsid w:val="00DE5674"/>
    <w:rsid w:val="00DE56C2"/>
    <w:rsid w:val="00DE7DD6"/>
    <w:rsid w:val="00DF3973"/>
    <w:rsid w:val="00DF4DAA"/>
    <w:rsid w:val="00E06B95"/>
    <w:rsid w:val="00E123CB"/>
    <w:rsid w:val="00E12C30"/>
    <w:rsid w:val="00E131D3"/>
    <w:rsid w:val="00E14FA9"/>
    <w:rsid w:val="00E223D9"/>
    <w:rsid w:val="00E22F6D"/>
    <w:rsid w:val="00E236D0"/>
    <w:rsid w:val="00E365F8"/>
    <w:rsid w:val="00E40476"/>
    <w:rsid w:val="00E43853"/>
    <w:rsid w:val="00E45A10"/>
    <w:rsid w:val="00E47326"/>
    <w:rsid w:val="00E4732C"/>
    <w:rsid w:val="00E47C50"/>
    <w:rsid w:val="00E5011C"/>
    <w:rsid w:val="00E510B9"/>
    <w:rsid w:val="00E52313"/>
    <w:rsid w:val="00E56EC1"/>
    <w:rsid w:val="00E57478"/>
    <w:rsid w:val="00E57D0C"/>
    <w:rsid w:val="00E60D3B"/>
    <w:rsid w:val="00E61CA5"/>
    <w:rsid w:val="00E63CD2"/>
    <w:rsid w:val="00E661D8"/>
    <w:rsid w:val="00E67672"/>
    <w:rsid w:val="00E72E9F"/>
    <w:rsid w:val="00E73655"/>
    <w:rsid w:val="00E81A91"/>
    <w:rsid w:val="00E833AD"/>
    <w:rsid w:val="00E95812"/>
    <w:rsid w:val="00E9587D"/>
    <w:rsid w:val="00E95948"/>
    <w:rsid w:val="00EA1D97"/>
    <w:rsid w:val="00EA228E"/>
    <w:rsid w:val="00EB4C03"/>
    <w:rsid w:val="00EC0CAE"/>
    <w:rsid w:val="00EC1082"/>
    <w:rsid w:val="00EC29E3"/>
    <w:rsid w:val="00EC3B91"/>
    <w:rsid w:val="00ED24F6"/>
    <w:rsid w:val="00ED2EF4"/>
    <w:rsid w:val="00ED4AB7"/>
    <w:rsid w:val="00ED4D6D"/>
    <w:rsid w:val="00ED5DD0"/>
    <w:rsid w:val="00ED7184"/>
    <w:rsid w:val="00EE1B67"/>
    <w:rsid w:val="00EE29A0"/>
    <w:rsid w:val="00EE42D9"/>
    <w:rsid w:val="00EE67B3"/>
    <w:rsid w:val="00EF0923"/>
    <w:rsid w:val="00EF1113"/>
    <w:rsid w:val="00EF151D"/>
    <w:rsid w:val="00EF22B8"/>
    <w:rsid w:val="00EF5742"/>
    <w:rsid w:val="00F003CC"/>
    <w:rsid w:val="00F01060"/>
    <w:rsid w:val="00F03E95"/>
    <w:rsid w:val="00F10FA5"/>
    <w:rsid w:val="00F15880"/>
    <w:rsid w:val="00F15C21"/>
    <w:rsid w:val="00F15EA3"/>
    <w:rsid w:val="00F17BA9"/>
    <w:rsid w:val="00F17E40"/>
    <w:rsid w:val="00F21135"/>
    <w:rsid w:val="00F247A6"/>
    <w:rsid w:val="00F27DA7"/>
    <w:rsid w:val="00F4282B"/>
    <w:rsid w:val="00F44E1F"/>
    <w:rsid w:val="00F46703"/>
    <w:rsid w:val="00F5044D"/>
    <w:rsid w:val="00F556E2"/>
    <w:rsid w:val="00F57D00"/>
    <w:rsid w:val="00F60BA5"/>
    <w:rsid w:val="00F622F3"/>
    <w:rsid w:val="00F701DD"/>
    <w:rsid w:val="00F73D1B"/>
    <w:rsid w:val="00F8086A"/>
    <w:rsid w:val="00F83989"/>
    <w:rsid w:val="00F83C17"/>
    <w:rsid w:val="00F8762F"/>
    <w:rsid w:val="00F93048"/>
    <w:rsid w:val="00F9478C"/>
    <w:rsid w:val="00F95A48"/>
    <w:rsid w:val="00F9758E"/>
    <w:rsid w:val="00FA3382"/>
    <w:rsid w:val="00FA381C"/>
    <w:rsid w:val="00FA584E"/>
    <w:rsid w:val="00FA79F7"/>
    <w:rsid w:val="00FB6539"/>
    <w:rsid w:val="00FC012A"/>
    <w:rsid w:val="00FC1479"/>
    <w:rsid w:val="00FC3C86"/>
    <w:rsid w:val="00FD391E"/>
    <w:rsid w:val="00FD64CF"/>
    <w:rsid w:val="00FD72FC"/>
    <w:rsid w:val="00FE072C"/>
    <w:rsid w:val="00FE09E1"/>
    <w:rsid w:val="00FE3F74"/>
    <w:rsid w:val="00FE4A2D"/>
    <w:rsid w:val="00FE5972"/>
    <w:rsid w:val="00FF0AAD"/>
    <w:rsid w:val="00FF246B"/>
    <w:rsid w:val="00FF38D1"/>
    <w:rsid w:val="00FF41C9"/>
    <w:rsid w:val="00FF5931"/>
    <w:rsid w:val="00FF5FE4"/>
    <w:rsid w:val="00FF6F1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footnote reference" w:uiPriority="0"/>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09535B"/>
    <w:pPr>
      <w:spacing w:before="160" w:line="260" w:lineRule="exact"/>
    </w:pPr>
    <w:rPr>
      <w:rFonts w:ascii="Trebuchet MS" w:hAnsi="Trebuchet MS"/>
      <w:sz w:val="19"/>
      <w:lang w:val="en-AU"/>
    </w:rPr>
  </w:style>
  <w:style w:type="paragraph" w:styleId="Heading1">
    <w:name w:val="heading 1"/>
    <w:next w:val="Text"/>
    <w:link w:val="Heading1Char"/>
    <w:qFormat/>
    <w:rsid w:val="00F17BA9"/>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F17BA9"/>
    <w:pPr>
      <w:keepNext/>
      <w:spacing w:before="360"/>
      <w:ind w:right="-369"/>
      <w:outlineLvl w:val="1"/>
    </w:pPr>
    <w:rPr>
      <w:rFonts w:ascii="Arial" w:hAnsi="Arial" w:cs="Tahoma"/>
      <w:sz w:val="28"/>
      <w:lang w:val="en-AU"/>
    </w:rPr>
  </w:style>
  <w:style w:type="paragraph" w:styleId="Heading3">
    <w:name w:val="heading 3"/>
    <w:next w:val="Text"/>
    <w:link w:val="Heading3Char"/>
    <w:qFormat/>
    <w:rsid w:val="00F17BA9"/>
    <w:pPr>
      <w:spacing w:before="280" w:line="320" w:lineRule="exact"/>
      <w:outlineLvl w:val="2"/>
    </w:pPr>
    <w:rPr>
      <w:rFonts w:ascii="Arial" w:hAnsi="Arial" w:cs="Tahoma"/>
      <w:color w:val="000000"/>
      <w:sz w:val="24"/>
      <w:lang w:val="en-AU"/>
    </w:rPr>
  </w:style>
  <w:style w:type="paragraph" w:styleId="Heading4">
    <w:name w:val="heading 4"/>
    <w:next w:val="Text"/>
    <w:qFormat/>
    <w:rsid w:val="000F6D8E"/>
    <w:pPr>
      <w:spacing w:before="240"/>
      <w:outlineLvl w:val="3"/>
    </w:pPr>
    <w:rPr>
      <w:rFonts w:ascii="Arial" w:hAnsi="Arial"/>
      <w:i/>
      <w:sz w:val="22"/>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1Char">
    <w:name w:val="Heading 1 Char"/>
    <w:basedOn w:val="DefaultParagraphFont"/>
    <w:link w:val="Heading1"/>
    <w:locked/>
    <w:rsid w:val="00F17BA9"/>
    <w:rPr>
      <w:rFonts w:ascii="Arial" w:hAnsi="Arial" w:cs="Tahoma"/>
      <w:color w:val="000000"/>
      <w:kern w:val="28"/>
      <w:sz w:val="56"/>
      <w:szCs w:val="56"/>
      <w:lang w:val="en-AU"/>
    </w:rPr>
  </w:style>
  <w:style w:type="character" w:customStyle="1" w:styleId="Heading2Char">
    <w:name w:val="Heading 2 Char"/>
    <w:link w:val="Heading2"/>
    <w:rsid w:val="00F17BA9"/>
    <w:rPr>
      <w:rFonts w:ascii="Arial" w:hAnsi="Arial" w:cs="Tahoma"/>
      <w:sz w:val="28"/>
      <w:lang w:val="en-AU"/>
    </w:rPr>
  </w:style>
  <w:style w:type="character" w:customStyle="1" w:styleId="Heading3Char">
    <w:name w:val="Heading 3 Char"/>
    <w:basedOn w:val="DefaultParagraphFont"/>
    <w:link w:val="Heading3"/>
    <w:rsid w:val="00F17BA9"/>
    <w:rPr>
      <w:rFonts w:ascii="Arial" w:hAnsi="Arial" w:cs="Tahoma"/>
      <w:color w:val="000000"/>
      <w:sz w:val="24"/>
      <w:lang w:val="en-AU"/>
    </w:rPr>
  </w:style>
  <w:style w:type="character" w:styleId="PageNumber">
    <w:name w:val="page number"/>
    <w:basedOn w:val="DefaultParagraphFont"/>
    <w:rsid w:val="006F2116"/>
    <w:rPr>
      <w:rFonts w:ascii="Arial" w:hAnsi="Arial"/>
      <w:sz w:val="18"/>
    </w:rPr>
  </w:style>
  <w:style w:type="paragraph" w:styleId="Footer">
    <w:name w:val="footer"/>
    <w:basedOn w:val="Normal"/>
    <w:link w:val="FooterChar"/>
    <w:rsid w:val="00AA44D4"/>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996066"/>
    <w:rPr>
      <w:rFonts w:ascii="Tahoma" w:hAnsi="Tahoma"/>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F17BA9"/>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C96CCE"/>
    <w:pPr>
      <w:tabs>
        <w:tab w:val="right" w:pos="8136"/>
      </w:tabs>
      <w:spacing w:before="80"/>
      <w:ind w:left="567" w:right="652"/>
    </w:pPr>
    <w:rPr>
      <w:sz w:val="17"/>
    </w:rPr>
  </w:style>
  <w:style w:type="character" w:customStyle="1" w:styleId="QuoteChar">
    <w:name w:val="Quote Char"/>
    <w:basedOn w:val="DefaultParagraphFont"/>
    <w:link w:val="Quote"/>
    <w:rsid w:val="00C96CCE"/>
    <w:rPr>
      <w:rFonts w:ascii="Trebuchet MS" w:hAnsi="Trebuchet MS"/>
      <w:sz w:val="17"/>
      <w:lang w:val="en-AU"/>
    </w:rPr>
  </w:style>
  <w:style w:type="paragraph" w:customStyle="1" w:styleId="References">
    <w:name w:val="References"/>
    <w:rsid w:val="00464AF4"/>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09535B"/>
    <w:pPr>
      <w:numPr>
        <w:numId w:val="1"/>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323F7F"/>
    <w:pPr>
      <w:numPr>
        <w:numId w:val="2"/>
      </w:numPr>
      <w:tabs>
        <w:tab w:val="clear" w:pos="284"/>
        <w:tab w:val="left" w:pos="567"/>
      </w:tabs>
      <w:ind w:left="568" w:hanging="284"/>
    </w:pPr>
  </w:style>
  <w:style w:type="paragraph" w:customStyle="1" w:styleId="NumberedListContinuing">
    <w:name w:val="NumberedListContinuing"/>
    <w:rsid w:val="00015F17"/>
    <w:pPr>
      <w:numPr>
        <w:numId w:val="3"/>
      </w:numPr>
      <w:spacing w:before="8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768C"/>
    <w:pPr>
      <w:tabs>
        <w:tab w:val="left" w:pos="170"/>
      </w:tabs>
      <w:spacing w:before="0" w:line="220" w:lineRule="exact"/>
      <w:ind w:left="170" w:right="0" w:hanging="170"/>
    </w:pPr>
    <w:rPr>
      <w:sz w:val="16"/>
    </w:rPr>
  </w:style>
  <w:style w:type="character" w:customStyle="1" w:styleId="FootnoteTextChar">
    <w:name w:val="Footnote Text Char"/>
    <w:basedOn w:val="DefaultParagraphFont"/>
    <w:link w:val="FootnoteText"/>
    <w:rsid w:val="005412ED"/>
    <w:rPr>
      <w:rFonts w:ascii="Trebuchet MS" w:hAnsi="Trebuchet MS"/>
      <w:sz w:val="16"/>
      <w:lang w:val="en-AU"/>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17BA9"/>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17BA9"/>
    <w:pPr>
      <w:spacing w:before="360"/>
    </w:pPr>
    <w:rPr>
      <w:rFonts w:ascii="Arial" w:hAnsi="Arial" w:cs="Tahoma"/>
      <w:i/>
      <w:sz w:val="28"/>
      <w:lang w:val="en-AU"/>
    </w:rPr>
  </w:style>
  <w:style w:type="paragraph" w:customStyle="1" w:styleId="Abouttheresearch">
    <w:name w:val="About the research"/>
    <w:uiPriority w:val="1"/>
    <w:qFormat/>
    <w:rsid w:val="00F17BA9"/>
    <w:rPr>
      <w:rFonts w:ascii="Arial" w:hAnsi="Arial"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table" w:customStyle="1" w:styleId="LightShading-Accent342">
    <w:name w:val="Light Shading - Accent 342"/>
    <w:basedOn w:val="TableNormal"/>
    <w:next w:val="LightShading-Accent3"/>
    <w:uiPriority w:val="60"/>
    <w:rsid w:val="008A1C55"/>
    <w:rPr>
      <w:rFonts w:eastAsiaTheme="minorHAns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3">
    <w:name w:val="Light Shading Accent 3"/>
    <w:basedOn w:val="TableNormal"/>
    <w:uiPriority w:val="60"/>
    <w:rsid w:val="008A1C5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otnoteReference">
    <w:name w:val="footnote reference"/>
    <w:basedOn w:val="DefaultParagraphFont"/>
    <w:rsid w:val="003C0EDC"/>
    <w:rPr>
      <w:vertAlign w:val="superscript"/>
    </w:rPr>
  </w:style>
  <w:style w:type="paragraph" w:customStyle="1" w:styleId="Default">
    <w:name w:val="Default"/>
    <w:rsid w:val="003C0EDC"/>
    <w:pPr>
      <w:autoSpaceDE w:val="0"/>
      <w:autoSpaceDN w:val="0"/>
      <w:adjustRightInd w:val="0"/>
    </w:pPr>
    <w:rPr>
      <w:rFonts w:eastAsia="SimSun"/>
      <w:color w:val="000000"/>
      <w:sz w:val="24"/>
      <w:szCs w:val="24"/>
      <w:lang w:val="en-AU" w:eastAsia="zh-CN"/>
    </w:rPr>
  </w:style>
  <w:style w:type="character" w:styleId="Strong">
    <w:name w:val="Strong"/>
    <w:basedOn w:val="DefaultParagraphFont"/>
    <w:uiPriority w:val="22"/>
    <w:qFormat/>
    <w:rsid w:val="001A58F4"/>
    <w:rPr>
      <w:b/>
      <w:bCs/>
    </w:rPr>
  </w:style>
  <w:style w:type="character" w:customStyle="1" w:styleId="FootnoteCharacters">
    <w:name w:val="Footnote Characters"/>
    <w:rsid w:val="004011EB"/>
    <w:rPr>
      <w:vertAlign w:val="superscript"/>
    </w:rPr>
  </w:style>
  <w:style w:type="table" w:customStyle="1" w:styleId="MediumShading1-Accent11">
    <w:name w:val="Medium Shading 1 - Accent 11"/>
    <w:basedOn w:val="TableNormal"/>
    <w:uiPriority w:val="63"/>
    <w:rsid w:val="001E032C"/>
    <w:rPr>
      <w:rFonts w:ascii="Calibri" w:eastAsia="Calibri" w:hAnsi="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1"/>
    <w:qFormat/>
    <w:rsid w:val="00E223D9"/>
    <w:rPr>
      <w:rFonts w:asciiTheme="minorHAnsi" w:eastAsiaTheme="minorEastAsia" w:hAnsiTheme="minorHAnsi" w:cstheme="minorBidi"/>
      <w:sz w:val="22"/>
      <w:szCs w:val="22"/>
      <w:lang w:val="en-AU" w:eastAsia="zh-CN"/>
    </w:rPr>
  </w:style>
  <w:style w:type="character" w:customStyle="1" w:styleId="A0">
    <w:name w:val="A0"/>
    <w:uiPriority w:val="99"/>
    <w:rsid w:val="00E223D9"/>
    <w:rPr>
      <w:rFonts w:cs="TKRVGP+Palatino-Bold"/>
      <w:color w:val="221E1F"/>
      <w:sz w:val="18"/>
      <w:szCs w:val="18"/>
    </w:rPr>
  </w:style>
  <w:style w:type="character" w:customStyle="1" w:styleId="A1">
    <w:name w:val="A1"/>
    <w:uiPriority w:val="99"/>
    <w:rsid w:val="00E223D9"/>
    <w:rPr>
      <w:rFonts w:cs="TKRVGP+Palatino-Bold"/>
      <w:b/>
      <w:bCs/>
      <w:color w:val="221E1F"/>
      <w:sz w:val="18"/>
      <w:szCs w:val="18"/>
    </w:rPr>
  </w:style>
  <w:style w:type="character" w:customStyle="1" w:styleId="A2">
    <w:name w:val="A2"/>
    <w:uiPriority w:val="99"/>
    <w:rsid w:val="00E223D9"/>
    <w:rPr>
      <w:rFonts w:ascii="RUXJET+Palatino-Italic" w:hAnsi="RUXJET+Palatino-Italic" w:cs="RUXJET+Palatino-Italic"/>
      <w:color w:val="221E1F"/>
      <w:sz w:val="16"/>
      <w:szCs w:val="16"/>
    </w:rPr>
  </w:style>
  <w:style w:type="character" w:customStyle="1" w:styleId="A3">
    <w:name w:val="A3"/>
    <w:uiPriority w:val="99"/>
    <w:rsid w:val="00E223D9"/>
    <w:rPr>
      <w:rFonts w:ascii="RUXJET+Palatino-Italic" w:hAnsi="RUXJET+Palatino-Italic" w:cs="RUXJET+Palatino-Italic"/>
      <w:color w:val="221E1F"/>
      <w:sz w:val="16"/>
      <w:szCs w:val="16"/>
    </w:rPr>
  </w:style>
  <w:style w:type="character" w:styleId="Emphasis">
    <w:name w:val="Emphasis"/>
    <w:basedOn w:val="DefaultParagraphFont"/>
    <w:uiPriority w:val="20"/>
    <w:qFormat/>
    <w:rsid w:val="00E223D9"/>
    <w:rPr>
      <w:i/>
      <w:iCs/>
    </w:rPr>
  </w:style>
  <w:style w:type="character" w:customStyle="1" w:styleId="apple-converted-space">
    <w:name w:val="apple-converted-space"/>
    <w:basedOn w:val="DefaultParagraphFont"/>
    <w:rsid w:val="00E223D9"/>
  </w:style>
  <w:style w:type="paragraph" w:styleId="TOCHeading">
    <w:name w:val="TOC Heading"/>
    <w:basedOn w:val="Heading1"/>
    <w:next w:val="Normal"/>
    <w:uiPriority w:val="39"/>
    <w:unhideWhenUsed/>
    <w:qFormat/>
    <w:rsid w:val="007F1A9E"/>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styleId="Caption">
    <w:name w:val="caption"/>
    <w:basedOn w:val="Normal"/>
    <w:next w:val="Normal"/>
    <w:uiPriority w:val="35"/>
    <w:semiHidden/>
    <w:qFormat/>
    <w:rsid w:val="007F1A9E"/>
    <w:pPr>
      <w:spacing w:before="0" w:after="200" w:line="240" w:lineRule="auto"/>
    </w:pPr>
    <w:rPr>
      <w:b/>
      <w:bCs/>
      <w:color w:val="4F81BD" w:themeColor="accent1"/>
      <w:sz w:val="18"/>
      <w:szCs w:val="18"/>
    </w:rPr>
  </w:style>
  <w:style w:type="character" w:customStyle="1" w:styleId="CommentTextChar">
    <w:name w:val="Comment Text Char"/>
    <w:basedOn w:val="DefaultParagraphFont"/>
    <w:link w:val="CommentText"/>
    <w:uiPriority w:val="99"/>
    <w:semiHidden/>
    <w:rsid w:val="007F1A9E"/>
    <w:rPr>
      <w:rFonts w:ascii="Trebuchet MS" w:hAnsi="Trebuchet MS"/>
      <w:lang w:val="en-AU"/>
    </w:rPr>
  </w:style>
  <w:style w:type="paragraph" w:styleId="CommentText">
    <w:name w:val="annotation text"/>
    <w:basedOn w:val="Normal"/>
    <w:link w:val="CommentTextChar"/>
    <w:uiPriority w:val="99"/>
    <w:semiHidden/>
    <w:unhideWhenUsed/>
    <w:rsid w:val="007F1A9E"/>
    <w:pPr>
      <w:spacing w:line="240" w:lineRule="auto"/>
    </w:pPr>
    <w:rPr>
      <w:sz w:val="20"/>
    </w:rPr>
  </w:style>
  <w:style w:type="character" w:customStyle="1" w:styleId="CommentSubjectChar">
    <w:name w:val="Comment Subject Char"/>
    <w:basedOn w:val="CommentTextChar"/>
    <w:link w:val="CommentSubject"/>
    <w:uiPriority w:val="99"/>
    <w:semiHidden/>
    <w:rsid w:val="007F1A9E"/>
    <w:rPr>
      <w:rFonts w:ascii="Trebuchet MS" w:hAnsi="Trebuchet MS"/>
      <w:b/>
      <w:bCs/>
      <w:lang w:val="en-AU"/>
    </w:rPr>
  </w:style>
  <w:style w:type="paragraph" w:styleId="CommentSubject">
    <w:name w:val="annotation subject"/>
    <w:basedOn w:val="CommentText"/>
    <w:next w:val="CommentText"/>
    <w:link w:val="CommentSubjectChar"/>
    <w:uiPriority w:val="99"/>
    <w:semiHidden/>
    <w:unhideWhenUsed/>
    <w:rsid w:val="007F1A9E"/>
    <w:rPr>
      <w:b/>
      <w:bCs/>
    </w:rPr>
  </w:style>
  <w:style w:type="character" w:customStyle="1" w:styleId="PlainTextChar">
    <w:name w:val="Plain Text Char"/>
    <w:basedOn w:val="DefaultParagraphFont"/>
    <w:link w:val="PlainText"/>
    <w:uiPriority w:val="99"/>
    <w:semiHidden/>
    <w:rsid w:val="007F1A9E"/>
    <w:rPr>
      <w:rFonts w:ascii="Verdana" w:hAnsi="Verdana" w:cstheme="minorBidi"/>
      <w:szCs w:val="21"/>
      <w:lang w:val="en-AU"/>
    </w:rPr>
  </w:style>
  <w:style w:type="paragraph" w:styleId="PlainText">
    <w:name w:val="Plain Text"/>
    <w:basedOn w:val="Normal"/>
    <w:link w:val="PlainTextChar"/>
    <w:uiPriority w:val="99"/>
    <w:semiHidden/>
    <w:unhideWhenUsed/>
    <w:rsid w:val="007F1A9E"/>
    <w:pPr>
      <w:spacing w:before="0" w:line="240" w:lineRule="auto"/>
    </w:pPr>
    <w:rPr>
      <w:rFonts w:ascii="Verdana" w:hAnsi="Verdana" w:cstheme="minorBidi"/>
      <w:sz w:val="20"/>
      <w:szCs w:val="21"/>
    </w:rPr>
  </w:style>
  <w:style w:type="paragraph" w:styleId="Bibliography">
    <w:name w:val="Bibliography"/>
    <w:basedOn w:val="Normal"/>
    <w:next w:val="Normal"/>
    <w:uiPriority w:val="37"/>
    <w:semiHidden/>
    <w:rsid w:val="008730B2"/>
  </w:style>
  <w:style w:type="character" w:styleId="CommentReference">
    <w:name w:val="annotation reference"/>
    <w:basedOn w:val="DefaultParagraphFont"/>
    <w:uiPriority w:val="99"/>
    <w:semiHidden/>
    <w:rsid w:val="001F0597"/>
    <w:rPr>
      <w:sz w:val="16"/>
      <w:szCs w:val="16"/>
    </w:rPr>
  </w:style>
  <w:style w:type="paragraph" w:customStyle="1" w:styleId="Textlessbefore">
    <w:name w:val="Text less # before"/>
    <w:basedOn w:val="Text"/>
    <w:uiPriority w:val="1"/>
    <w:qFormat/>
    <w:rsid w:val="006E23C9"/>
    <w:pPr>
      <w:spacing w:before="80"/>
      <w:ind w:right="0"/>
    </w:pPr>
  </w:style>
  <w:style w:type="paragraph" w:customStyle="1" w:styleId="StyleAuthorsLeft0cm">
    <w:name w:val="Style Authors + Left:  0 cm"/>
    <w:basedOn w:val="Authors"/>
    <w:rsid w:val="00F17BA9"/>
    <w:pPr>
      <w:ind w:left="0"/>
    </w:pPr>
    <w:rPr>
      <w:rFonts w:ascii="Arial" w:hAnsi="Arial" w:cs="Times New Roman"/>
    </w:rPr>
  </w:style>
  <w:style w:type="paragraph" w:customStyle="1" w:styleId="StyleOrganisationLeft0cmRight-0cm">
    <w:name w:val="Style Organisation + Left:  0 cm Right:  -0 cm"/>
    <w:basedOn w:val="Organisation"/>
    <w:rsid w:val="00F17BA9"/>
    <w:pPr>
      <w:ind w:left="0" w:right="-1"/>
    </w:pPr>
    <w:rPr>
      <w:rFonts w:ascii="Arial" w:hAnsi="Arial" w:cs="Times New Roman"/>
    </w:rPr>
  </w:style>
  <w:style w:type="paragraph" w:customStyle="1" w:styleId="StyleAuthorsLeft0cmRight0cmBefore12pt">
    <w:name w:val="Style Authors + Left:  0 cm Right:  0 cm Before:  12 pt"/>
    <w:basedOn w:val="Authors"/>
    <w:rsid w:val="00F17BA9"/>
    <w:pPr>
      <w:spacing w:before="240"/>
      <w:ind w:left="0" w:right="0"/>
    </w:pPr>
    <w:rPr>
      <w:rFonts w:ascii="Arial" w:hAnsi="Arial" w:cs="Times New Roman"/>
    </w:rPr>
  </w:style>
  <w:style w:type="paragraph" w:customStyle="1" w:styleId="StyleHeading4Before6pt">
    <w:name w:val="Style Heading 4 + Before:  6 pt"/>
    <w:basedOn w:val="Heading4"/>
    <w:rsid w:val="000F6D8E"/>
    <w:pPr>
      <w:spacing w:before="120"/>
    </w:pPr>
    <w:rPr>
      <w:iCs/>
    </w:rPr>
  </w:style>
  <w:style w:type="paragraph" w:customStyle="1" w:styleId="StyleHeading4Before18pt">
    <w:name w:val="Style Heading 4 + Before:  18 pt"/>
    <w:basedOn w:val="Heading4"/>
    <w:rsid w:val="000F6D8E"/>
    <w:pPr>
      <w:spacing w:before="360"/>
    </w:pPr>
    <w:rPr>
      <w:iCs/>
    </w:rPr>
  </w:style>
  <w:style w:type="paragraph" w:customStyle="1" w:styleId="StyleHeading4Before18ptLinespacingExactly14pt">
    <w:name w:val="Style Heading 4 + Before:  18 pt Line spacing:  Exactly 14 pt"/>
    <w:basedOn w:val="Heading4"/>
    <w:rsid w:val="000F6D8E"/>
    <w:pPr>
      <w:spacing w:before="360" w:line="280" w:lineRule="exact"/>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footnote reference" w:uiPriority="0"/>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09535B"/>
    <w:pPr>
      <w:spacing w:before="160" w:line="260" w:lineRule="exact"/>
    </w:pPr>
    <w:rPr>
      <w:rFonts w:ascii="Trebuchet MS" w:hAnsi="Trebuchet MS"/>
      <w:sz w:val="19"/>
      <w:lang w:val="en-AU"/>
    </w:rPr>
  </w:style>
  <w:style w:type="paragraph" w:styleId="Heading1">
    <w:name w:val="heading 1"/>
    <w:next w:val="Text"/>
    <w:link w:val="Heading1Char"/>
    <w:qFormat/>
    <w:rsid w:val="00F17BA9"/>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F17BA9"/>
    <w:pPr>
      <w:keepNext/>
      <w:spacing w:before="360"/>
      <w:ind w:right="-369"/>
      <w:outlineLvl w:val="1"/>
    </w:pPr>
    <w:rPr>
      <w:rFonts w:ascii="Arial" w:hAnsi="Arial" w:cs="Tahoma"/>
      <w:sz w:val="28"/>
      <w:lang w:val="en-AU"/>
    </w:rPr>
  </w:style>
  <w:style w:type="paragraph" w:styleId="Heading3">
    <w:name w:val="heading 3"/>
    <w:next w:val="Text"/>
    <w:link w:val="Heading3Char"/>
    <w:qFormat/>
    <w:rsid w:val="00F17BA9"/>
    <w:pPr>
      <w:spacing w:before="280" w:line="320" w:lineRule="exact"/>
      <w:outlineLvl w:val="2"/>
    </w:pPr>
    <w:rPr>
      <w:rFonts w:ascii="Arial" w:hAnsi="Arial" w:cs="Tahoma"/>
      <w:color w:val="000000"/>
      <w:sz w:val="24"/>
      <w:lang w:val="en-AU"/>
    </w:rPr>
  </w:style>
  <w:style w:type="paragraph" w:styleId="Heading4">
    <w:name w:val="heading 4"/>
    <w:next w:val="Text"/>
    <w:qFormat/>
    <w:rsid w:val="000F6D8E"/>
    <w:pPr>
      <w:spacing w:before="240"/>
      <w:outlineLvl w:val="3"/>
    </w:pPr>
    <w:rPr>
      <w:rFonts w:ascii="Arial" w:hAnsi="Arial"/>
      <w:i/>
      <w:sz w:val="22"/>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1Char">
    <w:name w:val="Heading 1 Char"/>
    <w:basedOn w:val="DefaultParagraphFont"/>
    <w:link w:val="Heading1"/>
    <w:locked/>
    <w:rsid w:val="00F17BA9"/>
    <w:rPr>
      <w:rFonts w:ascii="Arial" w:hAnsi="Arial" w:cs="Tahoma"/>
      <w:color w:val="000000"/>
      <w:kern w:val="28"/>
      <w:sz w:val="56"/>
      <w:szCs w:val="56"/>
      <w:lang w:val="en-AU"/>
    </w:rPr>
  </w:style>
  <w:style w:type="character" w:customStyle="1" w:styleId="Heading2Char">
    <w:name w:val="Heading 2 Char"/>
    <w:link w:val="Heading2"/>
    <w:rsid w:val="00F17BA9"/>
    <w:rPr>
      <w:rFonts w:ascii="Arial" w:hAnsi="Arial" w:cs="Tahoma"/>
      <w:sz w:val="28"/>
      <w:lang w:val="en-AU"/>
    </w:rPr>
  </w:style>
  <w:style w:type="character" w:customStyle="1" w:styleId="Heading3Char">
    <w:name w:val="Heading 3 Char"/>
    <w:basedOn w:val="DefaultParagraphFont"/>
    <w:link w:val="Heading3"/>
    <w:rsid w:val="00F17BA9"/>
    <w:rPr>
      <w:rFonts w:ascii="Arial" w:hAnsi="Arial" w:cs="Tahoma"/>
      <w:color w:val="000000"/>
      <w:sz w:val="24"/>
      <w:lang w:val="en-AU"/>
    </w:rPr>
  </w:style>
  <w:style w:type="character" w:styleId="PageNumber">
    <w:name w:val="page number"/>
    <w:basedOn w:val="DefaultParagraphFont"/>
    <w:rsid w:val="006F2116"/>
    <w:rPr>
      <w:rFonts w:ascii="Arial" w:hAnsi="Arial"/>
      <w:sz w:val="18"/>
    </w:rPr>
  </w:style>
  <w:style w:type="paragraph" w:styleId="Footer">
    <w:name w:val="footer"/>
    <w:basedOn w:val="Normal"/>
    <w:link w:val="FooterChar"/>
    <w:rsid w:val="00AA44D4"/>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996066"/>
    <w:rPr>
      <w:rFonts w:ascii="Tahoma" w:hAnsi="Tahoma"/>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F17BA9"/>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C96CCE"/>
    <w:pPr>
      <w:tabs>
        <w:tab w:val="right" w:pos="8136"/>
      </w:tabs>
      <w:spacing w:before="80"/>
      <w:ind w:left="567" w:right="652"/>
    </w:pPr>
    <w:rPr>
      <w:sz w:val="17"/>
    </w:rPr>
  </w:style>
  <w:style w:type="character" w:customStyle="1" w:styleId="QuoteChar">
    <w:name w:val="Quote Char"/>
    <w:basedOn w:val="DefaultParagraphFont"/>
    <w:link w:val="Quote"/>
    <w:rsid w:val="00C96CCE"/>
    <w:rPr>
      <w:rFonts w:ascii="Trebuchet MS" w:hAnsi="Trebuchet MS"/>
      <w:sz w:val="17"/>
      <w:lang w:val="en-AU"/>
    </w:rPr>
  </w:style>
  <w:style w:type="paragraph" w:customStyle="1" w:styleId="References">
    <w:name w:val="References"/>
    <w:rsid w:val="00464AF4"/>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09535B"/>
    <w:pPr>
      <w:numPr>
        <w:numId w:val="1"/>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323F7F"/>
    <w:pPr>
      <w:numPr>
        <w:numId w:val="2"/>
      </w:numPr>
      <w:tabs>
        <w:tab w:val="clear" w:pos="284"/>
        <w:tab w:val="left" w:pos="567"/>
      </w:tabs>
      <w:ind w:left="568" w:hanging="284"/>
    </w:pPr>
  </w:style>
  <w:style w:type="paragraph" w:customStyle="1" w:styleId="NumberedListContinuing">
    <w:name w:val="NumberedListContinuing"/>
    <w:rsid w:val="00015F17"/>
    <w:pPr>
      <w:numPr>
        <w:numId w:val="3"/>
      </w:numPr>
      <w:spacing w:before="8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768C"/>
    <w:pPr>
      <w:tabs>
        <w:tab w:val="left" w:pos="170"/>
      </w:tabs>
      <w:spacing w:before="0" w:line="220" w:lineRule="exact"/>
      <w:ind w:left="170" w:right="0" w:hanging="170"/>
    </w:pPr>
    <w:rPr>
      <w:sz w:val="16"/>
    </w:rPr>
  </w:style>
  <w:style w:type="character" w:customStyle="1" w:styleId="FootnoteTextChar">
    <w:name w:val="Footnote Text Char"/>
    <w:basedOn w:val="DefaultParagraphFont"/>
    <w:link w:val="FootnoteText"/>
    <w:rsid w:val="005412ED"/>
    <w:rPr>
      <w:rFonts w:ascii="Trebuchet MS" w:hAnsi="Trebuchet MS"/>
      <w:sz w:val="16"/>
      <w:lang w:val="en-AU"/>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17BA9"/>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17BA9"/>
    <w:pPr>
      <w:spacing w:before="360"/>
    </w:pPr>
    <w:rPr>
      <w:rFonts w:ascii="Arial" w:hAnsi="Arial" w:cs="Tahoma"/>
      <w:i/>
      <w:sz w:val="28"/>
      <w:lang w:val="en-AU"/>
    </w:rPr>
  </w:style>
  <w:style w:type="paragraph" w:customStyle="1" w:styleId="Abouttheresearch">
    <w:name w:val="About the research"/>
    <w:uiPriority w:val="1"/>
    <w:qFormat/>
    <w:rsid w:val="00F17BA9"/>
    <w:rPr>
      <w:rFonts w:ascii="Arial" w:hAnsi="Arial"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table" w:customStyle="1" w:styleId="LightShading-Accent342">
    <w:name w:val="Light Shading - Accent 342"/>
    <w:basedOn w:val="TableNormal"/>
    <w:next w:val="LightShading-Accent3"/>
    <w:uiPriority w:val="60"/>
    <w:rsid w:val="008A1C55"/>
    <w:rPr>
      <w:rFonts w:eastAsiaTheme="minorHAns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3">
    <w:name w:val="Light Shading Accent 3"/>
    <w:basedOn w:val="TableNormal"/>
    <w:uiPriority w:val="60"/>
    <w:rsid w:val="008A1C5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otnoteReference">
    <w:name w:val="footnote reference"/>
    <w:basedOn w:val="DefaultParagraphFont"/>
    <w:rsid w:val="003C0EDC"/>
    <w:rPr>
      <w:vertAlign w:val="superscript"/>
    </w:rPr>
  </w:style>
  <w:style w:type="paragraph" w:customStyle="1" w:styleId="Default">
    <w:name w:val="Default"/>
    <w:rsid w:val="003C0EDC"/>
    <w:pPr>
      <w:autoSpaceDE w:val="0"/>
      <w:autoSpaceDN w:val="0"/>
      <w:adjustRightInd w:val="0"/>
    </w:pPr>
    <w:rPr>
      <w:rFonts w:eastAsia="SimSun"/>
      <w:color w:val="000000"/>
      <w:sz w:val="24"/>
      <w:szCs w:val="24"/>
      <w:lang w:val="en-AU" w:eastAsia="zh-CN"/>
    </w:rPr>
  </w:style>
  <w:style w:type="character" w:styleId="Strong">
    <w:name w:val="Strong"/>
    <w:basedOn w:val="DefaultParagraphFont"/>
    <w:uiPriority w:val="22"/>
    <w:qFormat/>
    <w:rsid w:val="001A58F4"/>
    <w:rPr>
      <w:b/>
      <w:bCs/>
    </w:rPr>
  </w:style>
  <w:style w:type="character" w:customStyle="1" w:styleId="FootnoteCharacters">
    <w:name w:val="Footnote Characters"/>
    <w:rsid w:val="004011EB"/>
    <w:rPr>
      <w:vertAlign w:val="superscript"/>
    </w:rPr>
  </w:style>
  <w:style w:type="table" w:customStyle="1" w:styleId="MediumShading1-Accent11">
    <w:name w:val="Medium Shading 1 - Accent 11"/>
    <w:basedOn w:val="TableNormal"/>
    <w:uiPriority w:val="63"/>
    <w:rsid w:val="001E032C"/>
    <w:rPr>
      <w:rFonts w:ascii="Calibri" w:eastAsia="Calibri" w:hAnsi="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1"/>
    <w:qFormat/>
    <w:rsid w:val="00E223D9"/>
    <w:rPr>
      <w:rFonts w:asciiTheme="minorHAnsi" w:eastAsiaTheme="minorEastAsia" w:hAnsiTheme="minorHAnsi" w:cstheme="minorBidi"/>
      <w:sz w:val="22"/>
      <w:szCs w:val="22"/>
      <w:lang w:val="en-AU" w:eastAsia="zh-CN"/>
    </w:rPr>
  </w:style>
  <w:style w:type="character" w:customStyle="1" w:styleId="A0">
    <w:name w:val="A0"/>
    <w:uiPriority w:val="99"/>
    <w:rsid w:val="00E223D9"/>
    <w:rPr>
      <w:rFonts w:cs="TKRVGP+Palatino-Bold"/>
      <w:color w:val="221E1F"/>
      <w:sz w:val="18"/>
      <w:szCs w:val="18"/>
    </w:rPr>
  </w:style>
  <w:style w:type="character" w:customStyle="1" w:styleId="A1">
    <w:name w:val="A1"/>
    <w:uiPriority w:val="99"/>
    <w:rsid w:val="00E223D9"/>
    <w:rPr>
      <w:rFonts w:cs="TKRVGP+Palatino-Bold"/>
      <w:b/>
      <w:bCs/>
      <w:color w:val="221E1F"/>
      <w:sz w:val="18"/>
      <w:szCs w:val="18"/>
    </w:rPr>
  </w:style>
  <w:style w:type="character" w:customStyle="1" w:styleId="A2">
    <w:name w:val="A2"/>
    <w:uiPriority w:val="99"/>
    <w:rsid w:val="00E223D9"/>
    <w:rPr>
      <w:rFonts w:ascii="RUXJET+Palatino-Italic" w:hAnsi="RUXJET+Palatino-Italic" w:cs="RUXJET+Palatino-Italic"/>
      <w:color w:val="221E1F"/>
      <w:sz w:val="16"/>
      <w:szCs w:val="16"/>
    </w:rPr>
  </w:style>
  <w:style w:type="character" w:customStyle="1" w:styleId="A3">
    <w:name w:val="A3"/>
    <w:uiPriority w:val="99"/>
    <w:rsid w:val="00E223D9"/>
    <w:rPr>
      <w:rFonts w:ascii="RUXJET+Palatino-Italic" w:hAnsi="RUXJET+Palatino-Italic" w:cs="RUXJET+Palatino-Italic"/>
      <w:color w:val="221E1F"/>
      <w:sz w:val="16"/>
      <w:szCs w:val="16"/>
    </w:rPr>
  </w:style>
  <w:style w:type="character" w:styleId="Emphasis">
    <w:name w:val="Emphasis"/>
    <w:basedOn w:val="DefaultParagraphFont"/>
    <w:uiPriority w:val="20"/>
    <w:qFormat/>
    <w:rsid w:val="00E223D9"/>
    <w:rPr>
      <w:i/>
      <w:iCs/>
    </w:rPr>
  </w:style>
  <w:style w:type="character" w:customStyle="1" w:styleId="apple-converted-space">
    <w:name w:val="apple-converted-space"/>
    <w:basedOn w:val="DefaultParagraphFont"/>
    <w:rsid w:val="00E223D9"/>
  </w:style>
  <w:style w:type="paragraph" w:styleId="TOCHeading">
    <w:name w:val="TOC Heading"/>
    <w:basedOn w:val="Heading1"/>
    <w:next w:val="Normal"/>
    <w:uiPriority w:val="39"/>
    <w:unhideWhenUsed/>
    <w:qFormat/>
    <w:rsid w:val="007F1A9E"/>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styleId="Caption">
    <w:name w:val="caption"/>
    <w:basedOn w:val="Normal"/>
    <w:next w:val="Normal"/>
    <w:uiPriority w:val="35"/>
    <w:semiHidden/>
    <w:qFormat/>
    <w:rsid w:val="007F1A9E"/>
    <w:pPr>
      <w:spacing w:before="0" w:after="200" w:line="240" w:lineRule="auto"/>
    </w:pPr>
    <w:rPr>
      <w:b/>
      <w:bCs/>
      <w:color w:val="4F81BD" w:themeColor="accent1"/>
      <w:sz w:val="18"/>
      <w:szCs w:val="18"/>
    </w:rPr>
  </w:style>
  <w:style w:type="character" w:customStyle="1" w:styleId="CommentTextChar">
    <w:name w:val="Comment Text Char"/>
    <w:basedOn w:val="DefaultParagraphFont"/>
    <w:link w:val="CommentText"/>
    <w:uiPriority w:val="99"/>
    <w:semiHidden/>
    <w:rsid w:val="007F1A9E"/>
    <w:rPr>
      <w:rFonts w:ascii="Trebuchet MS" w:hAnsi="Trebuchet MS"/>
      <w:lang w:val="en-AU"/>
    </w:rPr>
  </w:style>
  <w:style w:type="paragraph" w:styleId="CommentText">
    <w:name w:val="annotation text"/>
    <w:basedOn w:val="Normal"/>
    <w:link w:val="CommentTextChar"/>
    <w:uiPriority w:val="99"/>
    <w:semiHidden/>
    <w:unhideWhenUsed/>
    <w:rsid w:val="007F1A9E"/>
    <w:pPr>
      <w:spacing w:line="240" w:lineRule="auto"/>
    </w:pPr>
    <w:rPr>
      <w:sz w:val="20"/>
    </w:rPr>
  </w:style>
  <w:style w:type="character" w:customStyle="1" w:styleId="CommentSubjectChar">
    <w:name w:val="Comment Subject Char"/>
    <w:basedOn w:val="CommentTextChar"/>
    <w:link w:val="CommentSubject"/>
    <w:uiPriority w:val="99"/>
    <w:semiHidden/>
    <w:rsid w:val="007F1A9E"/>
    <w:rPr>
      <w:rFonts w:ascii="Trebuchet MS" w:hAnsi="Trebuchet MS"/>
      <w:b/>
      <w:bCs/>
      <w:lang w:val="en-AU"/>
    </w:rPr>
  </w:style>
  <w:style w:type="paragraph" w:styleId="CommentSubject">
    <w:name w:val="annotation subject"/>
    <w:basedOn w:val="CommentText"/>
    <w:next w:val="CommentText"/>
    <w:link w:val="CommentSubjectChar"/>
    <w:uiPriority w:val="99"/>
    <w:semiHidden/>
    <w:unhideWhenUsed/>
    <w:rsid w:val="007F1A9E"/>
    <w:rPr>
      <w:b/>
      <w:bCs/>
    </w:rPr>
  </w:style>
  <w:style w:type="character" w:customStyle="1" w:styleId="PlainTextChar">
    <w:name w:val="Plain Text Char"/>
    <w:basedOn w:val="DefaultParagraphFont"/>
    <w:link w:val="PlainText"/>
    <w:uiPriority w:val="99"/>
    <w:semiHidden/>
    <w:rsid w:val="007F1A9E"/>
    <w:rPr>
      <w:rFonts w:ascii="Verdana" w:hAnsi="Verdana" w:cstheme="minorBidi"/>
      <w:szCs w:val="21"/>
      <w:lang w:val="en-AU"/>
    </w:rPr>
  </w:style>
  <w:style w:type="paragraph" w:styleId="PlainText">
    <w:name w:val="Plain Text"/>
    <w:basedOn w:val="Normal"/>
    <w:link w:val="PlainTextChar"/>
    <w:uiPriority w:val="99"/>
    <w:semiHidden/>
    <w:unhideWhenUsed/>
    <w:rsid w:val="007F1A9E"/>
    <w:pPr>
      <w:spacing w:before="0" w:line="240" w:lineRule="auto"/>
    </w:pPr>
    <w:rPr>
      <w:rFonts w:ascii="Verdana" w:hAnsi="Verdana" w:cstheme="minorBidi"/>
      <w:sz w:val="20"/>
      <w:szCs w:val="21"/>
    </w:rPr>
  </w:style>
  <w:style w:type="paragraph" w:styleId="Bibliography">
    <w:name w:val="Bibliography"/>
    <w:basedOn w:val="Normal"/>
    <w:next w:val="Normal"/>
    <w:uiPriority w:val="37"/>
    <w:semiHidden/>
    <w:rsid w:val="008730B2"/>
  </w:style>
  <w:style w:type="character" w:styleId="CommentReference">
    <w:name w:val="annotation reference"/>
    <w:basedOn w:val="DefaultParagraphFont"/>
    <w:uiPriority w:val="99"/>
    <w:semiHidden/>
    <w:rsid w:val="001F0597"/>
    <w:rPr>
      <w:sz w:val="16"/>
      <w:szCs w:val="16"/>
    </w:rPr>
  </w:style>
  <w:style w:type="paragraph" w:customStyle="1" w:styleId="Textlessbefore">
    <w:name w:val="Text less # before"/>
    <w:basedOn w:val="Text"/>
    <w:uiPriority w:val="1"/>
    <w:qFormat/>
    <w:rsid w:val="006E23C9"/>
    <w:pPr>
      <w:spacing w:before="80"/>
      <w:ind w:right="0"/>
    </w:pPr>
  </w:style>
  <w:style w:type="paragraph" w:customStyle="1" w:styleId="StyleAuthorsLeft0cm">
    <w:name w:val="Style Authors + Left:  0 cm"/>
    <w:basedOn w:val="Authors"/>
    <w:rsid w:val="00F17BA9"/>
    <w:pPr>
      <w:ind w:left="0"/>
    </w:pPr>
    <w:rPr>
      <w:rFonts w:ascii="Arial" w:hAnsi="Arial" w:cs="Times New Roman"/>
    </w:rPr>
  </w:style>
  <w:style w:type="paragraph" w:customStyle="1" w:styleId="StyleOrganisationLeft0cmRight-0cm">
    <w:name w:val="Style Organisation + Left:  0 cm Right:  -0 cm"/>
    <w:basedOn w:val="Organisation"/>
    <w:rsid w:val="00F17BA9"/>
    <w:pPr>
      <w:ind w:left="0" w:right="-1"/>
    </w:pPr>
    <w:rPr>
      <w:rFonts w:ascii="Arial" w:hAnsi="Arial" w:cs="Times New Roman"/>
    </w:rPr>
  </w:style>
  <w:style w:type="paragraph" w:customStyle="1" w:styleId="StyleAuthorsLeft0cmRight0cmBefore12pt">
    <w:name w:val="Style Authors + Left:  0 cm Right:  0 cm Before:  12 pt"/>
    <w:basedOn w:val="Authors"/>
    <w:rsid w:val="00F17BA9"/>
    <w:pPr>
      <w:spacing w:before="240"/>
      <w:ind w:left="0" w:right="0"/>
    </w:pPr>
    <w:rPr>
      <w:rFonts w:ascii="Arial" w:hAnsi="Arial" w:cs="Times New Roman"/>
    </w:rPr>
  </w:style>
  <w:style w:type="paragraph" w:customStyle="1" w:styleId="StyleHeading4Before6pt">
    <w:name w:val="Style Heading 4 + Before:  6 pt"/>
    <w:basedOn w:val="Heading4"/>
    <w:rsid w:val="000F6D8E"/>
    <w:pPr>
      <w:spacing w:before="120"/>
    </w:pPr>
    <w:rPr>
      <w:iCs/>
    </w:rPr>
  </w:style>
  <w:style w:type="paragraph" w:customStyle="1" w:styleId="StyleHeading4Before18pt">
    <w:name w:val="Style Heading 4 + Before:  18 pt"/>
    <w:basedOn w:val="Heading4"/>
    <w:rsid w:val="000F6D8E"/>
    <w:pPr>
      <w:spacing w:before="360"/>
    </w:pPr>
    <w:rPr>
      <w:iCs/>
    </w:rPr>
  </w:style>
  <w:style w:type="paragraph" w:customStyle="1" w:styleId="StyleHeading4Before18ptLinespacingExactly14pt">
    <w:name w:val="Style Heading 4 + Before:  18 pt Line spacing:  Exactly 14 pt"/>
    <w:basedOn w:val="Heading4"/>
    <w:rsid w:val="000F6D8E"/>
    <w:pPr>
      <w:spacing w:before="360" w:line="280" w:lineRule="exact"/>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22">
      <w:bodyDiv w:val="1"/>
      <w:marLeft w:val="0"/>
      <w:marRight w:val="0"/>
      <w:marTop w:val="0"/>
      <w:marBottom w:val="0"/>
      <w:divBdr>
        <w:top w:val="none" w:sz="0" w:space="0" w:color="auto"/>
        <w:left w:val="none" w:sz="0" w:space="0" w:color="auto"/>
        <w:bottom w:val="none" w:sz="0" w:space="0" w:color="auto"/>
        <w:right w:val="none" w:sz="0" w:space="0" w:color="auto"/>
      </w:divBdr>
      <w:divsChild>
        <w:div w:id="915867241">
          <w:marLeft w:val="0"/>
          <w:marRight w:val="0"/>
          <w:marTop w:val="0"/>
          <w:marBottom w:val="0"/>
          <w:divBdr>
            <w:top w:val="none" w:sz="0" w:space="0" w:color="auto"/>
            <w:left w:val="none" w:sz="0" w:space="0" w:color="auto"/>
            <w:bottom w:val="none" w:sz="0" w:space="0" w:color="auto"/>
            <w:right w:val="none" w:sz="0" w:space="0" w:color="auto"/>
          </w:divBdr>
          <w:divsChild>
            <w:div w:id="1707484821">
              <w:marLeft w:val="0"/>
              <w:marRight w:val="0"/>
              <w:marTop w:val="0"/>
              <w:marBottom w:val="0"/>
              <w:divBdr>
                <w:top w:val="none" w:sz="0" w:space="0" w:color="auto"/>
                <w:left w:val="none" w:sz="0" w:space="0" w:color="auto"/>
                <w:bottom w:val="none" w:sz="0" w:space="0" w:color="auto"/>
                <w:right w:val="none" w:sz="0" w:space="0" w:color="auto"/>
              </w:divBdr>
              <w:divsChild>
                <w:div w:id="761221432">
                  <w:marLeft w:val="0"/>
                  <w:marRight w:val="0"/>
                  <w:marTop w:val="0"/>
                  <w:marBottom w:val="0"/>
                  <w:divBdr>
                    <w:top w:val="none" w:sz="0" w:space="0" w:color="auto"/>
                    <w:left w:val="none" w:sz="0" w:space="0" w:color="auto"/>
                    <w:bottom w:val="none" w:sz="0" w:space="0" w:color="auto"/>
                    <w:right w:val="none" w:sz="0" w:space="0" w:color="auto"/>
                  </w:divBdr>
                  <w:divsChild>
                    <w:div w:id="419106765">
                      <w:marLeft w:val="0"/>
                      <w:marRight w:val="0"/>
                      <w:marTop w:val="0"/>
                      <w:marBottom w:val="0"/>
                      <w:divBdr>
                        <w:top w:val="none" w:sz="0" w:space="0" w:color="auto"/>
                        <w:left w:val="none" w:sz="0" w:space="0" w:color="auto"/>
                        <w:bottom w:val="none" w:sz="0" w:space="0" w:color="auto"/>
                        <w:right w:val="none" w:sz="0" w:space="0" w:color="auto"/>
                      </w:divBdr>
                      <w:divsChild>
                        <w:div w:id="298539338">
                          <w:marLeft w:val="0"/>
                          <w:marRight w:val="0"/>
                          <w:marTop w:val="0"/>
                          <w:marBottom w:val="0"/>
                          <w:divBdr>
                            <w:top w:val="none" w:sz="0" w:space="0" w:color="auto"/>
                            <w:left w:val="none" w:sz="0" w:space="0" w:color="auto"/>
                            <w:bottom w:val="none" w:sz="0" w:space="0" w:color="auto"/>
                            <w:right w:val="none" w:sz="0" w:space="0" w:color="auto"/>
                          </w:divBdr>
                          <w:divsChild>
                            <w:div w:id="1283153463">
                              <w:marLeft w:val="0"/>
                              <w:marRight w:val="0"/>
                              <w:marTop w:val="0"/>
                              <w:marBottom w:val="0"/>
                              <w:divBdr>
                                <w:top w:val="none" w:sz="0" w:space="0" w:color="auto"/>
                                <w:left w:val="none" w:sz="0" w:space="0" w:color="auto"/>
                                <w:bottom w:val="none" w:sz="0" w:space="0" w:color="auto"/>
                                <w:right w:val="none" w:sz="0" w:space="0" w:color="auto"/>
                              </w:divBdr>
                              <w:divsChild>
                                <w:div w:id="28648736">
                                  <w:marLeft w:val="0"/>
                                  <w:marRight w:val="0"/>
                                  <w:marTop w:val="0"/>
                                  <w:marBottom w:val="0"/>
                                  <w:divBdr>
                                    <w:top w:val="none" w:sz="0" w:space="0" w:color="auto"/>
                                    <w:left w:val="none" w:sz="0" w:space="0" w:color="auto"/>
                                    <w:bottom w:val="none" w:sz="0" w:space="0" w:color="auto"/>
                                    <w:right w:val="none" w:sz="0" w:space="0" w:color="auto"/>
                                  </w:divBdr>
                                  <w:divsChild>
                                    <w:div w:id="16071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976616">
      <w:bodyDiv w:val="1"/>
      <w:marLeft w:val="0"/>
      <w:marRight w:val="0"/>
      <w:marTop w:val="0"/>
      <w:marBottom w:val="0"/>
      <w:divBdr>
        <w:top w:val="none" w:sz="0" w:space="0" w:color="auto"/>
        <w:left w:val="none" w:sz="0" w:space="0" w:color="auto"/>
        <w:bottom w:val="none" w:sz="0" w:space="0" w:color="auto"/>
        <w:right w:val="none" w:sz="0" w:space="0" w:color="auto"/>
      </w:divBdr>
    </w:div>
    <w:div w:id="2088766428">
      <w:bodyDiv w:val="1"/>
      <w:marLeft w:val="0"/>
      <w:marRight w:val="0"/>
      <w:marTop w:val="0"/>
      <w:marBottom w:val="0"/>
      <w:divBdr>
        <w:top w:val="none" w:sz="0" w:space="0" w:color="auto"/>
        <w:left w:val="none" w:sz="0" w:space="0" w:color="auto"/>
        <w:bottom w:val="none" w:sz="0" w:space="0" w:color="auto"/>
        <w:right w:val="none" w:sz="0" w:space="0" w:color="auto"/>
      </w:divBdr>
      <w:divsChild>
        <w:div w:id="1190725375">
          <w:marLeft w:val="0"/>
          <w:marRight w:val="0"/>
          <w:marTop w:val="0"/>
          <w:marBottom w:val="0"/>
          <w:divBdr>
            <w:top w:val="none" w:sz="0" w:space="0" w:color="auto"/>
            <w:left w:val="none" w:sz="0" w:space="0" w:color="auto"/>
            <w:bottom w:val="none" w:sz="0" w:space="0" w:color="auto"/>
            <w:right w:val="none" w:sz="0" w:space="0" w:color="auto"/>
          </w:divBdr>
          <w:divsChild>
            <w:div w:id="309332681">
              <w:marLeft w:val="0"/>
              <w:marRight w:val="0"/>
              <w:marTop w:val="0"/>
              <w:marBottom w:val="0"/>
              <w:divBdr>
                <w:top w:val="none" w:sz="0" w:space="0" w:color="auto"/>
                <w:left w:val="none" w:sz="0" w:space="0" w:color="auto"/>
                <w:bottom w:val="none" w:sz="0" w:space="0" w:color="auto"/>
                <w:right w:val="none" w:sz="0" w:space="0" w:color="auto"/>
              </w:divBdr>
              <w:divsChild>
                <w:div w:id="652299610">
                  <w:marLeft w:val="0"/>
                  <w:marRight w:val="0"/>
                  <w:marTop w:val="0"/>
                  <w:marBottom w:val="0"/>
                  <w:divBdr>
                    <w:top w:val="none" w:sz="0" w:space="0" w:color="auto"/>
                    <w:left w:val="none" w:sz="0" w:space="0" w:color="auto"/>
                    <w:bottom w:val="none" w:sz="0" w:space="0" w:color="auto"/>
                    <w:right w:val="none" w:sz="0" w:space="0" w:color="auto"/>
                  </w:divBdr>
                  <w:divsChild>
                    <w:div w:id="146092567">
                      <w:marLeft w:val="0"/>
                      <w:marRight w:val="0"/>
                      <w:marTop w:val="0"/>
                      <w:marBottom w:val="0"/>
                      <w:divBdr>
                        <w:top w:val="none" w:sz="0" w:space="0" w:color="auto"/>
                        <w:left w:val="none" w:sz="0" w:space="0" w:color="auto"/>
                        <w:bottom w:val="none" w:sz="0" w:space="0" w:color="auto"/>
                        <w:right w:val="none" w:sz="0" w:space="0" w:color="auto"/>
                      </w:divBdr>
                      <w:divsChild>
                        <w:div w:id="1811551220">
                          <w:marLeft w:val="0"/>
                          <w:marRight w:val="0"/>
                          <w:marTop w:val="0"/>
                          <w:marBottom w:val="0"/>
                          <w:divBdr>
                            <w:top w:val="none" w:sz="0" w:space="0" w:color="auto"/>
                            <w:left w:val="none" w:sz="0" w:space="0" w:color="auto"/>
                            <w:bottom w:val="none" w:sz="0" w:space="0" w:color="auto"/>
                            <w:right w:val="none" w:sz="0" w:space="0" w:color="auto"/>
                          </w:divBdr>
                          <w:divsChild>
                            <w:div w:id="872763417">
                              <w:marLeft w:val="0"/>
                              <w:marRight w:val="0"/>
                              <w:marTop w:val="0"/>
                              <w:marBottom w:val="0"/>
                              <w:divBdr>
                                <w:top w:val="none" w:sz="0" w:space="0" w:color="auto"/>
                                <w:left w:val="none" w:sz="0" w:space="0" w:color="auto"/>
                                <w:bottom w:val="none" w:sz="0" w:space="0" w:color="auto"/>
                                <w:right w:val="none" w:sz="0" w:space="0" w:color="auto"/>
                              </w:divBdr>
                              <w:divsChild>
                                <w:div w:id="1241982032">
                                  <w:marLeft w:val="0"/>
                                  <w:marRight w:val="0"/>
                                  <w:marTop w:val="0"/>
                                  <w:marBottom w:val="0"/>
                                  <w:divBdr>
                                    <w:top w:val="none" w:sz="0" w:space="0" w:color="auto"/>
                                    <w:left w:val="none" w:sz="0" w:space="0" w:color="auto"/>
                                    <w:bottom w:val="none" w:sz="0" w:space="0" w:color="auto"/>
                                    <w:right w:val="none" w:sz="0" w:space="0" w:color="auto"/>
                                  </w:divBdr>
                                  <w:divsChild>
                                    <w:div w:id="17655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hyperlink" Target="http://www.lsay.edu.au" TargetMode="External"/><Relationship Id="rId39" Type="http://schemas.openxmlformats.org/officeDocument/2006/relationships/hyperlink" Target="http://www.satac.edu.au/pages/about-us" TargetMode="External"/><Relationship Id="rId21" Type="http://schemas.openxmlformats.org/officeDocument/2006/relationships/image" Target="media/image80.emf"/><Relationship Id="rId34" Type="http://schemas.openxmlformats.org/officeDocument/2006/relationships/image" Target="media/image13.emf"/><Relationship Id="rId42" Type="http://schemas.openxmlformats.org/officeDocument/2006/relationships/hyperlink" Target="http://www.vtac.edu.au/about-vtac/" TargetMode="External"/><Relationship Id="rId47" Type="http://schemas.openxmlformats.org/officeDocument/2006/relationships/footer" Target="footer2.xml"/><Relationship Id="rId50" Type="http://schemas.openxmlformats.org/officeDocument/2006/relationships/image" Target="media/image16.jpeg"/><Relationship Id="rId55" Type="http://schemas.openxmlformats.org/officeDocument/2006/relationships/hyperlink" Target="http://twitter.com/ncve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ncver@ncver.edu.au" TargetMode="External"/><Relationship Id="rId20" Type="http://schemas.openxmlformats.org/officeDocument/2006/relationships/hyperlink" Target="mailto:ncver@ncver.edu.au" TargetMode="External"/><Relationship Id="rId29" Type="http://schemas.openxmlformats.org/officeDocument/2006/relationships/hyperlink" Target="http://www.aph.gov.au/Parliamentary_Business/Committees/House_of_Representatives_Committees?url=ee/tafe44/subs.htm" TargetMode="External"/><Relationship Id="rId41" Type="http://schemas.openxmlformats.org/officeDocument/2006/relationships/hyperlink" Target="http://scu.edu.au/scupathways/" TargetMode="External"/><Relationship Id="rId54" Type="http://schemas.openxmlformats.org/officeDocument/2006/relationships/hyperlink" Target="http://www.lsay.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lsay.edu.au" TargetMode="External"/><Relationship Id="rId32" Type="http://schemas.openxmlformats.org/officeDocument/2006/relationships/image" Target="media/image11.png"/><Relationship Id="rId37" Type="http://schemas.openxmlformats.org/officeDocument/2006/relationships/hyperlink" Target="http://www.qtac.edu.au" TargetMode="External"/><Relationship Id="rId40" Type="http://schemas.openxmlformats.org/officeDocument/2006/relationships/hyperlink" Target="http://3darticulation.com.au/wp-content/uploads/SBIT-Educational-Pathways-Model" TargetMode="External"/><Relationship Id="rId45" Type="http://schemas.openxmlformats.org/officeDocument/2006/relationships/hyperlink" Target="http://www.vrqa.vic.gov.au/apptrain/Pages/appdefault.aspx" TargetMode="External"/><Relationship Id="rId53" Type="http://schemas.openxmlformats.org/officeDocument/2006/relationships/hyperlink" Target="mailto:ncver@ncver.edu.au" TargetMode="External"/><Relationship Id="rId58" Type="http://schemas.openxmlformats.org/officeDocument/2006/relationships/hyperlink" Target="http://twitter.com/ncver" TargetMode="Externa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yperlink" Target="mailto:ncver@ncver.edu.au" TargetMode="External"/><Relationship Id="rId28" Type="http://schemas.openxmlformats.org/officeDocument/2006/relationships/hyperlink" Target="http://www.aph.gov.au/Parliamentary_Business/Committees/%20House_of_Representatives_Committees?url=ee/tafe44/subs.htm" TargetMode="External"/><Relationship Id="rId36" Type="http://schemas.openxmlformats.org/officeDocument/2006/relationships/image" Target="media/image15.png"/><Relationship Id="rId49" Type="http://schemas.openxmlformats.org/officeDocument/2006/relationships/footer" Target="footer4.xml"/><Relationship Id="rId57" Type="http://schemas.openxmlformats.org/officeDocument/2006/relationships/hyperlink" Target="http://www.lsay.edu.au"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0.wmf"/><Relationship Id="rId31" Type="http://schemas.openxmlformats.org/officeDocument/2006/relationships/image" Target="media/image10.png"/><Relationship Id="rId44" Type="http://schemas.openxmlformats.org/officeDocument/2006/relationships/hyperlink" Target="http://www.education.vic.gov.au/training/employers/apprentices/Pages/what.aspx" TargetMode="External"/><Relationship Id="rId52" Type="http://schemas.openxmlformats.org/officeDocument/2006/relationships/image" Target="media/image1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0.emf"/><Relationship Id="rId27" Type="http://schemas.openxmlformats.org/officeDocument/2006/relationships/hyperlink" Target="http://education.qld.gov.au/nextstep/2010report.html" TargetMode="External"/><Relationship Id="rId30" Type="http://schemas.openxmlformats.org/officeDocument/2006/relationships/hyperlink" Target="http://www.aph.gov.au/Parliamentary_%20Business/Committees/House_of_Representatives_Committees?url=ee/tafe44/subs.htm" TargetMode="External"/><Relationship Id="rId35" Type="http://schemas.openxmlformats.org/officeDocument/2006/relationships/image" Target="media/image14.emf"/><Relationship Id="rId43" Type="http://schemas.openxmlformats.org/officeDocument/2006/relationships/hyperlink" Target="http://akoaotearoa.ac.nz/research-register/list/becoming-belonging-and-being-first-year-apprentices-experiences-workplace%20.pdf" TargetMode="External"/><Relationship Id="rId48" Type="http://schemas.openxmlformats.org/officeDocument/2006/relationships/footer" Target="footer3.xml"/><Relationship Id="rId56" Type="http://schemas.openxmlformats.org/officeDocument/2006/relationships/hyperlink" Target="mailto:ncver@ncver.edu.au" TargetMode="Externa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hyperlink" Target="mailto:ncver@ncver.edu.au" TargetMode="External"/><Relationship Id="rId33" Type="http://schemas.openxmlformats.org/officeDocument/2006/relationships/image" Target="media/image12.png"/><Relationship Id="rId38" Type="http://schemas.openxmlformats.org/officeDocument/2006/relationships/hyperlink" Target="http://3darticulation.com.au/wp-content/uploads/00-Capstone-8.pdf" TargetMode="External"/><Relationship Id="rId46" Type="http://schemas.openxmlformats.org/officeDocument/2006/relationships/footer" Target="footer1.xml"/><Relationship Id="rId59"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CommonwealthPublicatio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A6AE3-3493-4421-9501-4F7865AE1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CommonwealthPublicationTemplate.DOTX</Template>
  <TotalTime>128</TotalTime>
  <Pages>74</Pages>
  <Words>33843</Words>
  <Characters>192906</Characters>
  <Application>Microsoft Office Word</Application>
  <DocSecurity>0</DocSecurity>
  <Lines>1607</Lines>
  <Paragraphs>452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226297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23rd No Frills refereed papers</dc:title>
  <dc:creator>lauraoconnor@ncver.edu.au;MareeAckehurst@ncver.edu.au</dc:creator>
  <cp:lastModifiedBy>Katrina Matheos</cp:lastModifiedBy>
  <cp:revision>7</cp:revision>
  <cp:lastPrinted>2015-06-02T03:55:00Z</cp:lastPrinted>
  <dcterms:created xsi:type="dcterms:W3CDTF">2015-06-02T05:07:00Z</dcterms:created>
  <dcterms:modified xsi:type="dcterms:W3CDTF">2015-06-04T23:29:00Z</dcterms:modified>
</cp:coreProperties>
</file>