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F00" w:rsidRDefault="00F87F00" w:rsidP="00502974">
      <w:pPr>
        <w:pStyle w:val="PublicationTitle"/>
        <w:spacing w:before="0"/>
      </w:pPr>
      <w:bookmarkStart w:id="0" w:name="_Toc296423677"/>
      <w:bookmarkStart w:id="1" w:name="_Toc296497508"/>
      <w:r>
        <w:rPr>
          <w:noProof/>
          <w:lang w:eastAsia="en-AU"/>
        </w:rPr>
        <w:drawing>
          <wp:anchor distT="0" distB="0" distL="114300" distR="114300" simplePos="0" relativeHeight="251665408" behindDoc="0" locked="0" layoutInCell="1" allowOverlap="1">
            <wp:simplePos x="0" y="0"/>
            <wp:positionH relativeFrom="column">
              <wp:posOffset>-901700</wp:posOffset>
            </wp:positionH>
            <wp:positionV relativeFrom="paragraph">
              <wp:posOffset>104140</wp:posOffset>
            </wp:positionV>
            <wp:extent cx="2459990" cy="548640"/>
            <wp:effectExtent l="19050" t="0" r="0" b="0"/>
            <wp:wrapSquare wrapText="bothSides"/>
            <wp:docPr id="5" name="Picture 5" descr="P:\PublicationComponents\logos\NCVER LOGOS\EPS - pagemaker_quark\ncver left tab_mon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PublicationComponents\logos\NCVER LOGOS\EPS - pagemaker_quark\ncver left tab_mono.eps"/>
                    <pic:cNvPicPr>
                      <a:picLocks noChangeAspect="1" noChangeArrowheads="1"/>
                    </pic:cNvPicPr>
                  </pic:nvPicPr>
                  <pic:blipFill>
                    <a:blip r:embed="rId8" cstate="print"/>
                    <a:srcRect/>
                    <a:stretch>
                      <a:fillRect/>
                    </a:stretch>
                  </pic:blipFill>
                  <pic:spPr bwMode="auto">
                    <a:xfrm>
                      <a:off x="0" y="0"/>
                      <a:ext cx="2459990" cy="548640"/>
                    </a:xfrm>
                    <a:prstGeom prst="rect">
                      <a:avLst/>
                    </a:prstGeom>
                    <a:noFill/>
                    <a:ln w="9525">
                      <a:noFill/>
                      <a:miter lim="800000"/>
                      <a:headEnd/>
                      <a:tailEnd/>
                    </a:ln>
                  </pic:spPr>
                </pic:pic>
              </a:graphicData>
            </a:graphic>
          </wp:anchor>
        </w:drawing>
      </w:r>
    </w:p>
    <w:p w:rsidR="00F87F00" w:rsidRDefault="00F87F00" w:rsidP="00502974">
      <w:pPr>
        <w:pStyle w:val="PublicationTitle"/>
        <w:spacing w:before="0" w:after="0"/>
      </w:pPr>
    </w:p>
    <w:p w:rsidR="00F87F00" w:rsidRDefault="00F87F00" w:rsidP="00502974">
      <w:pPr>
        <w:pStyle w:val="PublicationTitle"/>
        <w:spacing w:before="0" w:after="0"/>
        <w:rPr>
          <w:noProof/>
          <w:lang w:eastAsia="en-AU"/>
        </w:rPr>
      </w:pPr>
    </w:p>
    <w:p w:rsidR="00F87F00" w:rsidRDefault="00F87F00" w:rsidP="00502974">
      <w:pPr>
        <w:pStyle w:val="PublicationTitle"/>
        <w:spacing w:before="0"/>
      </w:pPr>
    </w:p>
    <w:bookmarkEnd w:id="0"/>
    <w:bookmarkEnd w:id="1"/>
    <w:p w:rsidR="00F87F00" w:rsidRPr="005C2FCF" w:rsidRDefault="00F87F00" w:rsidP="00502974">
      <w:pPr>
        <w:pStyle w:val="PublicationTitle"/>
        <w:spacing w:before="0"/>
      </w:pPr>
      <w:r>
        <w:t xml:space="preserve">Single-sex schools and </w:t>
      </w:r>
      <w:r w:rsidRPr="006D7942">
        <w:t>science</w:t>
      </w:r>
      <w:r>
        <w:t xml:space="preserve"> engagement </w:t>
      </w:r>
    </w:p>
    <w:p w:rsidR="00F87F00" w:rsidRDefault="00F87F00" w:rsidP="00502974">
      <w:pPr>
        <w:pStyle w:val="Authors"/>
      </w:pPr>
      <w:bookmarkStart w:id="2" w:name="_Toc296423678"/>
      <w:bookmarkStart w:id="3" w:name="_Toc296497509"/>
      <w:r>
        <w:t>Joanna Sikora</w:t>
      </w:r>
    </w:p>
    <w:bookmarkEnd w:id="2"/>
    <w:bookmarkEnd w:id="3"/>
    <w:p w:rsidR="00F87F00" w:rsidRDefault="00F87F00" w:rsidP="00502974">
      <w:pPr>
        <w:pStyle w:val="Organisation"/>
      </w:pPr>
      <w:r>
        <w:t>Australian National University</w:t>
      </w:r>
    </w:p>
    <w:p w:rsidR="00F87F00" w:rsidRDefault="0091032D" w:rsidP="00502974">
      <w:pPr>
        <w:pStyle w:val="Heading3"/>
        <w:ind w:right="-1"/>
      </w:pPr>
      <w:r>
        <w:rPr>
          <w:noProof/>
          <w:lang w:eastAsia="en-AU"/>
        </w:rPr>
        <w:pict>
          <v:shapetype id="_x0000_t202" coordsize="21600,21600" o:spt="202" path="m,l,21600r21600,l21600,xe">
            <v:stroke joinstyle="miter"/>
            <v:path gradientshapeok="t" o:connecttype="rect"/>
          </v:shapetype>
          <v:shape id="_x0000_s1026" type="#_x0000_t202" style="position:absolute;margin-left:73.1pt;margin-top:659.7pt;width:357pt;height:83pt;z-index:251660288;mso-position-vertical-relative:margin" filled="f" stroked="f">
            <v:textbox style="mso-next-textbox:#_x0000_s1026">
              <w:txbxContent>
                <w:p w:rsidR="002D409E" w:rsidRDefault="002D409E" w:rsidP="00502974">
                  <w:pPr>
                    <w:pStyle w:val="Imprint"/>
                    <w:spacing w:before="0"/>
                    <w:ind w:left="142" w:right="10"/>
                    <w:rPr>
                      <w:color w:val="000000"/>
                    </w:rPr>
                  </w:pPr>
                  <w:r w:rsidRPr="005C2FCF">
                    <w:rPr>
                      <w:color w:val="000000"/>
                    </w:rPr>
                    <w:t>The views and opinions expressed in this document are those of the author/</w:t>
                  </w:r>
                  <w:r>
                    <w:rPr>
                      <w:color w:val="000000"/>
                    </w:rPr>
                    <w:br/>
                  </w:r>
                  <w:r w:rsidRPr="005C2FCF">
                    <w:rPr>
                      <w:color w:val="000000"/>
                    </w:rPr>
                    <w:t>project</w:t>
                  </w:r>
                  <w:r>
                    <w:rPr>
                      <w:color w:val="000000"/>
                    </w:rPr>
                    <w:t xml:space="preserve"> </w:t>
                  </w:r>
                  <w:r w:rsidRPr="005C2FCF">
                    <w:rPr>
                      <w:color w:val="000000"/>
                    </w:rPr>
                    <w:t xml:space="preserve">team and do not necessarily reflect the views of the Australian Government, </w:t>
                  </w:r>
                  <w:r>
                    <w:rPr>
                      <w:color w:val="000000"/>
                    </w:rPr>
                    <w:br/>
                  </w:r>
                  <w:r w:rsidRPr="005C2FCF">
                    <w:rPr>
                      <w:color w:val="000000"/>
                    </w:rPr>
                    <w:t>state and territory governments or NCVER.</w:t>
                  </w:r>
                </w:p>
                <w:p w:rsidR="002D409E" w:rsidRDefault="002D409E" w:rsidP="002319F3">
                  <w:pPr>
                    <w:pStyle w:val="Imprint"/>
                    <w:spacing w:before="120"/>
                    <w:ind w:left="142" w:right="10"/>
                  </w:pPr>
                  <w:r w:rsidRPr="005C2FCF">
                    <w:rPr>
                      <w:color w:val="000000"/>
                    </w:rPr>
                    <w:t>Any interpretation of data is the responsibility of the author/project team.</w:t>
                  </w:r>
                </w:p>
              </w:txbxContent>
            </v:textbox>
            <w10:wrap anchory="margin"/>
          </v:shape>
        </w:pict>
      </w:r>
    </w:p>
    <w:p w:rsidR="00F87F00" w:rsidRDefault="0091032D" w:rsidP="00502974">
      <w:pPr>
        <w:pStyle w:val="Heading3"/>
        <w:ind w:right="-1"/>
      </w:pPr>
      <w:r>
        <w:rPr>
          <w:noProof/>
          <w:lang w:eastAsia="en-AU"/>
        </w:rPr>
        <w:pict>
          <v:shape id="_x0000_s1027" type="#_x0000_t202" style="position:absolute;margin-left:79.95pt;margin-top:555.35pt;width:220.05pt;height:83pt;z-index:251661312;mso-position-vertical-relative:margin" filled="f" stroked="f">
            <v:textbox style="mso-next-textbox:#_x0000_s1027">
              <w:txbxContent>
                <w:p w:rsidR="002D409E" w:rsidRPr="002319F3" w:rsidRDefault="002D409E" w:rsidP="00E842C5">
                  <w:pPr>
                    <w:pStyle w:val="Heading3"/>
                    <w:rPr>
                      <w:rFonts w:ascii="Trebuchet MS" w:hAnsi="Trebuchet MS"/>
                      <w:szCs w:val="24"/>
                    </w:rPr>
                  </w:pPr>
                  <w:r w:rsidRPr="002319F3">
                    <w:rPr>
                      <w:rFonts w:ascii="Trebuchet MS" w:hAnsi="Trebuchet MS"/>
                      <w:szCs w:val="24"/>
                    </w:rPr>
                    <w:t xml:space="preserve">NATIONAL VOCATIONAL EDUCATION AND TRAINING RESEARCH PROGRAM </w:t>
                  </w:r>
                </w:p>
                <w:p w:rsidR="002D409E" w:rsidRPr="002319F3" w:rsidRDefault="002D409E" w:rsidP="00E842C5">
                  <w:pPr>
                    <w:pStyle w:val="Heading3"/>
                    <w:spacing w:before="80"/>
                    <w:rPr>
                      <w:rFonts w:ascii="Trebuchet MS" w:hAnsi="Trebuchet MS"/>
                      <w:szCs w:val="24"/>
                    </w:rPr>
                  </w:pPr>
                  <w:r w:rsidRPr="002319F3">
                    <w:rPr>
                      <w:rFonts w:ascii="Trebuchet MS" w:hAnsi="Trebuchet MS"/>
                      <w:b/>
                      <w:szCs w:val="24"/>
                    </w:rPr>
                    <w:t>OCCASIONAL PAPER</w:t>
                  </w:r>
                </w:p>
                <w:p w:rsidR="002D409E" w:rsidRDefault="002D409E" w:rsidP="00502974">
                  <w:pPr>
                    <w:pStyle w:val="Heading3"/>
                  </w:pPr>
                </w:p>
              </w:txbxContent>
            </v:textbox>
            <w10:wrap anchory="margin"/>
          </v:shape>
        </w:pict>
      </w:r>
      <w:r w:rsidR="00F87F00" w:rsidRPr="005C2FCF">
        <w:br w:type="page"/>
      </w:r>
    </w:p>
    <w:tbl>
      <w:tblPr>
        <w:tblW w:w="7371" w:type="dxa"/>
        <w:tblInd w:w="227" w:type="dxa"/>
        <w:tblBorders>
          <w:top w:val="single" w:sz="24" w:space="0" w:color="000000" w:themeColor="text1"/>
          <w:bottom w:val="single" w:sz="4" w:space="0" w:color="000000" w:themeColor="text1"/>
        </w:tblBorders>
        <w:tblLayout w:type="fixed"/>
        <w:tblLook w:val="04A0"/>
      </w:tblPr>
      <w:tblGrid>
        <w:gridCol w:w="7371"/>
      </w:tblGrid>
      <w:tr w:rsidR="00807D0E" w:rsidRPr="00E8572B" w:rsidTr="00E842C5">
        <w:trPr>
          <w:trHeight w:val="2150"/>
        </w:trPr>
        <w:tc>
          <w:tcPr>
            <w:tcW w:w="7371" w:type="dxa"/>
            <w:tcBorders>
              <w:top w:val="single" w:sz="24" w:space="0" w:color="000000" w:themeColor="text1"/>
              <w:bottom w:val="single" w:sz="4" w:space="0" w:color="000000" w:themeColor="text1"/>
            </w:tcBorders>
            <w:shd w:val="clear" w:color="auto" w:fill="D9D9D9" w:themeFill="background1" w:themeFillShade="D9"/>
            <w:tcMar>
              <w:top w:w="57" w:type="dxa"/>
              <w:left w:w="227" w:type="dxa"/>
              <w:bottom w:w="227" w:type="dxa"/>
              <w:right w:w="227" w:type="dxa"/>
            </w:tcMar>
          </w:tcPr>
          <w:p w:rsidR="00807D0E" w:rsidRPr="00E8572B" w:rsidRDefault="00807D0E" w:rsidP="00E842C5">
            <w:pPr>
              <w:pStyle w:val="Imprint"/>
            </w:pPr>
            <w:r w:rsidRPr="00E8572B">
              <w:lastRenderedPageBreak/>
              <w:t xml:space="preserve">As part of the National Centre for Vocational Education Research (NCVER) Building Researcher Capacity Scheme, a </w:t>
            </w:r>
            <w:r>
              <w:t>fellowship</w:t>
            </w:r>
            <w:r w:rsidRPr="00E8572B">
              <w:t xml:space="preserve"> </w:t>
            </w:r>
            <w:r>
              <w:t>p</w:t>
            </w:r>
            <w:r w:rsidRPr="00E8572B">
              <w:t>rogram has been created to encourage research</w:t>
            </w:r>
            <w:r>
              <w:t>ers</w:t>
            </w:r>
            <w:r w:rsidRPr="00E8572B">
              <w:t xml:space="preserve"> </w:t>
            </w:r>
            <w:r w:rsidRPr="006E2289">
              <w:rPr>
                <w:kern w:val="28"/>
              </w:rPr>
              <w:t>to use NCVER datasets to improve our understanding of tertiary education. The fellowships also provide participants with an opportunity to have their research peer-reviewed and published by</w:t>
            </w:r>
            <w:r>
              <w:rPr>
                <w:kern w:val="28"/>
              </w:rPr>
              <w:t> </w:t>
            </w:r>
            <w:r w:rsidRPr="006E2289">
              <w:rPr>
                <w:kern w:val="28"/>
              </w:rPr>
              <w:t>NCVER.</w:t>
            </w:r>
          </w:p>
          <w:p w:rsidR="00807D0E" w:rsidRPr="00E8572B" w:rsidRDefault="00807D0E" w:rsidP="00E842C5">
            <w:pPr>
              <w:pStyle w:val="Imprint"/>
            </w:pPr>
            <w:r w:rsidRPr="00E8572B">
              <w:t xml:space="preserve">For more information see: </w:t>
            </w:r>
            <w:r w:rsidRPr="002319F3">
              <w:rPr>
                <w:szCs w:val="16"/>
              </w:rPr>
              <w:t>&lt;</w:t>
            </w:r>
            <w:hyperlink r:id="rId9" w:anchor="NCVER_Fellowships" w:history="1">
              <w:r w:rsidR="002319F3" w:rsidRPr="0074400A">
                <w:rPr>
                  <w:rStyle w:val="Hyperlink"/>
                  <w:sz w:val="16"/>
                  <w:szCs w:val="16"/>
                </w:rPr>
                <w:t>www.ncver.edu.au/research/opportunities.html#NCVER_Fellowships</w:t>
              </w:r>
            </w:hyperlink>
            <w:r w:rsidRPr="002319F3">
              <w:rPr>
                <w:szCs w:val="16"/>
              </w:rPr>
              <w:t>&gt;</w:t>
            </w:r>
            <w:r w:rsidRPr="00E8572B">
              <w:t>.</w:t>
            </w:r>
          </w:p>
        </w:tc>
      </w:tr>
    </w:tbl>
    <w:p w:rsidR="00F87F00" w:rsidRDefault="00F87F00" w:rsidP="00502974">
      <w:pPr>
        <w:pStyle w:val="Imprint"/>
        <w:rPr>
          <w:sz w:val="19"/>
          <w:szCs w:val="19"/>
        </w:rPr>
      </w:pPr>
    </w:p>
    <w:p w:rsidR="00F87F00" w:rsidRPr="00C77DC6" w:rsidRDefault="0091032D" w:rsidP="00502974">
      <w:pPr>
        <w:pStyle w:val="Abouttheresearch"/>
      </w:pPr>
      <w:r>
        <w:pict>
          <v:shape id="_x0000_s1028" type="#_x0000_t202" style="position:absolute;margin-left:0;margin-top:75.35pt;width:381pt;height:456pt;z-index:251662336;v-text-anchor:bottom" filled="f" stroked="f">
            <v:textbox style="mso-next-textbox:#_x0000_s1028" inset="0,,0">
              <w:txbxContent>
                <w:p w:rsidR="002D409E" w:rsidRPr="00A021FC" w:rsidRDefault="002D409E" w:rsidP="00E842C5">
                  <w:pPr>
                    <w:pStyle w:val="Imprint"/>
                    <w:rPr>
                      <w:b/>
                    </w:rPr>
                  </w:pPr>
                  <w:r w:rsidRPr="00A021FC">
                    <w:rPr>
                      <w:b/>
                    </w:rPr>
                    <w:t xml:space="preserve">© Commonwealth of Australia, </w:t>
                  </w:r>
                  <w:r>
                    <w:rPr>
                      <w:b/>
                    </w:rPr>
                    <w:t>2013</w:t>
                  </w:r>
                </w:p>
                <w:p w:rsidR="002D409E" w:rsidRDefault="002D409E" w:rsidP="00E842C5">
                  <w:pPr>
                    <w:pStyle w:val="Imprint"/>
                    <w:rPr>
                      <w:sz w:val="20"/>
                    </w:rPr>
                  </w:pPr>
                  <w:r>
                    <w:rPr>
                      <w:noProof/>
                      <w:sz w:val="20"/>
                      <w:lang w:eastAsia="en-AU"/>
                    </w:rPr>
                    <w:drawing>
                      <wp:inline distT="0" distB="0" distL="0" distR="0">
                        <wp:extent cx="854710" cy="308610"/>
                        <wp:effectExtent l="19050" t="0" r="2540" b="0"/>
                        <wp:docPr id="7"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0"/>
                                <a:srcRect/>
                                <a:stretch>
                                  <a:fillRect/>
                                </a:stretch>
                              </pic:blipFill>
                              <pic:spPr bwMode="auto">
                                <a:xfrm>
                                  <a:off x="0" y="0"/>
                                  <a:ext cx="854710" cy="308610"/>
                                </a:xfrm>
                                <a:prstGeom prst="rect">
                                  <a:avLst/>
                                </a:prstGeom>
                                <a:noFill/>
                                <a:ln w="9525">
                                  <a:noFill/>
                                  <a:miter lim="800000"/>
                                  <a:headEnd/>
                                  <a:tailEnd/>
                                </a:ln>
                              </pic:spPr>
                            </pic:pic>
                          </a:graphicData>
                        </a:graphic>
                      </wp:inline>
                    </w:drawing>
                  </w:r>
                </w:p>
                <w:p w:rsidR="002D409E" w:rsidRPr="00A021FC" w:rsidRDefault="002D409E" w:rsidP="00E842C5">
                  <w:pPr>
                    <w:pStyle w:val="Imprint"/>
                  </w:pPr>
                  <w:r w:rsidRPr="00A021FC">
                    <w:t>With the exception of the Commonwealth Coat of Arms, the Department</w:t>
                  </w:r>
                  <w:r>
                    <w:t>’</w:t>
                  </w:r>
                  <w:r w:rsidRPr="00A021FC">
                    <w:t xml:space="preserve">s logo, any material protected by a trade mark and where otherwise noted all material presented in this document is provided under a Creative Commons Attribution 3.0 Australia &lt;creativecommons.org/licenses/by/3.0/au&gt; licence. </w:t>
                  </w:r>
                </w:p>
                <w:p w:rsidR="002D409E" w:rsidRPr="00A021FC" w:rsidRDefault="002D409E" w:rsidP="00E842C5">
                  <w:pPr>
                    <w:pStyle w:val="Imprint"/>
                  </w:pPr>
                  <w:r w:rsidRPr="00A021FC">
                    <w:t>The details of the relevant licence conditions are available on the Creative Commons website (accessible</w:t>
                  </w:r>
                  <w:r>
                    <w:t> </w:t>
                  </w:r>
                  <w:r w:rsidRPr="00A021FC">
                    <w:t>using the links provided) as is the full legal code</w:t>
                  </w:r>
                  <w:r>
                    <w:t xml:space="preserve"> for the CC BY 3.0 AU licence &lt;</w:t>
                  </w:r>
                  <w:r w:rsidRPr="00A021FC">
                    <w:t>creativecommons.org/licenses/by/3.0/legalcode&gt;.</w:t>
                  </w:r>
                </w:p>
                <w:p w:rsidR="002D409E" w:rsidRPr="00A021FC" w:rsidRDefault="002D409E" w:rsidP="00E842C5">
                  <w:pPr>
                    <w:pStyle w:val="Imprint"/>
                  </w:pPr>
                  <w:r w:rsidRPr="00A021FC">
                    <w:t>The Creative Commons licence conditions do not apply to all logos, graphic design, artwork and photographs. Requests and enquiries concerning other reproduction and rights should be directed to the National Centre for Vocational Education Research (NCVER).</w:t>
                  </w:r>
                </w:p>
                <w:p w:rsidR="002D409E" w:rsidRDefault="002D409E" w:rsidP="00807D0E">
                  <w:pPr>
                    <w:pStyle w:val="Imprint"/>
                  </w:pPr>
                  <w:r w:rsidRPr="00A021FC">
                    <w:t>This document should be attributed as</w:t>
                  </w:r>
                  <w:r>
                    <w:t xml:space="preserve"> Sikora, J 2013, </w:t>
                  </w:r>
                  <w:r>
                    <w:rPr>
                      <w:i/>
                    </w:rPr>
                    <w:t xml:space="preserve">Single-sex schools and science engagement, </w:t>
                  </w:r>
                  <w:r w:rsidRPr="00A021FC">
                    <w:t>NCVER, Adelaide.</w:t>
                  </w:r>
                </w:p>
                <w:p w:rsidR="002D409E" w:rsidRPr="005C2FCF" w:rsidRDefault="002D409E" w:rsidP="00502974">
                  <w:pPr>
                    <w:pStyle w:val="Imprint"/>
                    <w:rPr>
                      <w:color w:val="000000"/>
                    </w:rPr>
                  </w:pPr>
                  <w:r w:rsidRPr="005C2FCF">
                    <w:rPr>
                      <w:color w:val="000000"/>
                    </w:rPr>
                    <w:t>ISBN</w:t>
                  </w:r>
                  <w:r w:rsidRPr="005C2FCF">
                    <w:rPr>
                      <w:color w:val="000000"/>
                    </w:rPr>
                    <w:tab/>
                  </w:r>
                  <w:r w:rsidRPr="00807D0E">
                    <w:rPr>
                      <w:color w:val="000000"/>
                    </w:rPr>
                    <w:t>978 1 922056 68 9</w:t>
                  </w:r>
                  <w:r>
                    <w:rPr>
                      <w:color w:val="000000"/>
                    </w:rPr>
                    <w:br/>
                  </w:r>
                  <w:r w:rsidRPr="005C2FCF">
                    <w:rPr>
                      <w:color w:val="000000"/>
                    </w:rPr>
                    <w:t>TD/TNC</w:t>
                  </w:r>
                  <w:r w:rsidRPr="005C2FCF">
                    <w:rPr>
                      <w:color w:val="000000"/>
                    </w:rPr>
                    <w:tab/>
                  </w:r>
                  <w:r w:rsidRPr="00807D0E">
                    <w:rPr>
                      <w:color w:val="000000"/>
                    </w:rPr>
                    <w:t>113.18</w:t>
                  </w:r>
                  <w:r w:rsidRPr="005C2FCF">
                    <w:rPr>
                      <w:color w:val="000000"/>
                    </w:rPr>
                    <w:tab/>
                  </w:r>
                </w:p>
                <w:p w:rsidR="002D409E" w:rsidRPr="005C2FCF" w:rsidRDefault="002D409E" w:rsidP="00502974">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rsidR="002D409E" w:rsidRPr="005C2FCF" w:rsidRDefault="002D409E" w:rsidP="00502974">
                  <w:pPr>
                    <w:pStyle w:val="Imprint"/>
                    <w:ind w:right="1700"/>
                    <w:rPr>
                      <w:color w:val="000000"/>
                    </w:rPr>
                  </w:pPr>
                  <w:r w:rsidRPr="005C2FCF">
                    <w:rPr>
                      <w:color w:val="000000"/>
                    </w:rPr>
                    <w:t>Level 11, 33 King William Street, Adelaide SA 5000</w:t>
                  </w:r>
                  <w:r w:rsidRPr="005C2FCF">
                    <w:rPr>
                      <w:color w:val="000000"/>
                    </w:rPr>
                    <w:br/>
                    <w:t>PO Box 8288 Station Arcade, Adelaide SA 5000, Australia</w:t>
                  </w:r>
                </w:p>
                <w:p w:rsidR="002D409E" w:rsidRPr="00807D0E" w:rsidRDefault="002D409E" w:rsidP="00807D0E">
                  <w:pPr>
                    <w:pStyle w:val="Imprint"/>
                  </w:pPr>
                  <w:r w:rsidRPr="002319F3">
                    <w:rPr>
                      <w:b/>
                    </w:rPr>
                    <w:t>P</w:t>
                  </w:r>
                  <w:r w:rsidRPr="00807D0E">
                    <w:t xml:space="preserve"> +61 8 8230 8400   </w:t>
                  </w:r>
                  <w:r w:rsidRPr="002319F3">
                    <w:rPr>
                      <w:b/>
                    </w:rPr>
                    <w:t>F</w:t>
                  </w:r>
                  <w:r w:rsidRPr="00807D0E">
                    <w:t xml:space="preserve"> +61 8 8212 3436   </w:t>
                  </w:r>
                  <w:r w:rsidRPr="002319F3">
                    <w:rPr>
                      <w:b/>
                    </w:rPr>
                    <w:t>E</w:t>
                  </w:r>
                  <w:r w:rsidRPr="00807D0E">
                    <w:t xml:space="preserve"> </w:t>
                  </w:r>
                  <w:hyperlink r:id="rId11" w:history="1">
                    <w:r w:rsidRPr="00807D0E">
                      <w:rPr>
                        <w:rStyle w:val="Hyperlink"/>
                        <w:sz w:val="16"/>
                      </w:rPr>
                      <w:t>ncver@ncver.edu.au</w:t>
                    </w:r>
                  </w:hyperlink>
                  <w:r w:rsidRPr="00807D0E">
                    <w:t xml:space="preserve">   </w:t>
                  </w:r>
                  <w:r w:rsidRPr="002319F3">
                    <w:rPr>
                      <w:b/>
                    </w:rPr>
                    <w:t>W</w:t>
                  </w:r>
                  <w:r w:rsidRPr="00807D0E">
                    <w:t xml:space="preserve">&lt;www.ncver.edu.au&gt; </w:t>
                  </w:r>
                </w:p>
              </w:txbxContent>
            </v:textbox>
          </v:shape>
        </w:pict>
      </w:r>
      <w:r w:rsidR="00F87F00" w:rsidRPr="005C2FCF">
        <w:br w:type="page"/>
      </w:r>
      <w:bookmarkStart w:id="4" w:name="_Toc73766312"/>
      <w:bookmarkStart w:id="5" w:name="_Toc77937774"/>
      <w:bookmarkStart w:id="6" w:name="_Toc80174750"/>
      <w:bookmarkStart w:id="7" w:name="_Toc81560506"/>
      <w:bookmarkStart w:id="8" w:name="_Toc82071799"/>
      <w:bookmarkStart w:id="9" w:name="_Toc82151754"/>
      <w:bookmarkStart w:id="10" w:name="_Toc82498260"/>
      <w:bookmarkStart w:id="11" w:name="_Toc86829097"/>
      <w:bookmarkStart w:id="12" w:name="_Toc89226248"/>
      <w:bookmarkStart w:id="13" w:name="_Toc89240893"/>
      <w:bookmarkStart w:id="14" w:name="_Toc98394875"/>
      <w:bookmarkStart w:id="15" w:name="_Toc296423679"/>
      <w:bookmarkStart w:id="16" w:name="_Toc296497510"/>
      <w:r w:rsidR="00F87F00" w:rsidRPr="005C2FCF">
        <w:lastRenderedPageBreak/>
        <w:t>About the research</w:t>
      </w:r>
      <w:bookmarkEnd w:id="4"/>
      <w:bookmarkEnd w:id="5"/>
      <w:bookmarkEnd w:id="6"/>
      <w:bookmarkEnd w:id="7"/>
      <w:bookmarkEnd w:id="8"/>
      <w:bookmarkEnd w:id="9"/>
      <w:bookmarkEnd w:id="10"/>
      <w:bookmarkEnd w:id="11"/>
      <w:bookmarkEnd w:id="12"/>
      <w:bookmarkEnd w:id="13"/>
      <w:bookmarkEnd w:id="14"/>
      <w:bookmarkEnd w:id="15"/>
      <w:bookmarkEnd w:id="16"/>
    </w:p>
    <w:p w:rsidR="00F87F00" w:rsidRDefault="00502974" w:rsidP="00502974">
      <w:pPr>
        <w:pStyle w:val="Abouttheresearchpubtitle"/>
      </w:pPr>
      <w:bookmarkStart w:id="17" w:name="_Toc98394877"/>
      <w:r>
        <w:t>Single-sex schools and science engagement</w:t>
      </w:r>
    </w:p>
    <w:p w:rsidR="00F87F00" w:rsidRPr="001B43CF" w:rsidRDefault="00502974" w:rsidP="00502974">
      <w:pPr>
        <w:pStyle w:val="Heading3"/>
      </w:pPr>
      <w:bookmarkStart w:id="18" w:name="_Toc296423681"/>
      <w:bookmarkStart w:id="19" w:name="_Toc296497512"/>
      <w:r>
        <w:t>Joanna Sikora</w:t>
      </w:r>
      <w:r w:rsidR="00F87F00" w:rsidRPr="005C2FCF">
        <w:t xml:space="preserve">, </w:t>
      </w:r>
      <w:bookmarkEnd w:id="17"/>
      <w:bookmarkEnd w:id="18"/>
      <w:bookmarkEnd w:id="19"/>
      <w:r>
        <w:t>Australian National University</w:t>
      </w:r>
    </w:p>
    <w:p w:rsidR="00A6229F" w:rsidRPr="002319F3" w:rsidRDefault="00BC5071" w:rsidP="002319F3">
      <w:pPr>
        <w:pStyle w:val="Text"/>
      </w:pPr>
      <w:r>
        <w:t xml:space="preserve">This paper </w:t>
      </w:r>
      <w:r w:rsidR="0050084F">
        <w:t>considers</w:t>
      </w:r>
      <w:r>
        <w:t xml:space="preserve"> whether single-sex schooling affects</w:t>
      </w:r>
      <w:r w:rsidR="000375BC">
        <w:t xml:space="preserve"> gendered patterns in</w:t>
      </w:r>
      <w:r>
        <w:t xml:space="preserve"> th</w:t>
      </w:r>
      <w:r w:rsidR="00E842C5">
        <w:t>e uptake of science courses in Y</w:t>
      </w:r>
      <w:r w:rsidR="0050084F">
        <w:t>ear 11</w:t>
      </w:r>
      <w:r w:rsidR="003613B8">
        <w:t xml:space="preserve"> and </w:t>
      </w:r>
      <w:r>
        <w:t xml:space="preserve">the </w:t>
      </w:r>
      <w:r w:rsidR="006641F2">
        <w:t>development</w:t>
      </w:r>
      <w:r>
        <w:t xml:space="preserve"> of science-related career paths.</w:t>
      </w:r>
      <w:r w:rsidR="003613B8">
        <w:t xml:space="preserve"> </w:t>
      </w:r>
      <w:r w:rsidR="00DC1CD6">
        <w:t xml:space="preserve">In particular, the author is interested in </w:t>
      </w:r>
      <w:r w:rsidR="00C65756">
        <w:t xml:space="preserve">exploring </w:t>
      </w:r>
      <w:r w:rsidR="00DC1CD6">
        <w:t xml:space="preserve">gender differences </w:t>
      </w:r>
      <w:r w:rsidR="00E842C5">
        <w:t>relating to the take-up of</w:t>
      </w:r>
      <w:r w:rsidR="00DC1CD6">
        <w:t xml:space="preserve"> the life and physical sciences. </w:t>
      </w:r>
      <w:r w:rsidR="0078403B">
        <w:t xml:space="preserve">To investigate these issues, the author analyses data from the 2009 </w:t>
      </w:r>
      <w:r w:rsidR="0078403B" w:rsidRPr="002319F3">
        <w:t>cohort of the Longitudinal Surveys of Australian Youth</w:t>
      </w:r>
      <w:r w:rsidR="00E842C5" w:rsidRPr="002319F3">
        <w:t xml:space="preserve"> (LSAY)</w:t>
      </w:r>
      <w:r w:rsidR="0078403B" w:rsidRPr="002319F3">
        <w:t xml:space="preserve">. </w:t>
      </w:r>
    </w:p>
    <w:p w:rsidR="00BC5071" w:rsidRPr="003613B8" w:rsidRDefault="003613B8" w:rsidP="002319F3">
      <w:pPr>
        <w:pStyle w:val="Text"/>
      </w:pPr>
      <w:r w:rsidRPr="002319F3">
        <w:t>This research was funded through the National Centre for Vocational</w:t>
      </w:r>
      <w:r w:rsidRPr="00B200D0">
        <w:t xml:space="preserve"> Education Research (NCVER) fellowship program, which encourages researchers to use NCVER datasets to improve our understanding of education.</w:t>
      </w:r>
      <w:r>
        <w:t xml:space="preserve"> </w:t>
      </w:r>
      <w:r w:rsidR="00614FF7">
        <w:t xml:space="preserve">A second paper is further investigating </w:t>
      </w:r>
      <w:r w:rsidR="003F214D">
        <w:t>gender segregation in youth science engagement</w:t>
      </w:r>
      <w:r w:rsidR="00614FF7">
        <w:t xml:space="preserve"> by looking at gendered pathways into post-secondary science study.</w:t>
      </w:r>
    </w:p>
    <w:p w:rsidR="00F87F00" w:rsidRPr="005C2FCF" w:rsidRDefault="00F87F00" w:rsidP="00502974">
      <w:pPr>
        <w:pStyle w:val="Keymessages"/>
      </w:pPr>
      <w:bookmarkStart w:id="20" w:name="_Toc98394878"/>
      <w:bookmarkStart w:id="21" w:name="_Toc296423682"/>
      <w:bookmarkStart w:id="22" w:name="_Toc296497513"/>
      <w:r w:rsidRPr="005C2FCF">
        <w:t>Key messages</w:t>
      </w:r>
      <w:bookmarkEnd w:id="20"/>
      <w:bookmarkEnd w:id="21"/>
      <w:bookmarkEnd w:id="22"/>
    </w:p>
    <w:p w:rsidR="0050084F" w:rsidRDefault="0050084F" w:rsidP="0050084F">
      <w:pPr>
        <w:pStyle w:val="Dotpoint1"/>
      </w:pPr>
      <w:r>
        <w:t>Across all schools</w:t>
      </w:r>
      <w:r w:rsidR="008421C5">
        <w:t>,</w:t>
      </w:r>
      <w:r>
        <w:t xml:space="preserve"> male and female students systematically select different </w:t>
      </w:r>
      <w:r w:rsidRPr="006D7942">
        <w:t xml:space="preserve">science </w:t>
      </w:r>
      <w:r>
        <w:t>subjects and prefer careers in different fields of science</w:t>
      </w:r>
      <w:r w:rsidR="00E842C5">
        <w:t>,</w:t>
      </w:r>
      <w:r>
        <w:t xml:space="preserve"> as did their counterparts ten years ago.</w:t>
      </w:r>
    </w:p>
    <w:p w:rsidR="000B33BB" w:rsidRDefault="000B33BB" w:rsidP="000B33BB">
      <w:pPr>
        <w:pStyle w:val="Dotpoint1"/>
      </w:pPr>
      <w:r>
        <w:t>With respect to science subjects, students</w:t>
      </w:r>
      <w:r w:rsidR="00C33F0A">
        <w:t>’</w:t>
      </w:r>
      <w:r>
        <w:t xml:space="preserve"> gender, science performance and science self-confidence levels have a consistent positive influence on both life and physical science engagement. The latter two are more prominent </w:t>
      </w:r>
      <w:r w:rsidR="002A5694">
        <w:t>in the take-up of</w:t>
      </w:r>
      <w:r>
        <w:t xml:space="preserve"> physical science subjects.</w:t>
      </w:r>
    </w:p>
    <w:p w:rsidR="0078403B" w:rsidRDefault="00ED62E6" w:rsidP="00520ED4">
      <w:pPr>
        <w:pStyle w:val="Dotpoint1"/>
        <w:ind w:right="140"/>
      </w:pPr>
      <w:r>
        <w:t>Single-sex</w:t>
      </w:r>
      <w:r w:rsidR="009B30D0">
        <w:t xml:space="preserve"> schooling does not affect the likelihood of boys taking up physical or life science subjects while at school. </w:t>
      </w:r>
      <w:r w:rsidR="0078403B">
        <w:t>However,</w:t>
      </w:r>
      <w:r w:rsidR="0078403B" w:rsidRPr="0078403B">
        <w:t xml:space="preserve"> </w:t>
      </w:r>
      <w:r w:rsidR="0078403B">
        <w:t xml:space="preserve">boys from </w:t>
      </w:r>
      <w:r w:rsidR="006641F2">
        <w:t>boy</w:t>
      </w:r>
      <w:r w:rsidR="003E120D">
        <w:t>s</w:t>
      </w:r>
      <w:r w:rsidR="00614FF7">
        <w:t>-only</w:t>
      </w:r>
      <w:r w:rsidR="0078403B">
        <w:t xml:space="preserve"> schools are more likely to plan a life science career, such as physiotherapy and medicine, tha</w:t>
      </w:r>
      <w:r w:rsidR="00E842C5">
        <w:t>n their male counterparts in co</w:t>
      </w:r>
      <w:r w:rsidR="0078403B">
        <w:t>educational schools.</w:t>
      </w:r>
    </w:p>
    <w:p w:rsidR="0078403B" w:rsidRDefault="0078403B" w:rsidP="00520ED4">
      <w:pPr>
        <w:pStyle w:val="Dotpoint1"/>
        <w:ind w:right="140"/>
      </w:pPr>
      <w:r>
        <w:t>Girls in girl</w:t>
      </w:r>
      <w:r w:rsidR="002A5694">
        <w:t>s</w:t>
      </w:r>
      <w:r>
        <w:t xml:space="preserve">-only schools are more likely to take up physical science subjects than </w:t>
      </w:r>
      <w:r w:rsidR="00E842C5">
        <w:t>their female counterparts in co</w:t>
      </w:r>
      <w:r>
        <w:t xml:space="preserve">educational schools. However, </w:t>
      </w:r>
      <w:r w:rsidR="00ED62E6">
        <w:t>single-sex</w:t>
      </w:r>
      <w:r>
        <w:t xml:space="preserve"> schooling does not affect the likelihood of girls plan</w:t>
      </w:r>
      <w:r w:rsidR="00E842C5">
        <w:t>ning</w:t>
      </w:r>
      <w:r>
        <w:t xml:space="preserve"> a physical science career. </w:t>
      </w:r>
    </w:p>
    <w:p w:rsidR="00E719F7" w:rsidRPr="009E231A" w:rsidRDefault="00D77A65" w:rsidP="00A13298">
      <w:pPr>
        <w:pStyle w:val="Text"/>
      </w:pPr>
      <w:r>
        <w:t>After controlling for</w:t>
      </w:r>
      <w:r w:rsidR="006A6B6B">
        <w:t xml:space="preserve"> a number of</w:t>
      </w:r>
      <w:r>
        <w:t xml:space="preserve"> student and school characteristics, the author concludes that</w:t>
      </w:r>
      <w:r w:rsidR="0050084F">
        <w:t>,</w:t>
      </w:r>
      <w:r>
        <w:t xml:space="preserve"> </w:t>
      </w:r>
      <w:r w:rsidR="0050084F">
        <w:t xml:space="preserve">although some benefits of sex-segregated schooling exist, the overall effects are small. Moreover, it is </w:t>
      </w:r>
      <w:r w:rsidR="00ED62E6">
        <w:t>unlikely that</w:t>
      </w:r>
      <w:r w:rsidR="0050084F">
        <w:t xml:space="preserve"> these effects have a lasting impact on young people</w:t>
      </w:r>
      <w:r w:rsidR="00C33F0A">
        <w:t>’</w:t>
      </w:r>
      <w:r w:rsidR="0050084F">
        <w:t>s educational an</w:t>
      </w:r>
      <w:r w:rsidR="004F1002">
        <w:t>d career pathways later in life, which questions whether programs designed to extend single-sex schooling into the government sector should be introduced.</w:t>
      </w:r>
    </w:p>
    <w:p w:rsidR="00F87F00" w:rsidRPr="005C2FCF" w:rsidRDefault="00F87F00" w:rsidP="00502974">
      <w:pPr>
        <w:pStyle w:val="Text"/>
      </w:pPr>
    </w:p>
    <w:p w:rsidR="00F87F00" w:rsidRPr="005C2FCF" w:rsidRDefault="006B5B50" w:rsidP="00502974">
      <w:pPr>
        <w:pStyle w:val="Text"/>
      </w:pPr>
      <w:r>
        <w:t>Rod Camm</w:t>
      </w:r>
      <w:r w:rsidR="00F87F00" w:rsidRPr="005C2FCF">
        <w:br/>
        <w:t>Managing Director, NCVER</w:t>
      </w:r>
    </w:p>
    <w:p w:rsidR="00F87F00" w:rsidRDefault="00F87F00" w:rsidP="002319F3">
      <w:pPr>
        <w:spacing w:before="0" w:after="200" w:line="276" w:lineRule="auto"/>
      </w:pPr>
      <w:r>
        <w:br w:type="page"/>
      </w:r>
      <w:r w:rsidR="002319F3">
        <w:lastRenderedPageBreak/>
        <w:br w:type="page"/>
      </w:r>
    </w:p>
    <w:p w:rsidR="002319F3" w:rsidRDefault="002319F3" w:rsidP="00502974">
      <w:pPr>
        <w:pStyle w:val="Contents"/>
        <w:sectPr w:rsidR="002319F3" w:rsidSect="00520ED4">
          <w:footerReference w:type="even" r:id="rId12"/>
          <w:footerReference w:type="default" r:id="rId13"/>
          <w:pgSz w:w="11906" w:h="16838"/>
          <w:pgMar w:top="1276" w:right="1701" w:bottom="1276" w:left="1418" w:header="709" w:footer="709" w:gutter="0"/>
          <w:cols w:space="708"/>
          <w:docGrid w:linePitch="360"/>
        </w:sectPr>
      </w:pPr>
      <w:bookmarkStart w:id="23" w:name="_Toc98394880"/>
      <w:bookmarkStart w:id="24" w:name="_Toc296423683"/>
      <w:bookmarkStart w:id="25" w:name="_Toc296497514"/>
    </w:p>
    <w:p w:rsidR="00F87F00" w:rsidRPr="00DC5F5C" w:rsidRDefault="00F87F00" w:rsidP="00502974">
      <w:pPr>
        <w:pStyle w:val="Contents"/>
      </w:pPr>
      <w:r w:rsidRPr="00DC5F5C">
        <w:lastRenderedPageBreak/>
        <w:t>Contents</w:t>
      </w:r>
      <w:bookmarkEnd w:id="23"/>
      <w:bookmarkEnd w:id="24"/>
      <w:bookmarkEnd w:id="25"/>
    </w:p>
    <w:p w:rsidR="009C20B4" w:rsidRDefault="0091032D">
      <w:pPr>
        <w:pStyle w:val="TOC1"/>
        <w:rPr>
          <w:rFonts w:asciiTheme="minorHAnsi" w:eastAsiaTheme="minorEastAsia" w:hAnsiTheme="minorHAnsi" w:cstheme="minorBidi"/>
          <w:color w:val="auto"/>
          <w:sz w:val="22"/>
          <w:szCs w:val="22"/>
          <w:lang w:eastAsia="en-AU"/>
        </w:rPr>
      </w:pPr>
      <w:r w:rsidRPr="0091032D">
        <w:rPr>
          <w:rFonts w:ascii="Avant Garde" w:hAnsi="Avant Garde"/>
        </w:rPr>
        <w:fldChar w:fldCharType="begin"/>
      </w:r>
      <w:r w:rsidR="00F87F00" w:rsidRPr="009775C7">
        <w:rPr>
          <w:rFonts w:ascii="Avant Garde" w:hAnsi="Avant Garde"/>
        </w:rPr>
        <w:instrText xml:space="preserve"> TOC \o "1-2" </w:instrText>
      </w:r>
      <w:r w:rsidRPr="0091032D">
        <w:rPr>
          <w:rFonts w:ascii="Avant Garde" w:hAnsi="Avant Garde"/>
        </w:rPr>
        <w:fldChar w:fldCharType="separate"/>
      </w:r>
      <w:r w:rsidR="009C20B4">
        <w:t>Tables and figures</w:t>
      </w:r>
      <w:r w:rsidR="009C20B4">
        <w:tab/>
      </w:r>
      <w:r>
        <w:fldChar w:fldCharType="begin"/>
      </w:r>
      <w:r w:rsidR="009C20B4">
        <w:instrText xml:space="preserve"> PAGEREF _Toc367713372 \h </w:instrText>
      </w:r>
      <w:r>
        <w:fldChar w:fldCharType="separate"/>
      </w:r>
      <w:r w:rsidR="00694B16">
        <w:t>6</w:t>
      </w:r>
      <w:r>
        <w:fldChar w:fldCharType="end"/>
      </w:r>
    </w:p>
    <w:p w:rsidR="009C20B4" w:rsidRDefault="009C20B4">
      <w:pPr>
        <w:pStyle w:val="TOC1"/>
        <w:rPr>
          <w:rFonts w:asciiTheme="minorHAnsi" w:eastAsiaTheme="minorEastAsia" w:hAnsiTheme="minorHAnsi" w:cstheme="minorBidi"/>
          <w:color w:val="auto"/>
          <w:sz w:val="22"/>
          <w:szCs w:val="22"/>
          <w:lang w:eastAsia="en-AU"/>
        </w:rPr>
      </w:pPr>
      <w:r>
        <w:t>Introduction</w:t>
      </w:r>
      <w:r>
        <w:tab/>
      </w:r>
      <w:r w:rsidR="0091032D">
        <w:fldChar w:fldCharType="begin"/>
      </w:r>
      <w:r>
        <w:instrText xml:space="preserve"> PAGEREF _Toc367713375 \h </w:instrText>
      </w:r>
      <w:r w:rsidR="0091032D">
        <w:fldChar w:fldCharType="separate"/>
      </w:r>
      <w:r w:rsidR="00694B16">
        <w:t>7</w:t>
      </w:r>
      <w:r w:rsidR="0091032D">
        <w:fldChar w:fldCharType="end"/>
      </w:r>
    </w:p>
    <w:p w:rsidR="009C20B4" w:rsidRDefault="009C20B4">
      <w:pPr>
        <w:pStyle w:val="TOC2"/>
        <w:rPr>
          <w:rFonts w:asciiTheme="minorHAnsi" w:eastAsiaTheme="minorEastAsia" w:hAnsiTheme="minorHAnsi" w:cstheme="minorBidi"/>
          <w:color w:val="auto"/>
          <w:sz w:val="22"/>
          <w:szCs w:val="22"/>
          <w:lang w:eastAsia="en-AU"/>
        </w:rPr>
      </w:pPr>
      <w:r>
        <w:t>The debate over merits of single-sex schooling</w:t>
      </w:r>
      <w:r>
        <w:tab/>
      </w:r>
      <w:r w:rsidR="0091032D">
        <w:fldChar w:fldCharType="begin"/>
      </w:r>
      <w:r>
        <w:instrText xml:space="preserve"> PAGEREF _Toc367713376 \h </w:instrText>
      </w:r>
      <w:r w:rsidR="0091032D">
        <w:fldChar w:fldCharType="separate"/>
      </w:r>
      <w:r w:rsidR="00694B16">
        <w:t>8</w:t>
      </w:r>
      <w:r w:rsidR="0091032D">
        <w:fldChar w:fldCharType="end"/>
      </w:r>
    </w:p>
    <w:p w:rsidR="009C20B4" w:rsidRDefault="009C20B4">
      <w:pPr>
        <w:pStyle w:val="TOC2"/>
        <w:rPr>
          <w:rFonts w:asciiTheme="minorHAnsi" w:eastAsiaTheme="minorEastAsia" w:hAnsiTheme="minorHAnsi" w:cstheme="minorBidi"/>
          <w:color w:val="auto"/>
          <w:sz w:val="22"/>
          <w:szCs w:val="22"/>
          <w:lang w:eastAsia="en-AU"/>
        </w:rPr>
      </w:pPr>
      <w:r>
        <w:t>Research questions</w:t>
      </w:r>
      <w:r>
        <w:tab/>
      </w:r>
      <w:r w:rsidR="0091032D">
        <w:fldChar w:fldCharType="begin"/>
      </w:r>
      <w:r>
        <w:instrText xml:space="preserve"> PAGEREF _Toc367713377 \h </w:instrText>
      </w:r>
      <w:r w:rsidR="0091032D">
        <w:fldChar w:fldCharType="separate"/>
      </w:r>
      <w:r w:rsidR="00694B16">
        <w:t>9</w:t>
      </w:r>
      <w:r w:rsidR="0091032D">
        <w:fldChar w:fldCharType="end"/>
      </w:r>
    </w:p>
    <w:p w:rsidR="009C20B4" w:rsidRDefault="009C20B4">
      <w:pPr>
        <w:pStyle w:val="TOC2"/>
        <w:rPr>
          <w:rFonts w:asciiTheme="minorHAnsi" w:eastAsiaTheme="minorEastAsia" w:hAnsiTheme="minorHAnsi" w:cstheme="minorBidi"/>
          <w:color w:val="auto"/>
          <w:sz w:val="22"/>
          <w:szCs w:val="22"/>
          <w:lang w:eastAsia="en-AU"/>
        </w:rPr>
      </w:pPr>
      <w:r>
        <w:t>How are life and physical sciences defined in this paper?</w:t>
      </w:r>
      <w:r>
        <w:tab/>
      </w:r>
      <w:r w:rsidR="0091032D">
        <w:fldChar w:fldCharType="begin"/>
      </w:r>
      <w:r>
        <w:instrText xml:space="preserve"> PAGEREF _Toc367713378 \h </w:instrText>
      </w:r>
      <w:r w:rsidR="0091032D">
        <w:fldChar w:fldCharType="separate"/>
      </w:r>
      <w:r w:rsidR="00694B16">
        <w:t>10</w:t>
      </w:r>
      <w:r w:rsidR="0091032D">
        <w:fldChar w:fldCharType="end"/>
      </w:r>
    </w:p>
    <w:p w:rsidR="009C20B4" w:rsidRDefault="009C20B4">
      <w:pPr>
        <w:pStyle w:val="TOC1"/>
        <w:rPr>
          <w:rFonts w:asciiTheme="minorHAnsi" w:eastAsiaTheme="minorEastAsia" w:hAnsiTheme="minorHAnsi" w:cstheme="minorBidi"/>
          <w:color w:val="auto"/>
          <w:sz w:val="22"/>
          <w:szCs w:val="22"/>
          <w:lang w:eastAsia="en-AU"/>
        </w:rPr>
      </w:pPr>
      <w:r>
        <w:t>Data and measurement</w:t>
      </w:r>
      <w:r>
        <w:tab/>
      </w:r>
      <w:r w:rsidR="0091032D">
        <w:fldChar w:fldCharType="begin"/>
      </w:r>
      <w:r>
        <w:instrText xml:space="preserve"> PAGEREF _Toc367713379 \h </w:instrText>
      </w:r>
      <w:r w:rsidR="0091032D">
        <w:fldChar w:fldCharType="separate"/>
      </w:r>
      <w:r w:rsidR="00694B16">
        <w:t>11</w:t>
      </w:r>
      <w:r w:rsidR="0091032D">
        <w:fldChar w:fldCharType="end"/>
      </w:r>
    </w:p>
    <w:p w:rsidR="009C20B4" w:rsidRDefault="009C20B4">
      <w:pPr>
        <w:pStyle w:val="TOC2"/>
        <w:rPr>
          <w:rFonts w:asciiTheme="minorHAnsi" w:eastAsiaTheme="minorEastAsia" w:hAnsiTheme="minorHAnsi" w:cstheme="minorBidi"/>
          <w:color w:val="auto"/>
          <w:sz w:val="22"/>
          <w:szCs w:val="22"/>
          <w:lang w:eastAsia="en-AU"/>
        </w:rPr>
      </w:pPr>
      <w:r>
        <w:t>What is science engagement in this paper?</w:t>
      </w:r>
      <w:r>
        <w:tab/>
      </w:r>
      <w:r w:rsidR="0091032D">
        <w:fldChar w:fldCharType="begin"/>
      </w:r>
      <w:r>
        <w:instrText xml:space="preserve"> PAGEREF _Toc367713380 \h </w:instrText>
      </w:r>
      <w:r w:rsidR="0091032D">
        <w:fldChar w:fldCharType="separate"/>
      </w:r>
      <w:r w:rsidR="00694B16">
        <w:t>11</w:t>
      </w:r>
      <w:r w:rsidR="0091032D">
        <w:fldChar w:fldCharType="end"/>
      </w:r>
    </w:p>
    <w:p w:rsidR="009C20B4" w:rsidRDefault="009C20B4">
      <w:pPr>
        <w:pStyle w:val="TOC2"/>
        <w:rPr>
          <w:rFonts w:asciiTheme="minorHAnsi" w:eastAsiaTheme="minorEastAsia" w:hAnsiTheme="minorHAnsi" w:cstheme="minorBidi"/>
          <w:color w:val="auto"/>
          <w:sz w:val="22"/>
          <w:szCs w:val="22"/>
          <w:lang w:eastAsia="en-AU"/>
        </w:rPr>
      </w:pPr>
      <w:r>
        <w:t>PISA 2009 and LSAY09 sampling designs</w:t>
      </w:r>
      <w:r>
        <w:tab/>
      </w:r>
      <w:r w:rsidR="0091032D">
        <w:fldChar w:fldCharType="begin"/>
      </w:r>
      <w:r>
        <w:instrText xml:space="preserve"> PAGEREF _Toc367713381 \h </w:instrText>
      </w:r>
      <w:r w:rsidR="0091032D">
        <w:fldChar w:fldCharType="separate"/>
      </w:r>
      <w:r w:rsidR="00694B16">
        <w:t>12</w:t>
      </w:r>
      <w:r w:rsidR="0091032D">
        <w:fldChar w:fldCharType="end"/>
      </w:r>
    </w:p>
    <w:p w:rsidR="009C20B4" w:rsidRDefault="009C20B4">
      <w:pPr>
        <w:pStyle w:val="TOC1"/>
        <w:rPr>
          <w:rFonts w:asciiTheme="minorHAnsi" w:eastAsiaTheme="minorEastAsia" w:hAnsiTheme="minorHAnsi" w:cstheme="minorBidi"/>
          <w:color w:val="auto"/>
          <w:sz w:val="22"/>
          <w:szCs w:val="22"/>
          <w:lang w:eastAsia="en-AU"/>
        </w:rPr>
      </w:pPr>
      <w:r>
        <w:t>Results</w:t>
      </w:r>
      <w:r>
        <w:tab/>
      </w:r>
      <w:r w:rsidR="0091032D">
        <w:fldChar w:fldCharType="begin"/>
      </w:r>
      <w:r>
        <w:instrText xml:space="preserve"> PAGEREF _Toc367713382 \h </w:instrText>
      </w:r>
      <w:r w:rsidR="0091032D">
        <w:fldChar w:fldCharType="separate"/>
      </w:r>
      <w:r w:rsidR="00694B16">
        <w:t>14</w:t>
      </w:r>
      <w:r w:rsidR="0091032D">
        <w:fldChar w:fldCharType="end"/>
      </w:r>
    </w:p>
    <w:p w:rsidR="009C20B4" w:rsidRDefault="009C20B4">
      <w:pPr>
        <w:pStyle w:val="TOC1"/>
        <w:rPr>
          <w:rFonts w:asciiTheme="minorHAnsi" w:eastAsiaTheme="minorEastAsia" w:hAnsiTheme="minorHAnsi" w:cstheme="minorBidi"/>
          <w:color w:val="auto"/>
          <w:sz w:val="22"/>
          <w:szCs w:val="22"/>
          <w:lang w:eastAsia="en-AU"/>
        </w:rPr>
      </w:pPr>
      <w:r>
        <w:t>Conclusions</w:t>
      </w:r>
      <w:r>
        <w:tab/>
      </w:r>
      <w:r w:rsidR="0091032D">
        <w:fldChar w:fldCharType="begin"/>
      </w:r>
      <w:r>
        <w:instrText xml:space="preserve"> PAGEREF _Toc367713383 \h </w:instrText>
      </w:r>
      <w:r w:rsidR="0091032D">
        <w:fldChar w:fldCharType="separate"/>
      </w:r>
      <w:r w:rsidR="00694B16">
        <w:t>18</w:t>
      </w:r>
      <w:r w:rsidR="0091032D">
        <w:fldChar w:fldCharType="end"/>
      </w:r>
    </w:p>
    <w:p w:rsidR="009C20B4" w:rsidRDefault="009C20B4">
      <w:pPr>
        <w:pStyle w:val="TOC1"/>
        <w:rPr>
          <w:rFonts w:asciiTheme="minorHAnsi" w:eastAsiaTheme="minorEastAsia" w:hAnsiTheme="minorHAnsi" w:cstheme="minorBidi"/>
          <w:color w:val="auto"/>
          <w:sz w:val="22"/>
          <w:szCs w:val="22"/>
          <w:lang w:eastAsia="en-AU"/>
        </w:rPr>
      </w:pPr>
      <w:r>
        <w:t>References</w:t>
      </w:r>
      <w:r>
        <w:tab/>
      </w:r>
      <w:r w:rsidR="0091032D">
        <w:fldChar w:fldCharType="begin"/>
      </w:r>
      <w:r>
        <w:instrText xml:space="preserve"> PAGEREF _Toc367713384 \h </w:instrText>
      </w:r>
      <w:r w:rsidR="0091032D">
        <w:fldChar w:fldCharType="separate"/>
      </w:r>
      <w:r w:rsidR="00694B16">
        <w:t>18</w:t>
      </w:r>
      <w:r w:rsidR="0091032D">
        <w:fldChar w:fldCharType="end"/>
      </w:r>
    </w:p>
    <w:p w:rsidR="009C20B4" w:rsidRDefault="009C20B4">
      <w:pPr>
        <w:pStyle w:val="TOC1"/>
        <w:rPr>
          <w:rFonts w:asciiTheme="minorHAnsi" w:eastAsiaTheme="minorEastAsia" w:hAnsiTheme="minorHAnsi" w:cstheme="minorBidi"/>
          <w:color w:val="auto"/>
          <w:sz w:val="22"/>
          <w:szCs w:val="22"/>
          <w:lang w:eastAsia="en-AU"/>
        </w:rPr>
      </w:pPr>
      <w:r>
        <w:t>Appendices</w:t>
      </w:r>
      <w:r>
        <w:tab/>
      </w:r>
      <w:r w:rsidR="0091032D">
        <w:fldChar w:fldCharType="begin"/>
      </w:r>
      <w:r>
        <w:instrText xml:space="preserve"> PAGEREF _Toc367713385 \h </w:instrText>
      </w:r>
      <w:r w:rsidR="0091032D">
        <w:fldChar w:fldCharType="separate"/>
      </w:r>
      <w:r w:rsidR="00694B16">
        <w:t>18</w:t>
      </w:r>
      <w:r w:rsidR="0091032D">
        <w:fldChar w:fldCharType="end"/>
      </w:r>
    </w:p>
    <w:p w:rsidR="009C20B4" w:rsidRDefault="008421C5">
      <w:pPr>
        <w:pStyle w:val="TOC2"/>
        <w:rPr>
          <w:rFonts w:asciiTheme="minorHAnsi" w:eastAsiaTheme="minorEastAsia" w:hAnsiTheme="minorHAnsi" w:cstheme="minorBidi"/>
          <w:color w:val="auto"/>
          <w:sz w:val="22"/>
          <w:szCs w:val="22"/>
          <w:lang w:eastAsia="en-AU"/>
        </w:rPr>
      </w:pPr>
      <w:r>
        <w:t>A</w:t>
      </w:r>
      <w:r w:rsidR="009C20B4">
        <w:t xml:space="preserve"> Details of methodology and measurement</w:t>
      </w:r>
      <w:r w:rsidR="009C20B4">
        <w:tab/>
      </w:r>
      <w:r w:rsidR="0091032D">
        <w:fldChar w:fldCharType="begin"/>
      </w:r>
      <w:r w:rsidR="009C20B4">
        <w:instrText xml:space="preserve"> PAGEREF _Toc367713386 \h </w:instrText>
      </w:r>
      <w:r w:rsidR="0091032D">
        <w:fldChar w:fldCharType="separate"/>
      </w:r>
      <w:r w:rsidR="00694B16">
        <w:t>18</w:t>
      </w:r>
      <w:r w:rsidR="0091032D">
        <w:fldChar w:fldCharType="end"/>
      </w:r>
    </w:p>
    <w:p w:rsidR="009C20B4" w:rsidRDefault="008421C5">
      <w:pPr>
        <w:pStyle w:val="TOC2"/>
        <w:rPr>
          <w:rFonts w:asciiTheme="minorHAnsi" w:eastAsiaTheme="minorEastAsia" w:hAnsiTheme="minorHAnsi" w:cstheme="minorBidi"/>
          <w:color w:val="auto"/>
          <w:sz w:val="22"/>
          <w:szCs w:val="22"/>
          <w:lang w:eastAsia="en-AU"/>
        </w:rPr>
      </w:pPr>
      <w:r>
        <w:t>B</w:t>
      </w:r>
      <w:r w:rsidR="009C20B4">
        <w:t xml:space="preserve"> Details of coding of occupations and subjects</w:t>
      </w:r>
      <w:r w:rsidR="009C20B4">
        <w:tab/>
      </w:r>
      <w:r w:rsidR="0091032D">
        <w:fldChar w:fldCharType="begin"/>
      </w:r>
      <w:r w:rsidR="009C20B4">
        <w:instrText xml:space="preserve"> PAGEREF _Toc367713387 \h </w:instrText>
      </w:r>
      <w:r w:rsidR="0091032D">
        <w:fldChar w:fldCharType="separate"/>
      </w:r>
      <w:r w:rsidR="00694B16">
        <w:t>18</w:t>
      </w:r>
      <w:r w:rsidR="0091032D">
        <w:fldChar w:fldCharType="end"/>
      </w:r>
    </w:p>
    <w:p w:rsidR="009C20B4" w:rsidRDefault="009C20B4">
      <w:pPr>
        <w:pStyle w:val="TOC1"/>
        <w:rPr>
          <w:rFonts w:asciiTheme="minorHAnsi" w:eastAsiaTheme="minorEastAsia" w:hAnsiTheme="minorHAnsi" w:cstheme="minorBidi"/>
          <w:color w:val="auto"/>
          <w:sz w:val="22"/>
          <w:szCs w:val="22"/>
          <w:lang w:eastAsia="en-AU"/>
        </w:rPr>
      </w:pPr>
      <w:r>
        <w:t>Building researcher capacity initiative</w:t>
      </w:r>
      <w:r>
        <w:tab/>
      </w:r>
      <w:r w:rsidR="0091032D">
        <w:fldChar w:fldCharType="begin"/>
      </w:r>
      <w:r>
        <w:instrText xml:space="preserve"> PAGEREF _Toc367713388 \h </w:instrText>
      </w:r>
      <w:r w:rsidR="0091032D">
        <w:fldChar w:fldCharType="separate"/>
      </w:r>
      <w:r w:rsidR="00694B16">
        <w:t>18</w:t>
      </w:r>
      <w:r w:rsidR="0091032D">
        <w:fldChar w:fldCharType="end"/>
      </w:r>
    </w:p>
    <w:p w:rsidR="00F87F00" w:rsidRDefault="0091032D" w:rsidP="00502974">
      <w:pPr>
        <w:pStyle w:val="Text"/>
      </w:pPr>
      <w:r w:rsidRPr="009775C7">
        <w:fldChar w:fldCharType="end"/>
      </w:r>
    </w:p>
    <w:p w:rsidR="00F87F00" w:rsidRPr="00A93867" w:rsidRDefault="00F87F00" w:rsidP="00502974">
      <w:pPr>
        <w:pStyle w:val="Text"/>
        <w:rPr>
          <w:b/>
        </w:rPr>
      </w:pPr>
    </w:p>
    <w:p w:rsidR="00F87F00" w:rsidRDefault="00F87F00" w:rsidP="00502974">
      <w:pPr>
        <w:pStyle w:val="Text"/>
        <w:rPr>
          <w:rFonts w:ascii="Tahoma" w:hAnsi="Tahoma" w:cs="Tahoma"/>
          <w:color w:val="000000"/>
          <w:kern w:val="28"/>
          <w:sz w:val="56"/>
          <w:szCs w:val="56"/>
        </w:rPr>
      </w:pPr>
      <w:r>
        <w:br w:type="page"/>
      </w:r>
    </w:p>
    <w:p w:rsidR="00F87F00" w:rsidRDefault="00F87F00" w:rsidP="00502974">
      <w:pPr>
        <w:pStyle w:val="Heading1"/>
      </w:pPr>
      <w:bookmarkStart w:id="26" w:name="_Toc367713372"/>
      <w:r>
        <w:lastRenderedPageBreak/>
        <w:t>Tables and figures</w:t>
      </w:r>
      <w:bookmarkEnd w:id="26"/>
    </w:p>
    <w:p w:rsidR="00F87F00" w:rsidRDefault="00F87F00" w:rsidP="00502974">
      <w:pPr>
        <w:pStyle w:val="Heading2"/>
      </w:pPr>
      <w:bookmarkStart w:id="27" w:name="_Toc296497516"/>
      <w:bookmarkStart w:id="28" w:name="_Toc298162801"/>
      <w:bookmarkStart w:id="29" w:name="_Toc362251697"/>
      <w:bookmarkStart w:id="30" w:name="_Toc366671781"/>
      <w:bookmarkStart w:id="31" w:name="_Toc367713373"/>
      <w:r>
        <w:t>Tables</w:t>
      </w:r>
      <w:bookmarkEnd w:id="27"/>
      <w:bookmarkEnd w:id="28"/>
      <w:bookmarkEnd w:id="29"/>
      <w:bookmarkEnd w:id="30"/>
      <w:bookmarkEnd w:id="31"/>
    </w:p>
    <w:p w:rsidR="009C20B4" w:rsidRDefault="0091032D">
      <w:pPr>
        <w:pStyle w:val="TableofFigures"/>
        <w:tabs>
          <w:tab w:val="left" w:pos="880"/>
        </w:tabs>
        <w:rPr>
          <w:rFonts w:asciiTheme="minorHAnsi" w:eastAsiaTheme="minorEastAsia" w:hAnsiTheme="minorHAnsi" w:cstheme="minorBidi"/>
          <w:color w:val="auto"/>
          <w:sz w:val="22"/>
          <w:szCs w:val="22"/>
          <w:lang w:eastAsia="en-AU"/>
        </w:rPr>
      </w:pPr>
      <w:r w:rsidRPr="0091032D">
        <w:fldChar w:fldCharType="begin"/>
      </w:r>
      <w:r w:rsidR="00F87F00">
        <w:instrText xml:space="preserve"> TOC \f F \t "tabletitle" \c </w:instrText>
      </w:r>
      <w:r w:rsidRPr="0091032D">
        <w:fldChar w:fldCharType="separate"/>
      </w:r>
      <w:r w:rsidR="009C20B4">
        <w:t>1</w:t>
      </w:r>
      <w:r w:rsidR="009C20B4">
        <w:rPr>
          <w:rFonts w:asciiTheme="minorHAnsi" w:eastAsiaTheme="minorEastAsia" w:hAnsiTheme="minorHAnsi" w:cstheme="minorBidi"/>
          <w:color w:val="auto"/>
          <w:sz w:val="22"/>
          <w:szCs w:val="22"/>
          <w:lang w:eastAsia="en-AU"/>
        </w:rPr>
        <w:tab/>
      </w:r>
      <w:r w:rsidR="009C20B4">
        <w:t>Student characteristics</w:t>
      </w:r>
      <w:r w:rsidR="008421C5">
        <w:t>,</w:t>
      </w:r>
      <w:r w:rsidR="009C20B4">
        <w:t xml:space="preserve"> by type of school</w:t>
      </w:r>
      <w:r w:rsidR="009C20B4">
        <w:tab/>
      </w:r>
      <w:r>
        <w:fldChar w:fldCharType="begin"/>
      </w:r>
      <w:r w:rsidR="009C20B4">
        <w:instrText xml:space="preserve"> PAGEREF _Toc367713389 \h </w:instrText>
      </w:r>
      <w:r>
        <w:fldChar w:fldCharType="separate"/>
      </w:r>
      <w:r w:rsidR="00694B16">
        <w:t>14</w:t>
      </w:r>
      <w:r>
        <w:fldChar w:fldCharType="end"/>
      </w:r>
    </w:p>
    <w:p w:rsidR="009C20B4" w:rsidRDefault="009C20B4">
      <w:pPr>
        <w:pStyle w:val="TableofFigures"/>
        <w:tabs>
          <w:tab w:val="left" w:pos="880"/>
        </w:tabs>
        <w:rPr>
          <w:rFonts w:asciiTheme="minorHAnsi" w:eastAsiaTheme="minorEastAsia" w:hAnsiTheme="minorHAnsi" w:cstheme="minorBidi"/>
          <w:color w:val="auto"/>
          <w:sz w:val="22"/>
          <w:szCs w:val="22"/>
          <w:lang w:eastAsia="en-AU"/>
        </w:rPr>
      </w:pPr>
      <w:r>
        <w:rPr>
          <w:lang w:eastAsia="en-AU"/>
        </w:rPr>
        <w:t>2</w:t>
      </w:r>
      <w:r>
        <w:rPr>
          <w:rFonts w:asciiTheme="minorHAnsi" w:eastAsiaTheme="minorEastAsia" w:hAnsiTheme="minorHAnsi" w:cstheme="minorBidi"/>
          <w:color w:val="auto"/>
          <w:sz w:val="22"/>
          <w:szCs w:val="22"/>
          <w:lang w:eastAsia="en-AU"/>
        </w:rPr>
        <w:tab/>
      </w:r>
      <w:r>
        <w:rPr>
          <w:lang w:eastAsia="en-AU"/>
        </w:rPr>
        <w:t>Student characteristics</w:t>
      </w:r>
      <w:r w:rsidR="008421C5">
        <w:rPr>
          <w:lang w:eastAsia="en-AU"/>
        </w:rPr>
        <w:t>,</w:t>
      </w:r>
      <w:r>
        <w:rPr>
          <w:lang w:eastAsia="en-AU"/>
        </w:rPr>
        <w:t xml:space="preserve"> by type of school and gender of students</w:t>
      </w:r>
      <w:r>
        <w:tab/>
      </w:r>
      <w:r w:rsidR="0091032D">
        <w:fldChar w:fldCharType="begin"/>
      </w:r>
      <w:r>
        <w:instrText xml:space="preserve"> PAGEREF _Toc367713390 \h </w:instrText>
      </w:r>
      <w:r w:rsidR="0091032D">
        <w:fldChar w:fldCharType="separate"/>
      </w:r>
      <w:r w:rsidR="00694B16">
        <w:t>15</w:t>
      </w:r>
      <w:r w:rsidR="0091032D">
        <w:fldChar w:fldCharType="end"/>
      </w:r>
    </w:p>
    <w:p w:rsidR="009C20B4" w:rsidRDefault="009C20B4">
      <w:pPr>
        <w:pStyle w:val="TableofFigures"/>
        <w:tabs>
          <w:tab w:val="left" w:pos="880"/>
        </w:tabs>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 xml:space="preserve">Uptake of science subjects in Year 11 and science-related career </w:t>
      </w:r>
      <w:r>
        <w:br/>
        <w:t>plans by gender: comparison between LSAY03 and LSAY09</w:t>
      </w:r>
      <w:r>
        <w:tab/>
      </w:r>
      <w:r w:rsidR="0091032D">
        <w:fldChar w:fldCharType="begin"/>
      </w:r>
      <w:r>
        <w:instrText xml:space="preserve"> PAGEREF _Toc367713391 \h </w:instrText>
      </w:r>
      <w:r w:rsidR="0091032D">
        <w:fldChar w:fldCharType="separate"/>
      </w:r>
      <w:r w:rsidR="00694B16">
        <w:t>15</w:t>
      </w:r>
      <w:r w:rsidR="0091032D">
        <w:fldChar w:fldCharType="end"/>
      </w:r>
    </w:p>
    <w:p w:rsidR="009C20B4" w:rsidRDefault="009C20B4">
      <w:pPr>
        <w:pStyle w:val="TableofFigures"/>
        <w:tabs>
          <w:tab w:val="left" w:pos="880"/>
        </w:tabs>
        <w:rPr>
          <w:rFonts w:asciiTheme="minorHAnsi" w:eastAsiaTheme="minorEastAsia" w:hAnsiTheme="minorHAnsi" w:cstheme="minorBidi"/>
          <w:color w:val="auto"/>
          <w:sz w:val="22"/>
          <w:szCs w:val="22"/>
          <w:lang w:eastAsia="en-AU"/>
        </w:rPr>
      </w:pPr>
      <w:r>
        <w:t>4</w:t>
      </w:r>
      <w:r>
        <w:rPr>
          <w:rFonts w:asciiTheme="minorHAnsi" w:eastAsiaTheme="minorEastAsia" w:hAnsiTheme="minorHAnsi" w:cstheme="minorBidi"/>
          <w:color w:val="auto"/>
          <w:sz w:val="22"/>
          <w:szCs w:val="22"/>
          <w:lang w:eastAsia="en-AU"/>
        </w:rPr>
        <w:tab/>
      </w:r>
      <w:r>
        <w:t>Studying a Year 11 subject in life science and in physical science, unstandardised coefficients from multilevel random intercept models</w:t>
      </w:r>
      <w:r>
        <w:tab/>
      </w:r>
      <w:r w:rsidR="0091032D">
        <w:fldChar w:fldCharType="begin"/>
      </w:r>
      <w:r>
        <w:instrText xml:space="preserve"> PAGEREF _Toc367713392 \h </w:instrText>
      </w:r>
      <w:r w:rsidR="0091032D">
        <w:fldChar w:fldCharType="separate"/>
      </w:r>
      <w:r w:rsidR="00694B16">
        <w:t>18</w:t>
      </w:r>
      <w:r w:rsidR="0091032D">
        <w:fldChar w:fldCharType="end"/>
      </w:r>
    </w:p>
    <w:p w:rsidR="009C20B4" w:rsidRDefault="009C20B4">
      <w:pPr>
        <w:pStyle w:val="TableofFigures"/>
        <w:tabs>
          <w:tab w:val="left" w:pos="880"/>
        </w:tabs>
        <w:rPr>
          <w:rFonts w:asciiTheme="minorHAnsi" w:eastAsiaTheme="minorEastAsia" w:hAnsiTheme="minorHAnsi" w:cstheme="minorBidi"/>
          <w:color w:val="auto"/>
          <w:sz w:val="22"/>
          <w:szCs w:val="22"/>
          <w:lang w:eastAsia="en-AU"/>
        </w:rPr>
      </w:pPr>
      <w:r>
        <w:t>5</w:t>
      </w:r>
      <w:r>
        <w:rPr>
          <w:rFonts w:asciiTheme="minorHAnsi" w:eastAsiaTheme="minorEastAsia" w:hAnsiTheme="minorHAnsi" w:cstheme="minorBidi"/>
          <w:color w:val="auto"/>
          <w:sz w:val="22"/>
          <w:szCs w:val="22"/>
          <w:lang w:eastAsia="en-AU"/>
        </w:rPr>
        <w:tab/>
      </w:r>
      <w:r>
        <w:t xml:space="preserve">Planning a career related to life science or physical science, </w:t>
      </w:r>
      <w:r>
        <w:br/>
        <w:t>unstandardised coefficients from multilevel random intercept models</w:t>
      </w:r>
      <w:r>
        <w:tab/>
      </w:r>
      <w:r w:rsidR="0091032D">
        <w:fldChar w:fldCharType="begin"/>
      </w:r>
      <w:r>
        <w:instrText xml:space="preserve"> PAGEREF _Toc367713393 \h </w:instrText>
      </w:r>
      <w:r w:rsidR="0091032D">
        <w:fldChar w:fldCharType="separate"/>
      </w:r>
      <w:r w:rsidR="00694B16">
        <w:t>18</w:t>
      </w:r>
      <w:r w:rsidR="0091032D">
        <w:fldChar w:fldCharType="end"/>
      </w:r>
    </w:p>
    <w:p w:rsidR="009C20B4" w:rsidRDefault="0091032D" w:rsidP="00502974">
      <w:pPr>
        <w:pStyle w:val="Heading2"/>
        <w:rPr>
          <w:noProof/>
        </w:rPr>
      </w:pPr>
      <w:r>
        <w:fldChar w:fldCharType="end"/>
      </w:r>
      <w:bookmarkStart w:id="32" w:name="_Toc296497517"/>
      <w:bookmarkStart w:id="33" w:name="_Toc298162802"/>
      <w:bookmarkStart w:id="34" w:name="_Toc362251698"/>
      <w:bookmarkStart w:id="35" w:name="_Toc366671782"/>
      <w:bookmarkStart w:id="36" w:name="_Toc367713374"/>
      <w:r w:rsidR="00F87F00">
        <w:t>Figures</w:t>
      </w:r>
      <w:bookmarkEnd w:id="32"/>
      <w:bookmarkEnd w:id="33"/>
      <w:bookmarkEnd w:id="34"/>
      <w:bookmarkEnd w:id="35"/>
      <w:bookmarkEnd w:id="36"/>
      <w:r w:rsidRPr="0091032D">
        <w:rPr>
          <w:rFonts w:ascii="Garamond" w:hAnsi="Garamond"/>
          <w:sz w:val="22"/>
        </w:rPr>
        <w:fldChar w:fldCharType="begin"/>
      </w:r>
      <w:r w:rsidR="00F87F00">
        <w:instrText xml:space="preserve"> TOC \t "Figuretitle" \c </w:instrText>
      </w:r>
      <w:r w:rsidRPr="0091032D">
        <w:rPr>
          <w:rFonts w:ascii="Garamond" w:hAnsi="Garamond"/>
          <w:sz w:val="22"/>
        </w:rPr>
        <w:fldChar w:fldCharType="separate"/>
      </w:r>
    </w:p>
    <w:p w:rsidR="009C20B4" w:rsidRDefault="009C20B4">
      <w:pPr>
        <w:pStyle w:val="TableofFigures"/>
        <w:tabs>
          <w:tab w:val="left" w:pos="1100"/>
        </w:tabs>
        <w:rPr>
          <w:rFonts w:asciiTheme="minorHAnsi" w:eastAsiaTheme="minorEastAsia" w:hAnsiTheme="minorHAnsi" w:cstheme="minorBidi"/>
          <w:color w:val="auto"/>
          <w:sz w:val="22"/>
          <w:szCs w:val="22"/>
          <w:lang w:eastAsia="en-AU"/>
        </w:rPr>
      </w:pPr>
      <w:r>
        <w:t>1</w:t>
      </w:r>
      <w:r>
        <w:rPr>
          <w:rFonts w:asciiTheme="minorHAnsi" w:eastAsiaTheme="minorEastAsia" w:hAnsiTheme="minorHAnsi" w:cstheme="minorBidi"/>
          <w:color w:val="auto"/>
          <w:sz w:val="22"/>
          <w:szCs w:val="22"/>
          <w:lang w:eastAsia="en-AU"/>
        </w:rPr>
        <w:tab/>
      </w:r>
      <w:r>
        <w:t>Data by school year and wave in LSAY09</w:t>
      </w:r>
      <w:r>
        <w:tab/>
      </w:r>
      <w:r w:rsidR="0091032D">
        <w:fldChar w:fldCharType="begin"/>
      </w:r>
      <w:r>
        <w:instrText xml:space="preserve"> PAGEREF _Toc367713394 \h </w:instrText>
      </w:r>
      <w:r w:rsidR="0091032D">
        <w:fldChar w:fldCharType="separate"/>
      </w:r>
      <w:r w:rsidR="00694B16">
        <w:t>12</w:t>
      </w:r>
      <w:r w:rsidR="0091032D">
        <w:fldChar w:fldCharType="end"/>
      </w:r>
    </w:p>
    <w:p w:rsidR="009C20B4" w:rsidRDefault="009C20B4">
      <w:pPr>
        <w:pStyle w:val="TableofFigures"/>
        <w:tabs>
          <w:tab w:val="left" w:pos="1100"/>
        </w:tabs>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Gender compositions of schools in LSAY09</w:t>
      </w:r>
      <w:r>
        <w:tab/>
      </w:r>
      <w:r w:rsidR="0091032D">
        <w:fldChar w:fldCharType="begin"/>
      </w:r>
      <w:r>
        <w:instrText xml:space="preserve"> PAGEREF _Toc367713395 \h </w:instrText>
      </w:r>
      <w:r w:rsidR="0091032D">
        <w:fldChar w:fldCharType="separate"/>
      </w:r>
      <w:r w:rsidR="00694B16">
        <w:t>13</w:t>
      </w:r>
      <w:r w:rsidR="0091032D">
        <w:fldChar w:fldCharType="end"/>
      </w:r>
    </w:p>
    <w:p w:rsidR="009C20B4" w:rsidRDefault="009C20B4">
      <w:pPr>
        <w:pStyle w:val="TableofFigures"/>
        <w:tabs>
          <w:tab w:val="left" w:pos="1100"/>
        </w:tabs>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Boys’ and girls’ science engagement</w:t>
      </w:r>
      <w:r w:rsidR="008421C5">
        <w:t>,</w:t>
      </w:r>
      <w:r>
        <w:t xml:space="preserve"> by type of school</w:t>
      </w:r>
      <w:r>
        <w:tab/>
      </w:r>
      <w:r w:rsidR="0091032D">
        <w:fldChar w:fldCharType="begin"/>
      </w:r>
      <w:r>
        <w:instrText xml:space="preserve"> PAGEREF _Toc367713396 \h </w:instrText>
      </w:r>
      <w:r w:rsidR="0091032D">
        <w:fldChar w:fldCharType="separate"/>
      </w:r>
      <w:r w:rsidR="00694B16">
        <w:t>17</w:t>
      </w:r>
      <w:r w:rsidR="0091032D">
        <w:fldChar w:fldCharType="end"/>
      </w:r>
    </w:p>
    <w:p w:rsidR="00F87F00" w:rsidRDefault="0091032D" w:rsidP="00502974">
      <w:pPr>
        <w:pStyle w:val="TableofFigures"/>
      </w:pPr>
      <w:r>
        <w:fldChar w:fldCharType="end"/>
      </w:r>
    </w:p>
    <w:p w:rsidR="00F87F00" w:rsidRPr="00A93867" w:rsidRDefault="00F87F00">
      <w:pPr>
        <w:spacing w:before="0" w:line="240" w:lineRule="auto"/>
        <w:rPr>
          <w:rFonts w:ascii="Tahoma" w:hAnsi="Tahoma" w:cs="Tahoma"/>
          <w:b/>
          <w:color w:val="000000"/>
          <w:kern w:val="28"/>
          <w:sz w:val="56"/>
          <w:szCs w:val="56"/>
        </w:rPr>
      </w:pPr>
      <w:r w:rsidRPr="00A93867">
        <w:rPr>
          <w:b/>
        </w:rPr>
        <w:br w:type="page"/>
      </w:r>
    </w:p>
    <w:p w:rsidR="00F87F00" w:rsidRPr="00BA49A3" w:rsidRDefault="00F87F00" w:rsidP="00877A61">
      <w:pPr>
        <w:pStyle w:val="Heading1"/>
      </w:pPr>
      <w:bookmarkStart w:id="37" w:name="_Toc367713375"/>
      <w:r w:rsidRPr="00BA49A3">
        <w:lastRenderedPageBreak/>
        <w:t>Introduction</w:t>
      </w:r>
      <w:bookmarkEnd w:id="37"/>
    </w:p>
    <w:p w:rsidR="00F87F00" w:rsidRDefault="00F87F00" w:rsidP="00502974">
      <w:pPr>
        <w:pStyle w:val="Text"/>
      </w:pPr>
      <w:bookmarkStart w:id="38" w:name="_Toc344371230"/>
      <w:r w:rsidRPr="00D21E38">
        <w:t xml:space="preserve">The concerns over falling rates of interest in science among youth </w:t>
      </w:r>
      <w:r>
        <w:t>have been growing over</w:t>
      </w:r>
      <w:r w:rsidRPr="00D21E38">
        <w:t xml:space="preserve"> the last decade</w:t>
      </w:r>
      <w:r>
        <w:t xml:space="preserve"> </w:t>
      </w:r>
      <w:r w:rsidR="00C86094">
        <w:rPr>
          <w:noProof/>
        </w:rPr>
        <w:t>(Ainley, Kos</w:t>
      </w:r>
      <w:r>
        <w:rPr>
          <w:noProof/>
        </w:rPr>
        <w:t xml:space="preserve"> &amp; Nicholas 2008)</w:t>
      </w:r>
      <w:r w:rsidRPr="00D21E38">
        <w:t xml:space="preserve">. In Australia </w:t>
      </w:r>
      <w:r>
        <w:t xml:space="preserve">the </w:t>
      </w:r>
      <w:r w:rsidRPr="00D21E38">
        <w:t xml:space="preserve">interest </w:t>
      </w:r>
      <w:r>
        <w:t>in science has been</w:t>
      </w:r>
      <w:r w:rsidRPr="00D21E38">
        <w:t xml:space="preserve"> </w:t>
      </w:r>
      <w:r>
        <w:t>declining</w:t>
      </w:r>
      <w:r w:rsidRPr="00D21E38">
        <w:t xml:space="preserve"> steadily </w:t>
      </w:r>
      <w:r w:rsidR="00C86094">
        <w:t xml:space="preserve">among students of both genders, a </w:t>
      </w:r>
      <w:r>
        <w:t xml:space="preserve">trend </w:t>
      </w:r>
      <w:r w:rsidRPr="00D21E38">
        <w:t xml:space="preserve">accompanied by the tendency </w:t>
      </w:r>
      <w:r>
        <w:t>of adolescents</w:t>
      </w:r>
      <w:r w:rsidRPr="00D21E38">
        <w:t xml:space="preserve"> to select themselves out </w:t>
      </w:r>
      <w:r>
        <w:t>of</w:t>
      </w:r>
      <w:r w:rsidRPr="00D21E38">
        <w:t xml:space="preserve"> </w:t>
      </w:r>
      <w:r w:rsidR="00C86094">
        <w:t xml:space="preserve">the </w:t>
      </w:r>
      <w:r w:rsidRPr="00D21E38">
        <w:t xml:space="preserve">areas of science </w:t>
      </w:r>
      <w:r w:rsidR="00C86094">
        <w:t>that</w:t>
      </w:r>
      <w:r w:rsidRPr="00D21E38">
        <w:t xml:space="preserve"> are non-traditional for their sex</w:t>
      </w:r>
      <w:r>
        <w:t xml:space="preserve"> </w:t>
      </w:r>
      <w:r>
        <w:rPr>
          <w:noProof/>
        </w:rPr>
        <w:t>(Sikora &amp; Pokropek 2012a)</w:t>
      </w:r>
      <w:r>
        <w:t xml:space="preserve">. For instance, the introduction of psychology into high school science curricula led to the steady overrepresentation of girls amongst students taking this subject </w:t>
      </w:r>
      <w:r>
        <w:rPr>
          <w:noProof/>
        </w:rPr>
        <w:t>(Ainley, K</w:t>
      </w:r>
      <w:r w:rsidR="00C86094">
        <w:rPr>
          <w:noProof/>
        </w:rPr>
        <w:t>os</w:t>
      </w:r>
      <w:r>
        <w:rPr>
          <w:noProof/>
        </w:rPr>
        <w:t xml:space="preserve"> &amp; Nicholas 2008)</w:t>
      </w:r>
      <w:r w:rsidRPr="00D21E38">
        <w:t xml:space="preserve">. </w:t>
      </w:r>
      <w:r>
        <w:t>Certain</w:t>
      </w:r>
      <w:r w:rsidRPr="00D21E38">
        <w:t xml:space="preserve"> fields of science</w:t>
      </w:r>
      <w:r>
        <w:t xml:space="preserve">, </w:t>
      </w:r>
      <w:r w:rsidR="002A5694">
        <w:t>such as</w:t>
      </w:r>
      <w:r>
        <w:t xml:space="preserve"> psychology or biology,</w:t>
      </w:r>
      <w:r w:rsidRPr="00D21E38">
        <w:t xml:space="preserve"> are </w:t>
      </w:r>
      <w:r>
        <w:t>seen</w:t>
      </w:r>
      <w:r w:rsidRPr="00D21E38">
        <w:t xml:space="preserve"> as culturally </w:t>
      </w:r>
      <w:r>
        <w:t xml:space="preserve">and functionally </w:t>
      </w:r>
      <w:r w:rsidRPr="00D21E38">
        <w:t xml:space="preserve">compatible with </w:t>
      </w:r>
      <w:r w:rsidR="00C86094">
        <w:t xml:space="preserve">the </w:t>
      </w:r>
      <w:r w:rsidR="00C33F0A">
        <w:t>‘</w:t>
      </w:r>
      <w:r w:rsidRPr="00D21E38">
        <w:t>natural</w:t>
      </w:r>
      <w:r>
        <w:t>ly</w:t>
      </w:r>
      <w:r w:rsidR="00C33F0A">
        <w:t>’</w:t>
      </w:r>
      <w:r w:rsidRPr="00D21E38">
        <w:t xml:space="preserve"> feminine skil</w:t>
      </w:r>
      <w:r>
        <w:t>ls of nurturance, care or human interaction. In contrast, high-</w:t>
      </w:r>
      <w:r w:rsidRPr="00D21E38">
        <w:t xml:space="preserve">level abstract </w:t>
      </w:r>
      <w:r>
        <w:t xml:space="preserve">analytical thinking </w:t>
      </w:r>
      <w:r w:rsidR="00C86094">
        <w:t>and problem-</w:t>
      </w:r>
      <w:r w:rsidRPr="00D21E38">
        <w:t>solving</w:t>
      </w:r>
      <w:r>
        <w:t xml:space="preserve"> are construed as </w:t>
      </w:r>
      <w:r w:rsidR="00C33F0A">
        <w:t>‘</w:t>
      </w:r>
      <w:r w:rsidRPr="00D21E38">
        <w:t>natural</w:t>
      </w:r>
      <w:r>
        <w:t>ly</w:t>
      </w:r>
      <w:r w:rsidR="00C33F0A">
        <w:t>’</w:t>
      </w:r>
      <w:r w:rsidRPr="00D21E38">
        <w:t xml:space="preserve"> masculine </w:t>
      </w:r>
      <w:r>
        <w:t>skills</w:t>
      </w:r>
      <w:r w:rsidRPr="00D21E38">
        <w:t xml:space="preserve"> </w:t>
      </w:r>
      <w:r>
        <w:rPr>
          <w:noProof/>
        </w:rPr>
        <w:t>(Charles &amp; Bradley 2009)</w:t>
      </w:r>
      <w:r w:rsidRPr="00D21E38">
        <w:t xml:space="preserve">. </w:t>
      </w:r>
      <w:r>
        <w:t>It is for these cultural reasons that</w:t>
      </w:r>
      <w:r w:rsidRPr="00D21E38">
        <w:t xml:space="preserve"> girls and women </w:t>
      </w:r>
      <w:r>
        <w:t>flock into</w:t>
      </w:r>
      <w:r w:rsidRPr="00D21E38">
        <w:t xml:space="preserve"> science fields related to </w:t>
      </w:r>
      <w:r>
        <w:t>living</w:t>
      </w:r>
      <w:r w:rsidRPr="00D21E38">
        <w:t xml:space="preserve"> systems and healthcare</w:t>
      </w:r>
      <w:r w:rsidR="00C86094">
        <w:t>,</w:t>
      </w:r>
      <w:r w:rsidRPr="00D21E38">
        <w:t xml:space="preserve"> while boys and men </w:t>
      </w:r>
      <w:r>
        <w:t>concentrate on</w:t>
      </w:r>
      <w:r w:rsidRPr="00D21E38">
        <w:t xml:space="preserve"> enginee</w:t>
      </w:r>
      <w:r w:rsidR="002A5694">
        <w:t>ring, physics, geology and high-</w:t>
      </w:r>
      <w:r w:rsidRPr="00D21E38">
        <w:t>level mathematics</w:t>
      </w:r>
      <w:r>
        <w:t xml:space="preserve"> </w:t>
      </w:r>
      <w:r>
        <w:rPr>
          <w:noProof/>
        </w:rPr>
        <w:t>(</w:t>
      </w:r>
      <w:r w:rsidR="00C86094">
        <w:rPr>
          <w:noProof/>
        </w:rPr>
        <w:t>Organisation</w:t>
      </w:r>
      <w:r w:rsidR="002A5694">
        <w:rPr>
          <w:noProof/>
        </w:rPr>
        <w:t xml:space="preserve"> for Economic Co-operation and D</w:t>
      </w:r>
      <w:r w:rsidR="00C86094">
        <w:rPr>
          <w:noProof/>
        </w:rPr>
        <w:t>evelopment [</w:t>
      </w:r>
      <w:r>
        <w:rPr>
          <w:noProof/>
        </w:rPr>
        <w:t>OECD</w:t>
      </w:r>
      <w:r w:rsidR="00C86094">
        <w:rPr>
          <w:noProof/>
        </w:rPr>
        <w:t>]</w:t>
      </w:r>
      <w:r>
        <w:rPr>
          <w:noProof/>
        </w:rPr>
        <w:t xml:space="preserve"> 2012a)</w:t>
      </w:r>
      <w:r w:rsidRPr="00D21E38">
        <w:t xml:space="preserve">. </w:t>
      </w:r>
    </w:p>
    <w:p w:rsidR="00F87F00" w:rsidRPr="00D21E38" w:rsidRDefault="00F87F00" w:rsidP="00520ED4">
      <w:pPr>
        <w:pStyle w:val="Text"/>
        <w:ind w:right="140"/>
      </w:pPr>
      <w:r>
        <w:t xml:space="preserve">This type of gender segregation could be seen as a potential equity concern because girls and boys might, as a consequence of these sorting tendencies, lose out on opportunities to enter particular science-related careers later in life </w:t>
      </w:r>
      <w:r>
        <w:rPr>
          <w:noProof/>
        </w:rPr>
        <w:t>(Ainle</w:t>
      </w:r>
      <w:r w:rsidR="00C86094">
        <w:rPr>
          <w:noProof/>
        </w:rPr>
        <w:t>y &amp; Ainley 2011; Ceci, Williams</w:t>
      </w:r>
      <w:r>
        <w:rPr>
          <w:noProof/>
        </w:rPr>
        <w:t xml:space="preserve"> &amp; Barnett 20</w:t>
      </w:r>
      <w:r w:rsidR="00C86094">
        <w:rPr>
          <w:noProof/>
        </w:rPr>
        <w:t>09; Charles 2011; Hill, Corbett</w:t>
      </w:r>
      <w:r>
        <w:rPr>
          <w:noProof/>
        </w:rPr>
        <w:t xml:space="preserve"> &amp; Rose 2010; Kessel &amp; Nelson 2011; Sikora &amp; Pokropek 2011)</w:t>
      </w:r>
      <w:r>
        <w:t>. T</w:t>
      </w:r>
      <w:r w:rsidRPr="00D21E38">
        <w:t xml:space="preserve">he shortage of qualified scientists and </w:t>
      </w:r>
      <w:r>
        <w:t xml:space="preserve">the </w:t>
      </w:r>
      <w:r w:rsidRPr="00D21E38">
        <w:t xml:space="preserve">underrepresentation of </w:t>
      </w:r>
      <w:r>
        <w:t>either gender in</w:t>
      </w:r>
      <w:r w:rsidRPr="00D21E38">
        <w:t xml:space="preserve"> science can </w:t>
      </w:r>
      <w:r>
        <w:t>be</w:t>
      </w:r>
      <w:r w:rsidRPr="00D21E38">
        <w:t xml:space="preserve"> detrimental </w:t>
      </w:r>
      <w:r>
        <w:t xml:space="preserve">not only to economic productivity </w:t>
      </w:r>
      <w:r w:rsidRPr="00D21E38">
        <w:t xml:space="preserve">but also </w:t>
      </w:r>
      <w:r>
        <w:t xml:space="preserve">to </w:t>
      </w:r>
      <w:r w:rsidRPr="00D21E38">
        <w:t xml:space="preserve">social integration </w:t>
      </w:r>
      <w:r>
        <w:rPr>
          <w:noProof/>
        </w:rPr>
        <w:t>(Anker 1997)</w:t>
      </w:r>
      <w:r>
        <w:t xml:space="preserve">. Such concerns have spawned a large </w:t>
      </w:r>
      <w:r w:rsidRPr="00D21E38">
        <w:t>literature</w:t>
      </w:r>
      <w:r>
        <w:t xml:space="preserve"> on gendered patterns of science engagement overseas as well as informed a number of studies in Australia </w:t>
      </w:r>
      <w:r>
        <w:rPr>
          <w:noProof/>
        </w:rPr>
        <w:t>(</w:t>
      </w:r>
      <w:r w:rsidR="001C75F3">
        <w:rPr>
          <w:noProof/>
        </w:rPr>
        <w:t>Ainley &amp; Daly 2002; Ainley, Kos</w:t>
      </w:r>
      <w:r>
        <w:rPr>
          <w:noProof/>
        </w:rPr>
        <w:t xml:space="preserve"> &amp; Nicholas 2008; Ainley &amp; Ainley 2011)</w:t>
      </w:r>
      <w:r w:rsidRPr="00D21E38">
        <w:t xml:space="preserve">. In </w:t>
      </w:r>
      <w:r>
        <w:t>this literature</w:t>
      </w:r>
      <w:r w:rsidRPr="00D21E38">
        <w:t xml:space="preserve">, one of the </w:t>
      </w:r>
      <w:r>
        <w:t xml:space="preserve">more </w:t>
      </w:r>
      <w:r w:rsidR="002A5694">
        <w:t>prominent</w:t>
      </w:r>
      <w:r w:rsidRPr="00D21E38">
        <w:t xml:space="preserve"> strands is the </w:t>
      </w:r>
      <w:r>
        <w:t xml:space="preserve">ongoing </w:t>
      </w:r>
      <w:r w:rsidRPr="00D21E38">
        <w:t>debate over the merits of single-sex education.</w:t>
      </w:r>
      <w:bookmarkEnd w:id="38"/>
    </w:p>
    <w:p w:rsidR="00F87F00" w:rsidRDefault="00F87F00" w:rsidP="00502974">
      <w:pPr>
        <w:pStyle w:val="Text"/>
      </w:pPr>
      <w:bookmarkStart w:id="39" w:name="_Toc344371231"/>
      <w:r w:rsidRPr="00D21E38">
        <w:t>This occasional</w:t>
      </w:r>
      <w:r>
        <w:t xml:space="preserve"> </w:t>
      </w:r>
      <w:r w:rsidRPr="00D21E38">
        <w:t xml:space="preserve">paper revisits </w:t>
      </w:r>
      <w:r>
        <w:t>the relationship between single-sex education and science engagement</w:t>
      </w:r>
      <w:r w:rsidR="002A5694">
        <w:t>,</w:t>
      </w:r>
      <w:r w:rsidRPr="00D21E38">
        <w:t xml:space="preserve"> using recent data from the first three wave</w:t>
      </w:r>
      <w:r>
        <w:t>s</w:t>
      </w:r>
      <w:r w:rsidRPr="00D21E38">
        <w:t xml:space="preserve"> of the Longitudinal Survey</w:t>
      </w:r>
      <w:r w:rsidR="001C75F3">
        <w:t>s</w:t>
      </w:r>
      <w:r w:rsidRPr="00D21E38">
        <w:t xml:space="preserve"> of Australian Youth </w:t>
      </w:r>
      <w:r>
        <w:t>(LSAY)</w:t>
      </w:r>
      <w:r w:rsidR="001C75F3">
        <w:t>,</w:t>
      </w:r>
      <w:r>
        <w:t xml:space="preserve"> </w:t>
      </w:r>
      <w:r w:rsidRPr="00D21E38">
        <w:t xml:space="preserve">which collected information on </w:t>
      </w:r>
      <w:r w:rsidR="002A5694">
        <w:t xml:space="preserve">the </w:t>
      </w:r>
      <w:r w:rsidRPr="00D21E38">
        <w:t>ed</w:t>
      </w:r>
      <w:r w:rsidR="008421C5">
        <w:t>ucational experiences from young people</w:t>
      </w:r>
      <w:r w:rsidRPr="00D21E38">
        <w:t xml:space="preserve"> who turned 15 </w:t>
      </w:r>
      <w:r>
        <w:t xml:space="preserve">years of age in 2009. </w:t>
      </w:r>
      <w:r w:rsidRPr="00C31BE5">
        <w:t>In particular</w:t>
      </w:r>
      <w:r>
        <w:t>,</w:t>
      </w:r>
      <w:r w:rsidRPr="00C31BE5">
        <w:t xml:space="preserve"> I </w:t>
      </w:r>
      <w:r>
        <w:t>assess</w:t>
      </w:r>
      <w:r w:rsidRPr="00C31BE5">
        <w:t xml:space="preserve"> </w:t>
      </w:r>
      <w:r>
        <w:t>the</w:t>
      </w:r>
      <w:r w:rsidRPr="00C31BE5">
        <w:t xml:space="preserve"> extent </w:t>
      </w:r>
      <w:r>
        <w:t xml:space="preserve">to which </w:t>
      </w:r>
      <w:r w:rsidRPr="00C31BE5">
        <w:t xml:space="preserve">girls and boys </w:t>
      </w:r>
      <w:r>
        <w:t>in sex-segregated</w:t>
      </w:r>
      <w:r w:rsidRPr="00C31BE5">
        <w:t xml:space="preserve"> schools select science subjects and </w:t>
      </w:r>
      <w:r>
        <w:t>plan science-related careers in defiance of traditional gender stereotypes</w:t>
      </w:r>
      <w:r w:rsidRPr="00C31BE5">
        <w:t xml:space="preserve">. The focus of this paper is </w:t>
      </w:r>
      <w:r>
        <w:t xml:space="preserve">thus </w:t>
      </w:r>
      <w:r w:rsidRPr="00C31BE5">
        <w:t xml:space="preserve">on the following questions. First, do </w:t>
      </w:r>
      <w:r>
        <w:t xml:space="preserve">male and female students still opt for different </w:t>
      </w:r>
      <w:r w:rsidRPr="00C31BE5">
        <w:t xml:space="preserve">science subjects? Second, </w:t>
      </w:r>
      <w:r>
        <w:t>are</w:t>
      </w:r>
      <w:r w:rsidRPr="00C31BE5">
        <w:t xml:space="preserve"> </w:t>
      </w:r>
      <w:r w:rsidR="001C75F3">
        <w:t xml:space="preserve">the </w:t>
      </w:r>
      <w:r>
        <w:t>science-related occupational plans of these</w:t>
      </w:r>
      <w:r w:rsidR="001C75F3">
        <w:t xml:space="preserve"> students still strongly gender-</w:t>
      </w:r>
      <w:r>
        <w:t>typed?</w:t>
      </w:r>
      <w:r w:rsidRPr="00C31BE5">
        <w:t xml:space="preserve"> Finally, are </w:t>
      </w:r>
      <w:r w:rsidR="001C75F3">
        <w:t>these gender-</w:t>
      </w:r>
      <w:r>
        <w:t>typing tendencies</w:t>
      </w:r>
      <w:r w:rsidRPr="00C31BE5">
        <w:t xml:space="preserve"> different </w:t>
      </w:r>
      <w:r w:rsidR="002A5694">
        <w:t>in</w:t>
      </w:r>
      <w:r w:rsidRPr="00C31BE5">
        <w:t xml:space="preserve"> single-sex and coeducational environments? </w:t>
      </w:r>
      <w:r>
        <w:t>In</w:t>
      </w:r>
      <w:r w:rsidRPr="00C31BE5">
        <w:t xml:space="preserve"> Australia </w:t>
      </w:r>
      <w:r>
        <w:t xml:space="preserve">some of these research questions were last explored using the LSAY95 data </w:t>
      </w:r>
      <w:r>
        <w:rPr>
          <w:noProof/>
        </w:rPr>
        <w:t>(Ainley &amp; Daly 2002)</w:t>
      </w:r>
      <w:r w:rsidR="001C75F3">
        <w:rPr>
          <w:noProof/>
        </w:rPr>
        <w:t>,</w:t>
      </w:r>
      <w:r>
        <w:t xml:space="preserve"> with the conclusion that single-sex schooling had no net effect on science subject choice. Over a decade later, </w:t>
      </w:r>
      <w:r w:rsidR="001C75F3">
        <w:t>the</w:t>
      </w:r>
      <w:r>
        <w:t xml:space="preserve"> time </w:t>
      </w:r>
      <w:r w:rsidR="001C75F3">
        <w:t xml:space="preserve">has come </w:t>
      </w:r>
      <w:r>
        <w:t xml:space="preserve">to reassess </w:t>
      </w:r>
      <w:bookmarkEnd w:id="39"/>
      <w:r>
        <w:t>the impact of segregated schooling on</w:t>
      </w:r>
      <w:r w:rsidR="002A5694">
        <w:t xml:space="preserve"> the</w:t>
      </w:r>
      <w:r>
        <w:t xml:space="preserve"> science engagement of more recent cohorts of adolescents. </w:t>
      </w:r>
    </w:p>
    <w:p w:rsidR="00F87F00" w:rsidRDefault="00F87F00" w:rsidP="00520ED4">
      <w:pPr>
        <w:pStyle w:val="Text"/>
        <w:ind w:right="282"/>
      </w:pPr>
      <w:bookmarkStart w:id="40" w:name="_Toc344371232"/>
      <w:r>
        <w:t xml:space="preserve">Opening with </w:t>
      </w:r>
      <w:r w:rsidRPr="00D21E38">
        <w:t xml:space="preserve">a review of the literature on </w:t>
      </w:r>
      <w:r w:rsidR="001C75F3">
        <w:t>gender-</w:t>
      </w:r>
      <w:r>
        <w:t>segregated schooling</w:t>
      </w:r>
      <w:r w:rsidRPr="00D21E38">
        <w:t xml:space="preserve"> and science participation in</w:t>
      </w:r>
      <w:r w:rsidR="00520ED4">
        <w:t xml:space="preserve"> </w:t>
      </w:r>
      <w:r w:rsidRPr="00D21E38">
        <w:t xml:space="preserve">Australia and overseas, the paper comments on the current state of the debate over </w:t>
      </w:r>
      <w:r w:rsidR="001C75F3">
        <w:t xml:space="preserve">the </w:t>
      </w:r>
      <w:r w:rsidRPr="00D21E38">
        <w:t xml:space="preserve">merits of single-sex versus coeducational </w:t>
      </w:r>
      <w:r>
        <w:t>settings</w:t>
      </w:r>
      <w:r w:rsidRPr="00D21E38">
        <w:t xml:space="preserve">. </w:t>
      </w:r>
      <w:r w:rsidR="001C75F3">
        <w:t>Following this,</w:t>
      </w:r>
      <w:r w:rsidRPr="00D21E38">
        <w:t xml:space="preserve"> the research questions are introduced and </w:t>
      </w:r>
      <w:r>
        <w:t>addressed with</w:t>
      </w:r>
      <w:r w:rsidRPr="00D21E38">
        <w:t xml:space="preserve"> descriptive and multivariate analyses of the LSAY09 data. </w:t>
      </w:r>
      <w:bookmarkEnd w:id="40"/>
      <w:r>
        <w:t xml:space="preserve">The presentation of </w:t>
      </w:r>
      <w:r w:rsidR="001C75F3">
        <w:t xml:space="preserve">the </w:t>
      </w:r>
      <w:r>
        <w:t xml:space="preserve">results precedes the discussion of </w:t>
      </w:r>
      <w:r w:rsidR="001C75F3">
        <w:t xml:space="preserve">the </w:t>
      </w:r>
      <w:r>
        <w:t>findings and their potential implications for future educational</w:t>
      </w:r>
      <w:r w:rsidR="00520ED4">
        <w:t xml:space="preserve"> </w:t>
      </w:r>
      <w:r>
        <w:t>policy.</w:t>
      </w:r>
    </w:p>
    <w:p w:rsidR="00F87F00" w:rsidRPr="00BA49A3" w:rsidRDefault="00F87F00" w:rsidP="00877A61">
      <w:pPr>
        <w:pStyle w:val="Heading2"/>
      </w:pPr>
      <w:bookmarkStart w:id="41" w:name="_Toc367713376"/>
      <w:r w:rsidRPr="00BA49A3">
        <w:lastRenderedPageBreak/>
        <w:t>The debate over merits of single-sex schooling</w:t>
      </w:r>
      <w:bookmarkEnd w:id="41"/>
      <w:r w:rsidRPr="00BA49A3">
        <w:t xml:space="preserve"> </w:t>
      </w:r>
    </w:p>
    <w:p w:rsidR="00F87F00" w:rsidRPr="00520ED4" w:rsidRDefault="00F87F00" w:rsidP="00520ED4">
      <w:pPr>
        <w:pStyle w:val="Text"/>
      </w:pPr>
      <w:bookmarkStart w:id="42" w:name="_Toc344371233"/>
      <w:r w:rsidRPr="00E16A91">
        <w:t>The question</w:t>
      </w:r>
      <w:r w:rsidR="00A431E5">
        <w:t xml:space="preserve"> of</w:t>
      </w:r>
      <w:r w:rsidRPr="00E16A91">
        <w:t xml:space="preserve"> whether </w:t>
      </w:r>
      <w:r>
        <w:t>students</w:t>
      </w:r>
      <w:r w:rsidRPr="00E16A91">
        <w:t xml:space="preserve"> learn better in </w:t>
      </w:r>
      <w:r>
        <w:t>sex-</w:t>
      </w:r>
      <w:r w:rsidRPr="00E16A91">
        <w:t>segregated classes and schools</w:t>
      </w:r>
      <w:r>
        <w:t xml:space="preserve"> </w:t>
      </w:r>
      <w:r w:rsidRPr="00E16A91">
        <w:t xml:space="preserve">has been </w:t>
      </w:r>
      <w:r>
        <w:t>in</w:t>
      </w:r>
      <w:r w:rsidRPr="00E16A91">
        <w:t xml:space="preserve"> the mind</w:t>
      </w:r>
      <w:r>
        <w:t>s</w:t>
      </w:r>
      <w:r w:rsidRPr="00E16A91">
        <w:t xml:space="preserve"> of educators for </w:t>
      </w:r>
      <w:r>
        <w:t>decades</w:t>
      </w:r>
      <w:r w:rsidRPr="00E16A91">
        <w:t xml:space="preserve"> </w:t>
      </w:r>
      <w:r>
        <w:rPr>
          <w:noProof/>
        </w:rPr>
        <w:t>(</w:t>
      </w:r>
      <w:r w:rsidR="001C75F3">
        <w:rPr>
          <w:noProof/>
        </w:rPr>
        <w:t>American Association of University Women Educational Foundation</w:t>
      </w:r>
      <w:r>
        <w:rPr>
          <w:noProof/>
        </w:rPr>
        <w:t xml:space="preserve"> 1998; OECD 2006)</w:t>
      </w:r>
      <w:r>
        <w:t>.</w:t>
      </w:r>
      <w:r w:rsidRPr="00E16A91">
        <w:t xml:space="preserve"> </w:t>
      </w:r>
      <w:r>
        <w:t>Overall evidence in this politicised and heated debate remains inconclusive. Some authors believe</w:t>
      </w:r>
      <w:r w:rsidRPr="00E16A91">
        <w:t xml:space="preserve"> that sex-segregated education actually promote</w:t>
      </w:r>
      <w:r>
        <w:t>s</w:t>
      </w:r>
      <w:r w:rsidRPr="00E16A91">
        <w:t xml:space="preserve"> gender </w:t>
      </w:r>
      <w:r>
        <w:t>equity</w:t>
      </w:r>
      <w:r w:rsidRPr="00E16A91">
        <w:t xml:space="preserve"> and thus should have a greater role in national education systems</w:t>
      </w:r>
      <w:r>
        <w:t xml:space="preserve"> </w:t>
      </w:r>
      <w:r>
        <w:rPr>
          <w:noProof/>
        </w:rPr>
        <w:t>(Salomone 2003)</w:t>
      </w:r>
      <w:r w:rsidRPr="00E16A91">
        <w:t>.</w:t>
      </w:r>
      <w:r>
        <w:t xml:space="preserve"> In apparent support of this proposition</w:t>
      </w:r>
      <w:r w:rsidR="002A5694">
        <w:t>,</w:t>
      </w:r>
      <w:r>
        <w:t xml:space="preserve"> some </w:t>
      </w:r>
      <w:r w:rsidRPr="006D598B">
        <w:t>international literature suggests that in recent years girls have been per</w:t>
      </w:r>
      <w:r>
        <w:t xml:space="preserve">forming better in </w:t>
      </w:r>
      <w:r w:rsidR="002A5694">
        <w:t xml:space="preserve">the </w:t>
      </w:r>
      <w:r w:rsidRPr="006D598B">
        <w:t>quantitative sciences in single-sex schools</w:t>
      </w:r>
      <w:r w:rsidR="008421C5">
        <w:t>,</w:t>
      </w:r>
      <w:r w:rsidRPr="006D598B">
        <w:t xml:space="preserve"> where they are not at </w:t>
      </w:r>
      <w:r>
        <w:t xml:space="preserve">risk of distraction from ratings </w:t>
      </w:r>
      <w:r w:rsidR="002A5694">
        <w:t>by</w:t>
      </w:r>
      <w:r w:rsidRPr="006D598B">
        <w:t xml:space="preserve"> the other sex. Similar arguments </w:t>
      </w:r>
      <w:r w:rsidRPr="00520ED4">
        <w:t>have been put forward about the benefits of single-sex schooling for boys (Salomone 2003; Streitmatter 2002).</w:t>
      </w:r>
    </w:p>
    <w:p w:rsidR="00F87F00" w:rsidRPr="00520ED4" w:rsidRDefault="00F87F00" w:rsidP="00520ED4">
      <w:pPr>
        <w:pStyle w:val="Text"/>
      </w:pPr>
      <w:r w:rsidRPr="00520ED4">
        <w:t>The usual line of reasoning offered by this camp is that girls</w:t>
      </w:r>
      <w:r w:rsidR="00C33F0A">
        <w:t>’</w:t>
      </w:r>
      <w:r w:rsidRPr="00520ED4">
        <w:t xml:space="preserve"> self-confidence in science and mathematics is undermined by the physical presence of boys, because these fields continue to be viewed as functionally and culturally masculine domains. Therefore, the enactment of a feminine identity is at odds with success in mathematics and </w:t>
      </w:r>
      <w:r w:rsidR="00C33F0A">
        <w:t>‘</w:t>
      </w:r>
      <w:r w:rsidRPr="00520ED4">
        <w:t>masculine</w:t>
      </w:r>
      <w:r w:rsidR="00C33F0A">
        <w:t>’</w:t>
      </w:r>
      <w:r w:rsidRPr="00520ED4">
        <w:t xml:space="preserve"> fields of science (Salomone 2003). A high level of mathematical skill and being identified as a </w:t>
      </w:r>
      <w:r w:rsidR="00C33F0A">
        <w:t>‘</w:t>
      </w:r>
      <w:r w:rsidRPr="00520ED4">
        <w:t>nerd</w:t>
      </w:r>
      <w:r w:rsidR="00C33F0A">
        <w:t>’</w:t>
      </w:r>
      <w:r w:rsidRPr="00520ED4">
        <w:t xml:space="preserve"> are unfeminine and thus girls who find themselves topping their class in advanced mathematics, physics or geology </w:t>
      </w:r>
      <w:r w:rsidR="00E53022" w:rsidRPr="00520ED4">
        <w:t xml:space="preserve">might experience various forms of negative stereotyping </w:t>
      </w:r>
      <w:r w:rsidR="00515C7C" w:rsidRPr="00520ED4">
        <w:t>(Hill, Corbett</w:t>
      </w:r>
      <w:r w:rsidRPr="00520ED4">
        <w:t xml:space="preserve"> &amp; Rose 2010). Students who take part in experiments designed to capture the impact of the gender stereotype threat are primed about </w:t>
      </w:r>
      <w:r w:rsidR="00C33F0A">
        <w:t>‘</w:t>
      </w:r>
      <w:r w:rsidRPr="00520ED4">
        <w:t>natural</w:t>
      </w:r>
      <w:r w:rsidR="00C33F0A">
        <w:t>’</w:t>
      </w:r>
      <w:r w:rsidRPr="00520ED4">
        <w:t xml:space="preserve"> gender differences in math</w:t>
      </w:r>
      <w:r w:rsidR="00515C7C" w:rsidRPr="00520ED4">
        <w:t>s</w:t>
      </w:r>
      <w:r w:rsidRPr="00520ED4">
        <w:t xml:space="preserve"> performance and subsequently given a quantitative science test. Girls usually fare worse than boys and, interestingly, the performance gap is systematically larger following a </w:t>
      </w:r>
      <w:r w:rsidR="00515C7C" w:rsidRPr="00520ED4">
        <w:t>briefing on these so-called gender differences</w:t>
      </w:r>
      <w:r w:rsidRPr="00520ED4">
        <w:t xml:space="preserve">, in contrast to occasions when </w:t>
      </w:r>
      <w:r w:rsidR="00515C7C" w:rsidRPr="00520ED4">
        <w:t>none</w:t>
      </w:r>
      <w:r w:rsidRPr="00520ED4">
        <w:t xml:space="preserve"> is offered (Cherney &amp; Campbell 2011).</w:t>
      </w:r>
      <w:bookmarkEnd w:id="42"/>
      <w:r w:rsidRPr="00520ED4">
        <w:t xml:space="preserve"> It is worth noting that some single-sex schools in Australia routinely join their students with students of the opposite sex from other schools for various activities, including specialised science classes. Therefore, it is possible that the actual mechanisms through which the physical presence of boys makes a difference to girls</w:t>
      </w:r>
      <w:r w:rsidR="00C33F0A">
        <w:t>’</w:t>
      </w:r>
      <w:r w:rsidRPr="00520ED4">
        <w:t xml:space="preserve"> confidence and performance might vary </w:t>
      </w:r>
      <w:r w:rsidR="002A5694" w:rsidRPr="00520ED4">
        <w:t xml:space="preserve">according to </w:t>
      </w:r>
      <w:r w:rsidRPr="00520ED4">
        <w:t>group context. While anxiety about the opinions of the opposite sex might h</w:t>
      </w:r>
      <w:r w:rsidR="00515C7C" w:rsidRPr="00520ED4">
        <w:t>ave an undermining effect in co</w:t>
      </w:r>
      <w:r w:rsidRPr="00520ED4">
        <w:t>educational schools, between-school competition might boost girls</w:t>
      </w:r>
      <w:r w:rsidR="00C33F0A">
        <w:t>’</w:t>
      </w:r>
      <w:r w:rsidRPr="00520ED4">
        <w:t xml:space="preserve"> science outcomes in girls-only schools. </w:t>
      </w:r>
    </w:p>
    <w:p w:rsidR="00515C7C" w:rsidRDefault="00F87F00" w:rsidP="00520ED4">
      <w:pPr>
        <w:pStyle w:val="Text"/>
      </w:pPr>
      <w:bookmarkStart w:id="43" w:name="_Toc344371234"/>
      <w:r w:rsidRPr="00520ED4">
        <w:t>Dismissing such deliberations, other authors make a strong case against single-sex schooling (Halpern et al. 2011),</w:t>
      </w:r>
      <w:r>
        <w:t xml:space="preserve"> </w:t>
      </w:r>
      <w:r w:rsidRPr="00E16A91">
        <w:t xml:space="preserve">positing that its alleged benefits </w:t>
      </w:r>
      <w:r>
        <w:t xml:space="preserve">are </w:t>
      </w:r>
      <w:r w:rsidRPr="00E16A91">
        <w:t xml:space="preserve">mere artefacts of poor study design. </w:t>
      </w:r>
      <w:r>
        <w:t>This camp proposes that t</w:t>
      </w:r>
      <w:r w:rsidRPr="00E16A91">
        <w:t xml:space="preserve">he apparent benefits of single-sex schooling </w:t>
      </w:r>
      <w:r>
        <w:t>are</w:t>
      </w:r>
      <w:r w:rsidRPr="00E16A91">
        <w:t xml:space="preserve"> attri</w:t>
      </w:r>
      <w:r w:rsidR="00515C7C">
        <w:t>butable to selectivity on socio</w:t>
      </w:r>
      <w:r w:rsidRPr="00E16A91">
        <w:t>economic background or academic achievement</w:t>
      </w:r>
      <w:r>
        <w:t xml:space="preserve">. For example, Smyth argues </w:t>
      </w:r>
      <w:r>
        <w:rPr>
          <w:noProof/>
        </w:rPr>
        <w:t>(2010, p.53)</w:t>
      </w:r>
      <w:r w:rsidR="00515C7C">
        <w:t>:</w:t>
      </w:r>
    </w:p>
    <w:p w:rsidR="00515C7C" w:rsidRPr="00CD14E9" w:rsidRDefault="00515C7C" w:rsidP="00520ED4">
      <w:pPr>
        <w:pStyle w:val="Quote"/>
      </w:pPr>
      <w:r w:rsidRPr="00CD14E9">
        <w:t>I</w:t>
      </w:r>
      <w:r w:rsidR="00F87F00" w:rsidRPr="00CD14E9">
        <w:t>t is difficult to systematically compare single-sex and coeducational schools or classes. In many countries, single-sex schools are highly selective in their social and ability profile; even in countries with a larger number of single-sex schools, the two school sectors differ i</w:t>
      </w:r>
      <w:r w:rsidRPr="00CD14E9">
        <w:t xml:space="preserve">n their intake. How then do we </w:t>
      </w:r>
      <w:r w:rsidR="00C33F0A">
        <w:t>‘</w:t>
      </w:r>
      <w:r w:rsidRPr="00CD14E9">
        <w:t>control</w:t>
      </w:r>
      <w:r w:rsidR="00C33F0A">
        <w:t>’</w:t>
      </w:r>
      <w:r w:rsidR="00F87F00" w:rsidRPr="00CD14E9">
        <w:t xml:space="preserve"> for these differences in assessing the impact of single-s</w:t>
      </w:r>
      <w:r w:rsidRPr="00CD14E9">
        <w:t>ex education?</w:t>
      </w:r>
    </w:p>
    <w:p w:rsidR="00F87F00" w:rsidRPr="00E16A91" w:rsidRDefault="00F87F00" w:rsidP="00502974">
      <w:pPr>
        <w:pStyle w:val="Text"/>
      </w:pPr>
      <w:r>
        <w:t>This puts a question mark over</w:t>
      </w:r>
      <w:r w:rsidRPr="00E16A91">
        <w:t xml:space="preserve"> what really accounts for </w:t>
      </w:r>
      <w:r w:rsidR="00CD14E9">
        <w:t xml:space="preserve">the </w:t>
      </w:r>
      <w:r>
        <w:t xml:space="preserve">science </w:t>
      </w:r>
      <w:r w:rsidRPr="00E16A91">
        <w:t xml:space="preserve">success of students in single-sex </w:t>
      </w:r>
      <w:r>
        <w:t xml:space="preserve">educational establishments </w:t>
      </w:r>
      <w:r>
        <w:rPr>
          <w:noProof/>
        </w:rPr>
        <w:t>(Leonard 2007)</w:t>
      </w:r>
      <w:r w:rsidRPr="00E16A91">
        <w:t>.</w:t>
      </w:r>
      <w:r>
        <w:t xml:space="preserve"> According to</w:t>
      </w:r>
      <w:r w:rsidRPr="00E16A91">
        <w:t xml:space="preserve"> </w:t>
      </w:r>
      <w:r>
        <w:t>the opponents of single-sex education</w:t>
      </w:r>
      <w:r w:rsidR="00114A33">
        <w:t>,</w:t>
      </w:r>
      <w:r>
        <w:t xml:space="preserve"> when</w:t>
      </w:r>
      <w:r w:rsidRPr="00E16A91">
        <w:t xml:space="preserve"> flaws and omissions in conceptualisation and analyses are rectified</w:t>
      </w:r>
      <w:r w:rsidR="00114A33">
        <w:t>,</w:t>
      </w:r>
      <w:r w:rsidRPr="00E16A91">
        <w:t xml:space="preserve"> </w:t>
      </w:r>
      <w:r w:rsidR="002A5694">
        <w:t>it should be accepted</w:t>
      </w:r>
      <w:r>
        <w:t xml:space="preserve"> that </w:t>
      </w:r>
      <w:r w:rsidR="00C33F0A">
        <w:t>‘</w:t>
      </w:r>
      <w:r w:rsidR="00114A33">
        <w:t>[t]</w:t>
      </w:r>
      <w:r w:rsidRPr="00E16A91">
        <w:t>here is no well-designed research showing that single-sex education improves students</w:t>
      </w:r>
      <w:r w:rsidR="00C33F0A">
        <w:t>’</w:t>
      </w:r>
      <w:r w:rsidRPr="00E16A91">
        <w:t xml:space="preserve"> academic performance, but there is evidence that sex segregation increases gender stereotyping and le</w:t>
      </w:r>
      <w:r>
        <w:t>gitimizes institutional sexism</w:t>
      </w:r>
      <w:r w:rsidR="00C33F0A">
        <w:t>’</w:t>
      </w:r>
      <w:r w:rsidRPr="00E16A91">
        <w:t xml:space="preserve"> </w:t>
      </w:r>
      <w:r>
        <w:rPr>
          <w:noProof/>
        </w:rPr>
        <w:t>(Halpern et al. 2011, p.1706)</w:t>
      </w:r>
      <w:r w:rsidRPr="00E16A91">
        <w:t>.</w:t>
      </w:r>
      <w:bookmarkEnd w:id="43"/>
    </w:p>
    <w:p w:rsidR="00F87F00" w:rsidRDefault="00F87F00" w:rsidP="00502974">
      <w:pPr>
        <w:pStyle w:val="Text"/>
      </w:pPr>
      <w:r>
        <w:t>The main focus in studying the relationship between single-sex schooling and science has so far been on differences in students</w:t>
      </w:r>
      <w:r w:rsidR="00C33F0A">
        <w:t>’</w:t>
      </w:r>
      <w:r>
        <w:t xml:space="preserve"> academic performance</w:t>
      </w:r>
      <w:r w:rsidR="00114A33">
        <w:t>,</w:t>
      </w:r>
      <w:r>
        <w:t xml:space="preserve"> mainly because up to </w:t>
      </w:r>
      <w:r w:rsidR="002A5694">
        <w:t xml:space="preserve">the </w:t>
      </w:r>
      <w:r>
        <w:t xml:space="preserve">late 1980s girls lagged </w:t>
      </w:r>
      <w:r>
        <w:lastRenderedPageBreak/>
        <w:t xml:space="preserve">behind boys in science performance. However, in recent times in Australia and </w:t>
      </w:r>
      <w:r w:rsidR="008421C5">
        <w:t xml:space="preserve">in </w:t>
      </w:r>
      <w:r>
        <w:t>many other countries</w:t>
      </w:r>
      <w:r w:rsidRPr="00BA49A3">
        <w:t xml:space="preserve"> </w:t>
      </w:r>
      <w:r w:rsidR="00B03D36">
        <w:t>g</w:t>
      </w:r>
      <w:r w:rsidR="00B03D36" w:rsidRPr="00BA49A3">
        <w:t xml:space="preserve">irls </w:t>
      </w:r>
      <w:r w:rsidR="00B03D36">
        <w:t>have performed on a par with</w:t>
      </w:r>
      <w:r w:rsidR="00B03D36" w:rsidRPr="00BA49A3">
        <w:t xml:space="preserve"> boys</w:t>
      </w:r>
      <w:r w:rsidR="00B03D36">
        <w:t xml:space="preserve"> </w:t>
      </w:r>
      <w:r>
        <w:rPr>
          <w:noProof/>
        </w:rPr>
        <w:t>(OECD 2007a; Sikora &amp; Pokropek 2012a)</w:t>
      </w:r>
      <w:r>
        <w:t xml:space="preserve">. Nevertheless, students who do well in science do not necessarily plan to embark on science-related tertiary education or careers </w:t>
      </w:r>
      <w:r>
        <w:rPr>
          <w:noProof/>
        </w:rPr>
        <w:t>(Arc</w:t>
      </w:r>
      <w:r w:rsidR="00B03D36">
        <w:rPr>
          <w:noProof/>
        </w:rPr>
        <w:t>her et al. 2010; Osborne, Simon</w:t>
      </w:r>
      <w:r>
        <w:rPr>
          <w:noProof/>
        </w:rPr>
        <w:t xml:space="preserve"> &amp; Collins 2003)</w:t>
      </w:r>
      <w:r w:rsidRPr="00E16A91">
        <w:t>.</w:t>
      </w:r>
      <w:r>
        <w:t xml:space="preserve"> </w:t>
      </w:r>
      <w:r w:rsidRPr="00E16A91">
        <w:t>In the U</w:t>
      </w:r>
      <w:r w:rsidR="00B03D36">
        <w:t>nited States</w:t>
      </w:r>
      <w:r w:rsidRPr="00E16A91">
        <w:t xml:space="preserve">, </w:t>
      </w:r>
      <w:r>
        <w:t>a recent study</w:t>
      </w:r>
      <w:r w:rsidRPr="00E16A91">
        <w:t xml:space="preserve"> found that girls in girls-only schools had more self-confidence in their science ability</w:t>
      </w:r>
      <w:r>
        <w:t xml:space="preserve"> than girls elsewhere</w:t>
      </w:r>
      <w:r w:rsidRPr="00E16A91">
        <w:t xml:space="preserve"> but </w:t>
      </w:r>
      <w:r w:rsidR="00B03D36">
        <w:t xml:space="preserve">that </w:t>
      </w:r>
      <w:r w:rsidRPr="00E16A91">
        <w:t xml:space="preserve">this </w:t>
      </w:r>
      <w:r>
        <w:t>did</w:t>
      </w:r>
      <w:r w:rsidRPr="00E16A91">
        <w:t xml:space="preserve"> not le</w:t>
      </w:r>
      <w:r>
        <w:t>a</w:t>
      </w:r>
      <w:r w:rsidRPr="00E16A91">
        <w:t xml:space="preserve">d them to planning </w:t>
      </w:r>
      <w:r w:rsidR="00B03D36" w:rsidRPr="00E16A91">
        <w:t>s</w:t>
      </w:r>
      <w:r w:rsidR="00B03D36">
        <w:t>cience</w:t>
      </w:r>
      <w:r w:rsidR="002A5694">
        <w:t>,</w:t>
      </w:r>
      <w:r w:rsidR="00B03D36">
        <w:t xml:space="preserve"> </w:t>
      </w:r>
      <w:r w:rsidR="00B03D36" w:rsidRPr="00E16A91">
        <w:t>t</w:t>
      </w:r>
      <w:r w:rsidR="00B03D36">
        <w:t>echnology</w:t>
      </w:r>
      <w:r w:rsidR="002A5694">
        <w:t>,</w:t>
      </w:r>
      <w:r w:rsidR="00B03D36">
        <w:t xml:space="preserve"> </w:t>
      </w:r>
      <w:r w:rsidR="00B03D36" w:rsidRPr="00E16A91">
        <w:t>e</w:t>
      </w:r>
      <w:r w:rsidR="00B03D36">
        <w:t xml:space="preserve">ngineering and </w:t>
      </w:r>
      <w:r w:rsidR="00B03D36" w:rsidRPr="00E16A91">
        <w:t>m</w:t>
      </w:r>
      <w:r w:rsidR="00B03D36">
        <w:t>athematics (</w:t>
      </w:r>
      <w:r>
        <w:t>STEM)</w:t>
      </w:r>
      <w:r w:rsidRPr="00E16A91">
        <w:t xml:space="preserve"> careers (Cherney &amp; Campbell 2011).</w:t>
      </w:r>
      <w:r>
        <w:t xml:space="preserve"> Given this, it is desirable to better understand not only gender differences in science performance but also in subject uptake and career plans. So far, however, the number of studies devoted to these issues has been small </w:t>
      </w:r>
      <w:r>
        <w:rPr>
          <w:noProof/>
        </w:rPr>
        <w:t>(excep</w:t>
      </w:r>
      <w:r w:rsidR="00694B16">
        <w:rPr>
          <w:noProof/>
        </w:rPr>
        <w:t>tions include</w:t>
      </w:r>
      <w:r w:rsidR="00877A61">
        <w:rPr>
          <w:noProof/>
        </w:rPr>
        <w:t xml:space="preserve"> </w:t>
      </w:r>
      <w:r w:rsidR="005F0B4D">
        <w:rPr>
          <w:noProof/>
        </w:rPr>
        <w:t>Ainley &amp; Daly 2002 and</w:t>
      </w:r>
      <w:r w:rsidR="00CD14E9">
        <w:rPr>
          <w:noProof/>
        </w:rPr>
        <w:t xml:space="preserve"> Ainley, Kos</w:t>
      </w:r>
      <w:r>
        <w:rPr>
          <w:noProof/>
        </w:rPr>
        <w:t xml:space="preserve"> &amp; Nicholas 2008)</w:t>
      </w:r>
      <w:r>
        <w:t xml:space="preserve">.  </w:t>
      </w:r>
    </w:p>
    <w:p w:rsidR="00F87F00" w:rsidRDefault="00F87F00" w:rsidP="00502974">
      <w:pPr>
        <w:pStyle w:val="Text"/>
      </w:pPr>
      <w:r>
        <w:t>Prior Australian research in this area concluded that single-sex schooling made no real difference once the variation between schools in student in</w:t>
      </w:r>
      <w:r w:rsidR="008421C5">
        <w:t>take policies and other student</w:t>
      </w:r>
      <w:r>
        <w:t xml:space="preserve"> characteristics was taken into account </w:t>
      </w:r>
      <w:r>
        <w:rPr>
          <w:noProof/>
        </w:rPr>
        <w:t>(Ainley &amp; Daly 2002)</w:t>
      </w:r>
      <w:r>
        <w:t>.</w:t>
      </w:r>
      <w:r w:rsidRPr="00391DE1">
        <w:t xml:space="preserve"> </w:t>
      </w:r>
      <w:r>
        <w:t xml:space="preserve">Most of the literature reviewed by Ainley and Daly </w:t>
      </w:r>
      <w:r w:rsidR="00CD14E9">
        <w:t>that</w:t>
      </w:r>
      <w:r>
        <w:t xml:space="preserve"> described the effects of single-sex schooling in Great Britain and Ireland in the 1990s arrived at similar conclusions. Contemporaneous comparisons of data from many countries suggested that single-sex schooling was beneficial to students only in educational systems where it was uncommon and quite elitist </w:t>
      </w:r>
      <w:r w:rsidR="00CD14E9">
        <w:rPr>
          <w:noProof/>
        </w:rPr>
        <w:t>(Baker, Riordan</w:t>
      </w:r>
      <w:r>
        <w:rPr>
          <w:noProof/>
        </w:rPr>
        <w:t xml:space="preserve"> &amp; Schaub 1995)</w:t>
      </w:r>
      <w:r>
        <w:t xml:space="preserve">. Yet, a more recent study found no systematic association between the share of single-sex education and </w:t>
      </w:r>
      <w:r w:rsidR="00A366F2">
        <w:t xml:space="preserve">the </w:t>
      </w:r>
      <w:r>
        <w:t xml:space="preserve">mathematics achievement of students in </w:t>
      </w:r>
      <w:r w:rsidR="002A5694">
        <w:t>16</w:t>
      </w:r>
      <w:r>
        <w:t xml:space="preserve"> countries </w:t>
      </w:r>
      <w:r>
        <w:rPr>
          <w:noProof/>
        </w:rPr>
        <w:t>(Law &amp; Kim 2011)</w:t>
      </w:r>
      <w:r>
        <w:t>, leaving the debate as inconclusive as it has ever been.</w:t>
      </w:r>
    </w:p>
    <w:p w:rsidR="00F87F00" w:rsidRPr="00877A61" w:rsidRDefault="00F87F00" w:rsidP="00877A61">
      <w:pPr>
        <w:pStyle w:val="Heading2"/>
        <w:rPr>
          <w:color w:val="000000"/>
          <w:kern w:val="28"/>
          <w:sz w:val="56"/>
          <w:szCs w:val="56"/>
        </w:rPr>
      </w:pPr>
      <w:bookmarkStart w:id="44" w:name="_Toc367713377"/>
      <w:r w:rsidRPr="00BA49A3">
        <w:t xml:space="preserve">Research </w:t>
      </w:r>
      <w:r w:rsidRPr="00877A61">
        <w:t>questions</w:t>
      </w:r>
      <w:bookmarkEnd w:id="44"/>
    </w:p>
    <w:p w:rsidR="00F87F00" w:rsidRDefault="00F87F00" w:rsidP="00520ED4">
      <w:pPr>
        <w:pStyle w:val="Text"/>
        <w:ind w:right="-144"/>
      </w:pPr>
      <w:r>
        <w:t xml:space="preserve">LSAY09 offers a unique opportunity to re-evaluate this debate with recent data and in the context of </w:t>
      </w:r>
      <w:r w:rsidR="00A366F2">
        <w:t xml:space="preserve">the </w:t>
      </w:r>
      <w:r>
        <w:t xml:space="preserve">major changes </w:t>
      </w:r>
      <w:r w:rsidR="00CD14E9">
        <w:t>that have</w:t>
      </w:r>
      <w:r>
        <w:t xml:space="preserve"> affected </w:t>
      </w:r>
      <w:r w:rsidR="00A366F2">
        <w:t xml:space="preserve">the </w:t>
      </w:r>
      <w:r>
        <w:t xml:space="preserve">science participation of Australian students in the last decade </w:t>
      </w:r>
      <w:r w:rsidR="00CD14E9">
        <w:rPr>
          <w:noProof/>
        </w:rPr>
        <w:t>(Ainley, Kos</w:t>
      </w:r>
      <w:r>
        <w:rPr>
          <w:noProof/>
        </w:rPr>
        <w:t xml:space="preserve"> &amp; Nicholas 2008)</w:t>
      </w:r>
      <w:r>
        <w:t xml:space="preserve">. The goal of this paper is, thus, to establish whether </w:t>
      </w:r>
      <w:r w:rsidRPr="006D598B">
        <w:t xml:space="preserve">single-sex schooling </w:t>
      </w:r>
      <w:r>
        <w:t xml:space="preserve">continues to make little difference to </w:t>
      </w:r>
      <w:r w:rsidR="008421C5">
        <w:t xml:space="preserve">the </w:t>
      </w:r>
      <w:r>
        <w:t xml:space="preserve">gendered patterns of science participation of the recent cohorts of students and whether the gender gap in science participation is as it was a decade ago. </w:t>
      </w:r>
    </w:p>
    <w:p w:rsidR="00F87F00" w:rsidRPr="00E16A91" w:rsidRDefault="00F87F00" w:rsidP="00502974">
      <w:pPr>
        <w:pStyle w:val="Text"/>
      </w:pPr>
      <w:r>
        <w:t xml:space="preserve">Although this paper briefly considers </w:t>
      </w:r>
      <w:r w:rsidR="00A366F2">
        <w:t xml:space="preserve">the </w:t>
      </w:r>
      <w:r>
        <w:t>differences in science performance between adolescents attending single-sex and coeducational schools</w:t>
      </w:r>
      <w:r w:rsidR="00CD14E9">
        <w:t>,</w:t>
      </w:r>
      <w:r>
        <w:t xml:space="preserve"> it aims to focus attention on two other aspects of science participation. </w:t>
      </w:r>
      <w:r w:rsidRPr="00E16A91">
        <w:t xml:space="preserve">The first is </w:t>
      </w:r>
      <w:r>
        <w:t xml:space="preserve">science </w:t>
      </w:r>
      <w:r w:rsidRPr="00E16A91">
        <w:t>subject choice</w:t>
      </w:r>
      <w:r>
        <w:t>s</w:t>
      </w:r>
      <w:r w:rsidRPr="00E16A91">
        <w:t xml:space="preserve"> in Year 11, </w:t>
      </w:r>
      <w:r w:rsidR="00CD14E9">
        <w:t>since</w:t>
      </w:r>
      <w:r>
        <w:t xml:space="preserve"> </w:t>
      </w:r>
      <w:r w:rsidR="000B508A">
        <w:t xml:space="preserve">the </w:t>
      </w:r>
      <w:r>
        <w:t>upper secondary stage of schooling</w:t>
      </w:r>
      <w:r w:rsidRPr="00E16A91">
        <w:t xml:space="preserve"> is the first opportunity for most Australian high school students </w:t>
      </w:r>
      <w:r>
        <w:t>to specialise</w:t>
      </w:r>
      <w:r w:rsidR="008421C5">
        <w:t>,</w:t>
      </w:r>
      <w:r>
        <w:t xml:space="preserve"> </w:t>
      </w:r>
      <w:r w:rsidR="008421C5">
        <w:t>by</w:t>
      </w:r>
      <w:r>
        <w:t xml:space="preserve"> selecting themselves out of certain fields of study</w:t>
      </w:r>
      <w:r w:rsidRPr="00E16A91">
        <w:t xml:space="preserve">. The second </w:t>
      </w:r>
      <w:r>
        <w:t xml:space="preserve">form of science engagement examined here is </w:t>
      </w:r>
      <w:r w:rsidR="00A366F2">
        <w:t>a</w:t>
      </w:r>
      <w:r>
        <w:t xml:space="preserve"> student</w:t>
      </w:r>
      <w:r w:rsidR="00C33F0A">
        <w:t>’</w:t>
      </w:r>
      <w:r>
        <w:t>s</w:t>
      </w:r>
      <w:r w:rsidRPr="00E16A91">
        <w:t xml:space="preserve"> c</w:t>
      </w:r>
      <w:r>
        <w:t>areer plan</w:t>
      </w:r>
      <w:r w:rsidR="00A366F2">
        <w:t>,</w:t>
      </w:r>
      <w:r>
        <w:t xml:space="preserve"> reported between their </w:t>
      </w:r>
      <w:r w:rsidR="00CD14E9">
        <w:t>fifteenth</w:t>
      </w:r>
      <w:r w:rsidRPr="00E16A91">
        <w:t xml:space="preserve"> and </w:t>
      </w:r>
      <w:r w:rsidR="00CD14E9">
        <w:t>sixteenth</w:t>
      </w:r>
      <w:r w:rsidRPr="00E16A91">
        <w:t xml:space="preserve"> birthday</w:t>
      </w:r>
      <w:r>
        <w:t>s</w:t>
      </w:r>
      <w:r w:rsidRPr="00E16A91">
        <w:t>.</w:t>
      </w:r>
      <w:r>
        <w:t xml:space="preserve"> </w:t>
      </w:r>
    </w:p>
    <w:p w:rsidR="00F87F00" w:rsidRPr="00E16A91" w:rsidRDefault="00F87F00" w:rsidP="00502974">
      <w:pPr>
        <w:pStyle w:val="Text"/>
      </w:pPr>
      <w:r>
        <w:t>With respect to these two forms of science engagement, the research questions posed in this paper are as follows</w:t>
      </w:r>
      <w:r w:rsidRPr="00E16A91">
        <w:t>:</w:t>
      </w:r>
    </w:p>
    <w:p w:rsidR="00F87F00" w:rsidRDefault="00F87F00" w:rsidP="00520ED4">
      <w:pPr>
        <w:pStyle w:val="Dotpoint1"/>
      </w:pPr>
      <w:r>
        <w:t>Across all schools, do boys and girls continue to select different science subjects and formulate different science-related career plans</w:t>
      </w:r>
      <w:r w:rsidRPr="00E16A91">
        <w:t xml:space="preserve">?  </w:t>
      </w:r>
    </w:p>
    <w:p w:rsidR="00F87F00" w:rsidRPr="00E16A91" w:rsidRDefault="00F87F00" w:rsidP="00520ED4">
      <w:pPr>
        <w:pStyle w:val="Dotpoint1"/>
      </w:pPr>
      <w:r>
        <w:t>Are gendered patterns of science engagem</w:t>
      </w:r>
      <w:r w:rsidR="00694B16">
        <w:t>ent systematically different between</w:t>
      </w:r>
      <w:r w:rsidRPr="00E16A91">
        <w:t xml:space="preserve"> students in single‐sex and coeducational settings?</w:t>
      </w:r>
    </w:p>
    <w:p w:rsidR="00F87F00" w:rsidRDefault="00F87F00" w:rsidP="00502974">
      <w:pPr>
        <w:pStyle w:val="Text"/>
      </w:pPr>
      <w:r>
        <w:t>It must be noted that</w:t>
      </w:r>
      <w:r w:rsidR="00CD14E9">
        <w:t>,</w:t>
      </w:r>
      <w:r>
        <w:t xml:space="preserve"> while the literature on gendered patterns of science participation pays attention primarily to the disadvantage of girls, segregation is not necessarily disadvantageous for one sex only. G</w:t>
      </w:r>
      <w:r w:rsidRPr="00E16A91">
        <w:t xml:space="preserve">ender segregation </w:t>
      </w:r>
      <w:r>
        <w:t>is a phenomenon with the potential to adversely affect both young</w:t>
      </w:r>
      <w:r w:rsidRPr="00E16A91">
        <w:t xml:space="preserve"> men and women.</w:t>
      </w:r>
      <w:r>
        <w:t xml:space="preserve"> Given that comparable numbers of young women and men engage in science </w:t>
      </w:r>
      <w:r w:rsidR="00CD14E9">
        <w:rPr>
          <w:noProof/>
        </w:rPr>
        <w:t xml:space="preserve">(Sikora &amp; </w:t>
      </w:r>
      <w:r w:rsidR="00CD14E9">
        <w:rPr>
          <w:noProof/>
        </w:rPr>
        <w:lastRenderedPageBreak/>
        <w:t>Pokropek 2011 and t</w:t>
      </w:r>
      <w:r>
        <w:rPr>
          <w:noProof/>
        </w:rPr>
        <w:t xml:space="preserve">able </w:t>
      </w:r>
      <w:r w:rsidR="00A02143">
        <w:rPr>
          <w:noProof/>
        </w:rPr>
        <w:t>3</w:t>
      </w:r>
      <w:r>
        <w:rPr>
          <w:noProof/>
        </w:rPr>
        <w:t>)</w:t>
      </w:r>
      <w:r>
        <w:t>, if</w:t>
      </w:r>
      <w:r w:rsidRPr="00E16A91">
        <w:t xml:space="preserve"> </w:t>
      </w:r>
      <w:r>
        <w:t>girls</w:t>
      </w:r>
      <w:r w:rsidRPr="00E16A91">
        <w:t xml:space="preserve"> are underrepresented in certain fields,</w:t>
      </w:r>
      <w:r>
        <w:t xml:space="preserve"> boys</w:t>
      </w:r>
      <w:r w:rsidRPr="00E16A91">
        <w:t xml:space="preserve"> </w:t>
      </w:r>
      <w:r>
        <w:t>must</w:t>
      </w:r>
      <w:r w:rsidRPr="00E16A91">
        <w:t xml:space="preserve"> be underrepresented in others. </w:t>
      </w:r>
    </w:p>
    <w:p w:rsidR="00F87F00" w:rsidRPr="00E16A91" w:rsidRDefault="00F87F00" w:rsidP="00877A61">
      <w:pPr>
        <w:pStyle w:val="Heading2"/>
      </w:pPr>
      <w:bookmarkStart w:id="45" w:name="_Toc367713378"/>
      <w:r>
        <w:t>How are</w:t>
      </w:r>
      <w:r w:rsidRPr="00E16A91">
        <w:t xml:space="preserve"> </w:t>
      </w:r>
      <w:r>
        <w:t>life</w:t>
      </w:r>
      <w:r w:rsidRPr="00E16A91">
        <w:t xml:space="preserve"> and </w:t>
      </w:r>
      <w:r>
        <w:t>physical</w:t>
      </w:r>
      <w:r w:rsidRPr="00E16A91">
        <w:t xml:space="preserve"> sciences</w:t>
      </w:r>
      <w:r>
        <w:t xml:space="preserve"> defined</w:t>
      </w:r>
      <w:r w:rsidRPr="00E16A91">
        <w:t xml:space="preserve"> in this paper?</w:t>
      </w:r>
      <w:bookmarkEnd w:id="45"/>
    </w:p>
    <w:p w:rsidR="00F87F00" w:rsidRPr="00E16A91" w:rsidRDefault="00F87F00" w:rsidP="00502974">
      <w:pPr>
        <w:pStyle w:val="Text"/>
        <w:keepNext/>
        <w:keepLines/>
      </w:pPr>
      <w:r>
        <w:t>The c</w:t>
      </w:r>
      <w:r w:rsidRPr="00E16A91">
        <w:t>oncentration</w:t>
      </w:r>
      <w:r>
        <w:t xml:space="preserve"> of males and females</w:t>
      </w:r>
      <w:r w:rsidRPr="00E16A91">
        <w:t xml:space="preserve"> in different fields of science has been well documented</w:t>
      </w:r>
      <w:r>
        <w:t xml:space="preserve"> </w:t>
      </w:r>
      <w:r w:rsidR="00CD14E9">
        <w:rPr>
          <w:noProof/>
        </w:rPr>
        <w:t>(Hill, Corbett</w:t>
      </w:r>
      <w:r>
        <w:rPr>
          <w:noProof/>
        </w:rPr>
        <w:t xml:space="preserve"> &amp; Rose 2010; OECD 2006; Sikora &amp; Pokropek 2012a)</w:t>
      </w:r>
      <w:r w:rsidRPr="00E16A91">
        <w:t xml:space="preserve">. </w:t>
      </w:r>
      <w:r>
        <w:t xml:space="preserve">In Australia, Fullarton and Ainley </w:t>
      </w:r>
      <w:r>
        <w:rPr>
          <w:noProof/>
        </w:rPr>
        <w:t>(2000</w:t>
      </w:r>
      <w:r w:rsidR="00A366F2">
        <w:rPr>
          <w:noProof/>
        </w:rPr>
        <w:t>, p.v1</w:t>
      </w:r>
      <w:r>
        <w:rPr>
          <w:noProof/>
        </w:rPr>
        <w:t>)</w:t>
      </w:r>
      <w:r w:rsidRPr="00E16A91">
        <w:t xml:space="preserve"> note</w:t>
      </w:r>
      <w:r>
        <w:t>d</w:t>
      </w:r>
      <w:r w:rsidRPr="00E16A91">
        <w:t xml:space="preserve"> </w:t>
      </w:r>
      <w:r>
        <w:t xml:space="preserve">in their analyses of </w:t>
      </w:r>
      <w:r w:rsidRPr="00E16A91">
        <w:t>subject choice among Australian students:</w:t>
      </w:r>
    </w:p>
    <w:p w:rsidR="00F87F00" w:rsidRPr="00F2223E" w:rsidRDefault="00F87F00" w:rsidP="00502974">
      <w:pPr>
        <w:pStyle w:val="Quote"/>
      </w:pPr>
      <w:r w:rsidRPr="00F2223E">
        <w:t xml:space="preserve">Gender was found to be one of the student characteristics accounting for the greatest proportion of variation in student enrolments. As found in previous subject choice reports, males predominate in the areas of mathematics, particularly in higher level mathematics, physical sciences, technical studies, computer </w:t>
      </w:r>
      <w:r w:rsidR="000B508A">
        <w:t>studies and physical education.</w:t>
      </w:r>
      <w:r w:rsidR="00A366F2">
        <w:t xml:space="preserve"> </w:t>
      </w:r>
    </w:p>
    <w:p w:rsidR="00F87F00" w:rsidRPr="00E16A91" w:rsidRDefault="00F87F00" w:rsidP="00502974">
      <w:pPr>
        <w:pStyle w:val="Text"/>
      </w:pPr>
      <w:r w:rsidRPr="00A15896">
        <w:t>T</w:t>
      </w:r>
      <w:r w:rsidRPr="00E16A91">
        <w:t xml:space="preserve">here is no established and </w:t>
      </w:r>
      <w:r>
        <w:t xml:space="preserve">widely </w:t>
      </w:r>
      <w:r w:rsidRPr="00E16A91">
        <w:t xml:space="preserve">accepted terminology to denote </w:t>
      </w:r>
      <w:r>
        <w:t>the</w:t>
      </w:r>
      <w:r w:rsidRPr="00E16A91">
        <w:t xml:space="preserve"> distinction</w:t>
      </w:r>
      <w:r>
        <w:t xml:space="preserve"> between </w:t>
      </w:r>
      <w:r w:rsidR="00C33F0A">
        <w:t>‘</w:t>
      </w:r>
      <w:r>
        <w:t>feminine</w:t>
      </w:r>
      <w:r w:rsidR="00C33F0A">
        <w:t>’</w:t>
      </w:r>
      <w:r>
        <w:t xml:space="preserve"> and </w:t>
      </w:r>
      <w:r w:rsidR="00C33F0A">
        <w:t>‘</w:t>
      </w:r>
      <w:r>
        <w:t>masculine</w:t>
      </w:r>
      <w:r w:rsidR="00C33F0A">
        <w:t>’</w:t>
      </w:r>
      <w:r>
        <w:t xml:space="preserve"> fields of science</w:t>
      </w:r>
      <w:r w:rsidRPr="00E16A91">
        <w:t xml:space="preserve">, although its existence is well known to science educators. Some authors refer to it as the contrast between </w:t>
      </w:r>
      <w:r w:rsidR="00C33F0A">
        <w:t>‘</w:t>
      </w:r>
      <w:r w:rsidRPr="00E16A91">
        <w:t>soft</w:t>
      </w:r>
      <w:r w:rsidR="00C33F0A">
        <w:t>’</w:t>
      </w:r>
      <w:r w:rsidRPr="00E16A91">
        <w:t xml:space="preserve"> and </w:t>
      </w:r>
      <w:r w:rsidR="00C33F0A">
        <w:t>‘</w:t>
      </w:r>
      <w:r w:rsidRPr="00E16A91">
        <w:t>hard</w:t>
      </w:r>
      <w:r w:rsidR="00C33F0A">
        <w:t>’</w:t>
      </w:r>
      <w:r w:rsidR="008A26EA">
        <w:t xml:space="preserve"> </w:t>
      </w:r>
      <w:r w:rsidR="008A26EA" w:rsidRPr="00E53022">
        <w:t>sciences (Kjrnsli &amp; Lie</w:t>
      </w:r>
      <w:r w:rsidRPr="00E53022">
        <w:t xml:space="preserve"> 2011),</w:t>
      </w:r>
      <w:r w:rsidRPr="00E16A91">
        <w:t xml:space="preserve"> or between </w:t>
      </w:r>
      <w:r w:rsidR="00C33F0A">
        <w:t>‘</w:t>
      </w:r>
      <w:r w:rsidRPr="00E16A91">
        <w:t>life</w:t>
      </w:r>
      <w:r w:rsidR="00C33F0A">
        <w:t>’</w:t>
      </w:r>
      <w:r w:rsidRPr="00E16A91">
        <w:t xml:space="preserve"> and </w:t>
      </w:r>
      <w:r w:rsidR="00C33F0A">
        <w:t>‘</w:t>
      </w:r>
      <w:r w:rsidRPr="00E16A91">
        <w:t>quantitative</w:t>
      </w:r>
      <w:r w:rsidR="00C33F0A">
        <w:t>’</w:t>
      </w:r>
      <w:r>
        <w:t xml:space="preserve"> sciences </w:t>
      </w:r>
      <w:r>
        <w:rPr>
          <w:noProof/>
        </w:rPr>
        <w:t>(Kessel &amp; Nelson 2011)</w:t>
      </w:r>
      <w:r w:rsidR="008A26EA">
        <w:t xml:space="preserve">, or between </w:t>
      </w:r>
      <w:r w:rsidR="00C33F0A">
        <w:t>‘</w:t>
      </w:r>
      <w:r w:rsidR="008A26EA">
        <w:t>physical</w:t>
      </w:r>
      <w:r w:rsidR="00C33F0A">
        <w:t>’</w:t>
      </w:r>
      <w:r w:rsidR="008A26EA">
        <w:t xml:space="preserve"> and </w:t>
      </w:r>
      <w:r w:rsidR="00C33F0A">
        <w:t>‘</w:t>
      </w:r>
      <w:r>
        <w:t>life</w:t>
      </w:r>
      <w:r w:rsidR="00C33F0A">
        <w:t>’</w:t>
      </w:r>
      <w:r>
        <w:t xml:space="preserve"> sciences </w:t>
      </w:r>
      <w:r>
        <w:rPr>
          <w:noProof/>
        </w:rPr>
        <w:t>(Ainley &amp; Daly 2002)</w:t>
      </w:r>
      <w:r w:rsidRPr="00E16A91">
        <w:t xml:space="preserve">. </w:t>
      </w:r>
      <w:r>
        <w:t>This paper uses Ainley and Daly</w:t>
      </w:r>
      <w:r w:rsidR="00C33F0A">
        <w:t>’</w:t>
      </w:r>
      <w:r>
        <w:t>s labels of</w:t>
      </w:r>
      <w:r w:rsidRPr="00E16A91">
        <w:t xml:space="preserve"> </w:t>
      </w:r>
      <w:r w:rsidRPr="00033FC1">
        <w:rPr>
          <w:i/>
        </w:rPr>
        <w:t>life</w:t>
      </w:r>
      <w:r w:rsidRPr="00E16A91">
        <w:t xml:space="preserve"> and </w:t>
      </w:r>
      <w:r>
        <w:rPr>
          <w:i/>
        </w:rPr>
        <w:t>physical</w:t>
      </w:r>
      <w:r w:rsidRPr="00E16A91">
        <w:t xml:space="preserve"> sciences</w:t>
      </w:r>
      <w:r>
        <w:t xml:space="preserve">, </w:t>
      </w:r>
      <w:r w:rsidRPr="00E16A91">
        <w:t xml:space="preserve">but </w:t>
      </w:r>
      <w:r>
        <w:t>any choice of labels is to a degree arbitrary and thus it is important to peruse the list</w:t>
      </w:r>
      <w:r w:rsidRPr="00E16A91">
        <w:t xml:space="preserve"> of science fields </w:t>
      </w:r>
      <w:r>
        <w:t>included in each category (provided</w:t>
      </w:r>
      <w:r w:rsidR="008A26EA">
        <w:t xml:space="preserve"> in a</w:t>
      </w:r>
      <w:r>
        <w:t xml:space="preserve">ppendix </w:t>
      </w:r>
      <w:r w:rsidR="008421C5">
        <w:t>B</w:t>
      </w:r>
      <w:r>
        <w:t>)</w:t>
      </w:r>
      <w:r w:rsidRPr="00E16A91">
        <w:t>. In principle</w:t>
      </w:r>
      <w:r>
        <w:t>,</w:t>
      </w:r>
      <w:r w:rsidRPr="00E16A91">
        <w:t xml:space="preserve"> fields and courses with significant biology, health-related or environment-focused content are treated in this analysis as </w:t>
      </w:r>
      <w:r w:rsidR="00C33F0A">
        <w:t>‘</w:t>
      </w:r>
      <w:r>
        <w:t>life</w:t>
      </w:r>
      <w:r w:rsidRPr="00E16A91">
        <w:t xml:space="preserve"> science</w:t>
      </w:r>
      <w:r w:rsidR="00C33F0A">
        <w:t>’</w:t>
      </w:r>
      <w:r w:rsidR="008A26EA">
        <w:t>,</w:t>
      </w:r>
      <w:r w:rsidRPr="00E16A91">
        <w:t xml:space="preserve"> while fie</w:t>
      </w:r>
      <w:r>
        <w:t>lds with explicit physics</w:t>
      </w:r>
      <w:r w:rsidRPr="00E16A91">
        <w:t xml:space="preserve">, chemistry or geology content are treated as </w:t>
      </w:r>
      <w:r w:rsidR="00C33F0A">
        <w:t>‘</w:t>
      </w:r>
      <w:r>
        <w:t xml:space="preserve">physical </w:t>
      </w:r>
      <w:r w:rsidRPr="00E16A91">
        <w:t>science</w:t>
      </w:r>
      <w:r w:rsidR="00C33F0A">
        <w:t>’</w:t>
      </w:r>
      <w:r w:rsidRPr="00E16A91">
        <w:t xml:space="preserve">. </w:t>
      </w:r>
      <w:r>
        <w:t xml:space="preserve">Occupational plans related to biology and health services are assumed to relate to life science, while engineering, mathematical and computing occupations are assumed to relate to physical science. </w:t>
      </w:r>
      <w:r w:rsidRPr="00E16A91">
        <w:t xml:space="preserve">This </w:t>
      </w:r>
      <w:r>
        <w:t xml:space="preserve">latter </w:t>
      </w:r>
      <w:r w:rsidRPr="00E16A91">
        <w:t>distinction is adopted from the OECD framework previously used for international comparisons (Sikora &amp; Pokropek 2011)</w:t>
      </w:r>
      <w:r>
        <w:t>.</w:t>
      </w:r>
      <w:r w:rsidRPr="00E16A91">
        <w:t xml:space="preserve"> </w:t>
      </w:r>
      <w:r>
        <w:t xml:space="preserve">Analysis at the level of particular subject titles or occupational titles is impossible because of the large numbers of science subjects offered across the states and territories and the equally large numbers of occupational titles </w:t>
      </w:r>
      <w:r w:rsidR="008A26EA">
        <w:t>that</w:t>
      </w:r>
      <w:r>
        <w:t xml:space="preserve"> group relatively few students. Therefore, some categorisation of science fields along the dimensions of care versus technology </w:t>
      </w:r>
      <w:r>
        <w:rPr>
          <w:noProof/>
        </w:rPr>
        <w:t>(Barone 2011)</w:t>
      </w:r>
      <w:r>
        <w:t xml:space="preserve"> is necessary to highlight the gendered concentration of students within particular </w:t>
      </w:r>
      <w:r w:rsidRPr="00E16A91">
        <w:t>areas</w:t>
      </w:r>
      <w:r>
        <w:t xml:space="preserve"> of </w:t>
      </w:r>
      <w:r w:rsidR="00A366F2">
        <w:t>science, technology, engineering and mathematics</w:t>
      </w:r>
      <w:r w:rsidRPr="00E16A91">
        <w:t>.</w:t>
      </w:r>
      <w:r>
        <w:t xml:space="preserve"> In contrast, treating</w:t>
      </w:r>
      <w:r w:rsidRPr="00E16A91">
        <w:t xml:space="preserve"> </w:t>
      </w:r>
      <w:r w:rsidR="00694B16">
        <w:t>science</w:t>
      </w:r>
      <w:r w:rsidR="00A366F2">
        <w:t xml:space="preserve"> </w:t>
      </w:r>
      <w:r w:rsidRPr="00E16A91">
        <w:t xml:space="preserve">as one homogeneous field of study </w:t>
      </w:r>
      <w:r>
        <w:t xml:space="preserve">conceals systematic </w:t>
      </w:r>
      <w:r w:rsidRPr="00E16A91">
        <w:t xml:space="preserve">gendered differences in science engagement </w:t>
      </w:r>
      <w:r>
        <w:rPr>
          <w:noProof/>
        </w:rPr>
        <w:t>(Anlezark et al. 2008)</w:t>
      </w:r>
      <w:r w:rsidRPr="00E16A91">
        <w:t xml:space="preserve">. </w:t>
      </w:r>
    </w:p>
    <w:p w:rsidR="00877A61" w:rsidRDefault="00877A61">
      <w:pPr>
        <w:spacing w:before="0" w:after="200" w:line="276" w:lineRule="auto"/>
        <w:rPr>
          <w:rFonts w:ascii="Tahoma" w:hAnsi="Tahoma" w:cs="Tahoma"/>
          <w:color w:val="000000"/>
          <w:kern w:val="28"/>
          <w:sz w:val="56"/>
          <w:szCs w:val="56"/>
        </w:rPr>
      </w:pPr>
      <w:r>
        <w:br w:type="page"/>
      </w:r>
    </w:p>
    <w:p w:rsidR="00F87F00" w:rsidRPr="00434817" w:rsidRDefault="00F87F00" w:rsidP="00877A61">
      <w:pPr>
        <w:pStyle w:val="Heading1"/>
      </w:pPr>
      <w:bookmarkStart w:id="46" w:name="_Toc367713379"/>
      <w:r w:rsidRPr="00434817">
        <w:lastRenderedPageBreak/>
        <w:t>Data</w:t>
      </w:r>
      <w:r>
        <w:t xml:space="preserve"> and measurement</w:t>
      </w:r>
      <w:bookmarkEnd w:id="46"/>
    </w:p>
    <w:p w:rsidR="00F87F00" w:rsidRDefault="008A26EA" w:rsidP="00502974">
      <w:pPr>
        <w:pStyle w:val="Text"/>
      </w:pPr>
      <w:r>
        <w:t>This paper utilis</w:t>
      </w:r>
      <w:r w:rsidR="00F87F00" w:rsidRPr="00E16A91">
        <w:t xml:space="preserve">es data from </w:t>
      </w:r>
      <w:r>
        <w:t xml:space="preserve">the </w:t>
      </w:r>
      <w:r w:rsidR="00F87F00" w:rsidRPr="00E16A91">
        <w:t>upper secondary school s</w:t>
      </w:r>
      <w:r w:rsidR="008421C5">
        <w:t xml:space="preserve">tudents who participated in </w:t>
      </w:r>
      <w:r w:rsidR="00F87F00">
        <w:t xml:space="preserve">LSAY and who were between </w:t>
      </w:r>
      <w:r w:rsidR="00F87F00" w:rsidRPr="00E16A91">
        <w:t xml:space="preserve">15 </w:t>
      </w:r>
      <w:r w:rsidR="00F87F00">
        <w:t xml:space="preserve">and 16 </w:t>
      </w:r>
      <w:r w:rsidR="00A366F2">
        <w:t>years of age in 2009 —</w:t>
      </w:r>
      <w:r w:rsidR="00F87F00" w:rsidRPr="00E16A91">
        <w:t xml:space="preserve"> LSAY09</w:t>
      </w:r>
      <w:r w:rsidR="00A366F2">
        <w:t>. T</w:t>
      </w:r>
      <w:r w:rsidR="00F87F00" w:rsidRPr="00E16A91">
        <w:t xml:space="preserve">he </w:t>
      </w:r>
      <w:r w:rsidR="00F87F00">
        <w:t xml:space="preserve">2009 </w:t>
      </w:r>
      <w:r w:rsidR="00F87F00" w:rsidRPr="00E16A91">
        <w:t>Program for Intern</w:t>
      </w:r>
      <w:r w:rsidR="00690DD2">
        <w:t xml:space="preserve">ational Student Assessment </w:t>
      </w:r>
      <w:r w:rsidR="00F87F00">
        <w:t xml:space="preserve">(PISA) </w:t>
      </w:r>
      <w:r w:rsidR="00A366F2">
        <w:t>constitutes</w:t>
      </w:r>
      <w:r w:rsidR="00F87F00" w:rsidRPr="00E16A91">
        <w:t xml:space="preserve"> </w:t>
      </w:r>
      <w:r w:rsidR="00F87F00">
        <w:t>the first wave</w:t>
      </w:r>
      <w:r w:rsidR="00A366F2">
        <w:t xml:space="preserve"> of LSAY09</w:t>
      </w:r>
      <w:r w:rsidR="00F87F00">
        <w:t xml:space="preserve">. It was </w:t>
      </w:r>
      <w:r w:rsidR="00F87F00" w:rsidRPr="00E16A91">
        <w:t xml:space="preserve">conducted in </w:t>
      </w:r>
      <w:r w:rsidR="00F87F00">
        <w:t xml:space="preserve">Australia on </w:t>
      </w:r>
      <w:r w:rsidR="00694B16">
        <w:t xml:space="preserve">a </w:t>
      </w:r>
      <w:r w:rsidR="00F87F00">
        <w:t>two-stage s</w:t>
      </w:r>
      <w:r w:rsidR="00694B16">
        <w:t>tratified representative sample</w:t>
      </w:r>
      <w:r w:rsidR="00F87F00" w:rsidRPr="00E16A91">
        <w:t xml:space="preserve"> of </w:t>
      </w:r>
      <w:r w:rsidR="00F87F00">
        <w:t>students</w:t>
      </w:r>
      <w:r>
        <w:t>,</w:t>
      </w:r>
      <w:r w:rsidR="00F87F00" w:rsidRPr="00E16A91">
        <w:t xml:space="preserve"> generated by sampling first schools and then students within schools.</w:t>
      </w:r>
      <w:r w:rsidR="00F87F00">
        <w:t xml:space="preserve"> Schools were stratified by sector and state or territory. In 2010 and 2011 respondents of the initial PISA 2009 survey were contacted for an an</w:t>
      </w:r>
      <w:r>
        <w:t>nual follow-</w:t>
      </w:r>
      <w:r w:rsidR="00690DD2">
        <w:t>up interview. Of 14</w:t>
      </w:r>
      <w:r w:rsidR="00520ED4">
        <w:t> </w:t>
      </w:r>
      <w:r w:rsidR="00F87F00">
        <w:t>251 students who par</w:t>
      </w:r>
      <w:r>
        <w:t>ticipated</w:t>
      </w:r>
      <w:r w:rsidR="00F87F00">
        <w:t xml:space="preserve"> in PISA, 8759 participated in LSAY in 2010 and 7626 participated in 2011 </w:t>
      </w:r>
      <w:r w:rsidR="00F87F00">
        <w:rPr>
          <w:noProof/>
        </w:rPr>
        <w:t>(NCVER 2012, p.12)</w:t>
      </w:r>
      <w:r w:rsidR="00F87F00">
        <w:t>.</w:t>
      </w:r>
    </w:p>
    <w:p w:rsidR="00F87F00" w:rsidRPr="00E16A91" w:rsidRDefault="00F87F00" w:rsidP="00877A61">
      <w:pPr>
        <w:pStyle w:val="Heading2"/>
      </w:pPr>
      <w:bookmarkStart w:id="47" w:name="_Toc367713380"/>
      <w:r w:rsidRPr="00E16A91">
        <w:t>What is science engagement in this paper?</w:t>
      </w:r>
      <w:bookmarkEnd w:id="47"/>
    </w:p>
    <w:p w:rsidR="00F87F00" w:rsidRDefault="00F87F00" w:rsidP="00502974">
      <w:pPr>
        <w:pStyle w:val="Text"/>
        <w:keepNext/>
      </w:pPr>
      <w:r w:rsidRPr="00E03134">
        <w:t>This study first considers science subject uptake and then science-oriented vocational plans</w:t>
      </w:r>
      <w:r w:rsidR="008421C5">
        <w:t>,</w:t>
      </w:r>
      <w:r w:rsidRPr="00E03134">
        <w:t xml:space="preserve"> </w:t>
      </w:r>
      <w:r w:rsidR="00A366F2">
        <w:t>since</w:t>
      </w:r>
      <w:r>
        <w:t xml:space="preserve"> recent studies suggest that </w:t>
      </w:r>
      <w:r w:rsidR="008A26EA">
        <w:t xml:space="preserve">a </w:t>
      </w:r>
      <w:r>
        <w:t xml:space="preserve">high level of academic achievement in science does not necessarily lead students to pursue science at tertiary level </w:t>
      </w:r>
      <w:r>
        <w:rPr>
          <w:noProof/>
        </w:rPr>
        <w:t>(Anlezark et al. 2008)</w:t>
      </w:r>
      <w:r w:rsidRPr="00E16A91">
        <w:t xml:space="preserve">. </w:t>
      </w:r>
    </w:p>
    <w:p w:rsidR="00F87F00" w:rsidRDefault="00F87F00" w:rsidP="00502974">
      <w:pPr>
        <w:pStyle w:val="Text"/>
      </w:pPr>
      <w:r>
        <w:t>Althoug</w:t>
      </w:r>
      <w:r w:rsidR="00690DD2">
        <w:t xml:space="preserve">h it has been pointed out that </w:t>
      </w:r>
      <w:r w:rsidR="00C33F0A">
        <w:t>‘</w:t>
      </w:r>
      <w:r>
        <w:t>the combination of subjects studied by students in the senior secondary years says more about a student</w:t>
      </w:r>
      <w:r w:rsidR="00C33F0A">
        <w:t>’</w:t>
      </w:r>
      <w:r>
        <w:t>s educational orientation than does enrolment in</w:t>
      </w:r>
      <w:r w:rsidR="00690DD2">
        <w:t xml:space="preserve"> any given subject</w:t>
      </w:r>
      <w:r w:rsidR="00C33F0A">
        <w:t>’</w:t>
      </w:r>
      <w:r>
        <w:t xml:space="preserve"> </w:t>
      </w:r>
      <w:r>
        <w:rPr>
          <w:noProof/>
        </w:rPr>
        <w:t>(Ainley &amp; Daly 2002, p.250)</w:t>
      </w:r>
      <w:r>
        <w:t xml:space="preserve">, enrolment in a life science course or a physical science course is a good indicator of two different types of </w:t>
      </w:r>
      <w:r w:rsidR="00A366F2">
        <w:t xml:space="preserve">patterns of </w:t>
      </w:r>
      <w:r>
        <w:t xml:space="preserve">science course taking. </w:t>
      </w:r>
      <w:r w:rsidR="00A366F2">
        <w:t>For this reason</w:t>
      </w:r>
      <w:r>
        <w:t xml:space="preserve"> this analysis relies on modelling enrolment in at least one life science subject or one physical science subject in Year 11. Science in this instance excludes mathemat</w:t>
      </w:r>
      <w:r w:rsidR="004E72A3">
        <w:t>ics courses (as per listing in a</w:t>
      </w:r>
      <w:r>
        <w:t xml:space="preserve">ppendix </w:t>
      </w:r>
      <w:r w:rsidR="008421C5">
        <w:t>B</w:t>
      </w:r>
      <w:r>
        <w:t xml:space="preserve">), as they are not only outside the scope of this paper, but </w:t>
      </w:r>
      <w:r w:rsidR="009A0FDB">
        <w:t>they also</w:t>
      </w:r>
      <w:r>
        <w:t xml:space="preserve"> require a different coding scheme</w:t>
      </w:r>
      <w:r w:rsidR="004E72A3">
        <w:t>,</w:t>
      </w:r>
      <w:r>
        <w:t xml:space="preserve"> </w:t>
      </w:r>
      <w:r w:rsidR="004E72A3">
        <w:t xml:space="preserve">one </w:t>
      </w:r>
      <w:r>
        <w:t xml:space="preserve">which distinguishes advanced and applied courses. </w:t>
      </w:r>
      <w:r w:rsidRPr="00E16A91">
        <w:t xml:space="preserve">A </w:t>
      </w:r>
      <w:r>
        <w:t>small number</w:t>
      </w:r>
      <w:r w:rsidRPr="00E16A91">
        <w:t xml:space="preserve"> of science subjects could not be classified into either </w:t>
      </w:r>
      <w:r>
        <w:t xml:space="preserve">physical or life science </w:t>
      </w:r>
      <w:r w:rsidRPr="00E16A91">
        <w:t>categories</w:t>
      </w:r>
      <w:r>
        <w:t xml:space="preserve"> </w:t>
      </w:r>
      <w:r w:rsidRPr="00E16A91">
        <w:t>because of the broad scope of their content</w:t>
      </w:r>
      <w:r>
        <w:t xml:space="preserve"> (</w:t>
      </w:r>
      <w:r w:rsidR="004E72A3">
        <w:t>see a</w:t>
      </w:r>
      <w:r>
        <w:t xml:space="preserve">ppendix </w:t>
      </w:r>
      <w:r w:rsidR="008421C5">
        <w:t>B</w:t>
      </w:r>
      <w:r>
        <w:t xml:space="preserve">) and were </w:t>
      </w:r>
      <w:r w:rsidR="004E72A3">
        <w:t>omitted from</w:t>
      </w:r>
      <w:r>
        <w:t xml:space="preserve"> the analysis. </w:t>
      </w:r>
      <w:r w:rsidRPr="00E16A91">
        <w:t xml:space="preserve">However, this </w:t>
      </w:r>
      <w:r>
        <w:t>omission does</w:t>
      </w:r>
      <w:r w:rsidRPr="00E16A91">
        <w:t xml:space="preserve"> not bias results</w:t>
      </w:r>
      <w:r w:rsidR="004E72A3">
        <w:t>,</w:t>
      </w:r>
      <w:r w:rsidRPr="00E16A91">
        <w:t xml:space="preserve"> </w:t>
      </w:r>
      <w:r>
        <w:t>because the numbers of students enrolled in these subjects were negligible</w:t>
      </w:r>
      <w:r w:rsidRPr="00E16A91">
        <w:t>.</w:t>
      </w:r>
      <w:r>
        <w:t xml:space="preserve"> Students who took a life science subject were coded 1 on the relevant dummy variable and all other students were coded zero. A similar procedure was applied to create a dummy variable </w:t>
      </w:r>
      <w:r w:rsidR="004E72A3">
        <w:t>that</w:t>
      </w:r>
      <w:r>
        <w:t xml:space="preserve"> denotes taking a physical science subject, so all students with information on subject taking were included in the analyses.</w:t>
      </w:r>
      <w:r w:rsidR="009A0FDB">
        <w:t xml:space="preserve"> </w:t>
      </w:r>
      <w:r>
        <w:t>It is important to note that</w:t>
      </w:r>
      <w:r w:rsidRPr="00E16A91">
        <w:t xml:space="preserve"> </w:t>
      </w:r>
      <w:r w:rsidR="00A366F2">
        <w:t xml:space="preserve">the </w:t>
      </w:r>
      <w:r>
        <w:t xml:space="preserve">patterns of science engagement for </w:t>
      </w:r>
      <w:r w:rsidRPr="00E16A91">
        <w:t xml:space="preserve">Year 12 </w:t>
      </w:r>
      <w:r w:rsidR="004E72A3">
        <w:t>in this data</w:t>
      </w:r>
      <w:r>
        <w:t xml:space="preserve">set strongly resemble </w:t>
      </w:r>
      <w:r w:rsidR="00A366F2">
        <w:t xml:space="preserve">those of </w:t>
      </w:r>
      <w:r>
        <w:t>Year 11. As Year 11 data are less affected by attrition</w:t>
      </w:r>
      <w:r w:rsidR="004E72A3">
        <w:t>,</w:t>
      </w:r>
      <w:r w:rsidR="00B82BF3">
        <w:rPr>
          <w:rStyle w:val="FootnoteReference"/>
        </w:rPr>
        <w:footnoteReference w:id="1"/>
      </w:r>
      <w:r>
        <w:t xml:space="preserve"> they are the focus of this analysis. </w:t>
      </w:r>
    </w:p>
    <w:p w:rsidR="00F87F00" w:rsidRDefault="00F87F00" w:rsidP="00502974">
      <w:pPr>
        <w:pStyle w:val="Text"/>
      </w:pPr>
      <w:r>
        <w:t xml:space="preserve">A high level of academic achievement in science does not necessarily lead students to pursue science as a profession; therefore, a </w:t>
      </w:r>
      <w:r w:rsidRPr="00E16A91">
        <w:t>student</w:t>
      </w:r>
      <w:r w:rsidR="00C33F0A">
        <w:t>’</w:t>
      </w:r>
      <w:r>
        <w:t>s</w:t>
      </w:r>
      <w:r w:rsidRPr="00E16A91">
        <w:t xml:space="preserve"> plan to work in science-related occupations</w:t>
      </w:r>
      <w:r>
        <w:t xml:space="preserve"> is another focus of this paper. </w:t>
      </w:r>
      <w:r w:rsidRPr="00E16A91">
        <w:t xml:space="preserve">Students in LSAY09 were asked what occupation they expected to work in </w:t>
      </w:r>
      <w:r>
        <w:t xml:space="preserve">when they reached </w:t>
      </w:r>
      <w:r w:rsidRPr="00E16A91">
        <w:t xml:space="preserve">30 years of age. This is </w:t>
      </w:r>
      <w:r>
        <w:t>the</w:t>
      </w:r>
      <w:r w:rsidRPr="00E16A91">
        <w:t xml:space="preserve"> indicator of a science-related career plan</w:t>
      </w:r>
      <w:r w:rsidR="00A366F2">
        <w:t>,</w:t>
      </w:r>
      <w:r w:rsidRPr="00E16A91">
        <w:t xml:space="preserve"> </w:t>
      </w:r>
      <w:r>
        <w:t>converted</w:t>
      </w:r>
      <w:r w:rsidRPr="00E16A91">
        <w:t xml:space="preserve"> into </w:t>
      </w:r>
      <w:r>
        <w:t xml:space="preserve">two dichotomous </w:t>
      </w:r>
      <w:r w:rsidRPr="00E16A91">
        <w:t>variables</w:t>
      </w:r>
      <w:r w:rsidR="004E72A3">
        <w:t>,</w:t>
      </w:r>
      <w:r w:rsidRPr="00E16A91">
        <w:t xml:space="preserve"> named </w:t>
      </w:r>
      <w:r>
        <w:t xml:space="preserve">a </w:t>
      </w:r>
      <w:r w:rsidR="00C33F0A">
        <w:t>‘</w:t>
      </w:r>
      <w:r w:rsidRPr="00E16A91">
        <w:t xml:space="preserve">plan to work in a </w:t>
      </w:r>
      <w:r>
        <w:t>physical</w:t>
      </w:r>
      <w:r w:rsidRPr="00E16A91">
        <w:t xml:space="preserve"> science occupation</w:t>
      </w:r>
      <w:r w:rsidR="00C33F0A">
        <w:t>’</w:t>
      </w:r>
      <w:r w:rsidRPr="00E16A91">
        <w:t xml:space="preserve"> and </w:t>
      </w:r>
      <w:r>
        <w:t xml:space="preserve">a </w:t>
      </w:r>
      <w:r w:rsidR="00C33F0A">
        <w:t>‘</w:t>
      </w:r>
      <w:r w:rsidRPr="00E16A91">
        <w:t xml:space="preserve">plan to work in a </w:t>
      </w:r>
      <w:r>
        <w:t>life</w:t>
      </w:r>
      <w:r w:rsidRPr="00E16A91">
        <w:t xml:space="preserve"> science occupation</w:t>
      </w:r>
      <w:r w:rsidR="00C33F0A">
        <w:t>’</w:t>
      </w:r>
      <w:r w:rsidR="004E72A3">
        <w:t>,</w:t>
      </w:r>
      <w:r w:rsidRPr="00E16A91">
        <w:t xml:space="preserve"> </w:t>
      </w:r>
      <w:r>
        <w:t>which were created using</w:t>
      </w:r>
      <w:r w:rsidRPr="00E16A91">
        <w:t xml:space="preserve"> the list of occupations </w:t>
      </w:r>
      <w:r>
        <w:t>at the end of</w:t>
      </w:r>
      <w:r w:rsidR="004E72A3">
        <w:t xml:space="preserve"> a</w:t>
      </w:r>
      <w:r w:rsidRPr="00E16A91">
        <w:t>ppendix</w:t>
      </w:r>
      <w:r>
        <w:t xml:space="preserve"> </w:t>
      </w:r>
      <w:r w:rsidR="008421C5">
        <w:t>B</w:t>
      </w:r>
      <w:r w:rsidRPr="00E16A91">
        <w:t xml:space="preserve">. Students who named one of them were coded 1 on the </w:t>
      </w:r>
      <w:r>
        <w:t>relevant variable</w:t>
      </w:r>
      <w:r w:rsidR="004E72A3">
        <w:t>,</w:t>
      </w:r>
      <w:r>
        <w:t xml:space="preserve"> while o</w:t>
      </w:r>
      <w:r w:rsidRPr="00E16A91">
        <w:t xml:space="preserve">thers were coded 0. </w:t>
      </w:r>
      <w:r w:rsidRPr="00E16A91">
        <w:lastRenderedPageBreak/>
        <w:t xml:space="preserve">Missing data on these variables, which </w:t>
      </w:r>
      <w:r>
        <w:t>amount to 32%</w:t>
      </w:r>
      <w:r w:rsidRPr="00E16A91">
        <w:t xml:space="preserve"> in LSAY09, </w:t>
      </w:r>
      <w:r>
        <w:t>have been</w:t>
      </w:r>
      <w:r w:rsidRPr="00E16A91">
        <w:t xml:space="preserve"> imputed usin</w:t>
      </w:r>
      <w:r>
        <w:t xml:space="preserve">g multiple chain imputations </w:t>
      </w:r>
      <w:r>
        <w:rPr>
          <w:noProof/>
        </w:rPr>
        <w:t>(Royston 2004)</w:t>
      </w:r>
      <w:r w:rsidRPr="00E16A91">
        <w:t xml:space="preserve">. </w:t>
      </w:r>
    </w:p>
    <w:p w:rsidR="00F87F00" w:rsidRPr="00E16A91" w:rsidRDefault="00F87F00" w:rsidP="00877A61">
      <w:pPr>
        <w:pStyle w:val="Heading2"/>
      </w:pPr>
      <w:bookmarkStart w:id="48" w:name="_Toc367713381"/>
      <w:r>
        <w:t>PISA 2009 and LSAY09 sampling designs</w:t>
      </w:r>
      <w:bookmarkEnd w:id="48"/>
    </w:p>
    <w:p w:rsidR="00F87F00" w:rsidRDefault="00F87F00" w:rsidP="00502974">
      <w:pPr>
        <w:pStyle w:val="Text"/>
      </w:pPr>
      <w:r>
        <w:t>Since</w:t>
      </w:r>
      <w:r w:rsidRPr="00E16A91">
        <w:t xml:space="preserve"> data were collected from the </w:t>
      </w:r>
      <w:r w:rsidR="004E72A3">
        <w:t>population of 15-year-</w:t>
      </w:r>
      <w:r>
        <w:t>old</w:t>
      </w:r>
      <w:r w:rsidRPr="00E16A91">
        <w:t>s</w:t>
      </w:r>
      <w:r w:rsidR="00A366F2">
        <w:t>,</w:t>
      </w:r>
      <w:r w:rsidRPr="00E16A91">
        <w:t xml:space="preserve"> regardless of their grade level, this paper, although no</w:t>
      </w:r>
      <w:r w:rsidR="00DB74E2">
        <w:t>t longitudinal in nature, utilis</w:t>
      </w:r>
      <w:r w:rsidRPr="00E16A91">
        <w:t>es information collected in different years (known as s</w:t>
      </w:r>
      <w:r w:rsidR="00DB74E2">
        <w:t>urvey waves, as illustrated in f</w:t>
      </w:r>
      <w:r w:rsidRPr="00E16A91">
        <w:t>igure 1). Occupational expect</w:t>
      </w:r>
      <w:r>
        <w:t>ations were measured in Wave 1, while the i</w:t>
      </w:r>
      <w:r w:rsidRPr="00E16A91">
        <w:t>nformation about subject choice</w:t>
      </w:r>
      <w:r>
        <w:t>s</w:t>
      </w:r>
      <w:r w:rsidRPr="00E16A91">
        <w:t xml:space="preserve"> in Year 11 is pooled over three years </w:t>
      </w:r>
      <w:r w:rsidR="00DB74E2">
        <w:t>(f</w:t>
      </w:r>
      <w:r>
        <w:t>igure 1)</w:t>
      </w:r>
      <w:r w:rsidRPr="00E16A91">
        <w:t>.</w:t>
      </w:r>
    </w:p>
    <w:p w:rsidR="00F87F00" w:rsidRDefault="00F87F00" w:rsidP="00520ED4">
      <w:pPr>
        <w:pStyle w:val="Figuretitle"/>
        <w:spacing w:after="120"/>
      </w:pPr>
      <w:bookmarkStart w:id="49" w:name="_Toc335564279"/>
      <w:bookmarkStart w:id="50" w:name="_Toc367713394"/>
      <w:r>
        <w:t>Figure 1</w:t>
      </w:r>
      <w:r>
        <w:tab/>
        <w:t>Data by school year and wave in LSAY09</w:t>
      </w:r>
      <w:bookmarkEnd w:id="49"/>
      <w:bookmarkEnd w:id="50"/>
      <w:r>
        <w:t xml:space="preserve"> </w:t>
      </w:r>
    </w:p>
    <w:tbl>
      <w:tblPr>
        <w:tblStyle w:val="TableGrid"/>
        <w:tblW w:w="6804"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tblPr>
      <w:tblGrid>
        <w:gridCol w:w="1063"/>
        <w:gridCol w:w="1064"/>
        <w:gridCol w:w="141"/>
        <w:gridCol w:w="1063"/>
        <w:gridCol w:w="1064"/>
        <w:gridCol w:w="141"/>
        <w:gridCol w:w="1063"/>
        <w:gridCol w:w="1064"/>
        <w:gridCol w:w="141"/>
      </w:tblGrid>
      <w:tr w:rsidR="006A015A" w:rsidTr="00650BCA">
        <w:tc>
          <w:tcPr>
            <w:tcW w:w="6804" w:type="dxa"/>
            <w:gridSpan w:val="9"/>
            <w:shd w:val="clear" w:color="auto" w:fill="D9D9D9" w:themeFill="background1" w:themeFillShade="D9"/>
          </w:tcPr>
          <w:p w:rsidR="006A015A" w:rsidRPr="003C5BA8" w:rsidRDefault="006A015A" w:rsidP="003C5BA8">
            <w:pPr>
              <w:pStyle w:val="Text"/>
              <w:jc w:val="center"/>
              <w:rPr>
                <w:b/>
                <w:u w:val="single"/>
              </w:rPr>
            </w:pPr>
            <w:r w:rsidRPr="003C5BA8">
              <w:rPr>
                <w:b/>
                <w:sz w:val="20"/>
                <w:u w:val="single"/>
              </w:rPr>
              <w:t>LSAY09 cohort</w:t>
            </w:r>
          </w:p>
        </w:tc>
      </w:tr>
      <w:tr w:rsidR="006A015A" w:rsidRPr="006A015A" w:rsidTr="00650BCA">
        <w:tc>
          <w:tcPr>
            <w:tcW w:w="1063" w:type="dxa"/>
            <w:shd w:val="clear" w:color="auto" w:fill="D9D9D9" w:themeFill="background1" w:themeFillShade="D9"/>
          </w:tcPr>
          <w:p w:rsidR="006A015A" w:rsidRPr="006A015A" w:rsidRDefault="006A015A" w:rsidP="004B4071">
            <w:pPr>
              <w:pStyle w:val="Text"/>
              <w:spacing w:before="120" w:after="20"/>
              <w:ind w:right="0"/>
              <w:jc w:val="center"/>
              <w:rPr>
                <w:sz w:val="20"/>
              </w:rPr>
            </w:pPr>
            <w:r w:rsidRPr="006A015A">
              <w:rPr>
                <w:sz w:val="20"/>
              </w:rPr>
              <w:t>Wave 1</w:t>
            </w:r>
          </w:p>
        </w:tc>
        <w:tc>
          <w:tcPr>
            <w:tcW w:w="1064" w:type="dxa"/>
            <w:shd w:val="clear" w:color="auto" w:fill="D9D9D9" w:themeFill="background1" w:themeFillShade="D9"/>
          </w:tcPr>
          <w:p w:rsidR="006A015A" w:rsidRPr="006A015A" w:rsidRDefault="006A015A" w:rsidP="004B4071">
            <w:pPr>
              <w:pStyle w:val="Text"/>
              <w:spacing w:before="120" w:after="20"/>
              <w:ind w:right="0"/>
              <w:jc w:val="center"/>
              <w:rPr>
                <w:sz w:val="20"/>
              </w:rPr>
            </w:pPr>
            <w:r w:rsidRPr="006A015A">
              <w:rPr>
                <w:sz w:val="20"/>
              </w:rPr>
              <w:t>2009</w:t>
            </w:r>
          </w:p>
        </w:tc>
        <w:tc>
          <w:tcPr>
            <w:tcW w:w="141" w:type="dxa"/>
            <w:shd w:val="clear" w:color="auto" w:fill="D9D9D9" w:themeFill="background1" w:themeFillShade="D9"/>
          </w:tcPr>
          <w:p w:rsidR="006A015A" w:rsidRPr="006A015A" w:rsidRDefault="006A015A" w:rsidP="004B4071">
            <w:pPr>
              <w:pStyle w:val="Text"/>
              <w:spacing w:before="120" w:after="20"/>
              <w:ind w:right="0"/>
              <w:jc w:val="center"/>
              <w:rPr>
                <w:sz w:val="20"/>
              </w:rPr>
            </w:pPr>
          </w:p>
        </w:tc>
        <w:tc>
          <w:tcPr>
            <w:tcW w:w="1063" w:type="dxa"/>
            <w:shd w:val="clear" w:color="auto" w:fill="D9D9D9" w:themeFill="background1" w:themeFillShade="D9"/>
          </w:tcPr>
          <w:p w:rsidR="006A015A" w:rsidRPr="006A015A" w:rsidRDefault="006A015A" w:rsidP="004B4071">
            <w:pPr>
              <w:pStyle w:val="Text"/>
              <w:spacing w:before="120" w:after="20"/>
              <w:ind w:right="0"/>
              <w:jc w:val="center"/>
              <w:rPr>
                <w:sz w:val="20"/>
              </w:rPr>
            </w:pPr>
            <w:r w:rsidRPr="006A015A">
              <w:rPr>
                <w:sz w:val="20"/>
              </w:rPr>
              <w:t>Wave 2</w:t>
            </w:r>
          </w:p>
        </w:tc>
        <w:tc>
          <w:tcPr>
            <w:tcW w:w="1064" w:type="dxa"/>
            <w:shd w:val="clear" w:color="auto" w:fill="D9D9D9" w:themeFill="background1" w:themeFillShade="D9"/>
          </w:tcPr>
          <w:p w:rsidR="006A015A" w:rsidRPr="006A015A" w:rsidRDefault="006A015A" w:rsidP="004B4071">
            <w:pPr>
              <w:pStyle w:val="Text"/>
              <w:spacing w:before="120" w:after="20"/>
              <w:ind w:right="0"/>
              <w:jc w:val="center"/>
              <w:rPr>
                <w:sz w:val="20"/>
              </w:rPr>
            </w:pPr>
            <w:r w:rsidRPr="006A015A">
              <w:rPr>
                <w:sz w:val="20"/>
              </w:rPr>
              <w:t>2010</w:t>
            </w:r>
          </w:p>
        </w:tc>
        <w:tc>
          <w:tcPr>
            <w:tcW w:w="141" w:type="dxa"/>
            <w:shd w:val="clear" w:color="auto" w:fill="D9D9D9" w:themeFill="background1" w:themeFillShade="D9"/>
          </w:tcPr>
          <w:p w:rsidR="006A015A" w:rsidRPr="006A015A" w:rsidRDefault="006A015A" w:rsidP="004B4071">
            <w:pPr>
              <w:pStyle w:val="Text"/>
              <w:spacing w:before="120" w:after="20"/>
              <w:ind w:right="0"/>
              <w:jc w:val="center"/>
              <w:rPr>
                <w:sz w:val="20"/>
              </w:rPr>
            </w:pPr>
          </w:p>
        </w:tc>
        <w:tc>
          <w:tcPr>
            <w:tcW w:w="1063" w:type="dxa"/>
            <w:shd w:val="clear" w:color="auto" w:fill="D9D9D9" w:themeFill="background1" w:themeFillShade="D9"/>
          </w:tcPr>
          <w:p w:rsidR="006A015A" w:rsidRPr="006A015A" w:rsidRDefault="006A015A" w:rsidP="004B4071">
            <w:pPr>
              <w:pStyle w:val="Text"/>
              <w:spacing w:before="120" w:after="20"/>
              <w:ind w:right="0"/>
              <w:jc w:val="center"/>
              <w:rPr>
                <w:sz w:val="20"/>
              </w:rPr>
            </w:pPr>
            <w:r w:rsidRPr="006A015A">
              <w:rPr>
                <w:sz w:val="20"/>
              </w:rPr>
              <w:t>Wave 3</w:t>
            </w:r>
          </w:p>
        </w:tc>
        <w:tc>
          <w:tcPr>
            <w:tcW w:w="1064" w:type="dxa"/>
            <w:shd w:val="clear" w:color="auto" w:fill="D9D9D9" w:themeFill="background1" w:themeFillShade="D9"/>
          </w:tcPr>
          <w:p w:rsidR="006A015A" w:rsidRPr="006A015A" w:rsidRDefault="006A015A" w:rsidP="004B4071">
            <w:pPr>
              <w:pStyle w:val="Text"/>
              <w:spacing w:before="120" w:after="20"/>
              <w:ind w:right="0"/>
              <w:jc w:val="center"/>
              <w:rPr>
                <w:sz w:val="20"/>
              </w:rPr>
            </w:pPr>
            <w:r w:rsidRPr="006A015A">
              <w:rPr>
                <w:sz w:val="20"/>
              </w:rPr>
              <w:t>2011</w:t>
            </w:r>
          </w:p>
        </w:tc>
        <w:tc>
          <w:tcPr>
            <w:tcW w:w="141" w:type="dxa"/>
            <w:shd w:val="clear" w:color="auto" w:fill="D9D9D9" w:themeFill="background1" w:themeFillShade="D9"/>
          </w:tcPr>
          <w:p w:rsidR="006A015A" w:rsidRPr="006A015A" w:rsidRDefault="006A015A" w:rsidP="004B4071">
            <w:pPr>
              <w:pStyle w:val="Text"/>
              <w:spacing w:before="120" w:after="20"/>
              <w:ind w:right="0"/>
              <w:jc w:val="center"/>
              <w:rPr>
                <w:sz w:val="20"/>
              </w:rPr>
            </w:pPr>
          </w:p>
        </w:tc>
      </w:tr>
      <w:tr w:rsidR="006A015A" w:rsidRPr="006A015A" w:rsidTr="00650BCA">
        <w:tc>
          <w:tcPr>
            <w:tcW w:w="1063" w:type="dxa"/>
          </w:tcPr>
          <w:p w:rsidR="006A015A" w:rsidRPr="006A015A" w:rsidRDefault="006A015A" w:rsidP="004B4071">
            <w:pPr>
              <w:pStyle w:val="Text"/>
              <w:spacing w:before="20" w:line="260" w:lineRule="exact"/>
              <w:ind w:right="0"/>
              <w:jc w:val="center"/>
              <w:rPr>
                <w:b/>
                <w:sz w:val="20"/>
              </w:rPr>
            </w:pPr>
            <w:r w:rsidRPr="006A015A">
              <w:rPr>
                <w:b/>
                <w:sz w:val="20"/>
              </w:rPr>
              <w:t>Year</w:t>
            </w:r>
          </w:p>
        </w:tc>
        <w:tc>
          <w:tcPr>
            <w:tcW w:w="1064" w:type="dxa"/>
          </w:tcPr>
          <w:p w:rsidR="006A015A" w:rsidRPr="006A015A" w:rsidRDefault="006A015A" w:rsidP="004B4071">
            <w:pPr>
              <w:pStyle w:val="Text"/>
              <w:spacing w:before="20" w:line="260" w:lineRule="exact"/>
              <w:ind w:right="0"/>
              <w:jc w:val="center"/>
              <w:rPr>
                <w:b/>
                <w:sz w:val="20"/>
              </w:rPr>
            </w:pPr>
            <w:r>
              <w:rPr>
                <w:b/>
                <w:sz w:val="20"/>
              </w:rPr>
              <w:t>n</w:t>
            </w:r>
          </w:p>
        </w:tc>
        <w:tc>
          <w:tcPr>
            <w:tcW w:w="141" w:type="dxa"/>
            <w:shd w:val="clear" w:color="auto" w:fill="BFBFBF" w:themeFill="background1" w:themeFillShade="BF"/>
          </w:tcPr>
          <w:p w:rsidR="006A015A" w:rsidRPr="006A015A" w:rsidRDefault="006A015A" w:rsidP="004B4071">
            <w:pPr>
              <w:pStyle w:val="Text"/>
              <w:spacing w:before="20" w:line="260" w:lineRule="exact"/>
              <w:ind w:right="0"/>
              <w:jc w:val="center"/>
              <w:rPr>
                <w:b/>
                <w:sz w:val="20"/>
              </w:rPr>
            </w:pPr>
          </w:p>
        </w:tc>
        <w:tc>
          <w:tcPr>
            <w:tcW w:w="1063" w:type="dxa"/>
          </w:tcPr>
          <w:p w:rsidR="006A015A" w:rsidRPr="006A015A" w:rsidRDefault="006A015A" w:rsidP="004B4071">
            <w:pPr>
              <w:pStyle w:val="Text"/>
              <w:spacing w:before="20" w:line="260" w:lineRule="exact"/>
              <w:ind w:right="0"/>
              <w:jc w:val="center"/>
              <w:rPr>
                <w:b/>
                <w:sz w:val="20"/>
              </w:rPr>
            </w:pPr>
            <w:r w:rsidRPr="006A015A">
              <w:rPr>
                <w:b/>
                <w:sz w:val="20"/>
              </w:rPr>
              <w:t>Year</w:t>
            </w:r>
          </w:p>
        </w:tc>
        <w:tc>
          <w:tcPr>
            <w:tcW w:w="1064" w:type="dxa"/>
          </w:tcPr>
          <w:p w:rsidR="006A015A" w:rsidRPr="006A015A" w:rsidRDefault="006A015A" w:rsidP="004B4071">
            <w:pPr>
              <w:pStyle w:val="Text"/>
              <w:spacing w:before="20" w:line="260" w:lineRule="exact"/>
              <w:ind w:right="0"/>
              <w:jc w:val="center"/>
              <w:rPr>
                <w:b/>
                <w:sz w:val="20"/>
              </w:rPr>
            </w:pPr>
            <w:r>
              <w:rPr>
                <w:b/>
                <w:sz w:val="20"/>
              </w:rPr>
              <w:t>n</w:t>
            </w:r>
          </w:p>
        </w:tc>
        <w:tc>
          <w:tcPr>
            <w:tcW w:w="141" w:type="dxa"/>
            <w:shd w:val="clear" w:color="auto" w:fill="BFBFBF" w:themeFill="background1" w:themeFillShade="BF"/>
          </w:tcPr>
          <w:p w:rsidR="006A015A" w:rsidRPr="006A015A" w:rsidRDefault="006A015A" w:rsidP="004B4071">
            <w:pPr>
              <w:pStyle w:val="Text"/>
              <w:spacing w:before="20" w:line="260" w:lineRule="exact"/>
              <w:ind w:right="0"/>
              <w:jc w:val="center"/>
              <w:rPr>
                <w:b/>
                <w:sz w:val="20"/>
              </w:rPr>
            </w:pPr>
          </w:p>
        </w:tc>
        <w:tc>
          <w:tcPr>
            <w:tcW w:w="1063" w:type="dxa"/>
          </w:tcPr>
          <w:p w:rsidR="006A015A" w:rsidRPr="006A015A" w:rsidRDefault="006A015A" w:rsidP="004B4071">
            <w:pPr>
              <w:pStyle w:val="Text"/>
              <w:spacing w:before="20" w:line="260" w:lineRule="exact"/>
              <w:ind w:right="0"/>
              <w:jc w:val="center"/>
              <w:rPr>
                <w:b/>
                <w:sz w:val="20"/>
              </w:rPr>
            </w:pPr>
            <w:r w:rsidRPr="006A015A">
              <w:rPr>
                <w:b/>
                <w:sz w:val="20"/>
              </w:rPr>
              <w:t>Year</w:t>
            </w:r>
          </w:p>
        </w:tc>
        <w:tc>
          <w:tcPr>
            <w:tcW w:w="1064" w:type="dxa"/>
          </w:tcPr>
          <w:p w:rsidR="006A015A" w:rsidRPr="006A015A" w:rsidRDefault="006A015A" w:rsidP="004B4071">
            <w:pPr>
              <w:pStyle w:val="Text"/>
              <w:spacing w:before="20" w:line="260" w:lineRule="exact"/>
              <w:ind w:right="0"/>
              <w:jc w:val="center"/>
              <w:rPr>
                <w:b/>
                <w:sz w:val="20"/>
              </w:rPr>
            </w:pPr>
            <w:r w:rsidRPr="006A015A">
              <w:rPr>
                <w:b/>
                <w:sz w:val="20"/>
              </w:rPr>
              <w:t>n</w:t>
            </w:r>
          </w:p>
        </w:tc>
        <w:tc>
          <w:tcPr>
            <w:tcW w:w="141" w:type="dxa"/>
            <w:shd w:val="clear" w:color="auto" w:fill="BFBFBF" w:themeFill="background1" w:themeFillShade="BF"/>
          </w:tcPr>
          <w:p w:rsidR="006A015A" w:rsidRPr="006A015A" w:rsidRDefault="006A015A" w:rsidP="004B4071">
            <w:pPr>
              <w:pStyle w:val="Text"/>
              <w:spacing w:before="20" w:line="260" w:lineRule="exact"/>
              <w:ind w:right="0"/>
              <w:jc w:val="center"/>
              <w:rPr>
                <w:b/>
                <w:sz w:val="20"/>
              </w:rPr>
            </w:pPr>
          </w:p>
        </w:tc>
      </w:tr>
      <w:tr w:rsidR="006A015A" w:rsidRPr="00650BCA" w:rsidTr="00650BCA">
        <w:tc>
          <w:tcPr>
            <w:tcW w:w="1063" w:type="dxa"/>
          </w:tcPr>
          <w:p w:rsidR="006A015A" w:rsidRPr="00650BCA" w:rsidRDefault="006A015A" w:rsidP="00650BCA">
            <w:pPr>
              <w:pStyle w:val="Text"/>
              <w:spacing w:before="0" w:line="260" w:lineRule="exact"/>
              <w:ind w:right="0"/>
              <w:rPr>
                <w:sz w:val="17"/>
                <w:szCs w:val="17"/>
              </w:rPr>
            </w:pPr>
          </w:p>
        </w:tc>
        <w:tc>
          <w:tcPr>
            <w:tcW w:w="1064" w:type="dxa"/>
          </w:tcPr>
          <w:p w:rsidR="006A015A" w:rsidRPr="00650BCA" w:rsidRDefault="006A015A" w:rsidP="00650BCA">
            <w:pPr>
              <w:pStyle w:val="Text"/>
              <w:spacing w:before="0" w:line="260" w:lineRule="exact"/>
              <w:ind w:right="0"/>
              <w:jc w:val="right"/>
              <w:rPr>
                <w:sz w:val="17"/>
                <w:szCs w:val="17"/>
              </w:rPr>
            </w:pPr>
          </w:p>
        </w:tc>
        <w:tc>
          <w:tcPr>
            <w:tcW w:w="141" w:type="dxa"/>
            <w:shd w:val="clear" w:color="auto" w:fill="BFBFBF" w:themeFill="background1" w:themeFillShade="BF"/>
          </w:tcPr>
          <w:p w:rsidR="006A015A" w:rsidRPr="00650BCA" w:rsidRDefault="006A015A" w:rsidP="00650BCA">
            <w:pPr>
              <w:pStyle w:val="Text"/>
              <w:spacing w:before="0" w:line="260" w:lineRule="exact"/>
              <w:ind w:right="0"/>
              <w:rPr>
                <w:sz w:val="17"/>
                <w:szCs w:val="17"/>
              </w:rPr>
            </w:pPr>
          </w:p>
        </w:tc>
        <w:tc>
          <w:tcPr>
            <w:tcW w:w="1063" w:type="dxa"/>
          </w:tcPr>
          <w:p w:rsidR="006A015A" w:rsidRPr="00650BCA" w:rsidRDefault="006A015A" w:rsidP="00650BCA">
            <w:pPr>
              <w:pStyle w:val="Text"/>
              <w:spacing w:before="0" w:line="260" w:lineRule="exact"/>
              <w:ind w:right="0"/>
              <w:rPr>
                <w:sz w:val="17"/>
                <w:szCs w:val="17"/>
              </w:rPr>
            </w:pPr>
          </w:p>
        </w:tc>
        <w:tc>
          <w:tcPr>
            <w:tcW w:w="1064" w:type="dxa"/>
          </w:tcPr>
          <w:p w:rsidR="006A015A" w:rsidRPr="00650BCA" w:rsidRDefault="006A015A" w:rsidP="00650BCA">
            <w:pPr>
              <w:pStyle w:val="Text"/>
              <w:spacing w:before="0" w:line="260" w:lineRule="exact"/>
              <w:ind w:right="0"/>
              <w:jc w:val="right"/>
              <w:rPr>
                <w:sz w:val="17"/>
                <w:szCs w:val="17"/>
              </w:rPr>
            </w:pPr>
          </w:p>
        </w:tc>
        <w:tc>
          <w:tcPr>
            <w:tcW w:w="141" w:type="dxa"/>
            <w:shd w:val="clear" w:color="auto" w:fill="BFBFBF" w:themeFill="background1" w:themeFillShade="BF"/>
          </w:tcPr>
          <w:p w:rsidR="006A015A" w:rsidRPr="00650BCA" w:rsidRDefault="006A015A" w:rsidP="00650BCA">
            <w:pPr>
              <w:pStyle w:val="Text"/>
              <w:spacing w:before="0" w:line="260" w:lineRule="exact"/>
              <w:ind w:right="0"/>
              <w:rPr>
                <w:sz w:val="17"/>
                <w:szCs w:val="17"/>
              </w:rPr>
            </w:pPr>
          </w:p>
        </w:tc>
        <w:tc>
          <w:tcPr>
            <w:tcW w:w="1063" w:type="dxa"/>
          </w:tcPr>
          <w:p w:rsidR="006A015A" w:rsidRPr="00650BCA" w:rsidRDefault="00650BCA" w:rsidP="00650BCA">
            <w:pPr>
              <w:pStyle w:val="Text"/>
              <w:spacing w:before="0" w:line="260" w:lineRule="exact"/>
              <w:ind w:right="0"/>
              <w:jc w:val="center"/>
              <w:rPr>
                <w:sz w:val="17"/>
                <w:szCs w:val="17"/>
              </w:rPr>
            </w:pPr>
            <w:r w:rsidRPr="00650BCA">
              <w:rPr>
                <w:sz w:val="17"/>
                <w:szCs w:val="17"/>
              </w:rPr>
              <w:t>10</w:t>
            </w:r>
          </w:p>
        </w:tc>
        <w:tc>
          <w:tcPr>
            <w:tcW w:w="1064" w:type="dxa"/>
          </w:tcPr>
          <w:p w:rsidR="006A015A" w:rsidRPr="00650BCA" w:rsidRDefault="00650BCA" w:rsidP="00650BCA">
            <w:pPr>
              <w:pStyle w:val="Text"/>
              <w:spacing w:before="0" w:line="260" w:lineRule="exact"/>
              <w:ind w:right="0"/>
              <w:jc w:val="right"/>
              <w:rPr>
                <w:sz w:val="17"/>
                <w:szCs w:val="17"/>
              </w:rPr>
            </w:pPr>
            <w:r w:rsidRPr="00650BCA">
              <w:rPr>
                <w:sz w:val="17"/>
                <w:szCs w:val="17"/>
              </w:rPr>
              <w:t>16</w:t>
            </w:r>
          </w:p>
        </w:tc>
        <w:tc>
          <w:tcPr>
            <w:tcW w:w="141" w:type="dxa"/>
            <w:shd w:val="clear" w:color="auto" w:fill="BFBFBF" w:themeFill="background1" w:themeFillShade="BF"/>
          </w:tcPr>
          <w:p w:rsidR="006A015A" w:rsidRPr="00650BCA" w:rsidRDefault="006A015A" w:rsidP="00650BCA">
            <w:pPr>
              <w:pStyle w:val="Text"/>
              <w:spacing w:before="0" w:line="260" w:lineRule="exact"/>
              <w:ind w:right="0"/>
              <w:rPr>
                <w:sz w:val="17"/>
                <w:szCs w:val="17"/>
              </w:rPr>
            </w:pPr>
          </w:p>
        </w:tc>
      </w:tr>
      <w:tr w:rsidR="006A015A" w:rsidRPr="00650BCA" w:rsidTr="004B4071">
        <w:tc>
          <w:tcPr>
            <w:tcW w:w="1063" w:type="dxa"/>
          </w:tcPr>
          <w:p w:rsidR="006A015A" w:rsidRPr="00650BCA" w:rsidRDefault="00650BCA" w:rsidP="00650BCA">
            <w:pPr>
              <w:pStyle w:val="Text"/>
              <w:spacing w:before="0" w:line="260" w:lineRule="exact"/>
              <w:ind w:right="0"/>
              <w:jc w:val="center"/>
              <w:rPr>
                <w:sz w:val="17"/>
                <w:szCs w:val="17"/>
              </w:rPr>
            </w:pPr>
            <w:r w:rsidRPr="00650BCA">
              <w:rPr>
                <w:sz w:val="17"/>
                <w:szCs w:val="17"/>
              </w:rPr>
              <w:t>9 or below</w:t>
            </w:r>
          </w:p>
        </w:tc>
        <w:tc>
          <w:tcPr>
            <w:tcW w:w="1064" w:type="dxa"/>
          </w:tcPr>
          <w:p w:rsidR="006A015A" w:rsidRPr="00650BCA" w:rsidRDefault="00650BCA" w:rsidP="00650BCA">
            <w:pPr>
              <w:pStyle w:val="Text"/>
              <w:spacing w:before="0" w:line="260" w:lineRule="exact"/>
              <w:ind w:right="0"/>
              <w:jc w:val="right"/>
              <w:rPr>
                <w:sz w:val="17"/>
                <w:szCs w:val="17"/>
              </w:rPr>
            </w:pPr>
            <w:r w:rsidRPr="00650BCA">
              <w:rPr>
                <w:sz w:val="17"/>
                <w:szCs w:val="17"/>
              </w:rPr>
              <w:t>1 502</w:t>
            </w:r>
          </w:p>
        </w:tc>
        <w:tc>
          <w:tcPr>
            <w:tcW w:w="141" w:type="dxa"/>
            <w:shd w:val="clear" w:color="auto" w:fill="BFBFBF" w:themeFill="background1" w:themeFillShade="BF"/>
          </w:tcPr>
          <w:p w:rsidR="006A015A" w:rsidRPr="00650BCA" w:rsidRDefault="006A015A" w:rsidP="00650BCA">
            <w:pPr>
              <w:pStyle w:val="Text"/>
              <w:spacing w:before="0" w:line="260" w:lineRule="exact"/>
              <w:ind w:right="0"/>
              <w:rPr>
                <w:sz w:val="17"/>
                <w:szCs w:val="17"/>
              </w:rPr>
            </w:pPr>
          </w:p>
        </w:tc>
        <w:tc>
          <w:tcPr>
            <w:tcW w:w="1063" w:type="dxa"/>
          </w:tcPr>
          <w:p w:rsidR="006A015A" w:rsidRPr="00650BCA" w:rsidRDefault="00650BCA" w:rsidP="00650BCA">
            <w:pPr>
              <w:pStyle w:val="Text"/>
              <w:spacing w:before="0" w:line="260" w:lineRule="exact"/>
              <w:ind w:right="0"/>
              <w:jc w:val="center"/>
              <w:rPr>
                <w:sz w:val="17"/>
                <w:szCs w:val="17"/>
              </w:rPr>
            </w:pPr>
            <w:r w:rsidRPr="00650BCA">
              <w:rPr>
                <w:sz w:val="17"/>
                <w:szCs w:val="17"/>
              </w:rPr>
              <w:t>10 or below</w:t>
            </w:r>
          </w:p>
        </w:tc>
        <w:tc>
          <w:tcPr>
            <w:tcW w:w="1064" w:type="dxa"/>
          </w:tcPr>
          <w:p w:rsidR="006A015A" w:rsidRPr="00650BCA" w:rsidRDefault="00650BCA" w:rsidP="00650BCA">
            <w:pPr>
              <w:pStyle w:val="Text"/>
              <w:spacing w:before="0" w:line="260" w:lineRule="exact"/>
              <w:ind w:right="0"/>
              <w:jc w:val="right"/>
              <w:rPr>
                <w:sz w:val="17"/>
                <w:szCs w:val="17"/>
              </w:rPr>
            </w:pPr>
            <w:r w:rsidRPr="00650BCA">
              <w:rPr>
                <w:sz w:val="17"/>
                <w:szCs w:val="17"/>
              </w:rPr>
              <w:t>892</w:t>
            </w:r>
          </w:p>
        </w:tc>
        <w:tc>
          <w:tcPr>
            <w:tcW w:w="141" w:type="dxa"/>
            <w:shd w:val="clear" w:color="auto" w:fill="BFBFBF" w:themeFill="background1" w:themeFillShade="BF"/>
          </w:tcPr>
          <w:p w:rsidR="006A015A" w:rsidRPr="00650BCA" w:rsidRDefault="006A015A" w:rsidP="00650BCA">
            <w:pPr>
              <w:pStyle w:val="Text"/>
              <w:spacing w:before="0" w:line="260" w:lineRule="exact"/>
              <w:ind w:right="0"/>
              <w:rPr>
                <w:sz w:val="17"/>
                <w:szCs w:val="17"/>
              </w:rPr>
            </w:pPr>
          </w:p>
        </w:tc>
        <w:tc>
          <w:tcPr>
            <w:tcW w:w="1063" w:type="dxa"/>
            <w:shd w:val="clear" w:color="auto" w:fill="B40028"/>
          </w:tcPr>
          <w:p w:rsidR="006A015A" w:rsidRPr="00650BCA" w:rsidRDefault="00650BCA" w:rsidP="00650BCA">
            <w:pPr>
              <w:pStyle w:val="Text"/>
              <w:spacing w:before="0" w:line="260" w:lineRule="exact"/>
              <w:ind w:right="0"/>
              <w:jc w:val="center"/>
              <w:rPr>
                <w:sz w:val="17"/>
                <w:szCs w:val="17"/>
              </w:rPr>
            </w:pPr>
            <w:r w:rsidRPr="00650BCA">
              <w:rPr>
                <w:sz w:val="17"/>
                <w:szCs w:val="17"/>
              </w:rPr>
              <w:t>11</w:t>
            </w:r>
          </w:p>
        </w:tc>
        <w:tc>
          <w:tcPr>
            <w:tcW w:w="1064" w:type="dxa"/>
            <w:shd w:val="clear" w:color="auto" w:fill="B40028"/>
          </w:tcPr>
          <w:p w:rsidR="006A015A" w:rsidRPr="00650BCA" w:rsidRDefault="00650BCA" w:rsidP="00650BCA">
            <w:pPr>
              <w:pStyle w:val="Text"/>
              <w:spacing w:before="0" w:line="260" w:lineRule="exact"/>
              <w:ind w:right="0"/>
              <w:jc w:val="right"/>
              <w:rPr>
                <w:sz w:val="17"/>
                <w:szCs w:val="17"/>
              </w:rPr>
            </w:pPr>
            <w:r w:rsidRPr="00650BCA">
              <w:rPr>
                <w:sz w:val="17"/>
                <w:szCs w:val="17"/>
              </w:rPr>
              <w:t>694</w:t>
            </w:r>
          </w:p>
        </w:tc>
        <w:tc>
          <w:tcPr>
            <w:tcW w:w="141" w:type="dxa"/>
            <w:shd w:val="clear" w:color="auto" w:fill="BFBFBF" w:themeFill="background1" w:themeFillShade="BF"/>
          </w:tcPr>
          <w:p w:rsidR="006A015A" w:rsidRPr="00650BCA" w:rsidRDefault="006A015A" w:rsidP="00650BCA">
            <w:pPr>
              <w:pStyle w:val="Text"/>
              <w:spacing w:before="0" w:line="260" w:lineRule="exact"/>
              <w:ind w:right="0"/>
              <w:rPr>
                <w:sz w:val="17"/>
                <w:szCs w:val="17"/>
              </w:rPr>
            </w:pPr>
          </w:p>
        </w:tc>
      </w:tr>
      <w:tr w:rsidR="006A015A" w:rsidRPr="00650BCA" w:rsidTr="004B4071">
        <w:tc>
          <w:tcPr>
            <w:tcW w:w="1063" w:type="dxa"/>
          </w:tcPr>
          <w:p w:rsidR="006A015A" w:rsidRPr="00650BCA" w:rsidRDefault="00650BCA" w:rsidP="00650BCA">
            <w:pPr>
              <w:pStyle w:val="Text"/>
              <w:spacing w:before="0" w:line="260" w:lineRule="exact"/>
              <w:ind w:right="0"/>
              <w:jc w:val="center"/>
              <w:rPr>
                <w:sz w:val="17"/>
                <w:szCs w:val="17"/>
              </w:rPr>
            </w:pPr>
            <w:r w:rsidRPr="00650BCA">
              <w:rPr>
                <w:sz w:val="17"/>
                <w:szCs w:val="17"/>
              </w:rPr>
              <w:t>10</w:t>
            </w:r>
          </w:p>
        </w:tc>
        <w:tc>
          <w:tcPr>
            <w:tcW w:w="1064" w:type="dxa"/>
          </w:tcPr>
          <w:p w:rsidR="006A015A" w:rsidRPr="00650BCA" w:rsidRDefault="00650BCA" w:rsidP="00650BCA">
            <w:pPr>
              <w:pStyle w:val="Text"/>
              <w:spacing w:before="0" w:line="260" w:lineRule="exact"/>
              <w:ind w:right="0"/>
              <w:jc w:val="right"/>
              <w:rPr>
                <w:sz w:val="17"/>
                <w:szCs w:val="17"/>
              </w:rPr>
            </w:pPr>
            <w:r>
              <w:rPr>
                <w:sz w:val="17"/>
                <w:szCs w:val="17"/>
              </w:rPr>
              <w:t>10 093</w:t>
            </w:r>
          </w:p>
        </w:tc>
        <w:tc>
          <w:tcPr>
            <w:tcW w:w="141" w:type="dxa"/>
            <w:shd w:val="clear" w:color="auto" w:fill="BFBFBF" w:themeFill="background1" w:themeFillShade="BF"/>
          </w:tcPr>
          <w:p w:rsidR="006A015A" w:rsidRPr="00650BCA" w:rsidRDefault="006A015A" w:rsidP="00650BCA">
            <w:pPr>
              <w:pStyle w:val="Text"/>
              <w:spacing w:before="0" w:line="260" w:lineRule="exact"/>
              <w:ind w:right="0"/>
              <w:rPr>
                <w:sz w:val="17"/>
                <w:szCs w:val="17"/>
              </w:rPr>
            </w:pPr>
          </w:p>
        </w:tc>
        <w:tc>
          <w:tcPr>
            <w:tcW w:w="1063" w:type="dxa"/>
            <w:shd w:val="clear" w:color="auto" w:fill="B40028"/>
          </w:tcPr>
          <w:p w:rsidR="006A015A" w:rsidRPr="00650BCA" w:rsidRDefault="00650BCA" w:rsidP="00650BCA">
            <w:pPr>
              <w:pStyle w:val="Text"/>
              <w:spacing w:before="0" w:line="260" w:lineRule="exact"/>
              <w:ind w:right="0"/>
              <w:jc w:val="center"/>
              <w:rPr>
                <w:sz w:val="17"/>
                <w:szCs w:val="17"/>
              </w:rPr>
            </w:pPr>
            <w:r>
              <w:rPr>
                <w:sz w:val="17"/>
                <w:szCs w:val="17"/>
              </w:rPr>
              <w:t>11</w:t>
            </w:r>
          </w:p>
        </w:tc>
        <w:tc>
          <w:tcPr>
            <w:tcW w:w="1064" w:type="dxa"/>
            <w:shd w:val="clear" w:color="auto" w:fill="B40028"/>
          </w:tcPr>
          <w:p w:rsidR="006A015A" w:rsidRPr="00650BCA" w:rsidRDefault="00650BCA" w:rsidP="00650BCA">
            <w:pPr>
              <w:pStyle w:val="Text"/>
              <w:spacing w:before="0" w:line="260" w:lineRule="exact"/>
              <w:ind w:right="0"/>
              <w:jc w:val="right"/>
              <w:rPr>
                <w:sz w:val="17"/>
                <w:szCs w:val="17"/>
              </w:rPr>
            </w:pPr>
            <w:r>
              <w:rPr>
                <w:sz w:val="17"/>
                <w:szCs w:val="17"/>
              </w:rPr>
              <w:t>5 342</w:t>
            </w:r>
          </w:p>
        </w:tc>
        <w:tc>
          <w:tcPr>
            <w:tcW w:w="141" w:type="dxa"/>
            <w:shd w:val="clear" w:color="auto" w:fill="BFBFBF" w:themeFill="background1" w:themeFillShade="BF"/>
          </w:tcPr>
          <w:p w:rsidR="006A015A" w:rsidRPr="00650BCA" w:rsidRDefault="006A015A" w:rsidP="00650BCA">
            <w:pPr>
              <w:pStyle w:val="Text"/>
              <w:spacing w:before="0" w:line="260" w:lineRule="exact"/>
              <w:ind w:right="0"/>
              <w:rPr>
                <w:sz w:val="17"/>
                <w:szCs w:val="17"/>
              </w:rPr>
            </w:pPr>
          </w:p>
        </w:tc>
        <w:tc>
          <w:tcPr>
            <w:tcW w:w="1063" w:type="dxa"/>
          </w:tcPr>
          <w:p w:rsidR="006A015A" w:rsidRPr="00650BCA" w:rsidRDefault="00650BCA" w:rsidP="00650BCA">
            <w:pPr>
              <w:pStyle w:val="Text"/>
              <w:spacing w:before="0" w:line="260" w:lineRule="exact"/>
              <w:ind w:right="0"/>
              <w:jc w:val="center"/>
              <w:rPr>
                <w:sz w:val="17"/>
                <w:szCs w:val="17"/>
              </w:rPr>
            </w:pPr>
            <w:r>
              <w:rPr>
                <w:sz w:val="17"/>
                <w:szCs w:val="17"/>
              </w:rPr>
              <w:t>12</w:t>
            </w:r>
          </w:p>
        </w:tc>
        <w:tc>
          <w:tcPr>
            <w:tcW w:w="1064" w:type="dxa"/>
          </w:tcPr>
          <w:p w:rsidR="006A015A" w:rsidRPr="00650BCA" w:rsidRDefault="00650BCA" w:rsidP="00650BCA">
            <w:pPr>
              <w:pStyle w:val="Text"/>
              <w:spacing w:before="0" w:line="260" w:lineRule="exact"/>
              <w:ind w:right="0"/>
              <w:jc w:val="right"/>
              <w:rPr>
                <w:sz w:val="17"/>
                <w:szCs w:val="17"/>
              </w:rPr>
            </w:pPr>
            <w:r>
              <w:rPr>
                <w:sz w:val="17"/>
                <w:szCs w:val="17"/>
              </w:rPr>
              <w:t>4 488</w:t>
            </w:r>
          </w:p>
        </w:tc>
        <w:tc>
          <w:tcPr>
            <w:tcW w:w="141" w:type="dxa"/>
            <w:shd w:val="clear" w:color="auto" w:fill="BFBFBF" w:themeFill="background1" w:themeFillShade="BF"/>
          </w:tcPr>
          <w:p w:rsidR="006A015A" w:rsidRPr="00650BCA" w:rsidRDefault="006A015A" w:rsidP="00650BCA">
            <w:pPr>
              <w:pStyle w:val="Text"/>
              <w:spacing w:before="0" w:line="260" w:lineRule="exact"/>
              <w:ind w:right="0"/>
              <w:rPr>
                <w:sz w:val="17"/>
                <w:szCs w:val="17"/>
              </w:rPr>
            </w:pPr>
          </w:p>
        </w:tc>
      </w:tr>
      <w:tr w:rsidR="006A015A" w:rsidRPr="00650BCA" w:rsidTr="004B4071">
        <w:tc>
          <w:tcPr>
            <w:tcW w:w="1063" w:type="dxa"/>
            <w:shd w:val="clear" w:color="auto" w:fill="B40028"/>
          </w:tcPr>
          <w:p w:rsidR="006A015A" w:rsidRPr="00650BCA" w:rsidRDefault="00650BCA" w:rsidP="00650BCA">
            <w:pPr>
              <w:pStyle w:val="Text"/>
              <w:spacing w:before="0" w:line="260" w:lineRule="exact"/>
              <w:ind w:right="0"/>
              <w:jc w:val="center"/>
              <w:rPr>
                <w:sz w:val="17"/>
                <w:szCs w:val="17"/>
              </w:rPr>
            </w:pPr>
            <w:r w:rsidRPr="00650BCA">
              <w:rPr>
                <w:sz w:val="17"/>
                <w:szCs w:val="17"/>
              </w:rPr>
              <w:t>11</w:t>
            </w:r>
          </w:p>
        </w:tc>
        <w:tc>
          <w:tcPr>
            <w:tcW w:w="1064" w:type="dxa"/>
            <w:shd w:val="clear" w:color="auto" w:fill="B40028"/>
          </w:tcPr>
          <w:p w:rsidR="006A015A" w:rsidRPr="00650BCA" w:rsidRDefault="00650BCA" w:rsidP="00650BCA">
            <w:pPr>
              <w:pStyle w:val="Text"/>
              <w:spacing w:before="0" w:line="260" w:lineRule="exact"/>
              <w:ind w:right="0"/>
              <w:jc w:val="right"/>
              <w:rPr>
                <w:sz w:val="17"/>
                <w:szCs w:val="17"/>
              </w:rPr>
            </w:pPr>
            <w:r>
              <w:rPr>
                <w:sz w:val="17"/>
                <w:szCs w:val="17"/>
              </w:rPr>
              <w:t>2 646</w:t>
            </w:r>
          </w:p>
        </w:tc>
        <w:tc>
          <w:tcPr>
            <w:tcW w:w="141" w:type="dxa"/>
            <w:shd w:val="clear" w:color="auto" w:fill="BFBFBF" w:themeFill="background1" w:themeFillShade="BF"/>
          </w:tcPr>
          <w:p w:rsidR="006A015A" w:rsidRPr="00650BCA" w:rsidRDefault="006A015A" w:rsidP="00650BCA">
            <w:pPr>
              <w:pStyle w:val="Text"/>
              <w:spacing w:before="0" w:line="260" w:lineRule="exact"/>
              <w:ind w:right="0"/>
              <w:rPr>
                <w:sz w:val="17"/>
                <w:szCs w:val="17"/>
              </w:rPr>
            </w:pPr>
          </w:p>
        </w:tc>
        <w:tc>
          <w:tcPr>
            <w:tcW w:w="1063" w:type="dxa"/>
          </w:tcPr>
          <w:p w:rsidR="006A015A" w:rsidRPr="00650BCA" w:rsidRDefault="00650BCA" w:rsidP="00650BCA">
            <w:pPr>
              <w:pStyle w:val="Text"/>
              <w:spacing w:before="0" w:line="260" w:lineRule="exact"/>
              <w:ind w:right="0"/>
              <w:jc w:val="center"/>
              <w:rPr>
                <w:sz w:val="17"/>
                <w:szCs w:val="17"/>
              </w:rPr>
            </w:pPr>
            <w:r>
              <w:rPr>
                <w:sz w:val="17"/>
                <w:szCs w:val="17"/>
              </w:rPr>
              <w:t>12</w:t>
            </w:r>
          </w:p>
        </w:tc>
        <w:tc>
          <w:tcPr>
            <w:tcW w:w="1064" w:type="dxa"/>
          </w:tcPr>
          <w:p w:rsidR="006A015A" w:rsidRPr="00650BCA" w:rsidRDefault="00650BCA" w:rsidP="00650BCA">
            <w:pPr>
              <w:pStyle w:val="Text"/>
              <w:spacing w:before="0" w:line="260" w:lineRule="exact"/>
              <w:ind w:right="0"/>
              <w:jc w:val="right"/>
              <w:rPr>
                <w:sz w:val="17"/>
                <w:szCs w:val="17"/>
              </w:rPr>
            </w:pPr>
            <w:r>
              <w:rPr>
                <w:sz w:val="17"/>
                <w:szCs w:val="17"/>
              </w:rPr>
              <w:t>1 747</w:t>
            </w:r>
          </w:p>
        </w:tc>
        <w:tc>
          <w:tcPr>
            <w:tcW w:w="141" w:type="dxa"/>
            <w:shd w:val="clear" w:color="auto" w:fill="BFBFBF" w:themeFill="background1" w:themeFillShade="BF"/>
          </w:tcPr>
          <w:p w:rsidR="006A015A" w:rsidRPr="00650BCA" w:rsidRDefault="006A015A" w:rsidP="00650BCA">
            <w:pPr>
              <w:pStyle w:val="Text"/>
              <w:spacing w:before="0" w:line="260" w:lineRule="exact"/>
              <w:ind w:right="0"/>
              <w:rPr>
                <w:sz w:val="17"/>
                <w:szCs w:val="17"/>
              </w:rPr>
            </w:pPr>
          </w:p>
        </w:tc>
        <w:tc>
          <w:tcPr>
            <w:tcW w:w="1063" w:type="dxa"/>
          </w:tcPr>
          <w:p w:rsidR="006A015A" w:rsidRPr="00650BCA" w:rsidRDefault="006A015A" w:rsidP="00650BCA">
            <w:pPr>
              <w:pStyle w:val="Text"/>
              <w:spacing w:before="0" w:line="260" w:lineRule="exact"/>
              <w:ind w:right="0"/>
              <w:jc w:val="center"/>
              <w:rPr>
                <w:sz w:val="17"/>
                <w:szCs w:val="17"/>
              </w:rPr>
            </w:pPr>
          </w:p>
        </w:tc>
        <w:tc>
          <w:tcPr>
            <w:tcW w:w="1064" w:type="dxa"/>
          </w:tcPr>
          <w:p w:rsidR="006A015A" w:rsidRPr="00650BCA" w:rsidRDefault="006A015A" w:rsidP="00650BCA">
            <w:pPr>
              <w:pStyle w:val="Text"/>
              <w:spacing w:before="0" w:line="260" w:lineRule="exact"/>
              <w:ind w:right="0"/>
              <w:jc w:val="right"/>
              <w:rPr>
                <w:sz w:val="17"/>
                <w:szCs w:val="17"/>
              </w:rPr>
            </w:pPr>
          </w:p>
        </w:tc>
        <w:tc>
          <w:tcPr>
            <w:tcW w:w="141" w:type="dxa"/>
            <w:shd w:val="clear" w:color="auto" w:fill="BFBFBF" w:themeFill="background1" w:themeFillShade="BF"/>
          </w:tcPr>
          <w:p w:rsidR="006A015A" w:rsidRPr="00650BCA" w:rsidRDefault="006A015A" w:rsidP="00650BCA">
            <w:pPr>
              <w:pStyle w:val="Text"/>
              <w:spacing w:before="0" w:line="260" w:lineRule="exact"/>
              <w:ind w:right="0"/>
              <w:rPr>
                <w:sz w:val="17"/>
                <w:szCs w:val="17"/>
              </w:rPr>
            </w:pPr>
          </w:p>
        </w:tc>
      </w:tr>
      <w:tr w:rsidR="006A015A" w:rsidRPr="00650BCA" w:rsidTr="00650BCA">
        <w:tc>
          <w:tcPr>
            <w:tcW w:w="1063" w:type="dxa"/>
          </w:tcPr>
          <w:p w:rsidR="006A015A" w:rsidRPr="00650BCA" w:rsidRDefault="00650BCA" w:rsidP="00650BCA">
            <w:pPr>
              <w:pStyle w:val="Text"/>
              <w:spacing w:before="0" w:line="260" w:lineRule="exact"/>
              <w:ind w:right="0"/>
              <w:jc w:val="center"/>
              <w:rPr>
                <w:sz w:val="17"/>
                <w:szCs w:val="17"/>
              </w:rPr>
            </w:pPr>
            <w:r w:rsidRPr="00650BCA">
              <w:rPr>
                <w:sz w:val="17"/>
                <w:szCs w:val="17"/>
              </w:rPr>
              <w:t>12</w:t>
            </w:r>
          </w:p>
        </w:tc>
        <w:tc>
          <w:tcPr>
            <w:tcW w:w="1064" w:type="dxa"/>
          </w:tcPr>
          <w:p w:rsidR="006A015A" w:rsidRPr="00650BCA" w:rsidRDefault="00650BCA" w:rsidP="00650BCA">
            <w:pPr>
              <w:pStyle w:val="Text"/>
              <w:spacing w:before="0" w:line="260" w:lineRule="exact"/>
              <w:ind w:right="0"/>
              <w:jc w:val="right"/>
              <w:rPr>
                <w:sz w:val="17"/>
                <w:szCs w:val="17"/>
              </w:rPr>
            </w:pPr>
            <w:r>
              <w:rPr>
                <w:sz w:val="17"/>
                <w:szCs w:val="17"/>
              </w:rPr>
              <w:t>10</w:t>
            </w:r>
          </w:p>
        </w:tc>
        <w:tc>
          <w:tcPr>
            <w:tcW w:w="141" w:type="dxa"/>
            <w:shd w:val="clear" w:color="auto" w:fill="BFBFBF" w:themeFill="background1" w:themeFillShade="BF"/>
          </w:tcPr>
          <w:p w:rsidR="006A015A" w:rsidRPr="00650BCA" w:rsidRDefault="006A015A" w:rsidP="00650BCA">
            <w:pPr>
              <w:pStyle w:val="Text"/>
              <w:spacing w:before="0" w:line="260" w:lineRule="exact"/>
              <w:ind w:right="0"/>
              <w:rPr>
                <w:sz w:val="17"/>
                <w:szCs w:val="17"/>
              </w:rPr>
            </w:pPr>
          </w:p>
        </w:tc>
        <w:tc>
          <w:tcPr>
            <w:tcW w:w="1063" w:type="dxa"/>
          </w:tcPr>
          <w:p w:rsidR="006A015A" w:rsidRPr="00650BCA" w:rsidRDefault="006A015A" w:rsidP="00650BCA">
            <w:pPr>
              <w:pStyle w:val="Text"/>
              <w:spacing w:before="0" w:line="260" w:lineRule="exact"/>
              <w:ind w:right="0"/>
              <w:jc w:val="center"/>
              <w:rPr>
                <w:sz w:val="17"/>
                <w:szCs w:val="17"/>
              </w:rPr>
            </w:pPr>
          </w:p>
        </w:tc>
        <w:tc>
          <w:tcPr>
            <w:tcW w:w="1064" w:type="dxa"/>
          </w:tcPr>
          <w:p w:rsidR="006A015A" w:rsidRPr="00650BCA" w:rsidRDefault="006A015A" w:rsidP="00650BCA">
            <w:pPr>
              <w:pStyle w:val="Text"/>
              <w:spacing w:before="0" w:line="260" w:lineRule="exact"/>
              <w:ind w:right="0"/>
              <w:jc w:val="right"/>
              <w:rPr>
                <w:sz w:val="17"/>
                <w:szCs w:val="17"/>
              </w:rPr>
            </w:pPr>
          </w:p>
        </w:tc>
        <w:tc>
          <w:tcPr>
            <w:tcW w:w="141" w:type="dxa"/>
            <w:shd w:val="clear" w:color="auto" w:fill="BFBFBF" w:themeFill="background1" w:themeFillShade="BF"/>
          </w:tcPr>
          <w:p w:rsidR="006A015A" w:rsidRPr="00650BCA" w:rsidRDefault="006A015A" w:rsidP="00650BCA">
            <w:pPr>
              <w:pStyle w:val="Text"/>
              <w:spacing w:before="0" w:line="260" w:lineRule="exact"/>
              <w:ind w:right="0"/>
              <w:rPr>
                <w:sz w:val="17"/>
                <w:szCs w:val="17"/>
              </w:rPr>
            </w:pPr>
          </w:p>
        </w:tc>
        <w:tc>
          <w:tcPr>
            <w:tcW w:w="1063" w:type="dxa"/>
          </w:tcPr>
          <w:p w:rsidR="006A015A" w:rsidRPr="00650BCA" w:rsidRDefault="006A015A" w:rsidP="00650BCA">
            <w:pPr>
              <w:pStyle w:val="Text"/>
              <w:spacing w:before="0" w:line="260" w:lineRule="exact"/>
              <w:ind w:right="0"/>
              <w:jc w:val="center"/>
              <w:rPr>
                <w:sz w:val="17"/>
                <w:szCs w:val="17"/>
              </w:rPr>
            </w:pPr>
          </w:p>
        </w:tc>
        <w:tc>
          <w:tcPr>
            <w:tcW w:w="1064" w:type="dxa"/>
          </w:tcPr>
          <w:p w:rsidR="006A015A" w:rsidRPr="00650BCA" w:rsidRDefault="006A015A" w:rsidP="00650BCA">
            <w:pPr>
              <w:pStyle w:val="Text"/>
              <w:spacing w:before="0" w:line="260" w:lineRule="exact"/>
              <w:ind w:right="0"/>
              <w:jc w:val="right"/>
              <w:rPr>
                <w:sz w:val="17"/>
                <w:szCs w:val="17"/>
              </w:rPr>
            </w:pPr>
          </w:p>
        </w:tc>
        <w:tc>
          <w:tcPr>
            <w:tcW w:w="141" w:type="dxa"/>
            <w:shd w:val="clear" w:color="auto" w:fill="BFBFBF" w:themeFill="background1" w:themeFillShade="BF"/>
          </w:tcPr>
          <w:p w:rsidR="006A015A" w:rsidRPr="00650BCA" w:rsidRDefault="006A015A" w:rsidP="00650BCA">
            <w:pPr>
              <w:pStyle w:val="Text"/>
              <w:spacing w:before="0" w:line="260" w:lineRule="exact"/>
              <w:ind w:right="0"/>
              <w:rPr>
                <w:sz w:val="17"/>
                <w:szCs w:val="17"/>
              </w:rPr>
            </w:pPr>
          </w:p>
        </w:tc>
      </w:tr>
      <w:tr w:rsidR="00650BCA" w:rsidRPr="00650BCA" w:rsidTr="004B4071">
        <w:tc>
          <w:tcPr>
            <w:tcW w:w="1063" w:type="dxa"/>
            <w:tcMar>
              <w:left w:w="0" w:type="dxa"/>
              <w:right w:w="0" w:type="dxa"/>
            </w:tcMar>
          </w:tcPr>
          <w:p w:rsidR="00650BCA" w:rsidRPr="00650BCA" w:rsidRDefault="00650BCA" w:rsidP="004B4071">
            <w:pPr>
              <w:pStyle w:val="Text"/>
              <w:spacing w:before="0" w:line="260" w:lineRule="exact"/>
              <w:ind w:right="0"/>
              <w:jc w:val="center"/>
              <w:rPr>
                <w:sz w:val="17"/>
                <w:szCs w:val="17"/>
              </w:rPr>
            </w:pPr>
            <w:r w:rsidRPr="00650BCA">
              <w:rPr>
                <w:sz w:val="17"/>
                <w:szCs w:val="17"/>
              </w:rPr>
              <w:t>Not at school</w:t>
            </w:r>
          </w:p>
        </w:tc>
        <w:tc>
          <w:tcPr>
            <w:tcW w:w="1064" w:type="dxa"/>
          </w:tcPr>
          <w:p w:rsidR="00650BCA" w:rsidRPr="00650BCA" w:rsidRDefault="00650BCA" w:rsidP="00650BCA">
            <w:pPr>
              <w:pStyle w:val="Text"/>
              <w:spacing w:before="0" w:line="260" w:lineRule="exact"/>
              <w:ind w:right="0"/>
              <w:jc w:val="right"/>
              <w:rPr>
                <w:sz w:val="17"/>
                <w:szCs w:val="17"/>
              </w:rPr>
            </w:pPr>
            <w:r>
              <w:rPr>
                <w:sz w:val="17"/>
                <w:szCs w:val="17"/>
              </w:rPr>
              <w:t>0</w:t>
            </w:r>
          </w:p>
        </w:tc>
        <w:tc>
          <w:tcPr>
            <w:tcW w:w="141" w:type="dxa"/>
            <w:shd w:val="clear" w:color="auto" w:fill="BFBFBF" w:themeFill="background1" w:themeFillShade="BF"/>
          </w:tcPr>
          <w:p w:rsidR="00650BCA" w:rsidRPr="00650BCA" w:rsidRDefault="00650BCA" w:rsidP="00650BCA">
            <w:pPr>
              <w:pStyle w:val="Text"/>
              <w:spacing w:before="0" w:line="260" w:lineRule="exact"/>
              <w:ind w:right="0"/>
              <w:rPr>
                <w:sz w:val="17"/>
                <w:szCs w:val="17"/>
              </w:rPr>
            </w:pPr>
          </w:p>
        </w:tc>
        <w:tc>
          <w:tcPr>
            <w:tcW w:w="1063" w:type="dxa"/>
            <w:tcMar>
              <w:left w:w="0" w:type="dxa"/>
              <w:right w:w="0" w:type="dxa"/>
            </w:tcMar>
          </w:tcPr>
          <w:p w:rsidR="00650BCA" w:rsidRPr="00650BCA" w:rsidRDefault="00650BCA" w:rsidP="004B4071">
            <w:pPr>
              <w:pStyle w:val="Text"/>
              <w:spacing w:before="0" w:line="260" w:lineRule="exact"/>
              <w:ind w:right="0"/>
              <w:jc w:val="center"/>
              <w:rPr>
                <w:sz w:val="17"/>
                <w:szCs w:val="17"/>
              </w:rPr>
            </w:pPr>
            <w:r>
              <w:rPr>
                <w:sz w:val="17"/>
                <w:szCs w:val="17"/>
              </w:rPr>
              <w:t>Not at school</w:t>
            </w:r>
          </w:p>
        </w:tc>
        <w:tc>
          <w:tcPr>
            <w:tcW w:w="1064" w:type="dxa"/>
          </w:tcPr>
          <w:p w:rsidR="00650BCA" w:rsidRPr="00650BCA" w:rsidRDefault="00650BCA" w:rsidP="00650BCA">
            <w:pPr>
              <w:pStyle w:val="Text"/>
              <w:spacing w:before="0" w:line="260" w:lineRule="exact"/>
              <w:ind w:right="0"/>
              <w:jc w:val="right"/>
              <w:rPr>
                <w:sz w:val="17"/>
                <w:szCs w:val="17"/>
              </w:rPr>
            </w:pPr>
            <w:r>
              <w:rPr>
                <w:sz w:val="17"/>
                <w:szCs w:val="17"/>
              </w:rPr>
              <w:t>778</w:t>
            </w:r>
          </w:p>
        </w:tc>
        <w:tc>
          <w:tcPr>
            <w:tcW w:w="141" w:type="dxa"/>
            <w:shd w:val="clear" w:color="auto" w:fill="BFBFBF" w:themeFill="background1" w:themeFillShade="BF"/>
          </w:tcPr>
          <w:p w:rsidR="00650BCA" w:rsidRPr="00650BCA" w:rsidRDefault="00650BCA" w:rsidP="00650BCA">
            <w:pPr>
              <w:pStyle w:val="Text"/>
              <w:spacing w:before="0" w:line="260" w:lineRule="exact"/>
              <w:ind w:right="0"/>
              <w:rPr>
                <w:sz w:val="17"/>
                <w:szCs w:val="17"/>
              </w:rPr>
            </w:pPr>
          </w:p>
        </w:tc>
        <w:tc>
          <w:tcPr>
            <w:tcW w:w="1063" w:type="dxa"/>
            <w:tcMar>
              <w:left w:w="0" w:type="dxa"/>
              <w:right w:w="0" w:type="dxa"/>
            </w:tcMar>
          </w:tcPr>
          <w:p w:rsidR="00650BCA" w:rsidRPr="00650BCA" w:rsidRDefault="00650BCA" w:rsidP="004B4071">
            <w:pPr>
              <w:pStyle w:val="Text"/>
              <w:spacing w:before="0" w:line="260" w:lineRule="exact"/>
              <w:ind w:right="0"/>
              <w:jc w:val="center"/>
              <w:rPr>
                <w:sz w:val="17"/>
                <w:szCs w:val="17"/>
              </w:rPr>
            </w:pPr>
            <w:r>
              <w:rPr>
                <w:sz w:val="17"/>
                <w:szCs w:val="17"/>
              </w:rPr>
              <w:t>Not at school</w:t>
            </w:r>
          </w:p>
        </w:tc>
        <w:tc>
          <w:tcPr>
            <w:tcW w:w="1064" w:type="dxa"/>
          </w:tcPr>
          <w:p w:rsidR="00650BCA" w:rsidRPr="00650BCA" w:rsidRDefault="00650BCA" w:rsidP="00650BCA">
            <w:pPr>
              <w:pStyle w:val="Text"/>
              <w:spacing w:before="0" w:line="260" w:lineRule="exact"/>
              <w:ind w:right="0"/>
              <w:jc w:val="right"/>
              <w:rPr>
                <w:sz w:val="17"/>
                <w:szCs w:val="17"/>
              </w:rPr>
            </w:pPr>
            <w:r>
              <w:rPr>
                <w:sz w:val="17"/>
                <w:szCs w:val="17"/>
              </w:rPr>
              <w:t>2 428</w:t>
            </w:r>
          </w:p>
        </w:tc>
        <w:tc>
          <w:tcPr>
            <w:tcW w:w="141" w:type="dxa"/>
            <w:shd w:val="clear" w:color="auto" w:fill="BFBFBF" w:themeFill="background1" w:themeFillShade="BF"/>
          </w:tcPr>
          <w:p w:rsidR="00650BCA" w:rsidRPr="00650BCA" w:rsidRDefault="00650BCA" w:rsidP="00650BCA">
            <w:pPr>
              <w:pStyle w:val="Text"/>
              <w:spacing w:before="0" w:line="260" w:lineRule="exact"/>
              <w:ind w:right="0"/>
              <w:rPr>
                <w:sz w:val="17"/>
                <w:szCs w:val="17"/>
              </w:rPr>
            </w:pPr>
          </w:p>
        </w:tc>
      </w:tr>
      <w:tr w:rsidR="00650BCA" w:rsidRPr="00650BCA" w:rsidTr="00650BCA">
        <w:tc>
          <w:tcPr>
            <w:tcW w:w="1063" w:type="dxa"/>
            <w:shd w:val="clear" w:color="auto" w:fill="F2F2F2" w:themeFill="background1" w:themeFillShade="F2"/>
          </w:tcPr>
          <w:p w:rsidR="00650BCA" w:rsidRPr="00650BCA" w:rsidRDefault="00650BCA" w:rsidP="004B4071">
            <w:pPr>
              <w:pStyle w:val="Text"/>
              <w:spacing w:before="0" w:after="20" w:line="260" w:lineRule="exact"/>
              <w:ind w:right="0"/>
              <w:rPr>
                <w:b/>
                <w:sz w:val="17"/>
                <w:szCs w:val="17"/>
              </w:rPr>
            </w:pPr>
            <w:r w:rsidRPr="00650BCA">
              <w:rPr>
                <w:b/>
                <w:sz w:val="17"/>
                <w:szCs w:val="17"/>
              </w:rPr>
              <w:t>Total</w:t>
            </w:r>
          </w:p>
        </w:tc>
        <w:tc>
          <w:tcPr>
            <w:tcW w:w="1064" w:type="dxa"/>
            <w:shd w:val="clear" w:color="auto" w:fill="F2F2F2" w:themeFill="background1" w:themeFillShade="F2"/>
          </w:tcPr>
          <w:p w:rsidR="00650BCA" w:rsidRPr="00650BCA" w:rsidRDefault="00650BCA" w:rsidP="004B4071">
            <w:pPr>
              <w:pStyle w:val="Text"/>
              <w:spacing w:before="0" w:after="20" w:line="260" w:lineRule="exact"/>
              <w:ind w:right="0"/>
              <w:jc w:val="right"/>
              <w:rPr>
                <w:b/>
                <w:sz w:val="17"/>
                <w:szCs w:val="17"/>
              </w:rPr>
            </w:pPr>
            <w:r w:rsidRPr="00650BCA">
              <w:rPr>
                <w:b/>
                <w:sz w:val="17"/>
                <w:szCs w:val="17"/>
              </w:rPr>
              <w:t>14 251</w:t>
            </w:r>
          </w:p>
        </w:tc>
        <w:tc>
          <w:tcPr>
            <w:tcW w:w="141" w:type="dxa"/>
            <w:shd w:val="clear" w:color="auto" w:fill="BFBFBF" w:themeFill="background1" w:themeFillShade="BF"/>
          </w:tcPr>
          <w:p w:rsidR="00650BCA" w:rsidRPr="00650BCA" w:rsidRDefault="00650BCA" w:rsidP="004B4071">
            <w:pPr>
              <w:pStyle w:val="Text"/>
              <w:spacing w:before="0" w:after="20" w:line="260" w:lineRule="exact"/>
              <w:ind w:right="0"/>
              <w:rPr>
                <w:b/>
                <w:sz w:val="17"/>
                <w:szCs w:val="17"/>
              </w:rPr>
            </w:pPr>
          </w:p>
        </w:tc>
        <w:tc>
          <w:tcPr>
            <w:tcW w:w="1063" w:type="dxa"/>
            <w:shd w:val="clear" w:color="auto" w:fill="F2F2F2" w:themeFill="background1" w:themeFillShade="F2"/>
          </w:tcPr>
          <w:p w:rsidR="00650BCA" w:rsidRPr="00650BCA" w:rsidRDefault="00650BCA" w:rsidP="004B4071">
            <w:pPr>
              <w:pStyle w:val="Text"/>
              <w:spacing w:before="0" w:after="20" w:line="260" w:lineRule="exact"/>
              <w:ind w:right="0"/>
              <w:rPr>
                <w:b/>
                <w:sz w:val="17"/>
                <w:szCs w:val="17"/>
              </w:rPr>
            </w:pPr>
            <w:r>
              <w:rPr>
                <w:b/>
                <w:sz w:val="17"/>
                <w:szCs w:val="17"/>
              </w:rPr>
              <w:t>Total</w:t>
            </w:r>
          </w:p>
        </w:tc>
        <w:tc>
          <w:tcPr>
            <w:tcW w:w="1064" w:type="dxa"/>
            <w:shd w:val="clear" w:color="auto" w:fill="F2F2F2" w:themeFill="background1" w:themeFillShade="F2"/>
          </w:tcPr>
          <w:p w:rsidR="00650BCA" w:rsidRPr="00650BCA" w:rsidRDefault="00650BCA" w:rsidP="004B4071">
            <w:pPr>
              <w:pStyle w:val="Text"/>
              <w:spacing w:before="0" w:after="20" w:line="260" w:lineRule="exact"/>
              <w:ind w:right="0"/>
              <w:jc w:val="right"/>
              <w:rPr>
                <w:b/>
                <w:sz w:val="17"/>
                <w:szCs w:val="17"/>
              </w:rPr>
            </w:pPr>
            <w:r>
              <w:rPr>
                <w:b/>
                <w:sz w:val="17"/>
                <w:szCs w:val="17"/>
              </w:rPr>
              <w:t>8 759</w:t>
            </w:r>
          </w:p>
        </w:tc>
        <w:tc>
          <w:tcPr>
            <w:tcW w:w="141" w:type="dxa"/>
            <w:shd w:val="clear" w:color="auto" w:fill="BFBFBF" w:themeFill="background1" w:themeFillShade="BF"/>
          </w:tcPr>
          <w:p w:rsidR="00650BCA" w:rsidRPr="00650BCA" w:rsidRDefault="00650BCA" w:rsidP="004B4071">
            <w:pPr>
              <w:pStyle w:val="Text"/>
              <w:spacing w:before="0" w:after="20" w:line="260" w:lineRule="exact"/>
              <w:ind w:right="0"/>
              <w:rPr>
                <w:b/>
                <w:sz w:val="17"/>
                <w:szCs w:val="17"/>
              </w:rPr>
            </w:pPr>
          </w:p>
        </w:tc>
        <w:tc>
          <w:tcPr>
            <w:tcW w:w="1063" w:type="dxa"/>
            <w:shd w:val="clear" w:color="auto" w:fill="F2F2F2" w:themeFill="background1" w:themeFillShade="F2"/>
          </w:tcPr>
          <w:p w:rsidR="00650BCA" w:rsidRPr="00650BCA" w:rsidRDefault="00650BCA" w:rsidP="004B4071">
            <w:pPr>
              <w:pStyle w:val="Text"/>
              <w:spacing w:before="0" w:after="20" w:line="260" w:lineRule="exact"/>
              <w:ind w:right="0"/>
              <w:rPr>
                <w:b/>
                <w:sz w:val="17"/>
                <w:szCs w:val="17"/>
              </w:rPr>
            </w:pPr>
            <w:r>
              <w:rPr>
                <w:b/>
                <w:sz w:val="17"/>
                <w:szCs w:val="17"/>
              </w:rPr>
              <w:t>Total</w:t>
            </w:r>
          </w:p>
        </w:tc>
        <w:tc>
          <w:tcPr>
            <w:tcW w:w="1064" w:type="dxa"/>
            <w:shd w:val="clear" w:color="auto" w:fill="F2F2F2" w:themeFill="background1" w:themeFillShade="F2"/>
          </w:tcPr>
          <w:p w:rsidR="00650BCA" w:rsidRPr="00650BCA" w:rsidRDefault="00650BCA" w:rsidP="004B4071">
            <w:pPr>
              <w:pStyle w:val="Text"/>
              <w:spacing w:before="0" w:after="20" w:line="260" w:lineRule="exact"/>
              <w:ind w:right="0"/>
              <w:jc w:val="right"/>
              <w:rPr>
                <w:b/>
                <w:sz w:val="17"/>
                <w:szCs w:val="17"/>
              </w:rPr>
            </w:pPr>
            <w:r>
              <w:rPr>
                <w:b/>
                <w:sz w:val="17"/>
                <w:szCs w:val="17"/>
              </w:rPr>
              <w:t>7 626</w:t>
            </w:r>
          </w:p>
        </w:tc>
        <w:tc>
          <w:tcPr>
            <w:tcW w:w="141" w:type="dxa"/>
            <w:shd w:val="clear" w:color="auto" w:fill="BFBFBF" w:themeFill="background1" w:themeFillShade="BF"/>
          </w:tcPr>
          <w:p w:rsidR="00650BCA" w:rsidRPr="00650BCA" w:rsidRDefault="00650BCA" w:rsidP="004B4071">
            <w:pPr>
              <w:pStyle w:val="Text"/>
              <w:spacing w:before="0" w:after="20" w:line="260" w:lineRule="exact"/>
              <w:ind w:right="0"/>
              <w:rPr>
                <w:b/>
                <w:sz w:val="17"/>
                <w:szCs w:val="17"/>
              </w:rPr>
            </w:pPr>
          </w:p>
        </w:tc>
      </w:tr>
    </w:tbl>
    <w:p w:rsidR="004B4071" w:rsidRDefault="004B4071" w:rsidP="004B4071">
      <w:pPr>
        <w:pStyle w:val="Source"/>
      </w:pPr>
      <w:r>
        <w:t>Weighted estimates</w:t>
      </w:r>
    </w:p>
    <w:p w:rsidR="00F87F00" w:rsidRPr="00520ED4" w:rsidRDefault="00F87F00" w:rsidP="00520ED4">
      <w:pPr>
        <w:pStyle w:val="Text"/>
        <w:spacing w:before="360"/>
        <w:ind w:right="140"/>
      </w:pPr>
      <w:r>
        <w:t>T</w:t>
      </w:r>
      <w:r w:rsidRPr="00E16A91">
        <w:t xml:space="preserve">he LSAY09 sample is not </w:t>
      </w:r>
      <w:r>
        <w:t xml:space="preserve">ideal </w:t>
      </w:r>
      <w:r w:rsidRPr="00E16A91">
        <w:t>for</w:t>
      </w:r>
      <w:r>
        <w:t xml:space="preserve"> estimations of how school characteristics influence subject choice in Year</w:t>
      </w:r>
      <w:r w:rsidR="00DB74E2">
        <w:t>s</w:t>
      </w:r>
      <w:r>
        <w:t xml:space="preserve"> 11 and 12. This is because the information about schools was collected in 2009 when most students were in Year 10. Therefore, this analysis is based on data from students who provided information about subje</w:t>
      </w:r>
      <w:r w:rsidR="00DB74E2">
        <w:t>cts in Year 11 (shaded rows of f</w:t>
      </w:r>
      <w:r>
        <w:t xml:space="preserve">igure 1) except for 822 students (a weighted estimate) who changed schools </w:t>
      </w:r>
      <w:r w:rsidRPr="00520ED4">
        <w:t xml:space="preserve">after 2009. Despite these limitations, the LSAY data remain the best available source of information on </w:t>
      </w:r>
      <w:r w:rsidR="00A366F2" w:rsidRPr="00520ED4">
        <w:t xml:space="preserve">the </w:t>
      </w:r>
      <w:r w:rsidRPr="00520ED4">
        <w:t>school characteristics,</w:t>
      </w:r>
      <w:r w:rsidR="004F1002" w:rsidRPr="00520ED4">
        <w:t xml:space="preserve"> career plans, subject participation and</w:t>
      </w:r>
      <w:r w:rsidR="00520ED4">
        <w:t> </w:t>
      </w:r>
      <w:r w:rsidRPr="00520ED4">
        <w:t>science performance of secondary school students. There is no other survey which covers all these topics.</w:t>
      </w:r>
    </w:p>
    <w:p w:rsidR="00F87F00" w:rsidRPr="00520ED4" w:rsidRDefault="00F87F00" w:rsidP="00520ED4">
      <w:pPr>
        <w:pStyle w:val="Text"/>
      </w:pPr>
      <w:r w:rsidRPr="00520ED4">
        <w:t>Although Australia is often considered a country where a significant proporti</w:t>
      </w:r>
      <w:r w:rsidR="00DB74E2" w:rsidRPr="00520ED4">
        <w:t>on of secondary students attend</w:t>
      </w:r>
      <w:r w:rsidRPr="00520ED4">
        <w:t xml:space="preserve"> single-sex schools (Ain</w:t>
      </w:r>
      <w:r w:rsidR="00DB74E2" w:rsidRPr="00520ED4">
        <w:t>ley &amp; Daly 2002; Baker, Riordan</w:t>
      </w:r>
      <w:r w:rsidRPr="00520ED4">
        <w:t xml:space="preserve"> &amp; Schaub 1995), the proportion of students in single-sex schools is not high in LSAY09. Among 353 schools for which data are available, there are only 19 boys-only schools and 26 girls-only schools</w:t>
      </w:r>
      <w:r w:rsidR="00DB74E2" w:rsidRPr="00520ED4">
        <w:t>,</w:t>
      </w:r>
      <w:r w:rsidRPr="00520ED4">
        <w:t xml:space="preserve"> which make up 5.4% and 7.4% of schools respectively </w:t>
      </w:r>
      <w:r w:rsidR="00DB74E2" w:rsidRPr="00520ED4">
        <w:t>(f</w:t>
      </w:r>
      <w:r w:rsidRPr="00520ED4">
        <w:t>igure 2).</w:t>
      </w:r>
    </w:p>
    <w:p w:rsidR="00F87F00" w:rsidRDefault="00F87F00" w:rsidP="00520ED4">
      <w:pPr>
        <w:pStyle w:val="Text"/>
        <w:ind w:right="-144"/>
      </w:pPr>
      <w:r w:rsidRPr="00520ED4">
        <w:t>Furthermore, sex-segregated education seems to be declining in Australia in line with trends documented in the 1980s and 1990s (</w:t>
      </w:r>
      <w:r w:rsidR="00DB74E2">
        <w:rPr>
          <w:noProof/>
        </w:rPr>
        <w:t>Australian Bureau of Statistics [</w:t>
      </w:r>
      <w:r>
        <w:rPr>
          <w:noProof/>
        </w:rPr>
        <w:t>ABS</w:t>
      </w:r>
      <w:r w:rsidR="00DB74E2">
        <w:rPr>
          <w:noProof/>
        </w:rPr>
        <w:t>]</w:t>
      </w:r>
      <w:r>
        <w:rPr>
          <w:noProof/>
        </w:rPr>
        <w:t xml:space="preserve"> 1997)</w:t>
      </w:r>
      <w:r>
        <w:t xml:space="preserve"> and reported for other English-speaking countries </w:t>
      </w:r>
      <w:r>
        <w:rPr>
          <w:noProof/>
        </w:rPr>
        <w:t>(Ainley &amp; Daly 2002)</w:t>
      </w:r>
      <w:r>
        <w:t xml:space="preserve">. </w:t>
      </w:r>
      <w:r w:rsidRPr="00BA49A3">
        <w:t>In 1998</w:t>
      </w:r>
      <w:r>
        <w:t>, about 24% of students attended single-</w:t>
      </w:r>
      <w:r w:rsidRPr="00BA49A3">
        <w:t>sex schools, with a larger proportion of girls than boys</w:t>
      </w:r>
      <w:r>
        <w:t xml:space="preserve"> receiving education</w:t>
      </w:r>
      <w:r w:rsidRPr="00BA49A3">
        <w:t xml:space="preserve"> </w:t>
      </w:r>
      <w:r>
        <w:t>in segregated settings</w:t>
      </w:r>
      <w:r w:rsidRPr="00BA49A3">
        <w:t xml:space="preserve">. This trend </w:t>
      </w:r>
      <w:r>
        <w:t>is also evident in the LSAY03 data, in which 10</w:t>
      </w:r>
      <w:r w:rsidRPr="00BA49A3">
        <w:t>%</w:t>
      </w:r>
      <w:r>
        <w:t xml:space="preserve"> and 9%</w:t>
      </w:r>
      <w:r w:rsidRPr="00BA49A3">
        <w:t xml:space="preserve"> </w:t>
      </w:r>
      <w:r>
        <w:t>of students attended girls-only</w:t>
      </w:r>
      <w:r w:rsidRPr="00BA49A3">
        <w:t xml:space="preserve"> </w:t>
      </w:r>
      <w:r>
        <w:t>and</w:t>
      </w:r>
      <w:r w:rsidRPr="00BA49A3">
        <w:t xml:space="preserve"> </w:t>
      </w:r>
      <w:r>
        <w:t>boys-only</w:t>
      </w:r>
      <w:r w:rsidRPr="00BA49A3">
        <w:t xml:space="preserve"> schools</w:t>
      </w:r>
      <w:r>
        <w:t xml:space="preserve"> respectively</w:t>
      </w:r>
      <w:r w:rsidRPr="00BA49A3">
        <w:t xml:space="preserve">. By 2009 </w:t>
      </w:r>
      <w:r>
        <w:t xml:space="preserve">the </w:t>
      </w:r>
      <w:r w:rsidRPr="00BA49A3">
        <w:t xml:space="preserve">proportions </w:t>
      </w:r>
      <w:r>
        <w:t xml:space="preserve">of students in sex-segregated environments </w:t>
      </w:r>
      <w:r w:rsidR="008421C5">
        <w:t xml:space="preserve">had </w:t>
      </w:r>
      <w:r>
        <w:t xml:space="preserve">further declined </w:t>
      </w:r>
      <w:r w:rsidRPr="00BA49A3">
        <w:t>as</w:t>
      </w:r>
      <w:r>
        <w:t>,</w:t>
      </w:r>
      <w:r w:rsidRPr="00BA49A3">
        <w:t xml:space="preserve"> </w:t>
      </w:r>
      <w:r w:rsidR="00DB74E2">
        <w:t>among 15-year-</w:t>
      </w:r>
      <w:r>
        <w:t>olds</w:t>
      </w:r>
      <w:r w:rsidRPr="007C3DD7">
        <w:t xml:space="preserve">, only 9% of girls and 6% of boys </w:t>
      </w:r>
      <w:r w:rsidR="007C3DD7">
        <w:t xml:space="preserve">were </w:t>
      </w:r>
      <w:r w:rsidRPr="007C3DD7">
        <w:t>not in coeducational schools.</w:t>
      </w:r>
    </w:p>
    <w:p w:rsidR="00520ED4" w:rsidRDefault="00520ED4">
      <w:pPr>
        <w:spacing w:before="0" w:after="200" w:line="276" w:lineRule="auto"/>
      </w:pPr>
      <w:r>
        <w:br w:type="page"/>
      </w:r>
    </w:p>
    <w:p w:rsidR="00F87F00" w:rsidRDefault="00520ED4" w:rsidP="00502974">
      <w:pPr>
        <w:pStyle w:val="Figuretitle"/>
      </w:pPr>
      <w:r>
        <w:rPr>
          <w:noProof/>
          <w:lang w:eastAsia="en-AU"/>
        </w:rPr>
        <w:lastRenderedPageBreak/>
        <w:drawing>
          <wp:anchor distT="0" distB="0" distL="114300" distR="114300" simplePos="0" relativeHeight="251668480" behindDoc="0" locked="0" layoutInCell="1" allowOverlap="1">
            <wp:simplePos x="0" y="0"/>
            <wp:positionH relativeFrom="column">
              <wp:posOffset>-167005</wp:posOffset>
            </wp:positionH>
            <wp:positionV relativeFrom="paragraph">
              <wp:posOffset>218440</wp:posOffset>
            </wp:positionV>
            <wp:extent cx="4781550" cy="3209925"/>
            <wp:effectExtent l="0" t="0" r="0" b="0"/>
            <wp:wrapTopAndBottom/>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4781550" cy="3209925"/>
                    </a:xfrm>
                    <a:prstGeom prst="rect">
                      <a:avLst/>
                    </a:prstGeom>
                    <a:noFill/>
                    <a:ln w="9525">
                      <a:noFill/>
                      <a:miter lim="800000"/>
                      <a:headEnd/>
                      <a:tailEnd/>
                    </a:ln>
                  </pic:spPr>
                </pic:pic>
              </a:graphicData>
            </a:graphic>
          </wp:anchor>
        </w:drawing>
      </w:r>
      <w:bookmarkStart w:id="51" w:name="_Toc367713395"/>
      <w:r w:rsidR="00F87F00">
        <w:t>Figure 2</w:t>
      </w:r>
      <w:r w:rsidR="00F87F00">
        <w:tab/>
        <w:t>Gender compositions of schools in LSAY09</w:t>
      </w:r>
      <w:bookmarkEnd w:id="51"/>
      <w:r w:rsidR="00F87F00">
        <w:t xml:space="preserve">  </w:t>
      </w:r>
    </w:p>
    <w:p w:rsidR="00F87F00" w:rsidRDefault="00F87F00" w:rsidP="00520ED4">
      <w:pPr>
        <w:pStyle w:val="Source"/>
      </w:pPr>
      <w:r>
        <w:t>Source:</w:t>
      </w:r>
      <w:r w:rsidR="00520ED4">
        <w:tab/>
      </w:r>
      <w:r>
        <w:t>LSAY09</w:t>
      </w:r>
      <w:r w:rsidR="00DB74E2">
        <w:t>.</w:t>
      </w:r>
    </w:p>
    <w:p w:rsidR="00F87F00" w:rsidRDefault="00F87F00" w:rsidP="00520ED4">
      <w:pPr>
        <w:pStyle w:val="Text"/>
        <w:spacing w:before="360"/>
        <w:ind w:right="0"/>
      </w:pPr>
      <w:r>
        <w:t>Thus, e</w:t>
      </w:r>
      <w:r w:rsidRPr="00E16A91">
        <w:t xml:space="preserve">ven though Australia </w:t>
      </w:r>
      <w:r>
        <w:t>arguably</w:t>
      </w:r>
      <w:r w:rsidRPr="00E16A91">
        <w:t xml:space="preserve"> represent</w:t>
      </w:r>
      <w:r>
        <w:t>s</w:t>
      </w:r>
      <w:r w:rsidRPr="00E16A91">
        <w:t xml:space="preserve"> a moderately sex-seg</w:t>
      </w:r>
      <w:r>
        <w:t xml:space="preserve">regated system </w:t>
      </w:r>
      <w:r>
        <w:rPr>
          <w:noProof/>
        </w:rPr>
        <w:t>(Wiseman 2008)</w:t>
      </w:r>
      <w:r>
        <w:t xml:space="preserve">, </w:t>
      </w:r>
      <w:r w:rsidRPr="00E16A91">
        <w:t xml:space="preserve">the </w:t>
      </w:r>
      <w:r>
        <w:t xml:space="preserve">actual </w:t>
      </w:r>
      <w:r w:rsidRPr="00E16A91">
        <w:t xml:space="preserve">proportion of students in sex-segregated </w:t>
      </w:r>
      <w:r w:rsidR="00DB74E2">
        <w:t xml:space="preserve">upper </w:t>
      </w:r>
      <w:r>
        <w:t xml:space="preserve">secondary school settings </w:t>
      </w:r>
      <w:r w:rsidRPr="00E16A91">
        <w:t>is</w:t>
      </w:r>
      <w:r>
        <w:t xml:space="preserve"> </w:t>
      </w:r>
      <w:r w:rsidRPr="00E16A91">
        <w:t>low</w:t>
      </w:r>
      <w:r>
        <w:t xml:space="preserve"> and seems to be decreasing with time. </w:t>
      </w:r>
    </w:p>
    <w:p w:rsidR="00F87F00" w:rsidRDefault="00F87F00" w:rsidP="00502974">
      <w:pPr>
        <w:spacing w:before="0" w:line="240" w:lineRule="auto"/>
        <w:rPr>
          <w:rFonts w:eastAsia="SimSun"/>
        </w:rPr>
      </w:pPr>
    </w:p>
    <w:p w:rsidR="00877A61" w:rsidRDefault="00877A61">
      <w:pPr>
        <w:spacing w:before="0" w:after="200" w:line="276" w:lineRule="auto"/>
        <w:rPr>
          <w:rFonts w:ascii="Tahoma" w:hAnsi="Tahoma" w:cs="Tahoma"/>
          <w:color w:val="000000"/>
          <w:kern w:val="28"/>
          <w:sz w:val="56"/>
          <w:szCs w:val="56"/>
        </w:rPr>
      </w:pPr>
      <w:r>
        <w:br w:type="page"/>
      </w:r>
    </w:p>
    <w:p w:rsidR="00F87F00" w:rsidRPr="00B552A6" w:rsidRDefault="00F87F00" w:rsidP="00520ED4">
      <w:pPr>
        <w:pStyle w:val="Heading1"/>
        <w:rPr>
          <w:rFonts w:eastAsia="SimSun"/>
        </w:rPr>
      </w:pPr>
      <w:bookmarkStart w:id="52" w:name="_Toc367713382"/>
      <w:r w:rsidRPr="00520ED4">
        <w:lastRenderedPageBreak/>
        <w:t>Results</w:t>
      </w:r>
      <w:bookmarkEnd w:id="52"/>
    </w:p>
    <w:p w:rsidR="00F87F00" w:rsidRDefault="00F87F00" w:rsidP="00502974">
      <w:pPr>
        <w:pStyle w:val="Text"/>
      </w:pPr>
      <w:r>
        <w:t xml:space="preserve">One of the perennial problems affecting attempts to assess the impact of single-sex schooling on science engagement is the difficulty of disentangling the effect of school sector (private versus government) from the effect of gender composition of student populations within schools. Fortunately, in LSAY09 not all single-sex schools belong either in the Catholic or the independent sectors. Therefore, there is some scope for dealing with this problem, even though </w:t>
      </w:r>
      <w:r w:rsidR="00E07F08">
        <w:t>a mere</w:t>
      </w:r>
      <w:r>
        <w:t xml:space="preserve"> 2% of students in the government sector are in boys-only settings, and </w:t>
      </w:r>
      <w:r w:rsidR="00E07F08">
        <w:t xml:space="preserve">only </w:t>
      </w:r>
      <w:r>
        <w:t>3% of students in this sector attend girls-</w:t>
      </w:r>
      <w:r w:rsidR="00DB74E2">
        <w:t>only schools (t</w:t>
      </w:r>
      <w:r>
        <w:t xml:space="preserve">able 1). </w:t>
      </w:r>
    </w:p>
    <w:p w:rsidR="00F87F00" w:rsidRDefault="004E609C" w:rsidP="00502974">
      <w:pPr>
        <w:pStyle w:val="Text"/>
      </w:pPr>
      <w:r>
        <w:t xml:space="preserve">The largest degree of sex </w:t>
      </w:r>
      <w:r w:rsidR="00F87F00">
        <w:t>segregation is present in the C</w:t>
      </w:r>
      <w:r w:rsidR="00DB74E2">
        <w:t>atholic sector, where 17% of 15-year-</w:t>
      </w:r>
      <w:r w:rsidR="00F87F00">
        <w:t xml:space="preserve">olds attend boys-only schools and nearly a quarter of students, </w:t>
      </w:r>
      <w:r w:rsidR="00DB74E2">
        <w:t>that is,</w:t>
      </w:r>
      <w:r w:rsidR="00F87F00">
        <w:t xml:space="preserve"> 24%, receive education in girls-only environments.</w:t>
      </w:r>
    </w:p>
    <w:p w:rsidR="00F87F00" w:rsidRDefault="00F87F00" w:rsidP="00502974">
      <w:pPr>
        <w:pStyle w:val="Text"/>
      </w:pPr>
      <w:r>
        <w:t>The comparison of</w:t>
      </w:r>
      <w:r w:rsidR="00DB74E2">
        <w:t xml:space="preserve"> the data in t</w:t>
      </w:r>
      <w:r>
        <w:t>able 1 to the estimates reported by Ainley and Daly</w:t>
      </w:r>
      <w:r w:rsidR="00E07F08">
        <w:t xml:space="preserve"> (2002)</w:t>
      </w:r>
      <w:r>
        <w:t xml:space="preserve"> for 1998 reveals that at both points of time 40% of students in upper secondary education attended non-government schools. </w:t>
      </w:r>
    </w:p>
    <w:p w:rsidR="00F87F00" w:rsidRDefault="00F87F00" w:rsidP="00502974">
      <w:pPr>
        <w:pStyle w:val="Text"/>
      </w:pPr>
      <w:r>
        <w:t xml:space="preserve">However, 55% of students in the Catholic sector and 45% students in independent schools were in single-sex environments </w:t>
      </w:r>
      <w:r w:rsidR="004E609C">
        <w:t>in 1998</w:t>
      </w:r>
      <w:r w:rsidR="008421C5">
        <w:t xml:space="preserve"> </w:t>
      </w:r>
      <w:r>
        <w:rPr>
          <w:noProof/>
        </w:rPr>
        <w:t>(Ainley &amp; Daly 2002, p.244)</w:t>
      </w:r>
      <w:r>
        <w:t>,</w:t>
      </w:r>
      <w:r w:rsidR="004E609C">
        <w:t xml:space="preserve"> but</w:t>
      </w:r>
      <w:r>
        <w:t xml:space="preserve"> by 2009 the corresponding proportions were only 41</w:t>
      </w:r>
      <w:r w:rsidR="009A0FDB">
        <w:t>% in</w:t>
      </w:r>
      <w:r>
        <w:t xml:space="preserve"> the</w:t>
      </w:r>
      <w:r w:rsidR="00DB74E2">
        <w:t xml:space="preserve"> former and 17% in the latter (t</w:t>
      </w:r>
      <w:r>
        <w:t>able 1). Thus it appears that the independent sector halved its share of students in sex-segregated settings in the decade between 1998 and 2009.</w:t>
      </w:r>
    </w:p>
    <w:p w:rsidR="00F87F00" w:rsidRDefault="00F87F00" w:rsidP="00502974">
      <w:pPr>
        <w:pStyle w:val="tabletitle"/>
      </w:pPr>
      <w:bookmarkStart w:id="53" w:name="_Toc367713389"/>
      <w:r>
        <w:t>Table 1</w:t>
      </w:r>
      <w:r>
        <w:tab/>
        <w:t>Student characteristics</w:t>
      </w:r>
      <w:r w:rsidR="008421C5">
        <w:t>,</w:t>
      </w:r>
      <w:r>
        <w:t xml:space="preserve"> by type of school</w:t>
      </w:r>
      <w:bookmarkEnd w:id="53"/>
      <w:r>
        <w:t xml:space="preserve"> </w:t>
      </w:r>
    </w:p>
    <w:tbl>
      <w:tblPr>
        <w:tblW w:w="8789" w:type="dxa"/>
        <w:tblInd w:w="108" w:type="dxa"/>
        <w:tblBorders>
          <w:top w:val="single" w:sz="4" w:space="0" w:color="auto"/>
          <w:bottom w:val="single" w:sz="4" w:space="0" w:color="auto"/>
        </w:tblBorders>
        <w:tblLayout w:type="fixed"/>
        <w:tblLook w:val="0000"/>
      </w:tblPr>
      <w:tblGrid>
        <w:gridCol w:w="1560"/>
        <w:gridCol w:w="1445"/>
        <w:gridCol w:w="1446"/>
        <w:gridCol w:w="1446"/>
        <w:gridCol w:w="1446"/>
        <w:gridCol w:w="1446"/>
      </w:tblGrid>
      <w:tr w:rsidR="00F87F00" w:rsidTr="00264961">
        <w:tc>
          <w:tcPr>
            <w:tcW w:w="1560" w:type="dxa"/>
            <w:tcBorders>
              <w:top w:val="single" w:sz="4" w:space="0" w:color="auto"/>
              <w:bottom w:val="single" w:sz="4" w:space="0" w:color="auto"/>
              <w:right w:val="nil"/>
            </w:tcBorders>
          </w:tcPr>
          <w:p w:rsidR="00F87F00" w:rsidRDefault="00F87F00" w:rsidP="00264961">
            <w:pPr>
              <w:pStyle w:val="Tablehead1"/>
            </w:pPr>
          </w:p>
        </w:tc>
        <w:tc>
          <w:tcPr>
            <w:tcW w:w="1445" w:type="dxa"/>
            <w:tcBorders>
              <w:top w:val="single" w:sz="4" w:space="0" w:color="auto"/>
              <w:left w:val="nil"/>
              <w:bottom w:val="single" w:sz="4" w:space="0" w:color="auto"/>
              <w:right w:val="nil"/>
            </w:tcBorders>
          </w:tcPr>
          <w:p w:rsidR="00F87F00" w:rsidRDefault="00F87F00" w:rsidP="00264961">
            <w:pPr>
              <w:pStyle w:val="Tablehead1"/>
              <w:jc w:val="center"/>
            </w:pPr>
            <w:r>
              <w:t>Boys-only</w:t>
            </w:r>
            <w:r w:rsidR="00264961">
              <w:br/>
            </w:r>
            <w:r>
              <w:t>%</w:t>
            </w:r>
          </w:p>
        </w:tc>
        <w:tc>
          <w:tcPr>
            <w:tcW w:w="1446" w:type="dxa"/>
            <w:tcBorders>
              <w:top w:val="single" w:sz="4" w:space="0" w:color="auto"/>
              <w:left w:val="nil"/>
              <w:bottom w:val="single" w:sz="4" w:space="0" w:color="auto"/>
              <w:right w:val="nil"/>
            </w:tcBorders>
          </w:tcPr>
          <w:p w:rsidR="00F87F00" w:rsidRDefault="00F87F00" w:rsidP="00264961">
            <w:pPr>
              <w:pStyle w:val="Tablehead1"/>
              <w:jc w:val="center"/>
            </w:pPr>
            <w:r>
              <w:t>Coeducational</w:t>
            </w:r>
            <w:r w:rsidR="00264961">
              <w:br/>
            </w:r>
            <w:r>
              <w:t>%</w:t>
            </w:r>
          </w:p>
        </w:tc>
        <w:tc>
          <w:tcPr>
            <w:tcW w:w="1446" w:type="dxa"/>
            <w:tcBorders>
              <w:top w:val="single" w:sz="4" w:space="0" w:color="auto"/>
              <w:left w:val="nil"/>
              <w:bottom w:val="single" w:sz="4" w:space="0" w:color="auto"/>
              <w:right w:val="nil"/>
            </w:tcBorders>
          </w:tcPr>
          <w:p w:rsidR="00F87F00" w:rsidRDefault="00F87F00" w:rsidP="00264961">
            <w:pPr>
              <w:pStyle w:val="Tablehead1"/>
              <w:jc w:val="center"/>
            </w:pPr>
            <w:r>
              <w:t>Girls-only</w:t>
            </w:r>
            <w:r w:rsidR="00264961">
              <w:br/>
            </w:r>
            <w:r>
              <w:t>%</w:t>
            </w:r>
          </w:p>
        </w:tc>
        <w:tc>
          <w:tcPr>
            <w:tcW w:w="1446" w:type="dxa"/>
            <w:tcBorders>
              <w:top w:val="single" w:sz="4" w:space="0" w:color="auto"/>
              <w:left w:val="nil"/>
              <w:bottom w:val="single" w:sz="4" w:space="0" w:color="auto"/>
              <w:right w:val="nil"/>
            </w:tcBorders>
          </w:tcPr>
          <w:p w:rsidR="00F87F00" w:rsidRDefault="004E609C" w:rsidP="00264961">
            <w:pPr>
              <w:pStyle w:val="Tablehead1"/>
              <w:jc w:val="center"/>
            </w:pPr>
            <w:r>
              <w:t>Total s</w:t>
            </w:r>
            <w:r w:rsidR="00F87F00">
              <w:t>ingle-sex schools</w:t>
            </w:r>
          </w:p>
        </w:tc>
        <w:tc>
          <w:tcPr>
            <w:tcW w:w="1446" w:type="dxa"/>
            <w:tcBorders>
              <w:top w:val="single" w:sz="4" w:space="0" w:color="auto"/>
              <w:left w:val="nil"/>
              <w:bottom w:val="single" w:sz="4" w:space="0" w:color="auto"/>
              <w:right w:val="nil"/>
            </w:tcBorders>
          </w:tcPr>
          <w:p w:rsidR="00F87F00" w:rsidRDefault="00F87F00" w:rsidP="00264961">
            <w:pPr>
              <w:pStyle w:val="Tablehead1"/>
              <w:jc w:val="center"/>
            </w:pPr>
            <w:r>
              <w:t>N</w:t>
            </w:r>
          </w:p>
        </w:tc>
      </w:tr>
      <w:tr w:rsidR="00F87F00" w:rsidRPr="00264961" w:rsidTr="00264961">
        <w:tc>
          <w:tcPr>
            <w:tcW w:w="1560" w:type="dxa"/>
            <w:tcBorders>
              <w:top w:val="nil"/>
              <w:bottom w:val="nil"/>
              <w:right w:val="nil"/>
            </w:tcBorders>
          </w:tcPr>
          <w:p w:rsidR="00F87F00" w:rsidRPr="00264961" w:rsidRDefault="00F87F00" w:rsidP="00264961">
            <w:pPr>
              <w:pStyle w:val="Tabletext"/>
            </w:pPr>
            <w:r w:rsidRPr="00264961">
              <w:t>Government</w:t>
            </w:r>
          </w:p>
        </w:tc>
        <w:tc>
          <w:tcPr>
            <w:tcW w:w="1445" w:type="dxa"/>
            <w:tcBorders>
              <w:top w:val="nil"/>
              <w:left w:val="nil"/>
              <w:bottom w:val="nil"/>
              <w:right w:val="nil"/>
            </w:tcBorders>
          </w:tcPr>
          <w:p w:rsidR="00F87F00" w:rsidRPr="00264961" w:rsidRDefault="00F87F00" w:rsidP="00264961">
            <w:pPr>
              <w:pStyle w:val="Tabletext"/>
              <w:tabs>
                <w:tab w:val="decimal" w:pos="652"/>
              </w:tabs>
            </w:pPr>
            <w:r w:rsidRPr="00264961">
              <w:t>2</w:t>
            </w:r>
          </w:p>
        </w:tc>
        <w:tc>
          <w:tcPr>
            <w:tcW w:w="1446" w:type="dxa"/>
            <w:tcBorders>
              <w:top w:val="nil"/>
              <w:left w:val="nil"/>
              <w:bottom w:val="nil"/>
              <w:right w:val="nil"/>
            </w:tcBorders>
          </w:tcPr>
          <w:p w:rsidR="00F87F00" w:rsidRPr="00264961" w:rsidRDefault="00F87F00" w:rsidP="00264961">
            <w:pPr>
              <w:pStyle w:val="Tabletext"/>
              <w:tabs>
                <w:tab w:val="decimal" w:pos="709"/>
              </w:tabs>
            </w:pPr>
            <w:r w:rsidRPr="00264961">
              <w:t>95</w:t>
            </w:r>
          </w:p>
        </w:tc>
        <w:tc>
          <w:tcPr>
            <w:tcW w:w="1446" w:type="dxa"/>
            <w:tcBorders>
              <w:top w:val="nil"/>
              <w:left w:val="nil"/>
              <w:bottom w:val="nil"/>
              <w:right w:val="nil"/>
            </w:tcBorders>
          </w:tcPr>
          <w:p w:rsidR="00F87F00" w:rsidRPr="00264961" w:rsidRDefault="00F87F00" w:rsidP="00264961">
            <w:pPr>
              <w:pStyle w:val="Tabletext"/>
              <w:tabs>
                <w:tab w:val="decimal" w:pos="652"/>
              </w:tabs>
            </w:pPr>
            <w:r w:rsidRPr="00264961">
              <w:t>3</w:t>
            </w:r>
          </w:p>
        </w:tc>
        <w:tc>
          <w:tcPr>
            <w:tcW w:w="1446" w:type="dxa"/>
            <w:tcBorders>
              <w:top w:val="nil"/>
              <w:left w:val="nil"/>
              <w:bottom w:val="nil"/>
              <w:right w:val="nil"/>
            </w:tcBorders>
          </w:tcPr>
          <w:p w:rsidR="00F87F00" w:rsidRPr="00264961" w:rsidRDefault="00F87F00" w:rsidP="00264961">
            <w:pPr>
              <w:pStyle w:val="Tabletext"/>
              <w:tabs>
                <w:tab w:val="decimal" w:pos="652"/>
              </w:tabs>
            </w:pPr>
            <w:r w:rsidRPr="00264961">
              <w:t>5</w:t>
            </w:r>
          </w:p>
        </w:tc>
        <w:tc>
          <w:tcPr>
            <w:tcW w:w="1446" w:type="dxa"/>
            <w:tcBorders>
              <w:top w:val="nil"/>
              <w:left w:val="nil"/>
              <w:bottom w:val="nil"/>
              <w:right w:val="nil"/>
            </w:tcBorders>
          </w:tcPr>
          <w:p w:rsidR="00F87F00" w:rsidRPr="00264961" w:rsidRDefault="00186E5F" w:rsidP="00264961">
            <w:pPr>
              <w:pStyle w:val="Tabletext"/>
              <w:ind w:right="397"/>
              <w:jc w:val="right"/>
            </w:pPr>
            <w:r w:rsidRPr="00264961">
              <w:t xml:space="preserve">8 </w:t>
            </w:r>
            <w:r w:rsidR="00F87F00" w:rsidRPr="00264961">
              <w:t>511</w:t>
            </w:r>
          </w:p>
        </w:tc>
      </w:tr>
      <w:tr w:rsidR="00F87F00" w:rsidRPr="00264961" w:rsidTr="00264961">
        <w:tc>
          <w:tcPr>
            <w:tcW w:w="1560" w:type="dxa"/>
            <w:tcBorders>
              <w:top w:val="nil"/>
              <w:bottom w:val="nil"/>
              <w:right w:val="nil"/>
            </w:tcBorders>
          </w:tcPr>
          <w:p w:rsidR="00F87F00" w:rsidRPr="00264961" w:rsidRDefault="00F87F00" w:rsidP="00264961">
            <w:pPr>
              <w:pStyle w:val="Tabletext"/>
            </w:pPr>
            <w:r w:rsidRPr="00264961">
              <w:t>Catholic</w:t>
            </w:r>
          </w:p>
        </w:tc>
        <w:tc>
          <w:tcPr>
            <w:tcW w:w="1445" w:type="dxa"/>
            <w:tcBorders>
              <w:top w:val="nil"/>
              <w:left w:val="nil"/>
              <w:bottom w:val="nil"/>
              <w:right w:val="nil"/>
            </w:tcBorders>
          </w:tcPr>
          <w:p w:rsidR="00F87F00" w:rsidRPr="00264961" w:rsidRDefault="00F87F00" w:rsidP="00264961">
            <w:pPr>
              <w:pStyle w:val="Tabletext"/>
              <w:tabs>
                <w:tab w:val="decimal" w:pos="652"/>
              </w:tabs>
            </w:pPr>
            <w:r w:rsidRPr="00264961">
              <w:t>17</w:t>
            </w:r>
          </w:p>
        </w:tc>
        <w:tc>
          <w:tcPr>
            <w:tcW w:w="1446" w:type="dxa"/>
            <w:tcBorders>
              <w:top w:val="nil"/>
              <w:left w:val="nil"/>
              <w:bottom w:val="nil"/>
              <w:right w:val="nil"/>
            </w:tcBorders>
          </w:tcPr>
          <w:p w:rsidR="00F87F00" w:rsidRPr="00264961" w:rsidRDefault="00F87F00" w:rsidP="00264961">
            <w:pPr>
              <w:pStyle w:val="Tabletext"/>
              <w:tabs>
                <w:tab w:val="decimal" w:pos="709"/>
              </w:tabs>
            </w:pPr>
            <w:r w:rsidRPr="00264961">
              <w:t>60</w:t>
            </w:r>
          </w:p>
        </w:tc>
        <w:tc>
          <w:tcPr>
            <w:tcW w:w="1446" w:type="dxa"/>
            <w:tcBorders>
              <w:top w:val="nil"/>
              <w:left w:val="nil"/>
              <w:bottom w:val="nil"/>
              <w:right w:val="nil"/>
            </w:tcBorders>
          </w:tcPr>
          <w:p w:rsidR="00F87F00" w:rsidRPr="00264961" w:rsidRDefault="00F87F00" w:rsidP="00264961">
            <w:pPr>
              <w:pStyle w:val="Tabletext"/>
              <w:tabs>
                <w:tab w:val="decimal" w:pos="652"/>
              </w:tabs>
            </w:pPr>
            <w:r w:rsidRPr="00264961">
              <w:t>24</w:t>
            </w:r>
          </w:p>
        </w:tc>
        <w:tc>
          <w:tcPr>
            <w:tcW w:w="1446" w:type="dxa"/>
            <w:tcBorders>
              <w:top w:val="nil"/>
              <w:left w:val="nil"/>
              <w:bottom w:val="nil"/>
              <w:right w:val="nil"/>
            </w:tcBorders>
          </w:tcPr>
          <w:p w:rsidR="00F87F00" w:rsidRPr="00264961" w:rsidRDefault="00F87F00" w:rsidP="00264961">
            <w:pPr>
              <w:pStyle w:val="Tabletext"/>
              <w:tabs>
                <w:tab w:val="decimal" w:pos="652"/>
              </w:tabs>
            </w:pPr>
            <w:r w:rsidRPr="00264961">
              <w:t>41</w:t>
            </w:r>
          </w:p>
        </w:tc>
        <w:tc>
          <w:tcPr>
            <w:tcW w:w="1446" w:type="dxa"/>
            <w:tcBorders>
              <w:top w:val="nil"/>
              <w:left w:val="nil"/>
              <w:bottom w:val="nil"/>
              <w:right w:val="nil"/>
            </w:tcBorders>
          </w:tcPr>
          <w:p w:rsidR="00F87F00" w:rsidRPr="00264961" w:rsidRDefault="00186E5F" w:rsidP="00264961">
            <w:pPr>
              <w:pStyle w:val="Tabletext"/>
              <w:ind w:right="397"/>
              <w:jc w:val="right"/>
            </w:pPr>
            <w:r w:rsidRPr="00264961">
              <w:t xml:space="preserve">3 </w:t>
            </w:r>
            <w:r w:rsidR="00F87F00" w:rsidRPr="00264961">
              <w:t>144</w:t>
            </w:r>
          </w:p>
        </w:tc>
      </w:tr>
      <w:tr w:rsidR="00F87F00" w:rsidRPr="00264961" w:rsidTr="00264961">
        <w:tc>
          <w:tcPr>
            <w:tcW w:w="1560" w:type="dxa"/>
            <w:tcBorders>
              <w:top w:val="nil"/>
              <w:bottom w:val="nil"/>
              <w:right w:val="nil"/>
            </w:tcBorders>
          </w:tcPr>
          <w:p w:rsidR="00F87F00" w:rsidRPr="00264961" w:rsidRDefault="00F87F00" w:rsidP="00264961">
            <w:pPr>
              <w:pStyle w:val="Tabletext"/>
            </w:pPr>
            <w:r w:rsidRPr="00264961">
              <w:t>Independent</w:t>
            </w:r>
          </w:p>
        </w:tc>
        <w:tc>
          <w:tcPr>
            <w:tcW w:w="1445" w:type="dxa"/>
            <w:tcBorders>
              <w:top w:val="nil"/>
              <w:left w:val="nil"/>
              <w:bottom w:val="nil"/>
              <w:right w:val="nil"/>
            </w:tcBorders>
          </w:tcPr>
          <w:p w:rsidR="00F87F00" w:rsidRPr="00264961" w:rsidRDefault="00F87F00" w:rsidP="00264961">
            <w:pPr>
              <w:pStyle w:val="Tabletext"/>
              <w:tabs>
                <w:tab w:val="decimal" w:pos="652"/>
              </w:tabs>
            </w:pPr>
            <w:r w:rsidRPr="00264961">
              <w:t>8</w:t>
            </w:r>
          </w:p>
        </w:tc>
        <w:tc>
          <w:tcPr>
            <w:tcW w:w="1446" w:type="dxa"/>
            <w:tcBorders>
              <w:top w:val="nil"/>
              <w:left w:val="nil"/>
              <w:bottom w:val="nil"/>
              <w:right w:val="nil"/>
            </w:tcBorders>
          </w:tcPr>
          <w:p w:rsidR="00F87F00" w:rsidRPr="00264961" w:rsidRDefault="00F87F00" w:rsidP="00264961">
            <w:pPr>
              <w:pStyle w:val="Tabletext"/>
              <w:tabs>
                <w:tab w:val="decimal" w:pos="709"/>
              </w:tabs>
            </w:pPr>
            <w:r w:rsidRPr="00264961">
              <w:t>83</w:t>
            </w:r>
          </w:p>
        </w:tc>
        <w:tc>
          <w:tcPr>
            <w:tcW w:w="1446" w:type="dxa"/>
            <w:tcBorders>
              <w:top w:val="nil"/>
              <w:left w:val="nil"/>
              <w:bottom w:val="nil"/>
              <w:right w:val="nil"/>
            </w:tcBorders>
          </w:tcPr>
          <w:p w:rsidR="00F87F00" w:rsidRPr="00264961" w:rsidRDefault="00F87F00" w:rsidP="00264961">
            <w:pPr>
              <w:pStyle w:val="Tabletext"/>
              <w:tabs>
                <w:tab w:val="decimal" w:pos="652"/>
              </w:tabs>
            </w:pPr>
            <w:r w:rsidRPr="00264961">
              <w:t>9</w:t>
            </w:r>
          </w:p>
        </w:tc>
        <w:tc>
          <w:tcPr>
            <w:tcW w:w="1446" w:type="dxa"/>
            <w:tcBorders>
              <w:top w:val="nil"/>
              <w:left w:val="nil"/>
              <w:bottom w:val="nil"/>
              <w:right w:val="nil"/>
            </w:tcBorders>
          </w:tcPr>
          <w:p w:rsidR="00F87F00" w:rsidRPr="00264961" w:rsidRDefault="00F87F00" w:rsidP="00264961">
            <w:pPr>
              <w:pStyle w:val="Tabletext"/>
              <w:tabs>
                <w:tab w:val="decimal" w:pos="652"/>
              </w:tabs>
            </w:pPr>
            <w:r w:rsidRPr="00264961">
              <w:t>17</w:t>
            </w:r>
          </w:p>
        </w:tc>
        <w:tc>
          <w:tcPr>
            <w:tcW w:w="1446" w:type="dxa"/>
            <w:tcBorders>
              <w:top w:val="nil"/>
              <w:left w:val="nil"/>
              <w:bottom w:val="nil"/>
              <w:right w:val="nil"/>
            </w:tcBorders>
          </w:tcPr>
          <w:p w:rsidR="00F87F00" w:rsidRPr="00264961" w:rsidRDefault="00186E5F" w:rsidP="00264961">
            <w:pPr>
              <w:pStyle w:val="Tabletext"/>
              <w:ind w:right="397"/>
              <w:jc w:val="right"/>
            </w:pPr>
            <w:r w:rsidRPr="00264961">
              <w:t xml:space="preserve">2 </w:t>
            </w:r>
            <w:r w:rsidR="00F87F00" w:rsidRPr="00264961">
              <w:t>595</w:t>
            </w:r>
          </w:p>
        </w:tc>
      </w:tr>
      <w:tr w:rsidR="00F87F00" w:rsidRPr="00264961" w:rsidTr="00264961">
        <w:tc>
          <w:tcPr>
            <w:tcW w:w="1560" w:type="dxa"/>
            <w:tcBorders>
              <w:top w:val="nil"/>
              <w:bottom w:val="nil"/>
              <w:right w:val="nil"/>
            </w:tcBorders>
          </w:tcPr>
          <w:p w:rsidR="00694B16" w:rsidRPr="00694B16" w:rsidRDefault="00F87F00" w:rsidP="00694B16">
            <w:pPr>
              <w:pStyle w:val="Tabletext"/>
              <w:rPr>
                <w:b/>
              </w:rPr>
            </w:pPr>
            <w:r w:rsidRPr="00264961">
              <w:rPr>
                <w:b/>
              </w:rPr>
              <w:t>Total</w:t>
            </w:r>
          </w:p>
        </w:tc>
        <w:tc>
          <w:tcPr>
            <w:tcW w:w="1445" w:type="dxa"/>
            <w:tcBorders>
              <w:top w:val="nil"/>
              <w:left w:val="nil"/>
              <w:bottom w:val="nil"/>
              <w:right w:val="nil"/>
            </w:tcBorders>
          </w:tcPr>
          <w:p w:rsidR="00F87F00" w:rsidRPr="00264961" w:rsidRDefault="00F87F00" w:rsidP="00264961">
            <w:pPr>
              <w:pStyle w:val="Tabletext"/>
              <w:tabs>
                <w:tab w:val="decimal" w:pos="652"/>
              </w:tabs>
              <w:rPr>
                <w:b/>
              </w:rPr>
            </w:pPr>
            <w:r w:rsidRPr="00264961">
              <w:rPr>
                <w:b/>
              </w:rPr>
              <w:t>6</w:t>
            </w:r>
          </w:p>
        </w:tc>
        <w:tc>
          <w:tcPr>
            <w:tcW w:w="1446" w:type="dxa"/>
            <w:tcBorders>
              <w:top w:val="nil"/>
              <w:left w:val="nil"/>
              <w:bottom w:val="nil"/>
              <w:right w:val="nil"/>
            </w:tcBorders>
          </w:tcPr>
          <w:p w:rsidR="00F87F00" w:rsidRPr="00264961" w:rsidRDefault="00F87F00" w:rsidP="00264961">
            <w:pPr>
              <w:pStyle w:val="Tabletext"/>
              <w:tabs>
                <w:tab w:val="decimal" w:pos="709"/>
              </w:tabs>
              <w:rPr>
                <w:b/>
              </w:rPr>
            </w:pPr>
            <w:r w:rsidRPr="00264961">
              <w:rPr>
                <w:b/>
              </w:rPr>
              <w:t>85</w:t>
            </w:r>
          </w:p>
        </w:tc>
        <w:tc>
          <w:tcPr>
            <w:tcW w:w="1446" w:type="dxa"/>
            <w:tcBorders>
              <w:top w:val="nil"/>
              <w:left w:val="nil"/>
              <w:bottom w:val="nil"/>
              <w:right w:val="nil"/>
            </w:tcBorders>
          </w:tcPr>
          <w:p w:rsidR="00F87F00" w:rsidRPr="00264961" w:rsidRDefault="00F87F00" w:rsidP="00264961">
            <w:pPr>
              <w:pStyle w:val="Tabletext"/>
              <w:tabs>
                <w:tab w:val="decimal" w:pos="652"/>
              </w:tabs>
              <w:rPr>
                <w:b/>
              </w:rPr>
            </w:pPr>
            <w:r w:rsidRPr="00264961">
              <w:rPr>
                <w:b/>
              </w:rPr>
              <w:t>9</w:t>
            </w:r>
          </w:p>
        </w:tc>
        <w:tc>
          <w:tcPr>
            <w:tcW w:w="1446" w:type="dxa"/>
            <w:tcBorders>
              <w:top w:val="nil"/>
              <w:left w:val="nil"/>
              <w:bottom w:val="nil"/>
              <w:right w:val="nil"/>
            </w:tcBorders>
          </w:tcPr>
          <w:p w:rsidR="00F87F00" w:rsidRPr="00264961" w:rsidRDefault="00F87F00" w:rsidP="00264961">
            <w:pPr>
              <w:pStyle w:val="Tabletext"/>
              <w:tabs>
                <w:tab w:val="decimal" w:pos="652"/>
              </w:tabs>
              <w:rPr>
                <w:b/>
              </w:rPr>
            </w:pPr>
            <w:r w:rsidRPr="00264961">
              <w:rPr>
                <w:b/>
              </w:rPr>
              <w:t>15</w:t>
            </w:r>
          </w:p>
        </w:tc>
        <w:tc>
          <w:tcPr>
            <w:tcW w:w="1446" w:type="dxa"/>
            <w:tcBorders>
              <w:top w:val="nil"/>
              <w:left w:val="nil"/>
              <w:bottom w:val="nil"/>
              <w:right w:val="nil"/>
            </w:tcBorders>
          </w:tcPr>
          <w:p w:rsidR="00F87F00" w:rsidRPr="00264961" w:rsidRDefault="00186E5F" w:rsidP="00264961">
            <w:pPr>
              <w:pStyle w:val="Tabletext"/>
              <w:ind w:right="397"/>
              <w:jc w:val="right"/>
              <w:rPr>
                <w:b/>
              </w:rPr>
            </w:pPr>
            <w:r w:rsidRPr="00264961">
              <w:rPr>
                <w:b/>
              </w:rPr>
              <w:t xml:space="preserve">14 </w:t>
            </w:r>
            <w:r w:rsidR="00F87F00" w:rsidRPr="00264961">
              <w:rPr>
                <w:b/>
              </w:rPr>
              <w:t>251</w:t>
            </w:r>
          </w:p>
        </w:tc>
      </w:tr>
      <w:tr w:rsidR="00694B16" w:rsidRPr="00264961" w:rsidTr="00264961">
        <w:tc>
          <w:tcPr>
            <w:tcW w:w="1560" w:type="dxa"/>
            <w:tcBorders>
              <w:top w:val="nil"/>
              <w:bottom w:val="nil"/>
              <w:right w:val="nil"/>
            </w:tcBorders>
          </w:tcPr>
          <w:p w:rsidR="00694B16" w:rsidRPr="00264961" w:rsidRDefault="00694B16" w:rsidP="002D409E">
            <w:pPr>
              <w:pStyle w:val="Tabletext"/>
              <w:spacing w:before="0" w:after="0"/>
            </w:pPr>
          </w:p>
        </w:tc>
        <w:tc>
          <w:tcPr>
            <w:tcW w:w="1445" w:type="dxa"/>
            <w:tcBorders>
              <w:top w:val="nil"/>
              <w:left w:val="nil"/>
              <w:bottom w:val="nil"/>
              <w:right w:val="nil"/>
            </w:tcBorders>
          </w:tcPr>
          <w:p w:rsidR="00694B16" w:rsidRPr="00264961" w:rsidRDefault="00694B16" w:rsidP="002D409E">
            <w:pPr>
              <w:pStyle w:val="Tabletext"/>
              <w:tabs>
                <w:tab w:val="decimal" w:pos="652"/>
              </w:tabs>
              <w:spacing w:before="0" w:after="0"/>
            </w:pPr>
          </w:p>
        </w:tc>
        <w:tc>
          <w:tcPr>
            <w:tcW w:w="1446" w:type="dxa"/>
            <w:tcBorders>
              <w:top w:val="nil"/>
              <w:left w:val="nil"/>
              <w:bottom w:val="nil"/>
              <w:right w:val="nil"/>
            </w:tcBorders>
          </w:tcPr>
          <w:p w:rsidR="00694B16" w:rsidRPr="00264961" w:rsidRDefault="00694B16" w:rsidP="002D409E">
            <w:pPr>
              <w:pStyle w:val="Tabletext"/>
              <w:tabs>
                <w:tab w:val="decimal" w:pos="709"/>
              </w:tabs>
              <w:spacing w:before="0" w:after="0"/>
            </w:pPr>
          </w:p>
        </w:tc>
        <w:tc>
          <w:tcPr>
            <w:tcW w:w="1446" w:type="dxa"/>
            <w:tcBorders>
              <w:top w:val="nil"/>
              <w:left w:val="nil"/>
              <w:bottom w:val="nil"/>
              <w:right w:val="nil"/>
            </w:tcBorders>
          </w:tcPr>
          <w:p w:rsidR="00694B16" w:rsidRPr="00264961" w:rsidRDefault="00694B16" w:rsidP="002D409E">
            <w:pPr>
              <w:pStyle w:val="Tabletext"/>
              <w:tabs>
                <w:tab w:val="decimal" w:pos="652"/>
              </w:tabs>
              <w:spacing w:before="0" w:after="0"/>
            </w:pPr>
          </w:p>
        </w:tc>
        <w:tc>
          <w:tcPr>
            <w:tcW w:w="1446" w:type="dxa"/>
            <w:tcBorders>
              <w:top w:val="nil"/>
              <w:left w:val="nil"/>
              <w:bottom w:val="nil"/>
              <w:right w:val="nil"/>
            </w:tcBorders>
          </w:tcPr>
          <w:p w:rsidR="00694B16" w:rsidRPr="00264961" w:rsidRDefault="00694B16" w:rsidP="002D409E">
            <w:pPr>
              <w:pStyle w:val="Tabletext"/>
              <w:tabs>
                <w:tab w:val="decimal" w:pos="652"/>
              </w:tabs>
              <w:spacing w:before="0" w:after="0"/>
            </w:pPr>
          </w:p>
        </w:tc>
        <w:tc>
          <w:tcPr>
            <w:tcW w:w="1446" w:type="dxa"/>
            <w:tcBorders>
              <w:top w:val="nil"/>
              <w:left w:val="nil"/>
              <w:bottom w:val="nil"/>
              <w:right w:val="nil"/>
            </w:tcBorders>
          </w:tcPr>
          <w:p w:rsidR="00694B16" w:rsidRPr="00264961" w:rsidRDefault="00694B16" w:rsidP="002D409E">
            <w:pPr>
              <w:pStyle w:val="Tabletext"/>
              <w:spacing w:before="0" w:after="0"/>
              <w:ind w:right="397"/>
              <w:jc w:val="right"/>
            </w:pPr>
          </w:p>
        </w:tc>
      </w:tr>
      <w:tr w:rsidR="00F87F00" w:rsidRPr="00264961" w:rsidTr="00264961">
        <w:tc>
          <w:tcPr>
            <w:tcW w:w="1560" w:type="dxa"/>
            <w:tcBorders>
              <w:top w:val="nil"/>
              <w:bottom w:val="nil"/>
              <w:right w:val="nil"/>
            </w:tcBorders>
          </w:tcPr>
          <w:p w:rsidR="00F87F00" w:rsidRPr="00264961" w:rsidRDefault="00F87F00" w:rsidP="00264961">
            <w:pPr>
              <w:pStyle w:val="Tabletext"/>
              <w:spacing w:before="120"/>
            </w:pPr>
            <w:r w:rsidRPr="00264961">
              <w:t>Metropolitan</w:t>
            </w:r>
          </w:p>
        </w:tc>
        <w:tc>
          <w:tcPr>
            <w:tcW w:w="1445" w:type="dxa"/>
            <w:tcBorders>
              <w:top w:val="nil"/>
              <w:left w:val="nil"/>
              <w:bottom w:val="nil"/>
              <w:right w:val="nil"/>
            </w:tcBorders>
          </w:tcPr>
          <w:p w:rsidR="00F87F00" w:rsidRPr="00264961" w:rsidRDefault="00F87F00" w:rsidP="00264961">
            <w:pPr>
              <w:pStyle w:val="Tabletext"/>
              <w:tabs>
                <w:tab w:val="decimal" w:pos="652"/>
              </w:tabs>
              <w:spacing w:before="120"/>
            </w:pPr>
            <w:r w:rsidRPr="00264961">
              <w:t>8</w:t>
            </w:r>
          </w:p>
        </w:tc>
        <w:tc>
          <w:tcPr>
            <w:tcW w:w="1446" w:type="dxa"/>
            <w:tcBorders>
              <w:top w:val="nil"/>
              <w:left w:val="nil"/>
              <w:bottom w:val="nil"/>
              <w:right w:val="nil"/>
            </w:tcBorders>
          </w:tcPr>
          <w:p w:rsidR="00F87F00" w:rsidRPr="00264961" w:rsidRDefault="00F87F00" w:rsidP="00264961">
            <w:pPr>
              <w:pStyle w:val="Tabletext"/>
              <w:tabs>
                <w:tab w:val="decimal" w:pos="709"/>
              </w:tabs>
              <w:spacing w:before="120"/>
            </w:pPr>
            <w:r w:rsidRPr="00264961">
              <w:t>80</w:t>
            </w:r>
          </w:p>
        </w:tc>
        <w:tc>
          <w:tcPr>
            <w:tcW w:w="1446" w:type="dxa"/>
            <w:tcBorders>
              <w:top w:val="nil"/>
              <w:left w:val="nil"/>
              <w:bottom w:val="nil"/>
              <w:right w:val="nil"/>
            </w:tcBorders>
          </w:tcPr>
          <w:p w:rsidR="00F87F00" w:rsidRPr="00264961" w:rsidRDefault="00F87F00" w:rsidP="00264961">
            <w:pPr>
              <w:pStyle w:val="Tabletext"/>
              <w:tabs>
                <w:tab w:val="decimal" w:pos="652"/>
              </w:tabs>
              <w:spacing w:before="120"/>
            </w:pPr>
            <w:r w:rsidRPr="00264961">
              <w:t>12</w:t>
            </w:r>
          </w:p>
        </w:tc>
        <w:tc>
          <w:tcPr>
            <w:tcW w:w="1446" w:type="dxa"/>
            <w:tcBorders>
              <w:top w:val="nil"/>
              <w:left w:val="nil"/>
              <w:bottom w:val="nil"/>
              <w:right w:val="nil"/>
            </w:tcBorders>
          </w:tcPr>
          <w:p w:rsidR="00F87F00" w:rsidRPr="00264961" w:rsidRDefault="00F87F00" w:rsidP="00264961">
            <w:pPr>
              <w:pStyle w:val="Tabletext"/>
              <w:tabs>
                <w:tab w:val="decimal" w:pos="652"/>
              </w:tabs>
              <w:spacing w:before="120"/>
            </w:pPr>
            <w:r w:rsidRPr="00264961">
              <w:t>20</w:t>
            </w:r>
          </w:p>
        </w:tc>
        <w:tc>
          <w:tcPr>
            <w:tcW w:w="1446" w:type="dxa"/>
            <w:tcBorders>
              <w:top w:val="nil"/>
              <w:left w:val="nil"/>
              <w:bottom w:val="nil"/>
              <w:right w:val="nil"/>
            </w:tcBorders>
          </w:tcPr>
          <w:p w:rsidR="00F87F00" w:rsidRPr="00264961" w:rsidRDefault="00186E5F" w:rsidP="00264961">
            <w:pPr>
              <w:pStyle w:val="Tabletext"/>
              <w:spacing w:before="120"/>
              <w:ind w:right="397"/>
              <w:jc w:val="right"/>
            </w:pPr>
            <w:r w:rsidRPr="00264961">
              <w:t xml:space="preserve">10 </w:t>
            </w:r>
            <w:r w:rsidR="00F87F00" w:rsidRPr="00264961">
              <w:t>662</w:t>
            </w:r>
          </w:p>
        </w:tc>
      </w:tr>
      <w:tr w:rsidR="00F87F00" w:rsidRPr="00264961" w:rsidTr="00264961">
        <w:tc>
          <w:tcPr>
            <w:tcW w:w="1560" w:type="dxa"/>
            <w:tcBorders>
              <w:top w:val="nil"/>
              <w:bottom w:val="nil"/>
              <w:right w:val="nil"/>
            </w:tcBorders>
          </w:tcPr>
          <w:p w:rsidR="00F87F00" w:rsidRPr="00264961" w:rsidRDefault="00F87F00" w:rsidP="00264961">
            <w:pPr>
              <w:pStyle w:val="Tabletext"/>
            </w:pPr>
            <w:r w:rsidRPr="00264961">
              <w:t>Provincial</w:t>
            </w:r>
          </w:p>
        </w:tc>
        <w:tc>
          <w:tcPr>
            <w:tcW w:w="1445" w:type="dxa"/>
            <w:tcBorders>
              <w:top w:val="nil"/>
              <w:left w:val="nil"/>
              <w:bottom w:val="nil"/>
              <w:right w:val="nil"/>
            </w:tcBorders>
          </w:tcPr>
          <w:p w:rsidR="00F87F00" w:rsidRPr="00264961" w:rsidRDefault="00F87F00" w:rsidP="00264961">
            <w:pPr>
              <w:pStyle w:val="Tabletext"/>
              <w:tabs>
                <w:tab w:val="decimal" w:pos="652"/>
              </w:tabs>
            </w:pPr>
            <w:r w:rsidRPr="00264961">
              <w:t>0</w:t>
            </w:r>
          </w:p>
        </w:tc>
        <w:tc>
          <w:tcPr>
            <w:tcW w:w="1446" w:type="dxa"/>
            <w:tcBorders>
              <w:top w:val="nil"/>
              <w:left w:val="nil"/>
              <w:bottom w:val="nil"/>
              <w:right w:val="nil"/>
            </w:tcBorders>
          </w:tcPr>
          <w:p w:rsidR="00F87F00" w:rsidRPr="00264961" w:rsidRDefault="00F87F00" w:rsidP="00264961">
            <w:pPr>
              <w:pStyle w:val="Tabletext"/>
              <w:tabs>
                <w:tab w:val="decimal" w:pos="709"/>
              </w:tabs>
            </w:pPr>
            <w:r w:rsidRPr="00264961">
              <w:t>99</w:t>
            </w:r>
          </w:p>
        </w:tc>
        <w:tc>
          <w:tcPr>
            <w:tcW w:w="1446" w:type="dxa"/>
            <w:tcBorders>
              <w:top w:val="nil"/>
              <w:left w:val="nil"/>
              <w:bottom w:val="nil"/>
              <w:right w:val="nil"/>
            </w:tcBorders>
          </w:tcPr>
          <w:p w:rsidR="00F87F00" w:rsidRPr="00264961" w:rsidRDefault="00F87F00" w:rsidP="00264961">
            <w:pPr>
              <w:pStyle w:val="Tabletext"/>
              <w:tabs>
                <w:tab w:val="decimal" w:pos="652"/>
              </w:tabs>
            </w:pPr>
            <w:r w:rsidRPr="00264961">
              <w:t>1</w:t>
            </w:r>
          </w:p>
        </w:tc>
        <w:tc>
          <w:tcPr>
            <w:tcW w:w="1446" w:type="dxa"/>
            <w:tcBorders>
              <w:top w:val="nil"/>
              <w:left w:val="nil"/>
              <w:bottom w:val="nil"/>
              <w:right w:val="nil"/>
            </w:tcBorders>
          </w:tcPr>
          <w:p w:rsidR="00F87F00" w:rsidRPr="00264961" w:rsidRDefault="00F87F00" w:rsidP="00264961">
            <w:pPr>
              <w:pStyle w:val="Tabletext"/>
              <w:tabs>
                <w:tab w:val="decimal" w:pos="652"/>
              </w:tabs>
            </w:pPr>
            <w:r w:rsidRPr="00264961">
              <w:t>1</w:t>
            </w:r>
          </w:p>
        </w:tc>
        <w:tc>
          <w:tcPr>
            <w:tcW w:w="1446" w:type="dxa"/>
            <w:tcBorders>
              <w:top w:val="nil"/>
              <w:left w:val="nil"/>
              <w:bottom w:val="nil"/>
              <w:right w:val="nil"/>
            </w:tcBorders>
          </w:tcPr>
          <w:p w:rsidR="00F87F00" w:rsidRPr="00264961" w:rsidRDefault="00186E5F" w:rsidP="00264961">
            <w:pPr>
              <w:pStyle w:val="Tabletext"/>
              <w:ind w:right="397"/>
              <w:jc w:val="right"/>
            </w:pPr>
            <w:r w:rsidRPr="00264961">
              <w:t xml:space="preserve">3 </w:t>
            </w:r>
            <w:r w:rsidR="00F87F00" w:rsidRPr="00264961">
              <w:t>400</w:t>
            </w:r>
          </w:p>
        </w:tc>
      </w:tr>
      <w:tr w:rsidR="00F87F00" w:rsidRPr="00264961" w:rsidTr="00264961">
        <w:tc>
          <w:tcPr>
            <w:tcW w:w="1560" w:type="dxa"/>
            <w:tcBorders>
              <w:top w:val="nil"/>
              <w:bottom w:val="single" w:sz="4" w:space="0" w:color="auto"/>
              <w:right w:val="nil"/>
            </w:tcBorders>
          </w:tcPr>
          <w:p w:rsidR="00F87F00" w:rsidRPr="00264961" w:rsidRDefault="00F87F00" w:rsidP="00264961">
            <w:pPr>
              <w:pStyle w:val="Tabletext"/>
            </w:pPr>
            <w:r w:rsidRPr="00264961">
              <w:t>Remote</w:t>
            </w:r>
          </w:p>
        </w:tc>
        <w:tc>
          <w:tcPr>
            <w:tcW w:w="1445" w:type="dxa"/>
            <w:tcBorders>
              <w:top w:val="nil"/>
              <w:left w:val="nil"/>
              <w:bottom w:val="single" w:sz="4" w:space="0" w:color="auto"/>
              <w:right w:val="nil"/>
            </w:tcBorders>
          </w:tcPr>
          <w:p w:rsidR="00F87F00" w:rsidRPr="00264961" w:rsidRDefault="00F87F00" w:rsidP="00264961">
            <w:pPr>
              <w:pStyle w:val="Tabletext"/>
              <w:tabs>
                <w:tab w:val="decimal" w:pos="652"/>
              </w:tabs>
            </w:pPr>
            <w:r w:rsidRPr="00264961">
              <w:t>0</w:t>
            </w:r>
          </w:p>
        </w:tc>
        <w:tc>
          <w:tcPr>
            <w:tcW w:w="1446" w:type="dxa"/>
            <w:tcBorders>
              <w:top w:val="nil"/>
              <w:left w:val="nil"/>
              <w:bottom w:val="single" w:sz="4" w:space="0" w:color="auto"/>
              <w:right w:val="nil"/>
            </w:tcBorders>
          </w:tcPr>
          <w:p w:rsidR="00F87F00" w:rsidRPr="00264961" w:rsidRDefault="00F87F00" w:rsidP="00264961">
            <w:pPr>
              <w:pStyle w:val="Tabletext"/>
              <w:tabs>
                <w:tab w:val="decimal" w:pos="709"/>
              </w:tabs>
            </w:pPr>
            <w:r w:rsidRPr="00264961">
              <w:t>100</w:t>
            </w:r>
          </w:p>
        </w:tc>
        <w:tc>
          <w:tcPr>
            <w:tcW w:w="1446" w:type="dxa"/>
            <w:tcBorders>
              <w:top w:val="nil"/>
              <w:left w:val="nil"/>
              <w:bottom w:val="single" w:sz="4" w:space="0" w:color="auto"/>
              <w:right w:val="nil"/>
            </w:tcBorders>
          </w:tcPr>
          <w:p w:rsidR="00F87F00" w:rsidRPr="00264961" w:rsidRDefault="00F87F00" w:rsidP="00264961">
            <w:pPr>
              <w:pStyle w:val="Tabletext"/>
              <w:tabs>
                <w:tab w:val="decimal" w:pos="652"/>
              </w:tabs>
            </w:pPr>
            <w:r w:rsidRPr="00264961">
              <w:t>0</w:t>
            </w:r>
          </w:p>
        </w:tc>
        <w:tc>
          <w:tcPr>
            <w:tcW w:w="1446" w:type="dxa"/>
            <w:tcBorders>
              <w:top w:val="nil"/>
              <w:left w:val="nil"/>
              <w:bottom w:val="single" w:sz="4" w:space="0" w:color="auto"/>
              <w:right w:val="nil"/>
            </w:tcBorders>
          </w:tcPr>
          <w:p w:rsidR="00F87F00" w:rsidRPr="00264961" w:rsidRDefault="00F87F00" w:rsidP="00264961">
            <w:pPr>
              <w:pStyle w:val="Tabletext"/>
              <w:tabs>
                <w:tab w:val="decimal" w:pos="652"/>
              </w:tabs>
            </w:pPr>
            <w:r w:rsidRPr="00264961">
              <w:t>0</w:t>
            </w:r>
          </w:p>
        </w:tc>
        <w:tc>
          <w:tcPr>
            <w:tcW w:w="1446" w:type="dxa"/>
            <w:tcBorders>
              <w:top w:val="nil"/>
              <w:left w:val="nil"/>
              <w:bottom w:val="single" w:sz="4" w:space="0" w:color="auto"/>
              <w:right w:val="nil"/>
            </w:tcBorders>
          </w:tcPr>
          <w:p w:rsidR="00F87F00" w:rsidRPr="00264961" w:rsidRDefault="00F87F00" w:rsidP="00264961">
            <w:pPr>
              <w:pStyle w:val="Tabletext"/>
              <w:ind w:right="397"/>
              <w:jc w:val="right"/>
            </w:pPr>
            <w:r w:rsidRPr="00264961">
              <w:t>188</w:t>
            </w:r>
          </w:p>
        </w:tc>
      </w:tr>
    </w:tbl>
    <w:p w:rsidR="00F87F00" w:rsidRDefault="00F87F00" w:rsidP="00502974">
      <w:pPr>
        <w:pStyle w:val="Source"/>
      </w:pPr>
      <w:r>
        <w:t>Source:</w:t>
      </w:r>
      <w:r w:rsidR="00520ED4">
        <w:tab/>
      </w:r>
      <w:r>
        <w:t>LSAY09, weighted estimates</w:t>
      </w:r>
      <w:r w:rsidR="00DB74E2">
        <w:t>.</w:t>
      </w:r>
    </w:p>
    <w:p w:rsidR="00F87F00" w:rsidRDefault="00F87F00" w:rsidP="00520ED4">
      <w:pPr>
        <w:pStyle w:val="Text"/>
        <w:spacing w:before="360"/>
        <w:ind w:right="0"/>
      </w:pPr>
      <w:r>
        <w:t>As expected, single-sex schools are concentra</w:t>
      </w:r>
      <w:r w:rsidR="00DB74E2">
        <w:t>ted in metropolitan locations (t</w:t>
      </w:r>
      <w:r>
        <w:t>able 1) and provide education to students who score signific</w:t>
      </w:r>
      <w:r w:rsidR="00DB74E2">
        <w:t>antly higher on science tests (t</w:t>
      </w:r>
      <w:r>
        <w:t>able 2). On a science performance scale with the mean of 500 and the standard deviation of 100, the average score of a student from a single-sex school exceeded by about 30 points</w:t>
      </w:r>
      <w:r w:rsidR="008421C5">
        <w:t>,</w:t>
      </w:r>
      <w:r>
        <w:t xml:space="preserve"> or close to one-third of a standard deviation</w:t>
      </w:r>
      <w:r w:rsidR="008421C5">
        <w:t>,</w:t>
      </w:r>
      <w:r>
        <w:t xml:space="preserve"> the scores typi</w:t>
      </w:r>
      <w:r w:rsidR="00A135D1">
        <w:t>cal for coeducational schools (t</w:t>
      </w:r>
      <w:r>
        <w:t xml:space="preserve">able 2). Students in single-sex schools come from more advantageous family backgrounds, just as was the case a decade ago. Ainley and Daly reported the advantage of about 0.4 of a standard deviation </w:t>
      </w:r>
      <w:r>
        <w:rPr>
          <w:noProof/>
        </w:rPr>
        <w:t>(2002, p.244)</w:t>
      </w:r>
      <w:r w:rsidR="00A135D1">
        <w:rPr>
          <w:noProof/>
        </w:rPr>
        <w:t>,</w:t>
      </w:r>
      <w:r>
        <w:t xml:space="preserve"> which is comparable </w:t>
      </w:r>
      <w:r w:rsidR="004E609C">
        <w:t>with</w:t>
      </w:r>
      <w:r>
        <w:t xml:space="preserve"> </w:t>
      </w:r>
      <w:r w:rsidR="00A135D1">
        <w:t>that</w:t>
      </w:r>
      <w:r>
        <w:t xml:space="preserve"> found in LSAY09. The difference between </w:t>
      </w:r>
      <w:r w:rsidR="00A135D1">
        <w:t xml:space="preserve">the </w:t>
      </w:r>
      <w:r>
        <w:t>economic and socio-cultural background of students in boys-only and coeducational schools is 0.4</w:t>
      </w:r>
      <w:r w:rsidR="00694B16">
        <w:t>2</w:t>
      </w:r>
      <w:r>
        <w:t xml:space="preserve"> of a standard dev</w:t>
      </w:r>
      <w:r w:rsidR="004E609C">
        <w:t>iation, while the typical socio</w:t>
      </w:r>
      <w:r>
        <w:t xml:space="preserve">economic status of students in girls-only schools is 0.57, which is significantly higher than the average of 0.29 for their peers in coeducational settings. Comparisons of gender-segregated and </w:t>
      </w:r>
      <w:r>
        <w:lastRenderedPageBreak/>
        <w:t>coeducational schools often point out that the former tend to be small in size. However, in LSAY09 the mean size (as well as the median, not shown here) of boys-only schools exceeds the average number of students attending coeducational settings</w:t>
      </w:r>
      <w:r w:rsidR="00A135D1">
        <w:t>,</w:t>
      </w:r>
      <w:r>
        <w:t xml:space="preserve"> which is </w:t>
      </w:r>
      <w:r w:rsidR="00A135D1">
        <w:t>contrary to such expectations (t</w:t>
      </w:r>
      <w:r>
        <w:t xml:space="preserve">able 2). </w:t>
      </w:r>
    </w:p>
    <w:p w:rsidR="00F87F00" w:rsidRDefault="00F87F00" w:rsidP="00502974">
      <w:pPr>
        <w:pStyle w:val="tabletitle"/>
      </w:pPr>
      <w:bookmarkStart w:id="54" w:name="RANGE!B3"/>
      <w:bookmarkStart w:id="55" w:name="_Toc367713390"/>
      <w:r>
        <w:rPr>
          <w:lang w:eastAsia="en-AU"/>
        </w:rPr>
        <w:t>Table 2</w:t>
      </w:r>
      <w:r>
        <w:rPr>
          <w:lang w:eastAsia="en-AU"/>
        </w:rPr>
        <w:tab/>
      </w:r>
      <w:r w:rsidRPr="006804AB">
        <w:rPr>
          <w:lang w:eastAsia="en-AU"/>
        </w:rPr>
        <w:t>Student characteristics</w:t>
      </w:r>
      <w:r w:rsidR="008421C5">
        <w:rPr>
          <w:lang w:eastAsia="en-AU"/>
        </w:rPr>
        <w:t>,</w:t>
      </w:r>
      <w:r w:rsidRPr="006804AB">
        <w:rPr>
          <w:lang w:eastAsia="en-AU"/>
        </w:rPr>
        <w:t xml:space="preserve"> by type of school and gender of students</w:t>
      </w:r>
      <w:bookmarkEnd w:id="54"/>
      <w:bookmarkEnd w:id="55"/>
    </w:p>
    <w:tbl>
      <w:tblPr>
        <w:tblW w:w="8789" w:type="dxa"/>
        <w:tblInd w:w="108" w:type="dxa"/>
        <w:tblLayout w:type="fixed"/>
        <w:tblLook w:val="04A0"/>
      </w:tblPr>
      <w:tblGrid>
        <w:gridCol w:w="3119"/>
        <w:gridCol w:w="1134"/>
        <w:gridCol w:w="1181"/>
        <w:gridCol w:w="1229"/>
        <w:gridCol w:w="1134"/>
        <w:gridCol w:w="992"/>
      </w:tblGrid>
      <w:tr w:rsidR="00F87F00" w:rsidRPr="006804AB" w:rsidTr="00642965">
        <w:tc>
          <w:tcPr>
            <w:tcW w:w="3119" w:type="dxa"/>
            <w:tcBorders>
              <w:top w:val="single" w:sz="4" w:space="0" w:color="auto"/>
              <w:left w:val="nil"/>
              <w:bottom w:val="single" w:sz="8" w:space="0" w:color="000000"/>
              <w:right w:val="nil"/>
            </w:tcBorders>
            <w:shd w:val="clear" w:color="auto" w:fill="auto"/>
            <w:hideMark/>
          </w:tcPr>
          <w:p w:rsidR="00F87F00" w:rsidRPr="006804AB" w:rsidRDefault="00F87F00" w:rsidP="0030390E">
            <w:pPr>
              <w:pStyle w:val="Tablehead1"/>
              <w:rPr>
                <w:lang w:eastAsia="en-AU"/>
              </w:rPr>
            </w:pPr>
          </w:p>
        </w:tc>
        <w:tc>
          <w:tcPr>
            <w:tcW w:w="1134" w:type="dxa"/>
            <w:tcBorders>
              <w:top w:val="single" w:sz="4" w:space="0" w:color="auto"/>
              <w:left w:val="nil"/>
              <w:bottom w:val="single" w:sz="4" w:space="0" w:color="auto"/>
              <w:right w:val="nil"/>
            </w:tcBorders>
            <w:shd w:val="clear" w:color="auto" w:fill="auto"/>
            <w:tcMar>
              <w:left w:w="0" w:type="dxa"/>
              <w:right w:w="0" w:type="dxa"/>
            </w:tcMar>
            <w:hideMark/>
          </w:tcPr>
          <w:p w:rsidR="00F87F00" w:rsidRPr="006804AB" w:rsidRDefault="00F87F00" w:rsidP="0030390E">
            <w:pPr>
              <w:pStyle w:val="Tablehead1"/>
              <w:jc w:val="center"/>
              <w:rPr>
                <w:lang w:eastAsia="en-AU"/>
              </w:rPr>
            </w:pPr>
            <w:r>
              <w:rPr>
                <w:lang w:eastAsia="en-AU"/>
              </w:rPr>
              <w:t>Boys in single-sex schools</w:t>
            </w:r>
          </w:p>
        </w:tc>
        <w:tc>
          <w:tcPr>
            <w:tcW w:w="1181" w:type="dxa"/>
            <w:tcBorders>
              <w:top w:val="single" w:sz="4" w:space="0" w:color="auto"/>
              <w:left w:val="nil"/>
              <w:bottom w:val="single" w:sz="4" w:space="0" w:color="auto"/>
              <w:right w:val="nil"/>
            </w:tcBorders>
            <w:shd w:val="clear" w:color="auto" w:fill="auto"/>
            <w:tcMar>
              <w:left w:w="0" w:type="dxa"/>
              <w:right w:w="0" w:type="dxa"/>
            </w:tcMar>
            <w:hideMark/>
          </w:tcPr>
          <w:p w:rsidR="00F87F00" w:rsidRPr="006804AB" w:rsidRDefault="00F87F00" w:rsidP="0030390E">
            <w:pPr>
              <w:pStyle w:val="Tablehead1"/>
              <w:jc w:val="center"/>
              <w:rPr>
                <w:lang w:eastAsia="en-AU"/>
              </w:rPr>
            </w:pPr>
            <w:r w:rsidRPr="006804AB">
              <w:rPr>
                <w:lang w:eastAsia="en-AU"/>
              </w:rPr>
              <w:t>Boys in coeducational schools</w:t>
            </w:r>
          </w:p>
        </w:tc>
        <w:tc>
          <w:tcPr>
            <w:tcW w:w="1229" w:type="dxa"/>
            <w:tcBorders>
              <w:top w:val="single" w:sz="4" w:space="0" w:color="auto"/>
              <w:left w:val="nil"/>
              <w:bottom w:val="single" w:sz="4" w:space="0" w:color="auto"/>
              <w:right w:val="nil"/>
            </w:tcBorders>
            <w:shd w:val="clear" w:color="auto" w:fill="auto"/>
            <w:tcMar>
              <w:left w:w="0" w:type="dxa"/>
              <w:right w:w="0" w:type="dxa"/>
            </w:tcMar>
            <w:hideMark/>
          </w:tcPr>
          <w:p w:rsidR="00F87F00" w:rsidRPr="006804AB" w:rsidRDefault="00F87F00" w:rsidP="0030390E">
            <w:pPr>
              <w:pStyle w:val="Tablehead1"/>
              <w:jc w:val="center"/>
              <w:rPr>
                <w:lang w:eastAsia="en-AU"/>
              </w:rPr>
            </w:pPr>
            <w:r w:rsidRPr="006804AB">
              <w:rPr>
                <w:lang w:eastAsia="en-AU"/>
              </w:rPr>
              <w:t>Girls in coeducational schools</w:t>
            </w:r>
          </w:p>
        </w:tc>
        <w:tc>
          <w:tcPr>
            <w:tcW w:w="1134" w:type="dxa"/>
            <w:tcBorders>
              <w:top w:val="single" w:sz="4" w:space="0" w:color="auto"/>
              <w:left w:val="nil"/>
              <w:bottom w:val="single" w:sz="4" w:space="0" w:color="auto"/>
              <w:right w:val="nil"/>
            </w:tcBorders>
            <w:shd w:val="clear" w:color="auto" w:fill="auto"/>
            <w:tcMar>
              <w:left w:w="0" w:type="dxa"/>
              <w:right w:w="0" w:type="dxa"/>
            </w:tcMar>
            <w:hideMark/>
          </w:tcPr>
          <w:p w:rsidR="00F87F00" w:rsidRPr="006804AB" w:rsidRDefault="00F87F00" w:rsidP="0030390E">
            <w:pPr>
              <w:pStyle w:val="Tablehead1"/>
              <w:jc w:val="center"/>
              <w:rPr>
                <w:lang w:eastAsia="en-AU"/>
              </w:rPr>
            </w:pPr>
            <w:r w:rsidRPr="006804AB">
              <w:rPr>
                <w:lang w:eastAsia="en-AU"/>
              </w:rPr>
              <w:t>Girls</w:t>
            </w:r>
            <w:r>
              <w:rPr>
                <w:lang w:eastAsia="en-AU"/>
              </w:rPr>
              <w:t xml:space="preserve"> in single-sex schools</w:t>
            </w:r>
          </w:p>
        </w:tc>
        <w:tc>
          <w:tcPr>
            <w:tcW w:w="992" w:type="dxa"/>
            <w:tcBorders>
              <w:top w:val="single" w:sz="4" w:space="0" w:color="auto"/>
              <w:left w:val="nil"/>
              <w:bottom w:val="single" w:sz="8" w:space="0" w:color="000000"/>
              <w:right w:val="nil"/>
            </w:tcBorders>
            <w:shd w:val="clear" w:color="auto" w:fill="auto"/>
            <w:tcMar>
              <w:left w:w="0" w:type="dxa"/>
              <w:right w:w="0" w:type="dxa"/>
            </w:tcMar>
            <w:hideMark/>
          </w:tcPr>
          <w:p w:rsidR="00F87F00" w:rsidRPr="006804AB" w:rsidRDefault="00F87F00" w:rsidP="0030390E">
            <w:pPr>
              <w:pStyle w:val="Tablehead1"/>
              <w:jc w:val="center"/>
              <w:rPr>
                <w:lang w:eastAsia="en-AU"/>
              </w:rPr>
            </w:pPr>
            <w:r w:rsidRPr="006804AB">
              <w:rPr>
                <w:lang w:eastAsia="en-AU"/>
              </w:rPr>
              <w:t>N</w:t>
            </w:r>
          </w:p>
        </w:tc>
      </w:tr>
      <w:tr w:rsidR="00F87F00" w:rsidRPr="006804AB" w:rsidTr="00642965">
        <w:tc>
          <w:tcPr>
            <w:tcW w:w="3119" w:type="dxa"/>
            <w:tcBorders>
              <w:top w:val="nil"/>
              <w:left w:val="nil"/>
              <w:bottom w:val="nil"/>
              <w:right w:val="nil"/>
            </w:tcBorders>
            <w:shd w:val="clear" w:color="auto" w:fill="auto"/>
            <w:hideMark/>
          </w:tcPr>
          <w:p w:rsidR="00F87F00" w:rsidRPr="006804AB" w:rsidRDefault="00F87F00" w:rsidP="0030390E">
            <w:pPr>
              <w:pStyle w:val="Tabletext"/>
              <w:rPr>
                <w:lang w:eastAsia="en-AU"/>
              </w:rPr>
            </w:pPr>
            <w:r w:rsidRPr="006804AB">
              <w:rPr>
                <w:lang w:eastAsia="en-AU"/>
              </w:rPr>
              <w:t xml:space="preserve">Average academic achievement score in science (plausible values, </w:t>
            </w:r>
            <w:r w:rsidR="004D7801">
              <w:rPr>
                <w:lang w:eastAsia="en-AU"/>
              </w:rPr>
              <w:t xml:space="preserve">overall </w:t>
            </w:r>
            <w:r w:rsidRPr="006804AB">
              <w:rPr>
                <w:lang w:eastAsia="en-AU"/>
              </w:rPr>
              <w:t>mean = 527)</w:t>
            </w:r>
          </w:p>
        </w:tc>
        <w:tc>
          <w:tcPr>
            <w:tcW w:w="1134" w:type="dxa"/>
            <w:tcBorders>
              <w:top w:val="single" w:sz="4" w:space="0" w:color="auto"/>
              <w:left w:val="nil"/>
              <w:bottom w:val="nil"/>
              <w:right w:val="nil"/>
            </w:tcBorders>
            <w:shd w:val="clear" w:color="auto" w:fill="auto"/>
            <w:hideMark/>
          </w:tcPr>
          <w:p w:rsidR="00F87F00" w:rsidRPr="006804AB" w:rsidRDefault="00F87F00" w:rsidP="0030390E">
            <w:pPr>
              <w:pStyle w:val="Tabletext"/>
              <w:ind w:right="284"/>
              <w:jc w:val="right"/>
              <w:rPr>
                <w:lang w:eastAsia="en-AU"/>
              </w:rPr>
            </w:pPr>
            <w:r w:rsidRPr="006804AB">
              <w:rPr>
                <w:lang w:eastAsia="en-AU"/>
              </w:rPr>
              <w:t>553</w:t>
            </w:r>
          </w:p>
        </w:tc>
        <w:tc>
          <w:tcPr>
            <w:tcW w:w="1181" w:type="dxa"/>
            <w:tcBorders>
              <w:top w:val="single" w:sz="4" w:space="0" w:color="auto"/>
              <w:left w:val="nil"/>
              <w:bottom w:val="nil"/>
              <w:right w:val="nil"/>
            </w:tcBorders>
            <w:shd w:val="clear" w:color="auto" w:fill="auto"/>
            <w:hideMark/>
          </w:tcPr>
          <w:p w:rsidR="00F87F00" w:rsidRPr="006804AB" w:rsidRDefault="00F87F00" w:rsidP="00642965">
            <w:pPr>
              <w:pStyle w:val="Tabletext"/>
              <w:ind w:right="340"/>
              <w:jc w:val="right"/>
              <w:rPr>
                <w:lang w:eastAsia="en-AU"/>
              </w:rPr>
            </w:pPr>
            <w:r w:rsidRPr="006804AB">
              <w:rPr>
                <w:lang w:eastAsia="en-AU"/>
              </w:rPr>
              <w:t>523</w:t>
            </w:r>
          </w:p>
        </w:tc>
        <w:tc>
          <w:tcPr>
            <w:tcW w:w="1229" w:type="dxa"/>
            <w:tcBorders>
              <w:top w:val="single" w:sz="4" w:space="0" w:color="auto"/>
              <w:left w:val="nil"/>
              <w:bottom w:val="nil"/>
              <w:right w:val="nil"/>
            </w:tcBorders>
            <w:shd w:val="clear" w:color="auto" w:fill="auto"/>
            <w:hideMark/>
          </w:tcPr>
          <w:p w:rsidR="00F87F00" w:rsidRPr="006804AB" w:rsidRDefault="00F87F00" w:rsidP="00642965">
            <w:pPr>
              <w:pStyle w:val="Tabletext"/>
              <w:ind w:right="340"/>
              <w:jc w:val="right"/>
              <w:rPr>
                <w:lang w:eastAsia="en-AU"/>
              </w:rPr>
            </w:pPr>
            <w:r w:rsidRPr="006804AB">
              <w:rPr>
                <w:lang w:eastAsia="en-AU"/>
              </w:rPr>
              <w:t>523</w:t>
            </w:r>
          </w:p>
        </w:tc>
        <w:tc>
          <w:tcPr>
            <w:tcW w:w="1134" w:type="dxa"/>
            <w:tcBorders>
              <w:top w:val="single" w:sz="4" w:space="0" w:color="auto"/>
              <w:left w:val="nil"/>
              <w:bottom w:val="nil"/>
              <w:right w:val="nil"/>
            </w:tcBorders>
            <w:shd w:val="clear" w:color="auto" w:fill="auto"/>
            <w:hideMark/>
          </w:tcPr>
          <w:p w:rsidR="00F87F00" w:rsidRPr="006804AB" w:rsidRDefault="00F87F00" w:rsidP="0030390E">
            <w:pPr>
              <w:pStyle w:val="Tabletext"/>
              <w:ind w:right="284"/>
              <w:jc w:val="right"/>
              <w:rPr>
                <w:lang w:eastAsia="en-AU"/>
              </w:rPr>
            </w:pPr>
            <w:r w:rsidRPr="006804AB">
              <w:rPr>
                <w:lang w:eastAsia="en-AU"/>
              </w:rPr>
              <w:t>551</w:t>
            </w:r>
          </w:p>
        </w:tc>
        <w:tc>
          <w:tcPr>
            <w:tcW w:w="992" w:type="dxa"/>
            <w:tcBorders>
              <w:top w:val="nil"/>
              <w:left w:val="nil"/>
              <w:bottom w:val="nil"/>
              <w:right w:val="nil"/>
            </w:tcBorders>
            <w:shd w:val="clear" w:color="auto" w:fill="auto"/>
            <w:hideMark/>
          </w:tcPr>
          <w:p w:rsidR="00F87F00" w:rsidRPr="006804AB" w:rsidRDefault="00186E5F" w:rsidP="00642965">
            <w:pPr>
              <w:pStyle w:val="Tabletext"/>
              <w:ind w:right="170"/>
              <w:jc w:val="right"/>
              <w:rPr>
                <w:lang w:eastAsia="en-AU"/>
              </w:rPr>
            </w:pPr>
            <w:r>
              <w:rPr>
                <w:lang w:eastAsia="en-AU"/>
              </w:rPr>
              <w:t xml:space="preserve">14 </w:t>
            </w:r>
            <w:r w:rsidR="00F87F00" w:rsidRPr="006804AB">
              <w:rPr>
                <w:lang w:eastAsia="en-AU"/>
              </w:rPr>
              <w:t>251</w:t>
            </w:r>
          </w:p>
        </w:tc>
      </w:tr>
      <w:tr w:rsidR="00F87F00" w:rsidRPr="006804AB" w:rsidTr="00642965">
        <w:tc>
          <w:tcPr>
            <w:tcW w:w="3119" w:type="dxa"/>
            <w:tcBorders>
              <w:top w:val="nil"/>
              <w:left w:val="nil"/>
              <w:bottom w:val="nil"/>
              <w:right w:val="nil"/>
            </w:tcBorders>
            <w:shd w:val="clear" w:color="auto" w:fill="auto"/>
            <w:hideMark/>
          </w:tcPr>
          <w:p w:rsidR="00F87F00" w:rsidRPr="006804AB" w:rsidRDefault="00F87F00" w:rsidP="0030390E">
            <w:pPr>
              <w:pStyle w:val="Tabletext"/>
              <w:rPr>
                <w:lang w:eastAsia="en-AU"/>
              </w:rPr>
            </w:pPr>
            <w:r w:rsidRPr="006804AB">
              <w:rPr>
                <w:lang w:eastAsia="en-AU"/>
              </w:rPr>
              <w:t>Average science self-concept</w:t>
            </w:r>
          </w:p>
        </w:tc>
        <w:tc>
          <w:tcPr>
            <w:tcW w:w="1134" w:type="dxa"/>
            <w:tcBorders>
              <w:top w:val="nil"/>
              <w:left w:val="nil"/>
              <w:right w:val="nil"/>
            </w:tcBorders>
            <w:shd w:val="clear" w:color="auto" w:fill="auto"/>
            <w:hideMark/>
          </w:tcPr>
          <w:p w:rsidR="00F87F00" w:rsidRPr="006804AB" w:rsidRDefault="00F87F00" w:rsidP="0030390E">
            <w:pPr>
              <w:pStyle w:val="Tabletext"/>
              <w:ind w:right="284"/>
              <w:jc w:val="right"/>
              <w:rPr>
                <w:lang w:eastAsia="en-AU"/>
              </w:rPr>
            </w:pPr>
            <w:r w:rsidRPr="006804AB">
              <w:rPr>
                <w:lang w:eastAsia="en-AU"/>
              </w:rPr>
              <w:t>63</w:t>
            </w:r>
          </w:p>
        </w:tc>
        <w:tc>
          <w:tcPr>
            <w:tcW w:w="1181" w:type="dxa"/>
            <w:tcBorders>
              <w:top w:val="nil"/>
              <w:left w:val="nil"/>
              <w:right w:val="nil"/>
            </w:tcBorders>
            <w:shd w:val="clear" w:color="auto" w:fill="auto"/>
            <w:hideMark/>
          </w:tcPr>
          <w:p w:rsidR="00F87F00" w:rsidRPr="006804AB" w:rsidRDefault="00F87F00" w:rsidP="00642965">
            <w:pPr>
              <w:pStyle w:val="Tabletext"/>
              <w:ind w:right="340"/>
              <w:jc w:val="right"/>
              <w:rPr>
                <w:lang w:eastAsia="en-AU"/>
              </w:rPr>
            </w:pPr>
            <w:r w:rsidRPr="006804AB">
              <w:rPr>
                <w:lang w:eastAsia="en-AU"/>
              </w:rPr>
              <w:t>62</w:t>
            </w:r>
          </w:p>
        </w:tc>
        <w:tc>
          <w:tcPr>
            <w:tcW w:w="1229" w:type="dxa"/>
            <w:tcBorders>
              <w:top w:val="nil"/>
              <w:left w:val="nil"/>
              <w:right w:val="nil"/>
            </w:tcBorders>
            <w:shd w:val="clear" w:color="auto" w:fill="auto"/>
            <w:hideMark/>
          </w:tcPr>
          <w:p w:rsidR="00F87F00" w:rsidRPr="006804AB" w:rsidRDefault="00F87F00" w:rsidP="00642965">
            <w:pPr>
              <w:pStyle w:val="Tabletext"/>
              <w:ind w:right="340"/>
              <w:jc w:val="right"/>
              <w:rPr>
                <w:lang w:eastAsia="en-AU"/>
              </w:rPr>
            </w:pPr>
            <w:r w:rsidRPr="006804AB">
              <w:rPr>
                <w:lang w:eastAsia="en-AU"/>
              </w:rPr>
              <w:t>57</w:t>
            </w:r>
          </w:p>
        </w:tc>
        <w:tc>
          <w:tcPr>
            <w:tcW w:w="1134" w:type="dxa"/>
            <w:tcBorders>
              <w:top w:val="nil"/>
              <w:left w:val="nil"/>
              <w:right w:val="nil"/>
            </w:tcBorders>
            <w:shd w:val="clear" w:color="auto" w:fill="auto"/>
            <w:hideMark/>
          </w:tcPr>
          <w:p w:rsidR="00F87F00" w:rsidRPr="006804AB" w:rsidRDefault="00F87F00" w:rsidP="0030390E">
            <w:pPr>
              <w:pStyle w:val="Tabletext"/>
              <w:ind w:right="284"/>
              <w:jc w:val="right"/>
              <w:rPr>
                <w:lang w:eastAsia="en-AU"/>
              </w:rPr>
            </w:pPr>
            <w:r w:rsidRPr="006804AB">
              <w:rPr>
                <w:lang w:eastAsia="en-AU"/>
              </w:rPr>
              <w:t>60</w:t>
            </w:r>
          </w:p>
        </w:tc>
        <w:tc>
          <w:tcPr>
            <w:tcW w:w="992" w:type="dxa"/>
            <w:tcBorders>
              <w:top w:val="nil"/>
              <w:left w:val="nil"/>
              <w:bottom w:val="nil"/>
              <w:right w:val="nil"/>
            </w:tcBorders>
            <w:shd w:val="clear" w:color="auto" w:fill="auto"/>
            <w:hideMark/>
          </w:tcPr>
          <w:p w:rsidR="00F87F00" w:rsidRPr="006804AB" w:rsidRDefault="00186E5F" w:rsidP="00642965">
            <w:pPr>
              <w:pStyle w:val="Tabletext"/>
              <w:ind w:right="170"/>
              <w:jc w:val="right"/>
              <w:rPr>
                <w:lang w:eastAsia="en-AU"/>
              </w:rPr>
            </w:pPr>
            <w:r>
              <w:rPr>
                <w:lang w:eastAsia="en-AU"/>
              </w:rPr>
              <w:t xml:space="preserve">11 </w:t>
            </w:r>
            <w:r w:rsidR="00F87F00" w:rsidRPr="006804AB">
              <w:rPr>
                <w:lang w:eastAsia="en-AU"/>
              </w:rPr>
              <w:t>621</w:t>
            </w:r>
          </w:p>
        </w:tc>
      </w:tr>
      <w:tr w:rsidR="00F87F00" w:rsidRPr="006804AB" w:rsidTr="00642965">
        <w:tc>
          <w:tcPr>
            <w:tcW w:w="3119" w:type="dxa"/>
            <w:tcBorders>
              <w:top w:val="nil"/>
              <w:left w:val="nil"/>
              <w:bottom w:val="nil"/>
              <w:right w:val="nil"/>
            </w:tcBorders>
            <w:shd w:val="clear" w:color="auto" w:fill="auto"/>
            <w:hideMark/>
          </w:tcPr>
          <w:p w:rsidR="00F87F00" w:rsidRPr="006804AB" w:rsidRDefault="00F87F00" w:rsidP="0030390E">
            <w:pPr>
              <w:pStyle w:val="Tabletext"/>
              <w:rPr>
                <w:lang w:eastAsia="en-AU"/>
              </w:rPr>
            </w:pPr>
            <w:r w:rsidRPr="006804AB">
              <w:rPr>
                <w:lang w:eastAsia="en-AU"/>
              </w:rPr>
              <w:t>Average economic, cultural and social status of family in standard deviations,</w:t>
            </w:r>
            <w:r w:rsidR="004D7801">
              <w:rPr>
                <w:lang w:eastAsia="en-AU"/>
              </w:rPr>
              <w:t xml:space="preserve"> overall</w:t>
            </w:r>
            <w:r w:rsidRPr="006804AB">
              <w:rPr>
                <w:lang w:eastAsia="en-AU"/>
              </w:rPr>
              <w:t xml:space="preserve"> mean (0.34)</w:t>
            </w:r>
          </w:p>
        </w:tc>
        <w:tc>
          <w:tcPr>
            <w:tcW w:w="1134" w:type="dxa"/>
            <w:tcBorders>
              <w:top w:val="nil"/>
              <w:left w:val="nil"/>
              <w:right w:val="nil"/>
            </w:tcBorders>
            <w:shd w:val="clear" w:color="auto" w:fill="auto"/>
            <w:hideMark/>
          </w:tcPr>
          <w:p w:rsidR="00F87F00" w:rsidRPr="006804AB" w:rsidRDefault="00F87F00" w:rsidP="0030390E">
            <w:pPr>
              <w:pStyle w:val="Tabletext"/>
              <w:ind w:right="284"/>
              <w:jc w:val="right"/>
              <w:rPr>
                <w:lang w:eastAsia="en-AU"/>
              </w:rPr>
            </w:pPr>
            <w:r w:rsidRPr="006804AB">
              <w:rPr>
                <w:lang w:eastAsia="en-AU"/>
              </w:rPr>
              <w:t>0.72</w:t>
            </w:r>
          </w:p>
        </w:tc>
        <w:tc>
          <w:tcPr>
            <w:tcW w:w="1181" w:type="dxa"/>
            <w:tcBorders>
              <w:top w:val="nil"/>
              <w:left w:val="nil"/>
              <w:right w:val="nil"/>
            </w:tcBorders>
            <w:shd w:val="clear" w:color="auto" w:fill="auto"/>
            <w:hideMark/>
          </w:tcPr>
          <w:p w:rsidR="00F87F00" w:rsidRPr="006804AB" w:rsidRDefault="00F87F00" w:rsidP="00642965">
            <w:pPr>
              <w:pStyle w:val="Tabletext"/>
              <w:ind w:right="340"/>
              <w:jc w:val="right"/>
              <w:rPr>
                <w:lang w:eastAsia="en-AU"/>
              </w:rPr>
            </w:pPr>
            <w:r w:rsidRPr="006804AB">
              <w:rPr>
                <w:lang w:eastAsia="en-AU"/>
              </w:rPr>
              <w:t>0.30</w:t>
            </w:r>
          </w:p>
        </w:tc>
        <w:tc>
          <w:tcPr>
            <w:tcW w:w="1229" w:type="dxa"/>
            <w:tcBorders>
              <w:top w:val="nil"/>
              <w:left w:val="nil"/>
              <w:right w:val="nil"/>
            </w:tcBorders>
            <w:shd w:val="clear" w:color="auto" w:fill="auto"/>
            <w:hideMark/>
          </w:tcPr>
          <w:p w:rsidR="00F87F00" w:rsidRPr="006804AB" w:rsidRDefault="00F87F00" w:rsidP="00642965">
            <w:pPr>
              <w:pStyle w:val="Tabletext"/>
              <w:ind w:right="340"/>
              <w:jc w:val="right"/>
              <w:rPr>
                <w:lang w:eastAsia="en-AU"/>
              </w:rPr>
            </w:pPr>
            <w:r w:rsidRPr="006804AB">
              <w:rPr>
                <w:lang w:eastAsia="en-AU"/>
              </w:rPr>
              <w:t>0.29</w:t>
            </w:r>
          </w:p>
        </w:tc>
        <w:tc>
          <w:tcPr>
            <w:tcW w:w="1134" w:type="dxa"/>
            <w:tcBorders>
              <w:top w:val="nil"/>
              <w:left w:val="nil"/>
              <w:right w:val="nil"/>
            </w:tcBorders>
            <w:shd w:val="clear" w:color="auto" w:fill="auto"/>
            <w:hideMark/>
          </w:tcPr>
          <w:p w:rsidR="00F87F00" w:rsidRPr="006804AB" w:rsidRDefault="00F87F00" w:rsidP="0030390E">
            <w:pPr>
              <w:pStyle w:val="Tabletext"/>
              <w:ind w:right="284"/>
              <w:jc w:val="right"/>
              <w:rPr>
                <w:lang w:eastAsia="en-AU"/>
              </w:rPr>
            </w:pPr>
            <w:r w:rsidRPr="006804AB">
              <w:rPr>
                <w:lang w:eastAsia="en-AU"/>
              </w:rPr>
              <w:t>0.57</w:t>
            </w:r>
          </w:p>
        </w:tc>
        <w:tc>
          <w:tcPr>
            <w:tcW w:w="992" w:type="dxa"/>
            <w:tcBorders>
              <w:top w:val="nil"/>
              <w:left w:val="nil"/>
              <w:bottom w:val="nil"/>
              <w:right w:val="nil"/>
            </w:tcBorders>
            <w:shd w:val="clear" w:color="auto" w:fill="auto"/>
            <w:hideMark/>
          </w:tcPr>
          <w:p w:rsidR="00F87F00" w:rsidRPr="006804AB" w:rsidRDefault="00186E5F" w:rsidP="00642965">
            <w:pPr>
              <w:pStyle w:val="Tabletext"/>
              <w:ind w:right="170"/>
              <w:jc w:val="right"/>
              <w:rPr>
                <w:lang w:eastAsia="en-AU"/>
              </w:rPr>
            </w:pPr>
            <w:r>
              <w:rPr>
                <w:lang w:eastAsia="en-AU"/>
              </w:rPr>
              <w:t xml:space="preserve">13 </w:t>
            </w:r>
            <w:r w:rsidR="00F87F00" w:rsidRPr="006804AB">
              <w:rPr>
                <w:lang w:eastAsia="en-AU"/>
              </w:rPr>
              <w:t>933</w:t>
            </w:r>
          </w:p>
        </w:tc>
      </w:tr>
      <w:tr w:rsidR="00F87F00" w:rsidRPr="006804AB" w:rsidTr="00642965">
        <w:tc>
          <w:tcPr>
            <w:tcW w:w="3119" w:type="dxa"/>
            <w:tcBorders>
              <w:top w:val="nil"/>
              <w:left w:val="nil"/>
              <w:bottom w:val="single" w:sz="4" w:space="0" w:color="auto"/>
              <w:right w:val="nil"/>
            </w:tcBorders>
            <w:shd w:val="clear" w:color="auto" w:fill="auto"/>
            <w:hideMark/>
          </w:tcPr>
          <w:p w:rsidR="00F87F00" w:rsidRPr="006804AB" w:rsidRDefault="00F87F00" w:rsidP="0030390E">
            <w:pPr>
              <w:pStyle w:val="Tabletext"/>
              <w:rPr>
                <w:lang w:eastAsia="en-AU"/>
              </w:rPr>
            </w:pPr>
            <w:r w:rsidRPr="006804AB">
              <w:rPr>
                <w:lang w:eastAsia="en-AU"/>
              </w:rPr>
              <w:t>Average school size</w:t>
            </w:r>
          </w:p>
        </w:tc>
        <w:tc>
          <w:tcPr>
            <w:tcW w:w="1134" w:type="dxa"/>
            <w:tcBorders>
              <w:top w:val="nil"/>
              <w:left w:val="nil"/>
              <w:bottom w:val="single" w:sz="4" w:space="0" w:color="auto"/>
              <w:right w:val="nil"/>
            </w:tcBorders>
            <w:shd w:val="clear" w:color="auto" w:fill="auto"/>
            <w:hideMark/>
          </w:tcPr>
          <w:p w:rsidR="00F87F00" w:rsidRPr="006804AB" w:rsidRDefault="00F87F00" w:rsidP="0030390E">
            <w:pPr>
              <w:pStyle w:val="Tabletext"/>
              <w:ind w:right="284"/>
              <w:jc w:val="right"/>
              <w:rPr>
                <w:lang w:eastAsia="en-AU"/>
              </w:rPr>
            </w:pPr>
            <w:r w:rsidRPr="006804AB">
              <w:rPr>
                <w:lang w:eastAsia="en-AU"/>
              </w:rPr>
              <w:t>1</w:t>
            </w:r>
            <w:r w:rsidR="00186E5F">
              <w:rPr>
                <w:lang w:eastAsia="en-AU"/>
              </w:rPr>
              <w:t xml:space="preserve"> </w:t>
            </w:r>
            <w:r w:rsidRPr="006804AB">
              <w:rPr>
                <w:lang w:eastAsia="en-AU"/>
              </w:rPr>
              <w:t>197</w:t>
            </w:r>
          </w:p>
        </w:tc>
        <w:tc>
          <w:tcPr>
            <w:tcW w:w="2410" w:type="dxa"/>
            <w:gridSpan w:val="2"/>
            <w:tcBorders>
              <w:top w:val="nil"/>
              <w:left w:val="nil"/>
              <w:bottom w:val="single" w:sz="4" w:space="0" w:color="auto"/>
              <w:right w:val="nil"/>
            </w:tcBorders>
            <w:shd w:val="clear" w:color="auto" w:fill="auto"/>
            <w:hideMark/>
          </w:tcPr>
          <w:p w:rsidR="00F87F00" w:rsidRPr="006804AB" w:rsidRDefault="00F87F00" w:rsidP="0030390E">
            <w:pPr>
              <w:pStyle w:val="Tabletext"/>
              <w:jc w:val="center"/>
              <w:rPr>
                <w:lang w:eastAsia="en-AU"/>
              </w:rPr>
            </w:pPr>
            <w:r w:rsidRPr="006804AB">
              <w:rPr>
                <w:lang w:eastAsia="en-AU"/>
              </w:rPr>
              <w:t>973</w:t>
            </w:r>
          </w:p>
        </w:tc>
        <w:tc>
          <w:tcPr>
            <w:tcW w:w="1134" w:type="dxa"/>
            <w:tcBorders>
              <w:top w:val="nil"/>
              <w:left w:val="nil"/>
              <w:bottom w:val="single" w:sz="4" w:space="0" w:color="auto"/>
              <w:right w:val="nil"/>
            </w:tcBorders>
            <w:shd w:val="clear" w:color="auto" w:fill="auto"/>
            <w:hideMark/>
          </w:tcPr>
          <w:p w:rsidR="00F87F00" w:rsidRPr="006804AB" w:rsidRDefault="00F87F00" w:rsidP="003C5BA8">
            <w:pPr>
              <w:pStyle w:val="Tabletext"/>
              <w:jc w:val="center"/>
              <w:rPr>
                <w:lang w:eastAsia="en-AU"/>
              </w:rPr>
            </w:pPr>
            <w:r w:rsidRPr="006804AB">
              <w:rPr>
                <w:lang w:eastAsia="en-AU"/>
              </w:rPr>
              <w:t>942</w:t>
            </w:r>
          </w:p>
        </w:tc>
        <w:tc>
          <w:tcPr>
            <w:tcW w:w="992" w:type="dxa"/>
            <w:tcBorders>
              <w:top w:val="nil"/>
              <w:left w:val="nil"/>
              <w:bottom w:val="single" w:sz="4" w:space="0" w:color="auto"/>
              <w:right w:val="nil"/>
            </w:tcBorders>
            <w:shd w:val="clear" w:color="auto" w:fill="auto"/>
            <w:hideMark/>
          </w:tcPr>
          <w:p w:rsidR="00F87F00" w:rsidRPr="006804AB" w:rsidRDefault="00186E5F" w:rsidP="00642965">
            <w:pPr>
              <w:pStyle w:val="Tabletext"/>
              <w:ind w:right="170"/>
              <w:jc w:val="right"/>
              <w:rPr>
                <w:lang w:eastAsia="en-AU"/>
              </w:rPr>
            </w:pPr>
            <w:r>
              <w:rPr>
                <w:lang w:eastAsia="en-AU"/>
              </w:rPr>
              <w:t xml:space="preserve">14 </w:t>
            </w:r>
            <w:r w:rsidR="00F87F00" w:rsidRPr="006804AB">
              <w:rPr>
                <w:lang w:eastAsia="en-AU"/>
              </w:rPr>
              <w:t>251</w:t>
            </w:r>
          </w:p>
        </w:tc>
      </w:tr>
    </w:tbl>
    <w:p w:rsidR="00AD5F14" w:rsidRDefault="00AD5F14" w:rsidP="00AD5F14">
      <w:pPr>
        <w:pStyle w:val="Source"/>
      </w:pPr>
      <w:r w:rsidRPr="006804AB">
        <w:rPr>
          <w:lang w:eastAsia="en-AU"/>
        </w:rPr>
        <w:t>Source:</w:t>
      </w:r>
      <w:r>
        <w:rPr>
          <w:lang w:eastAsia="en-AU"/>
        </w:rPr>
        <w:tab/>
      </w:r>
      <w:r w:rsidRPr="006804AB">
        <w:rPr>
          <w:lang w:eastAsia="en-AU"/>
        </w:rPr>
        <w:t>LSAY09, weighted estimates</w:t>
      </w:r>
      <w:r>
        <w:rPr>
          <w:lang w:eastAsia="en-AU"/>
        </w:rPr>
        <w:t>.</w:t>
      </w:r>
    </w:p>
    <w:p w:rsidR="00F87F00" w:rsidRDefault="00F87F00" w:rsidP="00AD5F14">
      <w:pPr>
        <w:pStyle w:val="Text"/>
        <w:spacing w:before="360"/>
        <w:ind w:right="0"/>
      </w:pPr>
      <w:r>
        <w:t xml:space="preserve">Before </w:t>
      </w:r>
      <w:r w:rsidR="004E609C">
        <w:t>examining</w:t>
      </w:r>
      <w:r>
        <w:t xml:space="preserve"> the average differences in subject choice and career plans between single-sex and coeducational schools</w:t>
      </w:r>
      <w:r w:rsidR="00A135D1">
        <w:t>,</w:t>
      </w:r>
      <w:r>
        <w:t xml:space="preserve"> it is worth consider</w:t>
      </w:r>
      <w:r w:rsidR="00A135D1">
        <w:t>ing</w:t>
      </w:r>
      <w:r>
        <w:t xml:space="preserve"> whether the individual tendency for boys and girls to select different science subjects changed between 2009 and earlier poi</w:t>
      </w:r>
      <w:r w:rsidR="00A135D1">
        <w:t>nts of time. For illustration, t</w:t>
      </w:r>
      <w:r>
        <w:t xml:space="preserve">able </w:t>
      </w:r>
      <w:r w:rsidR="00A02143">
        <w:t>3</w:t>
      </w:r>
      <w:r>
        <w:t xml:space="preserve"> contrasts the relevant estimates between LSAY0</w:t>
      </w:r>
      <w:r w:rsidR="009903CE">
        <w:t>3</w:t>
      </w:r>
      <w:r>
        <w:t xml:space="preserve"> and LSAY0</w:t>
      </w:r>
      <w:r w:rsidR="009903CE">
        <w:t>9</w:t>
      </w:r>
      <w:r>
        <w:t>.</w:t>
      </w:r>
    </w:p>
    <w:p w:rsidR="00F87F00" w:rsidRDefault="00F87F00" w:rsidP="00502974">
      <w:pPr>
        <w:pStyle w:val="tabletitle"/>
      </w:pPr>
      <w:bookmarkStart w:id="56" w:name="_Toc367713391"/>
      <w:r>
        <w:t>Table 3</w:t>
      </w:r>
      <w:r>
        <w:tab/>
        <w:t>Uptake of science subjects in Year 11 and science-related career plans by gender: comparison between LSAY03 and LSAY09</w:t>
      </w:r>
      <w:bookmarkEnd w:id="56"/>
    </w:p>
    <w:tbl>
      <w:tblPr>
        <w:tblW w:w="8789" w:type="dxa"/>
        <w:tblInd w:w="108" w:type="dxa"/>
        <w:tblBorders>
          <w:top w:val="single" w:sz="4" w:space="0" w:color="auto"/>
          <w:bottom w:val="single" w:sz="4" w:space="0" w:color="auto"/>
        </w:tblBorders>
        <w:tblLayout w:type="fixed"/>
        <w:tblLook w:val="0000"/>
      </w:tblPr>
      <w:tblGrid>
        <w:gridCol w:w="3544"/>
        <w:gridCol w:w="1311"/>
        <w:gridCol w:w="1311"/>
        <w:gridCol w:w="1311"/>
        <w:gridCol w:w="1312"/>
      </w:tblGrid>
      <w:tr w:rsidR="00F87F00" w:rsidTr="00642965">
        <w:tc>
          <w:tcPr>
            <w:tcW w:w="3544" w:type="dxa"/>
            <w:tcBorders>
              <w:top w:val="single" w:sz="4" w:space="0" w:color="auto"/>
              <w:bottom w:val="nil"/>
              <w:right w:val="nil"/>
            </w:tcBorders>
          </w:tcPr>
          <w:p w:rsidR="00F87F00" w:rsidRDefault="00F87F00" w:rsidP="00642965">
            <w:pPr>
              <w:pStyle w:val="Tablehead1"/>
            </w:pPr>
          </w:p>
        </w:tc>
        <w:tc>
          <w:tcPr>
            <w:tcW w:w="2622" w:type="dxa"/>
            <w:gridSpan w:val="2"/>
            <w:tcBorders>
              <w:top w:val="single" w:sz="4" w:space="0" w:color="auto"/>
              <w:left w:val="nil"/>
              <w:bottom w:val="nil"/>
              <w:right w:val="nil"/>
            </w:tcBorders>
          </w:tcPr>
          <w:p w:rsidR="00F87F00" w:rsidRDefault="00F87F00" w:rsidP="00642965">
            <w:pPr>
              <w:pStyle w:val="Tablehead1"/>
              <w:jc w:val="center"/>
            </w:pPr>
            <w:r>
              <w:t>LSAY03</w:t>
            </w:r>
          </w:p>
        </w:tc>
        <w:tc>
          <w:tcPr>
            <w:tcW w:w="2623" w:type="dxa"/>
            <w:gridSpan w:val="2"/>
            <w:tcBorders>
              <w:top w:val="single" w:sz="4" w:space="0" w:color="auto"/>
              <w:left w:val="nil"/>
              <w:bottom w:val="nil"/>
            </w:tcBorders>
          </w:tcPr>
          <w:p w:rsidR="00F87F00" w:rsidRDefault="00F87F00" w:rsidP="00642965">
            <w:pPr>
              <w:pStyle w:val="Tablehead1"/>
              <w:jc w:val="center"/>
            </w:pPr>
            <w:r>
              <w:t>LSAY09</w:t>
            </w:r>
          </w:p>
        </w:tc>
      </w:tr>
      <w:tr w:rsidR="00F87F00" w:rsidTr="00642965">
        <w:tc>
          <w:tcPr>
            <w:tcW w:w="3544" w:type="dxa"/>
            <w:tcBorders>
              <w:top w:val="nil"/>
              <w:bottom w:val="single" w:sz="4" w:space="0" w:color="auto"/>
              <w:right w:val="nil"/>
            </w:tcBorders>
          </w:tcPr>
          <w:p w:rsidR="00F87F00" w:rsidRDefault="00F87F00" w:rsidP="00642965">
            <w:pPr>
              <w:pStyle w:val="Tablehead2"/>
            </w:pPr>
          </w:p>
        </w:tc>
        <w:tc>
          <w:tcPr>
            <w:tcW w:w="1311" w:type="dxa"/>
            <w:tcBorders>
              <w:top w:val="nil"/>
              <w:left w:val="nil"/>
              <w:bottom w:val="single" w:sz="4" w:space="0" w:color="auto"/>
              <w:right w:val="nil"/>
            </w:tcBorders>
          </w:tcPr>
          <w:p w:rsidR="00F87F00" w:rsidRDefault="00F87F00" w:rsidP="00642965">
            <w:pPr>
              <w:pStyle w:val="Tablehead2"/>
              <w:jc w:val="center"/>
            </w:pPr>
            <w:r>
              <w:t>Boys</w:t>
            </w:r>
            <w:r w:rsidR="00642965">
              <w:br/>
            </w:r>
            <w:r>
              <w:t>%</w:t>
            </w:r>
          </w:p>
        </w:tc>
        <w:tc>
          <w:tcPr>
            <w:tcW w:w="1311" w:type="dxa"/>
            <w:tcBorders>
              <w:top w:val="nil"/>
              <w:left w:val="nil"/>
              <w:bottom w:val="single" w:sz="4" w:space="0" w:color="auto"/>
              <w:right w:val="nil"/>
            </w:tcBorders>
          </w:tcPr>
          <w:p w:rsidR="00F87F00" w:rsidRDefault="00F87F00" w:rsidP="00642965">
            <w:pPr>
              <w:pStyle w:val="Tablehead2"/>
              <w:jc w:val="center"/>
            </w:pPr>
            <w:r>
              <w:t>Girls</w:t>
            </w:r>
            <w:r w:rsidR="00642965">
              <w:br/>
            </w:r>
            <w:r>
              <w:t>%</w:t>
            </w:r>
          </w:p>
        </w:tc>
        <w:tc>
          <w:tcPr>
            <w:tcW w:w="1311" w:type="dxa"/>
            <w:tcBorders>
              <w:top w:val="nil"/>
              <w:left w:val="nil"/>
              <w:bottom w:val="single" w:sz="4" w:space="0" w:color="auto"/>
              <w:right w:val="nil"/>
            </w:tcBorders>
          </w:tcPr>
          <w:p w:rsidR="00F87F00" w:rsidRDefault="00F87F00" w:rsidP="00642965">
            <w:pPr>
              <w:pStyle w:val="Tablehead2"/>
              <w:jc w:val="center"/>
            </w:pPr>
            <w:r>
              <w:t>Boys</w:t>
            </w:r>
            <w:r w:rsidR="00642965">
              <w:br/>
            </w:r>
            <w:r>
              <w:t>%</w:t>
            </w:r>
          </w:p>
        </w:tc>
        <w:tc>
          <w:tcPr>
            <w:tcW w:w="1312" w:type="dxa"/>
            <w:tcBorders>
              <w:top w:val="nil"/>
              <w:left w:val="nil"/>
              <w:bottom w:val="single" w:sz="4" w:space="0" w:color="auto"/>
            </w:tcBorders>
          </w:tcPr>
          <w:p w:rsidR="00F87F00" w:rsidRDefault="00F87F00" w:rsidP="00642965">
            <w:pPr>
              <w:pStyle w:val="Tablehead2"/>
              <w:jc w:val="center"/>
            </w:pPr>
            <w:r>
              <w:t>Girls</w:t>
            </w:r>
            <w:r w:rsidR="00642965">
              <w:br/>
            </w:r>
            <w:r>
              <w:t>%</w:t>
            </w:r>
          </w:p>
        </w:tc>
      </w:tr>
      <w:tr w:rsidR="00F87F00" w:rsidRPr="00642965" w:rsidTr="00642965">
        <w:tc>
          <w:tcPr>
            <w:tcW w:w="3544" w:type="dxa"/>
            <w:tcBorders>
              <w:top w:val="nil"/>
              <w:bottom w:val="nil"/>
              <w:right w:val="nil"/>
            </w:tcBorders>
          </w:tcPr>
          <w:p w:rsidR="00F87F00" w:rsidRPr="00642965" w:rsidRDefault="00F87F00" w:rsidP="00642965">
            <w:pPr>
              <w:pStyle w:val="Tabletext"/>
            </w:pPr>
            <w:r w:rsidRPr="00642965">
              <w:t>At least one science subject in Year 11</w:t>
            </w:r>
          </w:p>
        </w:tc>
        <w:tc>
          <w:tcPr>
            <w:tcW w:w="1311" w:type="dxa"/>
            <w:tcBorders>
              <w:top w:val="nil"/>
              <w:left w:val="nil"/>
              <w:bottom w:val="nil"/>
              <w:right w:val="nil"/>
            </w:tcBorders>
          </w:tcPr>
          <w:p w:rsidR="00F87F00" w:rsidRPr="00642965" w:rsidRDefault="00F87F00" w:rsidP="00642965">
            <w:pPr>
              <w:pStyle w:val="Tabletext"/>
              <w:tabs>
                <w:tab w:val="decimal" w:pos="624"/>
              </w:tabs>
            </w:pPr>
            <w:r w:rsidRPr="00642965">
              <w:t>60</w:t>
            </w:r>
          </w:p>
        </w:tc>
        <w:tc>
          <w:tcPr>
            <w:tcW w:w="1311" w:type="dxa"/>
            <w:tcBorders>
              <w:top w:val="nil"/>
              <w:left w:val="nil"/>
              <w:bottom w:val="nil"/>
              <w:right w:val="nil"/>
            </w:tcBorders>
          </w:tcPr>
          <w:p w:rsidR="00F87F00" w:rsidRPr="00642965" w:rsidRDefault="00F87F00" w:rsidP="00642965">
            <w:pPr>
              <w:pStyle w:val="Tabletext"/>
              <w:tabs>
                <w:tab w:val="decimal" w:pos="624"/>
              </w:tabs>
            </w:pPr>
            <w:r w:rsidRPr="00642965">
              <w:t>64</w:t>
            </w:r>
          </w:p>
        </w:tc>
        <w:tc>
          <w:tcPr>
            <w:tcW w:w="1311" w:type="dxa"/>
            <w:tcBorders>
              <w:top w:val="nil"/>
              <w:left w:val="nil"/>
              <w:bottom w:val="nil"/>
              <w:right w:val="nil"/>
            </w:tcBorders>
          </w:tcPr>
          <w:p w:rsidR="00F87F00" w:rsidRPr="00642965" w:rsidRDefault="00F87F00" w:rsidP="00642965">
            <w:pPr>
              <w:pStyle w:val="Tabletext"/>
              <w:tabs>
                <w:tab w:val="decimal" w:pos="624"/>
              </w:tabs>
            </w:pPr>
            <w:r w:rsidRPr="00642965">
              <w:t>62</w:t>
            </w:r>
          </w:p>
        </w:tc>
        <w:tc>
          <w:tcPr>
            <w:tcW w:w="1312" w:type="dxa"/>
            <w:tcBorders>
              <w:top w:val="nil"/>
              <w:left w:val="nil"/>
              <w:bottom w:val="nil"/>
            </w:tcBorders>
          </w:tcPr>
          <w:p w:rsidR="00F87F00" w:rsidRPr="00642965" w:rsidRDefault="00F87F00" w:rsidP="00642965">
            <w:pPr>
              <w:pStyle w:val="Tabletext"/>
              <w:tabs>
                <w:tab w:val="decimal" w:pos="624"/>
              </w:tabs>
            </w:pPr>
            <w:r w:rsidRPr="00642965">
              <w:t>61</w:t>
            </w:r>
          </w:p>
        </w:tc>
      </w:tr>
      <w:tr w:rsidR="00F87F00" w:rsidRPr="00642965" w:rsidTr="00642965">
        <w:tc>
          <w:tcPr>
            <w:tcW w:w="3544" w:type="dxa"/>
            <w:tcBorders>
              <w:top w:val="nil"/>
              <w:bottom w:val="nil"/>
              <w:right w:val="nil"/>
            </w:tcBorders>
          </w:tcPr>
          <w:p w:rsidR="00F87F00" w:rsidRPr="00642965" w:rsidRDefault="00F87F00" w:rsidP="00642965">
            <w:pPr>
              <w:pStyle w:val="Tabletext"/>
            </w:pPr>
            <w:r w:rsidRPr="00642965">
              <w:t>Physical science subject in Year 11</w:t>
            </w:r>
          </w:p>
        </w:tc>
        <w:tc>
          <w:tcPr>
            <w:tcW w:w="1311" w:type="dxa"/>
            <w:tcBorders>
              <w:top w:val="nil"/>
              <w:left w:val="nil"/>
              <w:bottom w:val="nil"/>
              <w:right w:val="nil"/>
            </w:tcBorders>
          </w:tcPr>
          <w:p w:rsidR="00F87F00" w:rsidRPr="00642965" w:rsidRDefault="00F87F00" w:rsidP="00642965">
            <w:pPr>
              <w:pStyle w:val="Tabletext"/>
              <w:tabs>
                <w:tab w:val="decimal" w:pos="624"/>
              </w:tabs>
            </w:pPr>
            <w:r w:rsidRPr="00642965">
              <w:t>38</w:t>
            </w:r>
          </w:p>
        </w:tc>
        <w:tc>
          <w:tcPr>
            <w:tcW w:w="1311" w:type="dxa"/>
            <w:tcBorders>
              <w:top w:val="nil"/>
              <w:left w:val="nil"/>
              <w:bottom w:val="nil"/>
              <w:right w:val="nil"/>
            </w:tcBorders>
          </w:tcPr>
          <w:p w:rsidR="00F87F00" w:rsidRPr="00642965" w:rsidRDefault="00F87F00" w:rsidP="00642965">
            <w:pPr>
              <w:pStyle w:val="Tabletext"/>
              <w:tabs>
                <w:tab w:val="decimal" w:pos="624"/>
              </w:tabs>
            </w:pPr>
            <w:r w:rsidRPr="00642965">
              <w:t>26</w:t>
            </w:r>
          </w:p>
        </w:tc>
        <w:tc>
          <w:tcPr>
            <w:tcW w:w="1311" w:type="dxa"/>
            <w:tcBorders>
              <w:top w:val="nil"/>
              <w:left w:val="nil"/>
              <w:bottom w:val="nil"/>
              <w:right w:val="nil"/>
            </w:tcBorders>
          </w:tcPr>
          <w:p w:rsidR="00F87F00" w:rsidRPr="00642965" w:rsidRDefault="00F87F00" w:rsidP="00642965">
            <w:pPr>
              <w:pStyle w:val="Tabletext"/>
              <w:tabs>
                <w:tab w:val="decimal" w:pos="624"/>
              </w:tabs>
            </w:pPr>
            <w:r w:rsidRPr="00642965">
              <w:t>41</w:t>
            </w:r>
          </w:p>
        </w:tc>
        <w:tc>
          <w:tcPr>
            <w:tcW w:w="1312" w:type="dxa"/>
            <w:tcBorders>
              <w:top w:val="nil"/>
              <w:left w:val="nil"/>
              <w:bottom w:val="nil"/>
            </w:tcBorders>
          </w:tcPr>
          <w:p w:rsidR="00F87F00" w:rsidRPr="00642965" w:rsidRDefault="00F87F00" w:rsidP="00642965">
            <w:pPr>
              <w:pStyle w:val="Tabletext"/>
              <w:tabs>
                <w:tab w:val="decimal" w:pos="624"/>
              </w:tabs>
            </w:pPr>
            <w:r w:rsidRPr="00642965">
              <w:t>28</w:t>
            </w:r>
          </w:p>
        </w:tc>
      </w:tr>
      <w:tr w:rsidR="00F87F00" w:rsidRPr="00642965" w:rsidTr="00642965">
        <w:tc>
          <w:tcPr>
            <w:tcW w:w="3544" w:type="dxa"/>
            <w:tcBorders>
              <w:top w:val="nil"/>
              <w:bottom w:val="nil"/>
              <w:right w:val="nil"/>
            </w:tcBorders>
          </w:tcPr>
          <w:p w:rsidR="00F87F00" w:rsidRPr="00642965" w:rsidRDefault="00F87F00" w:rsidP="00642965">
            <w:pPr>
              <w:pStyle w:val="Tabletext"/>
            </w:pPr>
            <w:r w:rsidRPr="00642965">
              <w:t>Life science subject in Year 11</w:t>
            </w:r>
          </w:p>
        </w:tc>
        <w:tc>
          <w:tcPr>
            <w:tcW w:w="1311" w:type="dxa"/>
            <w:tcBorders>
              <w:top w:val="nil"/>
              <w:left w:val="nil"/>
              <w:bottom w:val="nil"/>
              <w:right w:val="nil"/>
            </w:tcBorders>
          </w:tcPr>
          <w:p w:rsidR="00F87F00" w:rsidRPr="00642965" w:rsidRDefault="00F87F00" w:rsidP="00642965">
            <w:pPr>
              <w:pStyle w:val="Tabletext"/>
              <w:tabs>
                <w:tab w:val="decimal" w:pos="624"/>
              </w:tabs>
            </w:pPr>
            <w:r w:rsidRPr="00642965">
              <w:t>30</w:t>
            </w:r>
          </w:p>
        </w:tc>
        <w:tc>
          <w:tcPr>
            <w:tcW w:w="1311" w:type="dxa"/>
            <w:tcBorders>
              <w:top w:val="nil"/>
              <w:left w:val="nil"/>
              <w:bottom w:val="nil"/>
              <w:right w:val="nil"/>
            </w:tcBorders>
          </w:tcPr>
          <w:p w:rsidR="00F87F00" w:rsidRPr="00642965" w:rsidRDefault="00F87F00" w:rsidP="00642965">
            <w:pPr>
              <w:pStyle w:val="Tabletext"/>
              <w:tabs>
                <w:tab w:val="decimal" w:pos="624"/>
              </w:tabs>
            </w:pPr>
            <w:r w:rsidRPr="00642965">
              <w:t>50</w:t>
            </w:r>
          </w:p>
        </w:tc>
        <w:tc>
          <w:tcPr>
            <w:tcW w:w="1311" w:type="dxa"/>
            <w:tcBorders>
              <w:top w:val="nil"/>
              <w:left w:val="nil"/>
              <w:bottom w:val="nil"/>
              <w:right w:val="nil"/>
            </w:tcBorders>
          </w:tcPr>
          <w:p w:rsidR="00F87F00" w:rsidRPr="00642965" w:rsidRDefault="00F87F00" w:rsidP="00642965">
            <w:pPr>
              <w:pStyle w:val="Tabletext"/>
              <w:tabs>
                <w:tab w:val="decimal" w:pos="624"/>
              </w:tabs>
            </w:pPr>
            <w:r w:rsidRPr="00642965">
              <w:t>33</w:t>
            </w:r>
          </w:p>
        </w:tc>
        <w:tc>
          <w:tcPr>
            <w:tcW w:w="1312" w:type="dxa"/>
            <w:tcBorders>
              <w:top w:val="nil"/>
              <w:left w:val="nil"/>
              <w:bottom w:val="nil"/>
            </w:tcBorders>
          </w:tcPr>
          <w:p w:rsidR="00F87F00" w:rsidRPr="00642965" w:rsidRDefault="00F87F00" w:rsidP="00642965">
            <w:pPr>
              <w:pStyle w:val="Tabletext"/>
              <w:tabs>
                <w:tab w:val="decimal" w:pos="624"/>
              </w:tabs>
            </w:pPr>
            <w:r w:rsidRPr="00642965">
              <w:t>50</w:t>
            </w:r>
          </w:p>
        </w:tc>
      </w:tr>
      <w:tr w:rsidR="00694B16" w:rsidRPr="00642965" w:rsidTr="00642965">
        <w:tc>
          <w:tcPr>
            <w:tcW w:w="3544" w:type="dxa"/>
            <w:tcBorders>
              <w:top w:val="nil"/>
              <w:bottom w:val="nil"/>
              <w:right w:val="nil"/>
            </w:tcBorders>
          </w:tcPr>
          <w:p w:rsidR="00694B16" w:rsidRPr="00642965" w:rsidRDefault="00694B16" w:rsidP="00F714C8">
            <w:pPr>
              <w:pStyle w:val="Tabletext"/>
              <w:spacing w:before="0" w:after="0"/>
            </w:pPr>
          </w:p>
        </w:tc>
        <w:tc>
          <w:tcPr>
            <w:tcW w:w="1311" w:type="dxa"/>
            <w:tcBorders>
              <w:top w:val="nil"/>
              <w:left w:val="nil"/>
              <w:bottom w:val="nil"/>
              <w:right w:val="nil"/>
            </w:tcBorders>
          </w:tcPr>
          <w:p w:rsidR="00694B16" w:rsidRPr="00642965" w:rsidRDefault="00694B16" w:rsidP="00F714C8">
            <w:pPr>
              <w:pStyle w:val="Tabletext"/>
              <w:tabs>
                <w:tab w:val="decimal" w:pos="624"/>
              </w:tabs>
              <w:spacing w:before="0" w:after="0"/>
            </w:pPr>
          </w:p>
        </w:tc>
        <w:tc>
          <w:tcPr>
            <w:tcW w:w="1311" w:type="dxa"/>
            <w:tcBorders>
              <w:top w:val="nil"/>
              <w:left w:val="nil"/>
              <w:bottom w:val="nil"/>
              <w:right w:val="nil"/>
            </w:tcBorders>
          </w:tcPr>
          <w:p w:rsidR="00694B16" w:rsidRPr="00642965" w:rsidRDefault="00694B16" w:rsidP="00F714C8">
            <w:pPr>
              <w:pStyle w:val="Tabletext"/>
              <w:tabs>
                <w:tab w:val="decimal" w:pos="624"/>
              </w:tabs>
              <w:spacing w:before="0" w:after="0"/>
            </w:pPr>
          </w:p>
        </w:tc>
        <w:tc>
          <w:tcPr>
            <w:tcW w:w="1311" w:type="dxa"/>
            <w:tcBorders>
              <w:top w:val="nil"/>
              <w:left w:val="nil"/>
              <w:bottom w:val="nil"/>
              <w:right w:val="nil"/>
            </w:tcBorders>
          </w:tcPr>
          <w:p w:rsidR="00694B16" w:rsidRPr="00642965" w:rsidRDefault="00694B16" w:rsidP="00F714C8">
            <w:pPr>
              <w:pStyle w:val="Tabletext"/>
              <w:tabs>
                <w:tab w:val="decimal" w:pos="624"/>
              </w:tabs>
              <w:spacing w:before="0" w:after="0"/>
            </w:pPr>
          </w:p>
        </w:tc>
        <w:tc>
          <w:tcPr>
            <w:tcW w:w="1312" w:type="dxa"/>
            <w:tcBorders>
              <w:top w:val="nil"/>
              <w:left w:val="nil"/>
              <w:bottom w:val="nil"/>
            </w:tcBorders>
          </w:tcPr>
          <w:p w:rsidR="00694B16" w:rsidRPr="00642965" w:rsidRDefault="00694B16" w:rsidP="00F714C8">
            <w:pPr>
              <w:pStyle w:val="Tabletext"/>
              <w:tabs>
                <w:tab w:val="decimal" w:pos="624"/>
              </w:tabs>
              <w:spacing w:before="0" w:after="0"/>
            </w:pPr>
          </w:p>
        </w:tc>
      </w:tr>
      <w:tr w:rsidR="00F87F00" w:rsidRPr="00642965" w:rsidTr="00642965">
        <w:tc>
          <w:tcPr>
            <w:tcW w:w="3544" w:type="dxa"/>
            <w:tcBorders>
              <w:top w:val="nil"/>
              <w:bottom w:val="nil"/>
              <w:right w:val="nil"/>
            </w:tcBorders>
          </w:tcPr>
          <w:p w:rsidR="00F87F00" w:rsidRPr="00642965" w:rsidRDefault="00F87F00" w:rsidP="00642965">
            <w:pPr>
              <w:pStyle w:val="Tabletext"/>
            </w:pPr>
            <w:r w:rsidRPr="00642965">
              <w:t>Plans to work in science</w:t>
            </w:r>
          </w:p>
        </w:tc>
        <w:tc>
          <w:tcPr>
            <w:tcW w:w="1311" w:type="dxa"/>
            <w:tcBorders>
              <w:top w:val="nil"/>
              <w:left w:val="nil"/>
              <w:bottom w:val="nil"/>
              <w:right w:val="nil"/>
            </w:tcBorders>
          </w:tcPr>
          <w:p w:rsidR="00F87F00" w:rsidRPr="00642965" w:rsidRDefault="00F87F00" w:rsidP="00642965">
            <w:pPr>
              <w:pStyle w:val="Tabletext"/>
              <w:tabs>
                <w:tab w:val="decimal" w:pos="624"/>
              </w:tabs>
            </w:pPr>
            <w:r w:rsidRPr="00642965">
              <w:t>33</w:t>
            </w:r>
          </w:p>
        </w:tc>
        <w:tc>
          <w:tcPr>
            <w:tcW w:w="1311" w:type="dxa"/>
            <w:tcBorders>
              <w:top w:val="nil"/>
              <w:left w:val="nil"/>
              <w:bottom w:val="nil"/>
              <w:right w:val="nil"/>
            </w:tcBorders>
          </w:tcPr>
          <w:p w:rsidR="00F87F00" w:rsidRPr="00642965" w:rsidRDefault="00F87F00" w:rsidP="00642965">
            <w:pPr>
              <w:pStyle w:val="Tabletext"/>
              <w:tabs>
                <w:tab w:val="decimal" w:pos="624"/>
              </w:tabs>
            </w:pPr>
            <w:r w:rsidRPr="00642965">
              <w:t>30</w:t>
            </w:r>
          </w:p>
        </w:tc>
        <w:tc>
          <w:tcPr>
            <w:tcW w:w="1311" w:type="dxa"/>
            <w:tcBorders>
              <w:top w:val="nil"/>
              <w:left w:val="nil"/>
              <w:bottom w:val="nil"/>
              <w:right w:val="nil"/>
            </w:tcBorders>
          </w:tcPr>
          <w:p w:rsidR="00F87F00" w:rsidRPr="00642965" w:rsidRDefault="00F87F00" w:rsidP="00642965">
            <w:pPr>
              <w:pStyle w:val="Tabletext"/>
              <w:tabs>
                <w:tab w:val="decimal" w:pos="624"/>
              </w:tabs>
            </w:pPr>
            <w:r w:rsidRPr="00642965">
              <w:t>33</w:t>
            </w:r>
          </w:p>
        </w:tc>
        <w:tc>
          <w:tcPr>
            <w:tcW w:w="1312" w:type="dxa"/>
            <w:tcBorders>
              <w:top w:val="nil"/>
              <w:left w:val="nil"/>
              <w:bottom w:val="nil"/>
            </w:tcBorders>
          </w:tcPr>
          <w:p w:rsidR="00F87F00" w:rsidRPr="00642965" w:rsidRDefault="00F87F00" w:rsidP="00642965">
            <w:pPr>
              <w:pStyle w:val="Tabletext"/>
              <w:tabs>
                <w:tab w:val="decimal" w:pos="624"/>
              </w:tabs>
            </w:pPr>
            <w:r w:rsidRPr="00642965">
              <w:t>29</w:t>
            </w:r>
          </w:p>
        </w:tc>
      </w:tr>
      <w:tr w:rsidR="00F87F00" w:rsidRPr="00642965" w:rsidTr="00642965">
        <w:tc>
          <w:tcPr>
            <w:tcW w:w="3544" w:type="dxa"/>
            <w:tcBorders>
              <w:top w:val="nil"/>
              <w:bottom w:val="nil"/>
              <w:right w:val="nil"/>
            </w:tcBorders>
          </w:tcPr>
          <w:p w:rsidR="00F87F00" w:rsidRPr="00642965" w:rsidRDefault="00F87F00" w:rsidP="00642965">
            <w:pPr>
              <w:pStyle w:val="Tabletext"/>
            </w:pPr>
            <w:r w:rsidRPr="00642965">
              <w:t>Plans to work in physical science</w:t>
            </w:r>
          </w:p>
        </w:tc>
        <w:tc>
          <w:tcPr>
            <w:tcW w:w="1311" w:type="dxa"/>
            <w:tcBorders>
              <w:top w:val="nil"/>
              <w:left w:val="nil"/>
              <w:bottom w:val="nil"/>
              <w:right w:val="nil"/>
            </w:tcBorders>
          </w:tcPr>
          <w:p w:rsidR="00F87F00" w:rsidRPr="00642965" w:rsidRDefault="00F87F00" w:rsidP="00642965">
            <w:pPr>
              <w:pStyle w:val="Tabletext"/>
              <w:tabs>
                <w:tab w:val="decimal" w:pos="624"/>
              </w:tabs>
            </w:pPr>
            <w:r w:rsidRPr="00642965">
              <w:t>24</w:t>
            </w:r>
          </w:p>
        </w:tc>
        <w:tc>
          <w:tcPr>
            <w:tcW w:w="1311" w:type="dxa"/>
            <w:tcBorders>
              <w:top w:val="nil"/>
              <w:left w:val="nil"/>
              <w:bottom w:val="nil"/>
              <w:right w:val="nil"/>
            </w:tcBorders>
          </w:tcPr>
          <w:p w:rsidR="00F87F00" w:rsidRPr="00642965" w:rsidRDefault="00F87F00" w:rsidP="00642965">
            <w:pPr>
              <w:pStyle w:val="Tabletext"/>
              <w:tabs>
                <w:tab w:val="decimal" w:pos="624"/>
              </w:tabs>
            </w:pPr>
            <w:r w:rsidRPr="00642965">
              <w:t>6</w:t>
            </w:r>
          </w:p>
        </w:tc>
        <w:tc>
          <w:tcPr>
            <w:tcW w:w="1311" w:type="dxa"/>
            <w:tcBorders>
              <w:top w:val="nil"/>
              <w:left w:val="nil"/>
              <w:bottom w:val="nil"/>
              <w:right w:val="nil"/>
            </w:tcBorders>
          </w:tcPr>
          <w:p w:rsidR="00F87F00" w:rsidRPr="00642965" w:rsidRDefault="00F87F00" w:rsidP="00642965">
            <w:pPr>
              <w:pStyle w:val="Tabletext"/>
              <w:tabs>
                <w:tab w:val="decimal" w:pos="624"/>
              </w:tabs>
            </w:pPr>
            <w:r w:rsidRPr="00642965">
              <w:t>22</w:t>
            </w:r>
          </w:p>
        </w:tc>
        <w:tc>
          <w:tcPr>
            <w:tcW w:w="1312" w:type="dxa"/>
            <w:tcBorders>
              <w:top w:val="nil"/>
              <w:left w:val="nil"/>
              <w:bottom w:val="nil"/>
            </w:tcBorders>
          </w:tcPr>
          <w:p w:rsidR="00F87F00" w:rsidRPr="00642965" w:rsidRDefault="00F87F00" w:rsidP="00642965">
            <w:pPr>
              <w:pStyle w:val="Tabletext"/>
              <w:tabs>
                <w:tab w:val="decimal" w:pos="624"/>
              </w:tabs>
            </w:pPr>
            <w:r w:rsidRPr="00642965">
              <w:t>6</w:t>
            </w:r>
          </w:p>
        </w:tc>
      </w:tr>
      <w:tr w:rsidR="00F87F00" w:rsidRPr="00642965" w:rsidTr="00642965">
        <w:tc>
          <w:tcPr>
            <w:tcW w:w="3544" w:type="dxa"/>
            <w:tcBorders>
              <w:top w:val="nil"/>
              <w:bottom w:val="single" w:sz="4" w:space="0" w:color="auto"/>
              <w:right w:val="nil"/>
            </w:tcBorders>
          </w:tcPr>
          <w:p w:rsidR="00F87F00" w:rsidRPr="00642965" w:rsidRDefault="00F87F00" w:rsidP="00642965">
            <w:pPr>
              <w:pStyle w:val="Tabletext"/>
            </w:pPr>
            <w:r w:rsidRPr="00642965">
              <w:t>Plans to work in life science</w:t>
            </w:r>
          </w:p>
        </w:tc>
        <w:tc>
          <w:tcPr>
            <w:tcW w:w="1311" w:type="dxa"/>
            <w:tcBorders>
              <w:top w:val="nil"/>
              <w:left w:val="nil"/>
              <w:bottom w:val="single" w:sz="4" w:space="0" w:color="auto"/>
              <w:right w:val="nil"/>
            </w:tcBorders>
          </w:tcPr>
          <w:p w:rsidR="00F87F00" w:rsidRPr="00642965" w:rsidRDefault="00F87F00" w:rsidP="00642965">
            <w:pPr>
              <w:pStyle w:val="Tabletext"/>
              <w:tabs>
                <w:tab w:val="decimal" w:pos="624"/>
              </w:tabs>
            </w:pPr>
            <w:r w:rsidRPr="00642965">
              <w:t>9</w:t>
            </w:r>
          </w:p>
        </w:tc>
        <w:tc>
          <w:tcPr>
            <w:tcW w:w="1311" w:type="dxa"/>
            <w:tcBorders>
              <w:top w:val="nil"/>
              <w:left w:val="nil"/>
              <w:bottom w:val="single" w:sz="4" w:space="0" w:color="auto"/>
              <w:right w:val="nil"/>
            </w:tcBorders>
          </w:tcPr>
          <w:p w:rsidR="00F87F00" w:rsidRPr="00642965" w:rsidRDefault="00F87F00" w:rsidP="00642965">
            <w:pPr>
              <w:pStyle w:val="Tabletext"/>
              <w:tabs>
                <w:tab w:val="decimal" w:pos="624"/>
              </w:tabs>
            </w:pPr>
            <w:r w:rsidRPr="00642965">
              <w:t>24</w:t>
            </w:r>
          </w:p>
        </w:tc>
        <w:tc>
          <w:tcPr>
            <w:tcW w:w="1311" w:type="dxa"/>
            <w:tcBorders>
              <w:top w:val="nil"/>
              <w:left w:val="nil"/>
              <w:bottom w:val="single" w:sz="4" w:space="0" w:color="auto"/>
              <w:right w:val="nil"/>
            </w:tcBorders>
          </w:tcPr>
          <w:p w:rsidR="00F87F00" w:rsidRPr="00642965" w:rsidRDefault="00F87F00" w:rsidP="00642965">
            <w:pPr>
              <w:pStyle w:val="Tabletext"/>
              <w:tabs>
                <w:tab w:val="decimal" w:pos="624"/>
              </w:tabs>
            </w:pPr>
            <w:r w:rsidRPr="00642965">
              <w:t>11</w:t>
            </w:r>
          </w:p>
        </w:tc>
        <w:tc>
          <w:tcPr>
            <w:tcW w:w="1312" w:type="dxa"/>
            <w:tcBorders>
              <w:top w:val="nil"/>
              <w:left w:val="nil"/>
              <w:bottom w:val="single" w:sz="4" w:space="0" w:color="auto"/>
            </w:tcBorders>
          </w:tcPr>
          <w:p w:rsidR="00F87F00" w:rsidRPr="00642965" w:rsidRDefault="00F87F00" w:rsidP="00642965">
            <w:pPr>
              <w:pStyle w:val="Tabletext"/>
              <w:tabs>
                <w:tab w:val="decimal" w:pos="624"/>
              </w:tabs>
            </w:pPr>
            <w:r w:rsidRPr="00642965">
              <w:t>23</w:t>
            </w:r>
          </w:p>
        </w:tc>
      </w:tr>
    </w:tbl>
    <w:p w:rsidR="00F87F00" w:rsidRDefault="00F87F00" w:rsidP="00502974">
      <w:pPr>
        <w:pStyle w:val="Source"/>
        <w:rPr>
          <w:rFonts w:eastAsia="SimSun"/>
        </w:rPr>
      </w:pPr>
      <w:r>
        <w:t>Source:</w:t>
      </w:r>
      <w:r w:rsidR="00AD5F14">
        <w:tab/>
      </w:r>
      <w:r>
        <w:t>LSAY03 and LSAY09, weighted estimates</w:t>
      </w:r>
      <w:r w:rsidR="00A135D1">
        <w:t>.</w:t>
      </w:r>
    </w:p>
    <w:p w:rsidR="00F87F00" w:rsidRDefault="00F87F00" w:rsidP="00AD5F14">
      <w:pPr>
        <w:pStyle w:val="Text"/>
        <w:spacing w:before="360"/>
        <w:ind w:right="0"/>
        <w:rPr>
          <w:rFonts w:eastAsia="SimSun"/>
        </w:rPr>
      </w:pPr>
      <w:r>
        <w:rPr>
          <w:rFonts w:eastAsia="SimSun"/>
        </w:rPr>
        <w:t xml:space="preserve">There are striking similarities in the proportions of boys and girls in these cohorts who studied science in Year 11. Moreover, the size of the gender gaps in the uptake of life and physical sizes is comparable for Australian adolescents who </w:t>
      </w:r>
      <w:r w:rsidR="007C3DD7">
        <w:rPr>
          <w:rFonts w:eastAsia="SimSun"/>
        </w:rPr>
        <w:t>turned</w:t>
      </w:r>
      <w:r w:rsidR="008421C5">
        <w:rPr>
          <w:rFonts w:eastAsia="SimSun"/>
        </w:rPr>
        <w:t xml:space="preserve"> 15 years</w:t>
      </w:r>
      <w:r w:rsidR="007C3DD7">
        <w:rPr>
          <w:rFonts w:eastAsia="SimSun"/>
        </w:rPr>
        <w:t xml:space="preserve"> of age</w:t>
      </w:r>
      <w:r>
        <w:rPr>
          <w:rFonts w:eastAsia="SimSun"/>
        </w:rPr>
        <w:t xml:space="preserve"> in 2003 and those who were </w:t>
      </w:r>
      <w:r w:rsidR="008421C5">
        <w:rPr>
          <w:rFonts w:eastAsia="SimSun"/>
        </w:rPr>
        <w:t xml:space="preserve">aged 15 </w:t>
      </w:r>
      <w:r>
        <w:rPr>
          <w:rFonts w:eastAsia="SimSun"/>
        </w:rPr>
        <w:t xml:space="preserve">in 2009. By analogy, the proportions of students interested generally in science careers and specifically in life and physical science occupations are almost the same in both groups of adolescents. Physical science careers attract relatively few girls (24% of boys versus 6% of girls in 2003 and 22% boys versus 6% of girls in 2009), while life science is less popular among boys (9% of boys versus 24% of girls in 2003 and 11% of boys versus 23% of girls in 2009). These patterns </w:t>
      </w:r>
      <w:r w:rsidR="00E07F08">
        <w:rPr>
          <w:rFonts w:eastAsia="SimSun"/>
        </w:rPr>
        <w:t>also resemble</w:t>
      </w:r>
      <w:r>
        <w:rPr>
          <w:rFonts w:eastAsia="SimSun"/>
        </w:rPr>
        <w:t xml:space="preserve"> </w:t>
      </w:r>
      <w:r w:rsidR="00A135D1">
        <w:rPr>
          <w:rFonts w:eastAsia="SimSun"/>
        </w:rPr>
        <w:t xml:space="preserve">the </w:t>
      </w:r>
      <w:r>
        <w:rPr>
          <w:rFonts w:eastAsia="SimSun"/>
        </w:rPr>
        <w:t xml:space="preserve">proportions reported in the 1990s </w:t>
      </w:r>
      <w:r>
        <w:rPr>
          <w:rFonts w:eastAsia="SimSun"/>
          <w:noProof/>
        </w:rPr>
        <w:t>(</w:t>
      </w:r>
      <w:r w:rsidR="00A135D1">
        <w:rPr>
          <w:rFonts w:eastAsia="SimSun"/>
          <w:noProof/>
        </w:rPr>
        <w:t>Ainley &amp; Daly 2002; Ainley, Kos</w:t>
      </w:r>
      <w:r>
        <w:rPr>
          <w:rFonts w:eastAsia="SimSun"/>
          <w:noProof/>
        </w:rPr>
        <w:t xml:space="preserve"> &amp; Nicholas 2008)</w:t>
      </w:r>
      <w:r>
        <w:rPr>
          <w:rFonts w:eastAsia="SimSun"/>
        </w:rPr>
        <w:t>. They clearly indicate, with respect to the first research question posed in this paper,</w:t>
      </w:r>
      <w:r w:rsidR="009903CE">
        <w:rPr>
          <w:rFonts w:eastAsia="SimSun"/>
        </w:rPr>
        <w:t xml:space="preserve"> that</w:t>
      </w:r>
      <w:r>
        <w:rPr>
          <w:rFonts w:eastAsia="SimSun"/>
        </w:rPr>
        <w:t xml:space="preserve"> the tendency for boys and girls to cluster in different science courses persists over time, with no sign of decreasing, even though the actual titles of science courses and their curricula change.  </w:t>
      </w:r>
    </w:p>
    <w:p w:rsidR="00F87F00" w:rsidRDefault="00F87F00" w:rsidP="00502974">
      <w:pPr>
        <w:pStyle w:val="Text"/>
        <w:rPr>
          <w:rFonts w:eastAsia="SimSun"/>
        </w:rPr>
      </w:pPr>
      <w:r>
        <w:rPr>
          <w:rFonts w:eastAsia="SimSun"/>
        </w:rPr>
        <w:t xml:space="preserve">Do single-sex schools make much difference to these self-sorting tendencies? Figure 3 compares males and females in sex-segregated and coeducational settings. Boys in single-sex schools are more likely </w:t>
      </w:r>
      <w:r>
        <w:rPr>
          <w:rFonts w:eastAsia="SimSun"/>
        </w:rPr>
        <w:lastRenderedPageBreak/>
        <w:t xml:space="preserve">(17%) than their counterparts in coeducational schools (10%) to plan a life science career. However, their interest in physical science jobs and their uptake of physics courses in either Year 11 or 12 are comparable </w:t>
      </w:r>
      <w:r w:rsidR="004E609C">
        <w:rPr>
          <w:rFonts w:eastAsia="SimSun"/>
        </w:rPr>
        <w:t>across</w:t>
      </w:r>
      <w:r>
        <w:rPr>
          <w:rFonts w:eastAsia="SimSun"/>
        </w:rPr>
        <w:t xml:space="preserve"> coeducational and single-sex schools. By the same token, the proportions of boys taking life science subjects are similar in different types of schools in Years 11 and 12. So, segregated environments make no difference to boys</w:t>
      </w:r>
      <w:r w:rsidR="00C33F0A">
        <w:rPr>
          <w:rFonts w:eastAsia="SimSun"/>
        </w:rPr>
        <w:t>’</w:t>
      </w:r>
      <w:r>
        <w:rPr>
          <w:rFonts w:eastAsia="SimSun"/>
        </w:rPr>
        <w:t xml:space="preserve"> inclination to study science, although they seem to encourage more boys to think of life science careers, which are reputed to attract more girls.</w:t>
      </w:r>
    </w:p>
    <w:p w:rsidR="00B51336" w:rsidRDefault="00F87F00" w:rsidP="00502974">
      <w:pPr>
        <w:pStyle w:val="Text"/>
        <w:rPr>
          <w:rFonts w:eastAsia="SimSun"/>
        </w:rPr>
      </w:pPr>
      <w:r>
        <w:rPr>
          <w:rFonts w:eastAsia="SimSun"/>
        </w:rPr>
        <w:t>The patterns for gir</w:t>
      </w:r>
      <w:r w:rsidR="00A135D1">
        <w:rPr>
          <w:rFonts w:eastAsia="SimSun"/>
        </w:rPr>
        <w:t>ls shown in the lower panel of f</w:t>
      </w:r>
      <w:r>
        <w:rPr>
          <w:rFonts w:eastAsia="SimSun"/>
        </w:rPr>
        <w:t>igure 3 reveal little differentiation by school type with respect to life science subjects or</w:t>
      </w:r>
      <w:r w:rsidRPr="00F832BC">
        <w:rPr>
          <w:rFonts w:eastAsia="SimSun"/>
        </w:rPr>
        <w:t xml:space="preserve"> </w:t>
      </w:r>
      <w:r>
        <w:rPr>
          <w:rFonts w:eastAsia="SimSun"/>
        </w:rPr>
        <w:t xml:space="preserve">careers. However, girls in girls-only schools seem to be more likely to consider a career in physical science (8%) </w:t>
      </w:r>
      <w:r w:rsidR="009903CE">
        <w:rPr>
          <w:rFonts w:eastAsia="SimSun"/>
        </w:rPr>
        <w:t xml:space="preserve">than </w:t>
      </w:r>
      <w:r>
        <w:rPr>
          <w:rFonts w:eastAsia="SimSun"/>
        </w:rPr>
        <w:t>girls in coeducational settings (5%). Moreover, more girls in segregated schools study physical sciences (38% versus 25% in Year 11) and this tendency persist</w:t>
      </w:r>
      <w:r w:rsidR="00A135D1">
        <w:rPr>
          <w:rFonts w:eastAsia="SimSun"/>
        </w:rPr>
        <w:t>s</w:t>
      </w:r>
      <w:r>
        <w:rPr>
          <w:rFonts w:eastAsia="SimSun"/>
        </w:rPr>
        <w:t xml:space="preserve"> into Year 12 (30% versus 20%)</w:t>
      </w:r>
      <w:r w:rsidR="00A135D1">
        <w:rPr>
          <w:rFonts w:eastAsia="SimSun"/>
        </w:rPr>
        <w:t>,</w:t>
      </w:r>
      <w:r>
        <w:rPr>
          <w:rFonts w:eastAsia="SimSun"/>
        </w:rPr>
        <w:t xml:space="preserve"> even though the proportion of girls taking science subjects falls between Years 11 and 12. </w:t>
      </w:r>
    </w:p>
    <w:p w:rsidR="007E2D33" w:rsidRDefault="007E2D33" w:rsidP="007E2D33">
      <w:pPr>
        <w:pStyle w:val="Text"/>
        <w:rPr>
          <w:rFonts w:eastAsia="SimSun"/>
        </w:rPr>
      </w:pPr>
      <w:r>
        <w:rPr>
          <w:rFonts w:eastAsia="SimSun"/>
        </w:rPr>
        <w:t xml:space="preserve">This decreased interest in science in Year 12 is apparent in all groups of students considered here, with the single exception of boys studying physical science in single-sex schools, for whom the estimates are 39% in both Years 11 and 12. </w:t>
      </w:r>
    </w:p>
    <w:p w:rsidR="007E2D33" w:rsidRDefault="007E2D33" w:rsidP="007E2D33">
      <w:pPr>
        <w:pStyle w:val="Text"/>
      </w:pPr>
      <w:r>
        <w:rPr>
          <w:rFonts w:eastAsia="SimSun"/>
        </w:rPr>
        <w:t xml:space="preserve">The key question that arises, however, is whether these differences persist once a host of other characteristics of students and schools have been taken into account. </w:t>
      </w:r>
      <w:r>
        <w:t xml:space="preserve">Many previous studies, including the Ainley and Daly analysis (2002), found that what appeared as the benefits of single-sex schooling were really attributable to the specific features of the student populations or school settings. To provide a strong test of this hypothesis, the multivariate analyses presented in tables 4 and 5 include not only all the variables previously taken into account </w:t>
      </w:r>
      <w:r>
        <w:rPr>
          <w:noProof/>
        </w:rPr>
        <w:t>(Ainley &amp; Daly 2002)</w:t>
      </w:r>
      <w:r>
        <w:t xml:space="preserve"> but also a large number of other characteristics named in the literature as the potential real causes of the apparent benefits that single-sex schools bestow on science engagement. (The details of the model estimation and independent variables are in appendix </w:t>
      </w:r>
      <w:r w:rsidR="008421C5">
        <w:t>A</w:t>
      </w:r>
      <w:r>
        <w:t>.) Apart from the variables shown in tables 4 and 5, earlier estimations controlled also for the size of school, the average economic, social and cultural status of families within each school, and the school average of students’ science self-confidence, but as these variables made no difference to the results they were omitted to conserve space.</w:t>
      </w:r>
    </w:p>
    <w:p w:rsidR="007E2D33" w:rsidRDefault="007E2D33" w:rsidP="007E2D33">
      <w:pPr>
        <w:pStyle w:val="Text"/>
      </w:pPr>
      <w:r>
        <w:t xml:space="preserve">In contrast to the analysis of science subject uptake conducted for the 1998 data </w:t>
      </w:r>
      <w:r>
        <w:rPr>
          <w:noProof/>
        </w:rPr>
        <w:t>(Ainley &amp; Daly 2002),</w:t>
      </w:r>
      <w:r>
        <w:t xml:space="preserve"> this paper finds that single-sex schools encourage a higher level of engagement in physical science among girls (0.49** in table 4). However, an apparently stronger commitment to physical science careers amon</w:t>
      </w:r>
      <w:r w:rsidR="008421C5">
        <w:t xml:space="preserve">g these girls is explained </w:t>
      </w:r>
      <w:r>
        <w:t xml:space="preserve">by other variables, so single-sex schools do not, in their own right, succeed in encouraging adolescent girls to target physical science occupations any more than coeducational schools. </w:t>
      </w:r>
    </w:p>
    <w:p w:rsidR="00B51336" w:rsidRDefault="00B51336">
      <w:pPr>
        <w:spacing w:before="0" w:after="200" w:line="276" w:lineRule="auto"/>
        <w:rPr>
          <w:rFonts w:eastAsia="SimSun"/>
        </w:rPr>
      </w:pPr>
      <w:r>
        <w:rPr>
          <w:rFonts w:eastAsia="SimSun"/>
        </w:rPr>
        <w:br w:type="page"/>
      </w:r>
    </w:p>
    <w:p w:rsidR="00F87F00" w:rsidRDefault="00B51336" w:rsidP="00502974">
      <w:pPr>
        <w:pStyle w:val="Figuretitle"/>
      </w:pPr>
      <w:bookmarkStart w:id="57" w:name="_Toc335564281"/>
      <w:r>
        <w:rPr>
          <w:noProof/>
          <w:lang w:eastAsia="en-AU"/>
        </w:rPr>
        <w:lastRenderedPageBreak/>
        <w:drawing>
          <wp:anchor distT="0" distB="0" distL="114300" distR="114300" simplePos="0" relativeHeight="251672576" behindDoc="0" locked="0" layoutInCell="1" allowOverlap="1">
            <wp:simplePos x="0" y="0"/>
            <wp:positionH relativeFrom="column">
              <wp:posOffset>-214630</wp:posOffset>
            </wp:positionH>
            <wp:positionV relativeFrom="paragraph">
              <wp:posOffset>3999865</wp:posOffset>
            </wp:positionV>
            <wp:extent cx="5791200" cy="3895725"/>
            <wp:effectExtent l="0" t="0" r="0" b="0"/>
            <wp:wrapTopAndBottom/>
            <wp:docPr id="6" name="Picture 5" descr="FinalGirlsGraph.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GirlsGraph.emf"/>
                    <pic:cNvPicPr/>
                  </pic:nvPicPr>
                  <pic:blipFill>
                    <a:blip r:embed="rId15" cstate="print"/>
                    <a:stretch>
                      <a:fillRect/>
                    </a:stretch>
                  </pic:blipFill>
                  <pic:spPr>
                    <a:xfrm>
                      <a:off x="0" y="0"/>
                      <a:ext cx="5791200" cy="3895725"/>
                    </a:xfrm>
                    <a:prstGeom prst="rect">
                      <a:avLst/>
                    </a:prstGeom>
                  </pic:spPr>
                </pic:pic>
              </a:graphicData>
            </a:graphic>
          </wp:anchor>
        </w:drawing>
      </w:r>
      <w:r>
        <w:rPr>
          <w:noProof/>
          <w:lang w:eastAsia="en-AU"/>
        </w:rPr>
        <w:drawing>
          <wp:anchor distT="0" distB="0" distL="114300" distR="114300" simplePos="0" relativeHeight="251671552" behindDoc="0" locked="0" layoutInCell="1" allowOverlap="1">
            <wp:simplePos x="0" y="0"/>
            <wp:positionH relativeFrom="column">
              <wp:posOffset>-224155</wp:posOffset>
            </wp:positionH>
            <wp:positionV relativeFrom="paragraph">
              <wp:posOffset>189865</wp:posOffset>
            </wp:positionV>
            <wp:extent cx="5791200" cy="3895725"/>
            <wp:effectExtent l="0" t="0" r="0" b="0"/>
            <wp:wrapTopAndBottom/>
            <wp:docPr id="4" name="Picture 3" descr="FinalBoysGraph.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BoysGraph.emf"/>
                    <pic:cNvPicPr/>
                  </pic:nvPicPr>
                  <pic:blipFill>
                    <a:blip r:embed="rId16" cstate="print"/>
                    <a:stretch>
                      <a:fillRect/>
                    </a:stretch>
                  </pic:blipFill>
                  <pic:spPr>
                    <a:xfrm>
                      <a:off x="0" y="0"/>
                      <a:ext cx="5791200" cy="3895725"/>
                    </a:xfrm>
                    <a:prstGeom prst="rect">
                      <a:avLst/>
                    </a:prstGeom>
                  </pic:spPr>
                </pic:pic>
              </a:graphicData>
            </a:graphic>
          </wp:anchor>
        </w:drawing>
      </w:r>
      <w:bookmarkStart w:id="58" w:name="_Toc367713396"/>
      <w:r w:rsidR="00F87F00">
        <w:t>Figure 3</w:t>
      </w:r>
      <w:r w:rsidR="00F87F00">
        <w:tab/>
        <w:t>Boys</w:t>
      </w:r>
      <w:r w:rsidR="00C33F0A">
        <w:t>’</w:t>
      </w:r>
      <w:r w:rsidR="00F87F00">
        <w:t xml:space="preserve"> and girls</w:t>
      </w:r>
      <w:r w:rsidR="00C33F0A">
        <w:t>’</w:t>
      </w:r>
      <w:r w:rsidR="00F87F00">
        <w:t xml:space="preserve"> science engagement</w:t>
      </w:r>
      <w:r w:rsidR="008421C5">
        <w:t>,</w:t>
      </w:r>
      <w:r w:rsidR="00F87F00">
        <w:t xml:space="preserve"> by type of school</w:t>
      </w:r>
      <w:bookmarkEnd w:id="57"/>
      <w:bookmarkEnd w:id="58"/>
      <w:r w:rsidR="00F87F00">
        <w:t xml:space="preserve"> </w:t>
      </w:r>
    </w:p>
    <w:p w:rsidR="00F87F00" w:rsidRDefault="00F87F00" w:rsidP="00502974">
      <w:pPr>
        <w:pStyle w:val="Source"/>
      </w:pPr>
      <w:r>
        <w:t>Source:</w:t>
      </w:r>
      <w:r w:rsidR="00B51336">
        <w:tab/>
      </w:r>
      <w:r>
        <w:t>LSAY09, weighted estimates</w:t>
      </w:r>
      <w:r w:rsidR="00A135D1">
        <w:t>.</w:t>
      </w:r>
    </w:p>
    <w:p w:rsidR="00F87F00" w:rsidRDefault="00F87F00" w:rsidP="00502974">
      <w:pPr>
        <w:pStyle w:val="Text"/>
      </w:pPr>
    </w:p>
    <w:p w:rsidR="00F87F00" w:rsidRPr="00642965" w:rsidRDefault="00F87F00" w:rsidP="00642965">
      <w:pPr>
        <w:pStyle w:val="tabletitle"/>
        <w:spacing w:before="0"/>
      </w:pPr>
      <w:r>
        <w:br w:type="page"/>
      </w:r>
      <w:bookmarkStart w:id="59" w:name="_Toc265872479"/>
      <w:bookmarkStart w:id="60" w:name="_Toc367713392"/>
      <w:bookmarkStart w:id="61" w:name="_Toc456000800"/>
      <w:bookmarkStart w:id="62" w:name="_Toc457122465"/>
      <w:bookmarkStart w:id="63" w:name="_Toc188077643"/>
      <w:r w:rsidRPr="00642965">
        <w:lastRenderedPageBreak/>
        <w:t>Table 4</w:t>
      </w:r>
      <w:bookmarkEnd w:id="59"/>
      <w:r w:rsidRPr="00642965">
        <w:tab/>
        <w:t>Studying a Year 11 subject in life science and in physical scienc</w:t>
      </w:r>
      <w:r w:rsidR="0084401E" w:rsidRPr="00642965">
        <w:t>e, u</w:t>
      </w:r>
      <w:r w:rsidRPr="00642965">
        <w:t>nstandardised coefficients from multilevel random intercept models</w:t>
      </w:r>
      <w:bookmarkEnd w:id="60"/>
    </w:p>
    <w:tbl>
      <w:tblPr>
        <w:tblW w:w="8789" w:type="dxa"/>
        <w:tblInd w:w="57" w:type="dxa"/>
        <w:tblLayout w:type="fixed"/>
        <w:tblCellMar>
          <w:left w:w="57" w:type="dxa"/>
          <w:right w:w="57" w:type="dxa"/>
        </w:tblCellMar>
        <w:tblLook w:val="04A0"/>
      </w:tblPr>
      <w:tblGrid>
        <w:gridCol w:w="567"/>
        <w:gridCol w:w="3119"/>
        <w:gridCol w:w="1417"/>
        <w:gridCol w:w="1134"/>
        <w:gridCol w:w="1418"/>
        <w:gridCol w:w="1134"/>
      </w:tblGrid>
      <w:tr w:rsidR="00247DCA" w:rsidRPr="00C96355" w:rsidTr="006B1956">
        <w:tc>
          <w:tcPr>
            <w:tcW w:w="567" w:type="dxa"/>
            <w:tcBorders>
              <w:top w:val="single" w:sz="4" w:space="0" w:color="auto"/>
              <w:left w:val="nil"/>
              <w:right w:val="nil"/>
            </w:tcBorders>
            <w:shd w:val="clear" w:color="auto" w:fill="auto"/>
            <w:hideMark/>
          </w:tcPr>
          <w:p w:rsidR="00247DCA" w:rsidRPr="00C96355" w:rsidRDefault="00247DCA" w:rsidP="00247DCA">
            <w:pPr>
              <w:pStyle w:val="Tablehead1"/>
            </w:pPr>
            <w:r w:rsidRPr="00C96355">
              <w:t> </w:t>
            </w:r>
          </w:p>
        </w:tc>
        <w:tc>
          <w:tcPr>
            <w:tcW w:w="3119" w:type="dxa"/>
            <w:tcBorders>
              <w:top w:val="single" w:sz="4" w:space="0" w:color="auto"/>
              <w:left w:val="nil"/>
              <w:right w:val="nil"/>
            </w:tcBorders>
            <w:shd w:val="clear" w:color="auto" w:fill="auto"/>
            <w:hideMark/>
          </w:tcPr>
          <w:p w:rsidR="00247DCA" w:rsidRPr="00C96355" w:rsidRDefault="00247DCA" w:rsidP="00247DCA">
            <w:pPr>
              <w:pStyle w:val="Tablehead1"/>
              <w:rPr>
                <w:sz w:val="16"/>
                <w:szCs w:val="16"/>
              </w:rPr>
            </w:pPr>
            <w:r w:rsidRPr="00C96355">
              <w:rPr>
                <w:sz w:val="16"/>
                <w:szCs w:val="16"/>
              </w:rPr>
              <w:t> </w:t>
            </w:r>
          </w:p>
        </w:tc>
        <w:tc>
          <w:tcPr>
            <w:tcW w:w="2551" w:type="dxa"/>
            <w:gridSpan w:val="2"/>
            <w:tcBorders>
              <w:top w:val="single" w:sz="4" w:space="0" w:color="auto"/>
              <w:left w:val="nil"/>
              <w:right w:val="nil"/>
            </w:tcBorders>
            <w:shd w:val="clear" w:color="auto" w:fill="auto"/>
            <w:hideMark/>
          </w:tcPr>
          <w:p w:rsidR="00247DCA" w:rsidRPr="00C96355" w:rsidRDefault="00247DCA" w:rsidP="006B1956">
            <w:pPr>
              <w:pStyle w:val="Tablehead1"/>
              <w:jc w:val="center"/>
              <w:rPr>
                <w:sz w:val="16"/>
                <w:szCs w:val="16"/>
              </w:rPr>
            </w:pPr>
            <w:r>
              <w:rPr>
                <w:sz w:val="16"/>
                <w:szCs w:val="16"/>
              </w:rPr>
              <w:t xml:space="preserve">Life science subject </w:t>
            </w:r>
            <w:r w:rsidR="006B1956">
              <w:rPr>
                <w:sz w:val="16"/>
                <w:szCs w:val="16"/>
              </w:rPr>
              <w:br/>
            </w:r>
            <w:r>
              <w:rPr>
                <w:sz w:val="16"/>
                <w:szCs w:val="16"/>
              </w:rPr>
              <w:t>in Year 11</w:t>
            </w:r>
          </w:p>
        </w:tc>
        <w:tc>
          <w:tcPr>
            <w:tcW w:w="2552" w:type="dxa"/>
            <w:gridSpan w:val="2"/>
            <w:tcBorders>
              <w:top w:val="single" w:sz="4" w:space="0" w:color="auto"/>
              <w:left w:val="nil"/>
              <w:right w:val="nil"/>
            </w:tcBorders>
            <w:shd w:val="clear" w:color="auto" w:fill="auto"/>
          </w:tcPr>
          <w:p w:rsidR="00247DCA" w:rsidRPr="00C96355" w:rsidRDefault="00247DCA" w:rsidP="006B1956">
            <w:pPr>
              <w:pStyle w:val="Tablehead1"/>
              <w:jc w:val="center"/>
              <w:rPr>
                <w:sz w:val="16"/>
                <w:szCs w:val="16"/>
              </w:rPr>
            </w:pPr>
            <w:r>
              <w:rPr>
                <w:sz w:val="16"/>
                <w:szCs w:val="16"/>
              </w:rPr>
              <w:t xml:space="preserve">Physical science subject </w:t>
            </w:r>
            <w:r w:rsidR="006B1956">
              <w:rPr>
                <w:sz w:val="16"/>
                <w:szCs w:val="16"/>
              </w:rPr>
              <w:br/>
            </w:r>
            <w:r>
              <w:rPr>
                <w:sz w:val="16"/>
                <w:szCs w:val="16"/>
              </w:rPr>
              <w:t>in Year 11</w:t>
            </w:r>
          </w:p>
        </w:tc>
      </w:tr>
      <w:tr w:rsidR="00247DCA" w:rsidRPr="00C96355" w:rsidTr="006B1956">
        <w:tc>
          <w:tcPr>
            <w:tcW w:w="3686" w:type="dxa"/>
            <w:gridSpan w:val="2"/>
            <w:tcBorders>
              <w:left w:val="nil"/>
              <w:right w:val="nil"/>
            </w:tcBorders>
            <w:shd w:val="clear" w:color="auto" w:fill="auto"/>
            <w:noWrap/>
            <w:hideMark/>
          </w:tcPr>
          <w:p w:rsidR="00247DCA" w:rsidRPr="00C96355" w:rsidRDefault="00247DCA" w:rsidP="00247DCA">
            <w:pPr>
              <w:pStyle w:val="Tablehead1"/>
            </w:pPr>
            <w:r w:rsidRPr="00C96355">
              <w:t>Fixed effects</w:t>
            </w:r>
          </w:p>
        </w:tc>
        <w:tc>
          <w:tcPr>
            <w:tcW w:w="1417" w:type="dxa"/>
            <w:tcBorders>
              <w:left w:val="nil"/>
              <w:right w:val="nil"/>
            </w:tcBorders>
            <w:shd w:val="clear" w:color="auto" w:fill="auto"/>
            <w:hideMark/>
          </w:tcPr>
          <w:p w:rsidR="00247DCA" w:rsidRPr="00C96355" w:rsidRDefault="00247DCA" w:rsidP="006B1956">
            <w:pPr>
              <w:pStyle w:val="Tablehead1"/>
              <w:jc w:val="center"/>
            </w:pPr>
          </w:p>
        </w:tc>
        <w:tc>
          <w:tcPr>
            <w:tcW w:w="1134" w:type="dxa"/>
            <w:tcBorders>
              <w:left w:val="nil"/>
              <w:right w:val="nil"/>
            </w:tcBorders>
            <w:shd w:val="clear" w:color="auto" w:fill="auto"/>
            <w:noWrap/>
            <w:hideMark/>
          </w:tcPr>
          <w:p w:rsidR="00247DCA" w:rsidRPr="00C96355" w:rsidRDefault="00247DCA" w:rsidP="006B1956">
            <w:pPr>
              <w:pStyle w:val="Tablehead1"/>
              <w:jc w:val="center"/>
            </w:pPr>
          </w:p>
        </w:tc>
        <w:tc>
          <w:tcPr>
            <w:tcW w:w="1418" w:type="dxa"/>
            <w:tcBorders>
              <w:left w:val="nil"/>
              <w:right w:val="nil"/>
            </w:tcBorders>
            <w:shd w:val="clear" w:color="auto" w:fill="auto"/>
            <w:hideMark/>
          </w:tcPr>
          <w:p w:rsidR="00247DCA" w:rsidRPr="00C96355" w:rsidRDefault="00247DCA" w:rsidP="006B1956">
            <w:pPr>
              <w:pStyle w:val="Tablehead1"/>
              <w:jc w:val="center"/>
            </w:pPr>
          </w:p>
        </w:tc>
        <w:tc>
          <w:tcPr>
            <w:tcW w:w="1134" w:type="dxa"/>
            <w:tcBorders>
              <w:left w:val="nil"/>
              <w:right w:val="nil"/>
            </w:tcBorders>
            <w:shd w:val="clear" w:color="auto" w:fill="auto"/>
            <w:textDirection w:val="btLr"/>
            <w:hideMark/>
          </w:tcPr>
          <w:p w:rsidR="00247DCA" w:rsidRPr="00C96355" w:rsidRDefault="00247DCA" w:rsidP="006B1956">
            <w:pPr>
              <w:pStyle w:val="Tablehead1"/>
              <w:jc w:val="center"/>
            </w:pPr>
          </w:p>
        </w:tc>
      </w:tr>
      <w:tr w:rsidR="00247DCA" w:rsidRPr="00247DCA" w:rsidTr="006B1956">
        <w:tc>
          <w:tcPr>
            <w:tcW w:w="567" w:type="dxa"/>
            <w:tcBorders>
              <w:top w:val="nil"/>
              <w:left w:val="nil"/>
              <w:bottom w:val="single" w:sz="4" w:space="0" w:color="auto"/>
              <w:right w:val="nil"/>
            </w:tcBorders>
            <w:shd w:val="clear" w:color="auto" w:fill="auto"/>
            <w:noWrap/>
            <w:hideMark/>
          </w:tcPr>
          <w:p w:rsidR="00247DCA" w:rsidRPr="00247DCA" w:rsidRDefault="00247DCA" w:rsidP="00247DCA">
            <w:pPr>
              <w:pStyle w:val="Tablehead2"/>
              <w:rPr>
                <w:szCs w:val="22"/>
              </w:rPr>
            </w:pPr>
            <w:r w:rsidRPr="00247DCA">
              <w:rPr>
                <w:szCs w:val="22"/>
              </w:rPr>
              <w:t> </w:t>
            </w:r>
          </w:p>
        </w:tc>
        <w:tc>
          <w:tcPr>
            <w:tcW w:w="3119" w:type="dxa"/>
            <w:tcBorders>
              <w:top w:val="nil"/>
              <w:left w:val="nil"/>
              <w:bottom w:val="single" w:sz="4" w:space="0" w:color="auto"/>
              <w:right w:val="nil"/>
            </w:tcBorders>
            <w:shd w:val="clear" w:color="auto" w:fill="auto"/>
            <w:noWrap/>
            <w:hideMark/>
          </w:tcPr>
          <w:p w:rsidR="00247DCA" w:rsidRPr="00247DCA" w:rsidRDefault="00247DCA" w:rsidP="00247DCA">
            <w:pPr>
              <w:pStyle w:val="Tablehead2"/>
              <w:rPr>
                <w:szCs w:val="16"/>
              </w:rPr>
            </w:pPr>
            <w:r w:rsidRPr="00247DCA">
              <w:rPr>
                <w:szCs w:val="16"/>
              </w:rPr>
              <w:t> </w:t>
            </w:r>
          </w:p>
        </w:tc>
        <w:tc>
          <w:tcPr>
            <w:tcW w:w="1417" w:type="dxa"/>
            <w:tcBorders>
              <w:top w:val="nil"/>
              <w:left w:val="nil"/>
              <w:bottom w:val="single" w:sz="4" w:space="0" w:color="auto"/>
              <w:right w:val="nil"/>
            </w:tcBorders>
            <w:shd w:val="clear" w:color="auto" w:fill="auto"/>
            <w:hideMark/>
          </w:tcPr>
          <w:p w:rsidR="00247DCA" w:rsidRPr="00247DCA" w:rsidRDefault="00247DCA" w:rsidP="006B1956">
            <w:pPr>
              <w:pStyle w:val="Tablehead2"/>
              <w:jc w:val="center"/>
              <w:rPr>
                <w:szCs w:val="14"/>
              </w:rPr>
            </w:pPr>
            <w:r w:rsidRPr="00247DCA">
              <w:rPr>
                <w:szCs w:val="14"/>
              </w:rPr>
              <w:t>Unstandardised coefficient</w:t>
            </w:r>
          </w:p>
        </w:tc>
        <w:tc>
          <w:tcPr>
            <w:tcW w:w="1134" w:type="dxa"/>
            <w:tcBorders>
              <w:top w:val="nil"/>
              <w:left w:val="nil"/>
              <w:bottom w:val="single" w:sz="4" w:space="0" w:color="auto"/>
              <w:right w:val="nil"/>
            </w:tcBorders>
            <w:shd w:val="clear" w:color="auto" w:fill="auto"/>
            <w:hideMark/>
          </w:tcPr>
          <w:p w:rsidR="00247DCA" w:rsidRPr="00247DCA" w:rsidRDefault="00247DCA" w:rsidP="006B1956">
            <w:pPr>
              <w:pStyle w:val="Tablehead2"/>
              <w:jc w:val="center"/>
              <w:rPr>
                <w:szCs w:val="14"/>
              </w:rPr>
            </w:pPr>
            <w:r w:rsidRPr="00247DCA">
              <w:rPr>
                <w:szCs w:val="14"/>
              </w:rPr>
              <w:t>Standard error</w:t>
            </w:r>
          </w:p>
        </w:tc>
        <w:tc>
          <w:tcPr>
            <w:tcW w:w="1418" w:type="dxa"/>
            <w:tcBorders>
              <w:top w:val="nil"/>
              <w:left w:val="nil"/>
              <w:bottom w:val="single" w:sz="4" w:space="0" w:color="auto"/>
              <w:right w:val="nil"/>
            </w:tcBorders>
            <w:shd w:val="clear" w:color="auto" w:fill="auto"/>
            <w:hideMark/>
          </w:tcPr>
          <w:p w:rsidR="00247DCA" w:rsidRPr="00247DCA" w:rsidRDefault="00247DCA" w:rsidP="006B1956">
            <w:pPr>
              <w:pStyle w:val="Tablehead2"/>
              <w:jc w:val="center"/>
              <w:rPr>
                <w:szCs w:val="14"/>
              </w:rPr>
            </w:pPr>
            <w:r w:rsidRPr="00247DCA">
              <w:rPr>
                <w:szCs w:val="14"/>
              </w:rPr>
              <w:t>Unstandardised coefficient</w:t>
            </w:r>
          </w:p>
        </w:tc>
        <w:tc>
          <w:tcPr>
            <w:tcW w:w="1134" w:type="dxa"/>
            <w:tcBorders>
              <w:top w:val="nil"/>
              <w:left w:val="nil"/>
              <w:bottom w:val="single" w:sz="4" w:space="0" w:color="auto"/>
              <w:right w:val="nil"/>
            </w:tcBorders>
            <w:shd w:val="clear" w:color="auto" w:fill="auto"/>
            <w:hideMark/>
          </w:tcPr>
          <w:p w:rsidR="00247DCA" w:rsidRPr="00247DCA" w:rsidRDefault="00247DCA" w:rsidP="006B1956">
            <w:pPr>
              <w:pStyle w:val="Tablehead2"/>
              <w:jc w:val="center"/>
              <w:rPr>
                <w:szCs w:val="14"/>
              </w:rPr>
            </w:pPr>
            <w:r w:rsidRPr="00247DCA">
              <w:rPr>
                <w:szCs w:val="14"/>
              </w:rPr>
              <w:t>Standard error</w:t>
            </w:r>
          </w:p>
        </w:tc>
      </w:tr>
      <w:tr w:rsidR="00247DCA" w:rsidRPr="00C96355" w:rsidTr="006B1956">
        <w:tc>
          <w:tcPr>
            <w:tcW w:w="3686" w:type="dxa"/>
            <w:gridSpan w:val="2"/>
            <w:tcBorders>
              <w:top w:val="single" w:sz="4" w:space="0" w:color="auto"/>
              <w:left w:val="nil"/>
              <w:bottom w:val="nil"/>
              <w:right w:val="nil"/>
            </w:tcBorders>
            <w:shd w:val="clear" w:color="auto" w:fill="auto"/>
            <w:noWrap/>
            <w:hideMark/>
          </w:tcPr>
          <w:p w:rsidR="00247DCA" w:rsidRPr="006B1956" w:rsidRDefault="00247DCA" w:rsidP="00247DCA">
            <w:pPr>
              <w:pStyle w:val="Tabletext"/>
              <w:rPr>
                <w:i/>
              </w:rPr>
            </w:pPr>
            <w:r w:rsidRPr="006B1956">
              <w:rPr>
                <w:i/>
              </w:rPr>
              <w:t>Student characteristics</w:t>
            </w:r>
          </w:p>
        </w:tc>
        <w:tc>
          <w:tcPr>
            <w:tcW w:w="1417" w:type="dxa"/>
            <w:tcBorders>
              <w:top w:val="single" w:sz="4" w:space="0" w:color="auto"/>
              <w:left w:val="nil"/>
              <w:bottom w:val="nil"/>
              <w:right w:val="nil"/>
            </w:tcBorders>
            <w:shd w:val="clear" w:color="auto" w:fill="auto"/>
            <w:noWrap/>
            <w:hideMark/>
          </w:tcPr>
          <w:p w:rsidR="00247DCA" w:rsidRPr="00C96355" w:rsidRDefault="00247DCA" w:rsidP="00247DCA">
            <w:pPr>
              <w:pStyle w:val="Tabletext"/>
            </w:pPr>
          </w:p>
        </w:tc>
        <w:tc>
          <w:tcPr>
            <w:tcW w:w="1134" w:type="dxa"/>
            <w:tcBorders>
              <w:top w:val="single" w:sz="4" w:space="0" w:color="auto"/>
              <w:left w:val="nil"/>
              <w:bottom w:val="nil"/>
              <w:right w:val="nil"/>
            </w:tcBorders>
            <w:shd w:val="clear" w:color="auto" w:fill="auto"/>
            <w:noWrap/>
            <w:hideMark/>
          </w:tcPr>
          <w:p w:rsidR="00247DCA" w:rsidRPr="00C96355" w:rsidRDefault="00247DCA" w:rsidP="00247DCA">
            <w:pPr>
              <w:pStyle w:val="Tabletext"/>
            </w:pPr>
          </w:p>
        </w:tc>
        <w:tc>
          <w:tcPr>
            <w:tcW w:w="1418" w:type="dxa"/>
            <w:tcBorders>
              <w:top w:val="single" w:sz="4" w:space="0" w:color="auto"/>
              <w:left w:val="nil"/>
              <w:bottom w:val="nil"/>
              <w:right w:val="nil"/>
            </w:tcBorders>
            <w:shd w:val="clear" w:color="auto" w:fill="auto"/>
            <w:noWrap/>
            <w:hideMark/>
          </w:tcPr>
          <w:p w:rsidR="00247DCA" w:rsidRPr="00C96355" w:rsidRDefault="00247DCA" w:rsidP="00247DCA">
            <w:pPr>
              <w:pStyle w:val="Tabletext"/>
            </w:pPr>
          </w:p>
        </w:tc>
        <w:tc>
          <w:tcPr>
            <w:tcW w:w="1134" w:type="dxa"/>
            <w:tcBorders>
              <w:top w:val="single" w:sz="4" w:space="0" w:color="auto"/>
              <w:left w:val="nil"/>
              <w:bottom w:val="nil"/>
              <w:right w:val="nil"/>
            </w:tcBorders>
            <w:shd w:val="clear" w:color="auto" w:fill="auto"/>
            <w:noWrap/>
            <w:hideMark/>
          </w:tcPr>
          <w:p w:rsidR="00247DCA" w:rsidRPr="00C96355" w:rsidRDefault="00247DCA" w:rsidP="00247DCA">
            <w:pPr>
              <w:pStyle w:val="Tabletext"/>
            </w:pPr>
          </w:p>
        </w:tc>
      </w:tr>
      <w:tr w:rsidR="00247DCA" w:rsidRPr="00C96355" w:rsidTr="006B1956">
        <w:tc>
          <w:tcPr>
            <w:tcW w:w="567" w:type="dxa"/>
            <w:tcBorders>
              <w:top w:val="nil"/>
              <w:left w:val="nil"/>
              <w:bottom w:val="nil"/>
              <w:right w:val="nil"/>
            </w:tcBorders>
            <w:shd w:val="clear" w:color="auto" w:fill="auto"/>
            <w:noWrap/>
            <w:hideMark/>
          </w:tcPr>
          <w:p w:rsidR="00247DCA" w:rsidRPr="00C96355" w:rsidRDefault="00247DCA" w:rsidP="00247DCA">
            <w:pPr>
              <w:pStyle w:val="Tabletext"/>
            </w:pPr>
          </w:p>
        </w:tc>
        <w:tc>
          <w:tcPr>
            <w:tcW w:w="3119" w:type="dxa"/>
            <w:tcBorders>
              <w:top w:val="nil"/>
              <w:left w:val="nil"/>
              <w:bottom w:val="nil"/>
              <w:right w:val="nil"/>
            </w:tcBorders>
            <w:shd w:val="clear" w:color="auto" w:fill="auto"/>
            <w:noWrap/>
            <w:hideMark/>
          </w:tcPr>
          <w:p w:rsidR="00247DCA" w:rsidRPr="00C96355" w:rsidRDefault="00247DCA" w:rsidP="00247DCA">
            <w:pPr>
              <w:pStyle w:val="Tabletext"/>
            </w:pPr>
            <w:r>
              <w:t>Female</w:t>
            </w:r>
          </w:p>
        </w:tc>
        <w:tc>
          <w:tcPr>
            <w:tcW w:w="1417" w:type="dxa"/>
            <w:tcBorders>
              <w:top w:val="nil"/>
              <w:left w:val="nil"/>
              <w:bottom w:val="nil"/>
              <w:right w:val="nil"/>
            </w:tcBorders>
            <w:shd w:val="clear" w:color="auto" w:fill="auto"/>
            <w:noWrap/>
            <w:hideMark/>
          </w:tcPr>
          <w:p w:rsidR="00247DCA" w:rsidRPr="00F66C24" w:rsidRDefault="00247DCA" w:rsidP="006B1956">
            <w:pPr>
              <w:pStyle w:val="Tabletext"/>
              <w:tabs>
                <w:tab w:val="decimal" w:pos="510"/>
              </w:tabs>
            </w:pPr>
            <w:r>
              <w:t xml:space="preserve"> 0.</w:t>
            </w:r>
            <w:r w:rsidRPr="00F66C24">
              <w:t>84</w:t>
            </w:r>
            <w:r>
              <w:t>**</w:t>
            </w:r>
          </w:p>
        </w:tc>
        <w:tc>
          <w:tcPr>
            <w:tcW w:w="1134" w:type="dxa"/>
            <w:tcBorders>
              <w:top w:val="nil"/>
              <w:left w:val="nil"/>
              <w:bottom w:val="nil"/>
              <w:right w:val="nil"/>
            </w:tcBorders>
            <w:shd w:val="clear" w:color="auto" w:fill="auto"/>
            <w:noWrap/>
            <w:hideMark/>
          </w:tcPr>
          <w:p w:rsidR="00247DCA" w:rsidRPr="00F66C24" w:rsidRDefault="00247DCA" w:rsidP="006B1956">
            <w:pPr>
              <w:pStyle w:val="Tabletext"/>
              <w:tabs>
                <w:tab w:val="decimal" w:pos="425"/>
              </w:tabs>
            </w:pPr>
            <w:r w:rsidRPr="00F66C24">
              <w:t>0.06</w:t>
            </w:r>
          </w:p>
        </w:tc>
        <w:tc>
          <w:tcPr>
            <w:tcW w:w="1418" w:type="dxa"/>
            <w:tcBorders>
              <w:top w:val="nil"/>
              <w:left w:val="nil"/>
              <w:bottom w:val="nil"/>
              <w:right w:val="nil"/>
            </w:tcBorders>
            <w:shd w:val="clear" w:color="auto" w:fill="auto"/>
            <w:noWrap/>
            <w:hideMark/>
          </w:tcPr>
          <w:p w:rsidR="00247DCA" w:rsidRPr="00FF162F" w:rsidRDefault="00247DCA" w:rsidP="006B1956">
            <w:pPr>
              <w:pStyle w:val="Tabletext"/>
              <w:tabs>
                <w:tab w:val="decimal" w:pos="510"/>
              </w:tabs>
            </w:pPr>
            <w:r w:rsidRPr="00FF162F">
              <w:t>-0.71</w:t>
            </w:r>
            <w:r>
              <w:t>**</w:t>
            </w:r>
          </w:p>
        </w:tc>
        <w:tc>
          <w:tcPr>
            <w:tcW w:w="1134" w:type="dxa"/>
            <w:tcBorders>
              <w:top w:val="nil"/>
              <w:left w:val="nil"/>
              <w:bottom w:val="nil"/>
              <w:right w:val="nil"/>
            </w:tcBorders>
            <w:shd w:val="clear" w:color="auto" w:fill="auto"/>
            <w:noWrap/>
            <w:hideMark/>
          </w:tcPr>
          <w:p w:rsidR="00247DCA" w:rsidRPr="00FF162F" w:rsidRDefault="00247DCA" w:rsidP="006B1956">
            <w:pPr>
              <w:pStyle w:val="Tabletext"/>
              <w:tabs>
                <w:tab w:val="decimal" w:pos="425"/>
              </w:tabs>
            </w:pPr>
            <w:r w:rsidRPr="00FF162F">
              <w:t>0.06</w:t>
            </w:r>
          </w:p>
        </w:tc>
      </w:tr>
      <w:tr w:rsidR="00247DCA" w:rsidRPr="00C96355" w:rsidTr="006B1956">
        <w:tc>
          <w:tcPr>
            <w:tcW w:w="567" w:type="dxa"/>
            <w:tcBorders>
              <w:top w:val="nil"/>
              <w:left w:val="nil"/>
              <w:bottom w:val="nil"/>
              <w:right w:val="nil"/>
            </w:tcBorders>
            <w:shd w:val="clear" w:color="auto" w:fill="auto"/>
            <w:noWrap/>
            <w:hideMark/>
          </w:tcPr>
          <w:p w:rsidR="00247DCA" w:rsidRPr="00C96355" w:rsidRDefault="00247DCA" w:rsidP="00247DCA">
            <w:pPr>
              <w:pStyle w:val="Tabletext"/>
            </w:pPr>
          </w:p>
        </w:tc>
        <w:tc>
          <w:tcPr>
            <w:tcW w:w="3119" w:type="dxa"/>
            <w:tcBorders>
              <w:top w:val="nil"/>
              <w:left w:val="nil"/>
              <w:bottom w:val="nil"/>
              <w:right w:val="nil"/>
            </w:tcBorders>
            <w:shd w:val="clear" w:color="auto" w:fill="auto"/>
            <w:noWrap/>
            <w:hideMark/>
          </w:tcPr>
          <w:p w:rsidR="00247DCA" w:rsidRDefault="00247DCA" w:rsidP="00247DCA">
            <w:pPr>
              <w:pStyle w:val="Tabletext"/>
            </w:pPr>
            <w:r>
              <w:t>English spoken at home</w:t>
            </w:r>
          </w:p>
        </w:tc>
        <w:tc>
          <w:tcPr>
            <w:tcW w:w="1417" w:type="dxa"/>
            <w:tcBorders>
              <w:top w:val="nil"/>
              <w:left w:val="nil"/>
              <w:bottom w:val="nil"/>
              <w:right w:val="nil"/>
            </w:tcBorders>
            <w:shd w:val="clear" w:color="auto" w:fill="auto"/>
            <w:noWrap/>
            <w:hideMark/>
          </w:tcPr>
          <w:p w:rsidR="00247DCA" w:rsidRPr="00F66C24" w:rsidRDefault="00247DCA" w:rsidP="006B1956">
            <w:pPr>
              <w:pStyle w:val="Tabletext"/>
              <w:tabs>
                <w:tab w:val="decimal" w:pos="510"/>
              </w:tabs>
            </w:pPr>
            <w:r>
              <w:t xml:space="preserve"> 0.</w:t>
            </w:r>
            <w:r w:rsidRPr="00F66C24">
              <w:t>08</w:t>
            </w:r>
          </w:p>
        </w:tc>
        <w:tc>
          <w:tcPr>
            <w:tcW w:w="1134" w:type="dxa"/>
            <w:tcBorders>
              <w:top w:val="nil"/>
              <w:left w:val="nil"/>
              <w:bottom w:val="nil"/>
              <w:right w:val="nil"/>
            </w:tcBorders>
            <w:shd w:val="clear" w:color="auto" w:fill="auto"/>
            <w:noWrap/>
            <w:hideMark/>
          </w:tcPr>
          <w:p w:rsidR="00247DCA" w:rsidRDefault="00247DCA" w:rsidP="006B1956">
            <w:pPr>
              <w:pStyle w:val="Tabletext"/>
              <w:tabs>
                <w:tab w:val="decimal" w:pos="425"/>
              </w:tabs>
            </w:pPr>
            <w:r w:rsidRPr="00F66C24">
              <w:t>0.10</w:t>
            </w:r>
          </w:p>
        </w:tc>
        <w:tc>
          <w:tcPr>
            <w:tcW w:w="1418" w:type="dxa"/>
            <w:tcBorders>
              <w:top w:val="nil"/>
              <w:left w:val="nil"/>
              <w:bottom w:val="nil"/>
              <w:right w:val="nil"/>
            </w:tcBorders>
            <w:shd w:val="clear" w:color="auto" w:fill="auto"/>
            <w:noWrap/>
            <w:hideMark/>
          </w:tcPr>
          <w:p w:rsidR="00247DCA" w:rsidRPr="00FF162F" w:rsidRDefault="00247DCA" w:rsidP="006B1956">
            <w:pPr>
              <w:pStyle w:val="Tabletext"/>
              <w:tabs>
                <w:tab w:val="decimal" w:pos="510"/>
              </w:tabs>
            </w:pPr>
            <w:r w:rsidRPr="00FF162F">
              <w:t>-0.78</w:t>
            </w:r>
            <w:r>
              <w:t>**</w:t>
            </w:r>
          </w:p>
        </w:tc>
        <w:tc>
          <w:tcPr>
            <w:tcW w:w="1134" w:type="dxa"/>
            <w:tcBorders>
              <w:top w:val="nil"/>
              <w:left w:val="nil"/>
              <w:bottom w:val="nil"/>
              <w:right w:val="nil"/>
            </w:tcBorders>
            <w:shd w:val="clear" w:color="auto" w:fill="auto"/>
            <w:noWrap/>
            <w:hideMark/>
          </w:tcPr>
          <w:p w:rsidR="00247DCA" w:rsidRDefault="00247DCA" w:rsidP="006B1956">
            <w:pPr>
              <w:pStyle w:val="Tabletext"/>
              <w:tabs>
                <w:tab w:val="decimal" w:pos="425"/>
              </w:tabs>
            </w:pPr>
            <w:r w:rsidRPr="00FF162F">
              <w:t>0.12</w:t>
            </w:r>
          </w:p>
        </w:tc>
      </w:tr>
      <w:tr w:rsidR="00247DCA" w:rsidRPr="00C96355" w:rsidTr="006B1956">
        <w:tc>
          <w:tcPr>
            <w:tcW w:w="567" w:type="dxa"/>
            <w:tcBorders>
              <w:top w:val="nil"/>
              <w:left w:val="nil"/>
              <w:bottom w:val="nil"/>
              <w:right w:val="nil"/>
            </w:tcBorders>
            <w:shd w:val="clear" w:color="auto" w:fill="auto"/>
            <w:noWrap/>
            <w:hideMark/>
          </w:tcPr>
          <w:p w:rsidR="00247DCA" w:rsidRPr="00C96355" w:rsidRDefault="00247DCA" w:rsidP="00247DCA">
            <w:pPr>
              <w:pStyle w:val="Tabletext"/>
            </w:pPr>
          </w:p>
        </w:tc>
        <w:tc>
          <w:tcPr>
            <w:tcW w:w="3119" w:type="dxa"/>
            <w:tcBorders>
              <w:top w:val="nil"/>
              <w:left w:val="nil"/>
              <w:bottom w:val="nil"/>
              <w:right w:val="nil"/>
            </w:tcBorders>
            <w:shd w:val="clear" w:color="auto" w:fill="auto"/>
            <w:noWrap/>
            <w:hideMark/>
          </w:tcPr>
          <w:p w:rsidR="00247DCA" w:rsidRDefault="00C019C4" w:rsidP="00247DCA">
            <w:pPr>
              <w:pStyle w:val="Tabletext"/>
            </w:pPr>
            <w:r>
              <w:t>Australian-</w:t>
            </w:r>
            <w:r w:rsidR="00247DCA">
              <w:t>born to Australian parents</w:t>
            </w:r>
          </w:p>
        </w:tc>
        <w:tc>
          <w:tcPr>
            <w:tcW w:w="1417" w:type="dxa"/>
            <w:tcBorders>
              <w:top w:val="nil"/>
              <w:left w:val="nil"/>
              <w:bottom w:val="nil"/>
              <w:right w:val="nil"/>
            </w:tcBorders>
            <w:shd w:val="clear" w:color="auto" w:fill="auto"/>
            <w:noWrap/>
            <w:hideMark/>
          </w:tcPr>
          <w:p w:rsidR="00247DCA" w:rsidRPr="00AA75C7" w:rsidRDefault="00247DCA" w:rsidP="006B1956">
            <w:pPr>
              <w:pStyle w:val="Tabletext"/>
              <w:tabs>
                <w:tab w:val="decimal" w:pos="510"/>
              </w:tabs>
            </w:pPr>
            <w:r>
              <w:t>- -</w:t>
            </w:r>
          </w:p>
        </w:tc>
        <w:tc>
          <w:tcPr>
            <w:tcW w:w="1134" w:type="dxa"/>
            <w:tcBorders>
              <w:top w:val="nil"/>
              <w:left w:val="nil"/>
              <w:bottom w:val="nil"/>
              <w:right w:val="nil"/>
            </w:tcBorders>
            <w:shd w:val="clear" w:color="auto" w:fill="auto"/>
            <w:noWrap/>
            <w:hideMark/>
          </w:tcPr>
          <w:p w:rsidR="00247DCA" w:rsidRPr="00AA75C7" w:rsidRDefault="00247DCA" w:rsidP="006B1956">
            <w:pPr>
              <w:pStyle w:val="Tabletext"/>
              <w:tabs>
                <w:tab w:val="decimal" w:pos="425"/>
              </w:tabs>
            </w:pPr>
          </w:p>
        </w:tc>
        <w:tc>
          <w:tcPr>
            <w:tcW w:w="1418" w:type="dxa"/>
            <w:tcBorders>
              <w:top w:val="nil"/>
              <w:left w:val="nil"/>
              <w:bottom w:val="nil"/>
              <w:right w:val="nil"/>
            </w:tcBorders>
            <w:shd w:val="clear" w:color="auto" w:fill="auto"/>
            <w:noWrap/>
            <w:hideMark/>
          </w:tcPr>
          <w:p w:rsidR="00247DCA" w:rsidRPr="0079522F" w:rsidRDefault="00247DCA" w:rsidP="006B1956">
            <w:pPr>
              <w:pStyle w:val="Tabletext"/>
              <w:tabs>
                <w:tab w:val="decimal" w:pos="510"/>
              </w:tabs>
            </w:pPr>
            <w:r>
              <w:t>- -</w:t>
            </w:r>
          </w:p>
        </w:tc>
        <w:tc>
          <w:tcPr>
            <w:tcW w:w="1134" w:type="dxa"/>
            <w:tcBorders>
              <w:top w:val="nil"/>
              <w:left w:val="nil"/>
              <w:bottom w:val="nil"/>
              <w:right w:val="nil"/>
            </w:tcBorders>
            <w:shd w:val="clear" w:color="auto" w:fill="auto"/>
            <w:noWrap/>
            <w:hideMark/>
          </w:tcPr>
          <w:p w:rsidR="00247DCA" w:rsidRPr="0079522F" w:rsidRDefault="00247DCA" w:rsidP="006B1956">
            <w:pPr>
              <w:pStyle w:val="Tabletext"/>
              <w:tabs>
                <w:tab w:val="decimal" w:pos="425"/>
              </w:tabs>
            </w:pPr>
          </w:p>
        </w:tc>
      </w:tr>
      <w:tr w:rsidR="00247DCA" w:rsidRPr="00C96355" w:rsidTr="006B1956">
        <w:tc>
          <w:tcPr>
            <w:tcW w:w="567" w:type="dxa"/>
            <w:tcBorders>
              <w:top w:val="nil"/>
              <w:left w:val="nil"/>
              <w:bottom w:val="nil"/>
              <w:right w:val="nil"/>
            </w:tcBorders>
            <w:shd w:val="clear" w:color="auto" w:fill="auto"/>
            <w:noWrap/>
            <w:hideMark/>
          </w:tcPr>
          <w:p w:rsidR="00247DCA" w:rsidRPr="00C96355" w:rsidRDefault="00247DCA" w:rsidP="00247DCA">
            <w:pPr>
              <w:pStyle w:val="Tabletext"/>
            </w:pPr>
          </w:p>
        </w:tc>
        <w:tc>
          <w:tcPr>
            <w:tcW w:w="3119" w:type="dxa"/>
            <w:tcBorders>
              <w:top w:val="nil"/>
              <w:left w:val="nil"/>
              <w:bottom w:val="nil"/>
              <w:right w:val="nil"/>
            </w:tcBorders>
            <w:shd w:val="clear" w:color="auto" w:fill="auto"/>
            <w:noWrap/>
            <w:hideMark/>
          </w:tcPr>
          <w:p w:rsidR="00247DCA" w:rsidRDefault="00247DCA" w:rsidP="00247DCA">
            <w:pPr>
              <w:pStyle w:val="Tabletext"/>
            </w:pPr>
            <w:r>
              <w:t>Foreign-born student</w:t>
            </w:r>
          </w:p>
        </w:tc>
        <w:tc>
          <w:tcPr>
            <w:tcW w:w="1417" w:type="dxa"/>
            <w:tcBorders>
              <w:top w:val="nil"/>
              <w:left w:val="nil"/>
              <w:bottom w:val="nil"/>
              <w:right w:val="nil"/>
            </w:tcBorders>
            <w:shd w:val="clear" w:color="auto" w:fill="auto"/>
            <w:noWrap/>
            <w:hideMark/>
          </w:tcPr>
          <w:p w:rsidR="00247DCA" w:rsidRPr="00267920" w:rsidRDefault="00247DCA" w:rsidP="006B1956">
            <w:pPr>
              <w:pStyle w:val="Tabletext"/>
              <w:tabs>
                <w:tab w:val="decimal" w:pos="510"/>
              </w:tabs>
            </w:pPr>
            <w:r>
              <w:t xml:space="preserve"> 0.</w:t>
            </w:r>
            <w:r w:rsidRPr="00267920">
              <w:t>04</w:t>
            </w:r>
          </w:p>
        </w:tc>
        <w:tc>
          <w:tcPr>
            <w:tcW w:w="1134" w:type="dxa"/>
            <w:tcBorders>
              <w:top w:val="nil"/>
              <w:left w:val="nil"/>
              <w:bottom w:val="nil"/>
              <w:right w:val="nil"/>
            </w:tcBorders>
            <w:shd w:val="clear" w:color="auto" w:fill="auto"/>
            <w:noWrap/>
            <w:hideMark/>
          </w:tcPr>
          <w:p w:rsidR="00247DCA" w:rsidRPr="00267920" w:rsidRDefault="00247DCA" w:rsidP="006B1956">
            <w:pPr>
              <w:pStyle w:val="Tabletext"/>
              <w:tabs>
                <w:tab w:val="decimal" w:pos="425"/>
              </w:tabs>
            </w:pPr>
            <w:r w:rsidRPr="00267920">
              <w:t>0.10</w:t>
            </w:r>
          </w:p>
        </w:tc>
        <w:tc>
          <w:tcPr>
            <w:tcW w:w="1418" w:type="dxa"/>
            <w:tcBorders>
              <w:top w:val="nil"/>
              <w:left w:val="nil"/>
              <w:bottom w:val="nil"/>
              <w:right w:val="nil"/>
            </w:tcBorders>
            <w:shd w:val="clear" w:color="auto" w:fill="auto"/>
            <w:noWrap/>
            <w:hideMark/>
          </w:tcPr>
          <w:p w:rsidR="00247DCA" w:rsidRPr="00174EE5" w:rsidRDefault="00247DCA" w:rsidP="006B1956">
            <w:pPr>
              <w:pStyle w:val="Tabletext"/>
              <w:tabs>
                <w:tab w:val="decimal" w:pos="510"/>
              </w:tabs>
            </w:pPr>
            <w:r>
              <w:t xml:space="preserve"> 0.</w:t>
            </w:r>
            <w:r w:rsidRPr="00174EE5">
              <w:t>28</w:t>
            </w:r>
            <w:r>
              <w:t>**</w:t>
            </w:r>
          </w:p>
        </w:tc>
        <w:tc>
          <w:tcPr>
            <w:tcW w:w="1134" w:type="dxa"/>
            <w:tcBorders>
              <w:top w:val="nil"/>
              <w:left w:val="nil"/>
              <w:bottom w:val="nil"/>
              <w:right w:val="nil"/>
            </w:tcBorders>
            <w:shd w:val="clear" w:color="auto" w:fill="auto"/>
            <w:noWrap/>
            <w:hideMark/>
          </w:tcPr>
          <w:p w:rsidR="00247DCA" w:rsidRPr="00174EE5" w:rsidRDefault="00247DCA" w:rsidP="006B1956">
            <w:pPr>
              <w:pStyle w:val="Tabletext"/>
              <w:tabs>
                <w:tab w:val="decimal" w:pos="425"/>
              </w:tabs>
            </w:pPr>
            <w:r w:rsidRPr="00174EE5">
              <w:t>0.10</w:t>
            </w:r>
          </w:p>
        </w:tc>
      </w:tr>
      <w:tr w:rsidR="00247DCA" w:rsidRPr="00C96355" w:rsidTr="006B1956">
        <w:tc>
          <w:tcPr>
            <w:tcW w:w="567" w:type="dxa"/>
            <w:tcBorders>
              <w:top w:val="nil"/>
              <w:left w:val="nil"/>
              <w:bottom w:val="nil"/>
              <w:right w:val="nil"/>
            </w:tcBorders>
            <w:shd w:val="clear" w:color="auto" w:fill="auto"/>
            <w:noWrap/>
            <w:hideMark/>
          </w:tcPr>
          <w:p w:rsidR="00247DCA" w:rsidRPr="00C96355" w:rsidRDefault="00247DCA" w:rsidP="00247DCA">
            <w:pPr>
              <w:pStyle w:val="Tabletext"/>
            </w:pPr>
          </w:p>
        </w:tc>
        <w:tc>
          <w:tcPr>
            <w:tcW w:w="3119" w:type="dxa"/>
            <w:tcBorders>
              <w:top w:val="nil"/>
              <w:left w:val="nil"/>
              <w:bottom w:val="nil"/>
              <w:right w:val="nil"/>
            </w:tcBorders>
            <w:shd w:val="clear" w:color="auto" w:fill="auto"/>
            <w:noWrap/>
            <w:hideMark/>
          </w:tcPr>
          <w:p w:rsidR="00247DCA" w:rsidRDefault="00C019C4" w:rsidP="00247DCA">
            <w:pPr>
              <w:pStyle w:val="Tabletext"/>
            </w:pPr>
            <w:r>
              <w:t>Parent foreign-</w:t>
            </w:r>
            <w:r w:rsidR="00247DCA">
              <w:t>born</w:t>
            </w:r>
          </w:p>
        </w:tc>
        <w:tc>
          <w:tcPr>
            <w:tcW w:w="1417" w:type="dxa"/>
            <w:tcBorders>
              <w:top w:val="nil"/>
              <w:left w:val="nil"/>
              <w:bottom w:val="nil"/>
              <w:right w:val="nil"/>
            </w:tcBorders>
            <w:shd w:val="clear" w:color="auto" w:fill="auto"/>
            <w:noWrap/>
            <w:hideMark/>
          </w:tcPr>
          <w:p w:rsidR="00247DCA" w:rsidRPr="00267920" w:rsidRDefault="00247DCA" w:rsidP="006B1956">
            <w:pPr>
              <w:pStyle w:val="Tabletext"/>
              <w:tabs>
                <w:tab w:val="decimal" w:pos="510"/>
              </w:tabs>
            </w:pPr>
            <w:r>
              <w:t xml:space="preserve"> 0.</w:t>
            </w:r>
            <w:r w:rsidRPr="00267920">
              <w:t>02</w:t>
            </w:r>
          </w:p>
        </w:tc>
        <w:tc>
          <w:tcPr>
            <w:tcW w:w="1134" w:type="dxa"/>
            <w:tcBorders>
              <w:top w:val="nil"/>
              <w:left w:val="nil"/>
              <w:bottom w:val="nil"/>
              <w:right w:val="nil"/>
            </w:tcBorders>
            <w:shd w:val="clear" w:color="auto" w:fill="auto"/>
            <w:noWrap/>
            <w:hideMark/>
          </w:tcPr>
          <w:p w:rsidR="00247DCA" w:rsidRDefault="00247DCA" w:rsidP="006B1956">
            <w:pPr>
              <w:pStyle w:val="Tabletext"/>
              <w:tabs>
                <w:tab w:val="decimal" w:pos="425"/>
              </w:tabs>
            </w:pPr>
            <w:r w:rsidRPr="00267920">
              <w:t>0.05</w:t>
            </w:r>
          </w:p>
        </w:tc>
        <w:tc>
          <w:tcPr>
            <w:tcW w:w="1418" w:type="dxa"/>
            <w:tcBorders>
              <w:top w:val="nil"/>
              <w:left w:val="nil"/>
              <w:bottom w:val="nil"/>
              <w:right w:val="nil"/>
            </w:tcBorders>
            <w:shd w:val="clear" w:color="auto" w:fill="auto"/>
            <w:noWrap/>
            <w:hideMark/>
          </w:tcPr>
          <w:p w:rsidR="00247DCA" w:rsidRPr="00174EE5" w:rsidRDefault="00247DCA" w:rsidP="006B1956">
            <w:pPr>
              <w:pStyle w:val="Tabletext"/>
              <w:tabs>
                <w:tab w:val="decimal" w:pos="510"/>
              </w:tabs>
            </w:pPr>
            <w:r>
              <w:t xml:space="preserve"> 0.</w:t>
            </w:r>
            <w:r w:rsidRPr="00174EE5">
              <w:t>24</w:t>
            </w:r>
            <w:r>
              <w:t>**</w:t>
            </w:r>
          </w:p>
        </w:tc>
        <w:tc>
          <w:tcPr>
            <w:tcW w:w="1134" w:type="dxa"/>
            <w:tcBorders>
              <w:top w:val="nil"/>
              <w:left w:val="nil"/>
              <w:bottom w:val="nil"/>
              <w:right w:val="nil"/>
            </w:tcBorders>
            <w:shd w:val="clear" w:color="auto" w:fill="auto"/>
            <w:noWrap/>
            <w:hideMark/>
          </w:tcPr>
          <w:p w:rsidR="00247DCA" w:rsidRDefault="00247DCA" w:rsidP="006B1956">
            <w:pPr>
              <w:pStyle w:val="Tabletext"/>
              <w:tabs>
                <w:tab w:val="decimal" w:pos="425"/>
              </w:tabs>
            </w:pPr>
            <w:r w:rsidRPr="00174EE5">
              <w:t>0.07</w:t>
            </w:r>
          </w:p>
        </w:tc>
      </w:tr>
      <w:tr w:rsidR="00247DCA" w:rsidRPr="00C96355" w:rsidTr="006B1956">
        <w:tc>
          <w:tcPr>
            <w:tcW w:w="567" w:type="dxa"/>
            <w:tcBorders>
              <w:top w:val="nil"/>
              <w:left w:val="nil"/>
              <w:bottom w:val="nil"/>
              <w:right w:val="nil"/>
            </w:tcBorders>
            <w:shd w:val="clear" w:color="auto" w:fill="auto"/>
            <w:noWrap/>
            <w:hideMark/>
          </w:tcPr>
          <w:p w:rsidR="00247DCA" w:rsidRPr="00C96355" w:rsidRDefault="00247DCA" w:rsidP="00247DCA">
            <w:pPr>
              <w:pStyle w:val="Tabletext"/>
            </w:pPr>
          </w:p>
        </w:tc>
        <w:tc>
          <w:tcPr>
            <w:tcW w:w="3119" w:type="dxa"/>
            <w:tcBorders>
              <w:top w:val="nil"/>
              <w:left w:val="nil"/>
              <w:bottom w:val="nil"/>
              <w:right w:val="nil"/>
            </w:tcBorders>
            <w:shd w:val="clear" w:color="auto" w:fill="auto"/>
            <w:noWrap/>
            <w:hideMark/>
          </w:tcPr>
          <w:p w:rsidR="00247DCA" w:rsidRDefault="00247DCA" w:rsidP="00247DCA">
            <w:pPr>
              <w:pStyle w:val="Tabletext"/>
            </w:pPr>
            <w:r>
              <w:t>NSW</w:t>
            </w:r>
          </w:p>
        </w:tc>
        <w:tc>
          <w:tcPr>
            <w:tcW w:w="1417" w:type="dxa"/>
            <w:tcBorders>
              <w:top w:val="nil"/>
              <w:left w:val="nil"/>
              <w:bottom w:val="nil"/>
              <w:right w:val="nil"/>
            </w:tcBorders>
            <w:shd w:val="clear" w:color="auto" w:fill="auto"/>
            <w:noWrap/>
            <w:hideMark/>
          </w:tcPr>
          <w:p w:rsidR="00247DCA" w:rsidRPr="00AA75C7" w:rsidRDefault="00247DCA" w:rsidP="006B1956">
            <w:pPr>
              <w:pStyle w:val="Tabletext"/>
              <w:tabs>
                <w:tab w:val="decimal" w:pos="510"/>
              </w:tabs>
            </w:pPr>
            <w:r>
              <w:t>- -</w:t>
            </w:r>
          </w:p>
        </w:tc>
        <w:tc>
          <w:tcPr>
            <w:tcW w:w="1134" w:type="dxa"/>
            <w:tcBorders>
              <w:top w:val="nil"/>
              <w:left w:val="nil"/>
              <w:bottom w:val="nil"/>
              <w:right w:val="nil"/>
            </w:tcBorders>
            <w:shd w:val="clear" w:color="auto" w:fill="auto"/>
            <w:noWrap/>
            <w:hideMark/>
          </w:tcPr>
          <w:p w:rsidR="00247DCA" w:rsidRPr="00AA75C7" w:rsidRDefault="00247DCA" w:rsidP="006B1956">
            <w:pPr>
              <w:pStyle w:val="Tabletext"/>
              <w:tabs>
                <w:tab w:val="decimal" w:pos="425"/>
              </w:tabs>
            </w:pPr>
          </w:p>
        </w:tc>
        <w:tc>
          <w:tcPr>
            <w:tcW w:w="1418" w:type="dxa"/>
            <w:tcBorders>
              <w:top w:val="nil"/>
              <w:left w:val="nil"/>
              <w:bottom w:val="nil"/>
              <w:right w:val="nil"/>
            </w:tcBorders>
            <w:shd w:val="clear" w:color="auto" w:fill="auto"/>
            <w:noWrap/>
            <w:hideMark/>
          </w:tcPr>
          <w:p w:rsidR="00247DCA" w:rsidRPr="0079522F" w:rsidRDefault="00247DCA" w:rsidP="006B1956">
            <w:pPr>
              <w:pStyle w:val="Tabletext"/>
              <w:tabs>
                <w:tab w:val="decimal" w:pos="510"/>
              </w:tabs>
            </w:pPr>
            <w:r>
              <w:t>- -</w:t>
            </w:r>
          </w:p>
        </w:tc>
        <w:tc>
          <w:tcPr>
            <w:tcW w:w="1134" w:type="dxa"/>
            <w:tcBorders>
              <w:top w:val="nil"/>
              <w:left w:val="nil"/>
              <w:bottom w:val="nil"/>
              <w:right w:val="nil"/>
            </w:tcBorders>
            <w:shd w:val="clear" w:color="auto" w:fill="auto"/>
            <w:noWrap/>
            <w:hideMark/>
          </w:tcPr>
          <w:p w:rsidR="00247DCA" w:rsidRPr="0079522F" w:rsidRDefault="00247DCA" w:rsidP="006B1956">
            <w:pPr>
              <w:pStyle w:val="Tabletext"/>
              <w:tabs>
                <w:tab w:val="decimal" w:pos="425"/>
              </w:tabs>
            </w:pPr>
          </w:p>
        </w:tc>
      </w:tr>
      <w:tr w:rsidR="00247DCA" w:rsidRPr="00C96355" w:rsidTr="006B1956">
        <w:tc>
          <w:tcPr>
            <w:tcW w:w="567" w:type="dxa"/>
            <w:tcBorders>
              <w:top w:val="nil"/>
              <w:left w:val="nil"/>
              <w:bottom w:val="nil"/>
              <w:right w:val="nil"/>
            </w:tcBorders>
            <w:shd w:val="clear" w:color="auto" w:fill="auto"/>
            <w:noWrap/>
            <w:hideMark/>
          </w:tcPr>
          <w:p w:rsidR="00247DCA" w:rsidRPr="00C96355" w:rsidRDefault="00247DCA" w:rsidP="00247DCA">
            <w:pPr>
              <w:pStyle w:val="Tabletext"/>
            </w:pPr>
          </w:p>
        </w:tc>
        <w:tc>
          <w:tcPr>
            <w:tcW w:w="3119" w:type="dxa"/>
            <w:tcBorders>
              <w:top w:val="nil"/>
              <w:left w:val="nil"/>
              <w:bottom w:val="nil"/>
              <w:right w:val="nil"/>
            </w:tcBorders>
            <w:shd w:val="clear" w:color="auto" w:fill="auto"/>
            <w:noWrap/>
            <w:hideMark/>
          </w:tcPr>
          <w:p w:rsidR="00247DCA" w:rsidRDefault="00247DCA" w:rsidP="00247DCA">
            <w:pPr>
              <w:pStyle w:val="Tabletext"/>
            </w:pPr>
            <w:r>
              <w:t>ACT</w:t>
            </w:r>
          </w:p>
        </w:tc>
        <w:tc>
          <w:tcPr>
            <w:tcW w:w="1417" w:type="dxa"/>
            <w:tcBorders>
              <w:top w:val="nil"/>
              <w:left w:val="nil"/>
              <w:bottom w:val="nil"/>
              <w:right w:val="nil"/>
            </w:tcBorders>
            <w:shd w:val="clear" w:color="auto" w:fill="auto"/>
            <w:noWrap/>
            <w:hideMark/>
          </w:tcPr>
          <w:p w:rsidR="00247DCA" w:rsidRPr="00E4340D" w:rsidRDefault="00247DCA" w:rsidP="006B1956">
            <w:pPr>
              <w:pStyle w:val="Tabletext"/>
              <w:tabs>
                <w:tab w:val="decimal" w:pos="510"/>
              </w:tabs>
            </w:pPr>
            <w:r w:rsidRPr="00E4340D">
              <w:t>-0.73</w:t>
            </w:r>
            <w:r>
              <w:t>**</w:t>
            </w:r>
          </w:p>
        </w:tc>
        <w:tc>
          <w:tcPr>
            <w:tcW w:w="1134" w:type="dxa"/>
            <w:tcBorders>
              <w:top w:val="nil"/>
              <w:left w:val="nil"/>
              <w:bottom w:val="nil"/>
              <w:right w:val="nil"/>
            </w:tcBorders>
            <w:shd w:val="clear" w:color="auto" w:fill="auto"/>
            <w:noWrap/>
            <w:hideMark/>
          </w:tcPr>
          <w:p w:rsidR="00247DCA" w:rsidRPr="00E4340D" w:rsidRDefault="00247DCA" w:rsidP="006B1956">
            <w:pPr>
              <w:pStyle w:val="Tabletext"/>
              <w:tabs>
                <w:tab w:val="decimal" w:pos="425"/>
              </w:tabs>
            </w:pPr>
            <w:r w:rsidRPr="00E4340D">
              <w:t>0.20</w:t>
            </w:r>
          </w:p>
        </w:tc>
        <w:tc>
          <w:tcPr>
            <w:tcW w:w="1418" w:type="dxa"/>
            <w:tcBorders>
              <w:top w:val="nil"/>
              <w:left w:val="nil"/>
              <w:bottom w:val="nil"/>
              <w:right w:val="nil"/>
            </w:tcBorders>
            <w:shd w:val="clear" w:color="auto" w:fill="auto"/>
            <w:noWrap/>
            <w:hideMark/>
          </w:tcPr>
          <w:p w:rsidR="00247DCA" w:rsidRPr="003A7263" w:rsidRDefault="00247DCA" w:rsidP="006B1956">
            <w:pPr>
              <w:pStyle w:val="Tabletext"/>
              <w:tabs>
                <w:tab w:val="decimal" w:pos="510"/>
              </w:tabs>
            </w:pPr>
            <w:r w:rsidRPr="003A7263">
              <w:t>-0.45</w:t>
            </w:r>
            <w:r>
              <w:t>**</w:t>
            </w:r>
          </w:p>
        </w:tc>
        <w:tc>
          <w:tcPr>
            <w:tcW w:w="1134" w:type="dxa"/>
            <w:tcBorders>
              <w:top w:val="nil"/>
              <w:left w:val="nil"/>
              <w:bottom w:val="nil"/>
              <w:right w:val="nil"/>
            </w:tcBorders>
            <w:shd w:val="clear" w:color="auto" w:fill="auto"/>
            <w:noWrap/>
            <w:hideMark/>
          </w:tcPr>
          <w:p w:rsidR="00247DCA" w:rsidRPr="003A7263" w:rsidRDefault="00247DCA" w:rsidP="006B1956">
            <w:pPr>
              <w:pStyle w:val="Tabletext"/>
              <w:tabs>
                <w:tab w:val="decimal" w:pos="425"/>
              </w:tabs>
            </w:pPr>
            <w:r w:rsidRPr="003A7263">
              <w:t>0.16</w:t>
            </w:r>
          </w:p>
        </w:tc>
      </w:tr>
      <w:tr w:rsidR="00247DCA" w:rsidRPr="00C96355" w:rsidTr="006B1956">
        <w:tc>
          <w:tcPr>
            <w:tcW w:w="567" w:type="dxa"/>
            <w:tcBorders>
              <w:top w:val="nil"/>
              <w:left w:val="nil"/>
              <w:bottom w:val="nil"/>
              <w:right w:val="nil"/>
            </w:tcBorders>
            <w:shd w:val="clear" w:color="auto" w:fill="auto"/>
            <w:noWrap/>
            <w:hideMark/>
          </w:tcPr>
          <w:p w:rsidR="00247DCA" w:rsidRPr="00C96355" w:rsidRDefault="00247DCA" w:rsidP="00247DCA">
            <w:pPr>
              <w:pStyle w:val="Tabletext"/>
            </w:pPr>
          </w:p>
        </w:tc>
        <w:tc>
          <w:tcPr>
            <w:tcW w:w="3119" w:type="dxa"/>
            <w:tcBorders>
              <w:top w:val="nil"/>
              <w:left w:val="nil"/>
              <w:bottom w:val="nil"/>
              <w:right w:val="nil"/>
            </w:tcBorders>
            <w:shd w:val="clear" w:color="auto" w:fill="auto"/>
            <w:noWrap/>
            <w:hideMark/>
          </w:tcPr>
          <w:p w:rsidR="00247DCA" w:rsidRDefault="00247DCA" w:rsidP="00247DCA">
            <w:pPr>
              <w:pStyle w:val="Tabletext"/>
            </w:pPr>
            <w:r>
              <w:t>Victoria</w:t>
            </w:r>
          </w:p>
        </w:tc>
        <w:tc>
          <w:tcPr>
            <w:tcW w:w="1417" w:type="dxa"/>
            <w:tcBorders>
              <w:top w:val="nil"/>
              <w:left w:val="nil"/>
              <w:bottom w:val="nil"/>
              <w:right w:val="nil"/>
            </w:tcBorders>
            <w:shd w:val="clear" w:color="auto" w:fill="auto"/>
            <w:noWrap/>
            <w:hideMark/>
          </w:tcPr>
          <w:p w:rsidR="00247DCA" w:rsidRPr="00E4340D" w:rsidRDefault="00247DCA" w:rsidP="006B1956">
            <w:pPr>
              <w:pStyle w:val="Tabletext"/>
              <w:tabs>
                <w:tab w:val="decimal" w:pos="510"/>
              </w:tabs>
            </w:pPr>
            <w:r>
              <w:t xml:space="preserve"> 0.</w:t>
            </w:r>
            <w:r w:rsidRPr="00E4340D">
              <w:t>46</w:t>
            </w:r>
            <w:r>
              <w:t>**</w:t>
            </w:r>
          </w:p>
        </w:tc>
        <w:tc>
          <w:tcPr>
            <w:tcW w:w="1134" w:type="dxa"/>
            <w:tcBorders>
              <w:top w:val="nil"/>
              <w:left w:val="nil"/>
              <w:bottom w:val="nil"/>
              <w:right w:val="nil"/>
            </w:tcBorders>
            <w:shd w:val="clear" w:color="auto" w:fill="auto"/>
            <w:noWrap/>
            <w:hideMark/>
          </w:tcPr>
          <w:p w:rsidR="00247DCA" w:rsidRPr="00E4340D" w:rsidRDefault="00247DCA" w:rsidP="006B1956">
            <w:pPr>
              <w:pStyle w:val="Tabletext"/>
              <w:tabs>
                <w:tab w:val="decimal" w:pos="425"/>
              </w:tabs>
            </w:pPr>
            <w:r w:rsidRPr="00E4340D">
              <w:t>0.10</w:t>
            </w:r>
          </w:p>
        </w:tc>
        <w:tc>
          <w:tcPr>
            <w:tcW w:w="1418" w:type="dxa"/>
            <w:tcBorders>
              <w:top w:val="nil"/>
              <w:left w:val="nil"/>
              <w:bottom w:val="nil"/>
              <w:right w:val="nil"/>
            </w:tcBorders>
            <w:shd w:val="clear" w:color="auto" w:fill="auto"/>
            <w:noWrap/>
            <w:hideMark/>
          </w:tcPr>
          <w:p w:rsidR="00247DCA" w:rsidRPr="003A7263" w:rsidRDefault="00247DCA" w:rsidP="006B1956">
            <w:pPr>
              <w:pStyle w:val="Tabletext"/>
              <w:tabs>
                <w:tab w:val="decimal" w:pos="510"/>
              </w:tabs>
            </w:pPr>
            <w:r>
              <w:t xml:space="preserve"> 0.</w:t>
            </w:r>
            <w:r w:rsidRPr="003A7263">
              <w:t>20</w:t>
            </w:r>
            <w:r>
              <w:t>*</w:t>
            </w:r>
          </w:p>
        </w:tc>
        <w:tc>
          <w:tcPr>
            <w:tcW w:w="1134" w:type="dxa"/>
            <w:tcBorders>
              <w:top w:val="nil"/>
              <w:left w:val="nil"/>
              <w:bottom w:val="nil"/>
              <w:right w:val="nil"/>
            </w:tcBorders>
            <w:shd w:val="clear" w:color="auto" w:fill="auto"/>
            <w:noWrap/>
            <w:hideMark/>
          </w:tcPr>
          <w:p w:rsidR="00247DCA" w:rsidRPr="003A7263" w:rsidRDefault="00247DCA" w:rsidP="006B1956">
            <w:pPr>
              <w:pStyle w:val="Tabletext"/>
              <w:tabs>
                <w:tab w:val="decimal" w:pos="425"/>
              </w:tabs>
            </w:pPr>
            <w:r w:rsidRPr="003A7263">
              <w:t>0.09</w:t>
            </w:r>
          </w:p>
        </w:tc>
      </w:tr>
      <w:tr w:rsidR="00247DCA" w:rsidRPr="00C96355" w:rsidTr="006B1956">
        <w:tc>
          <w:tcPr>
            <w:tcW w:w="567" w:type="dxa"/>
            <w:tcBorders>
              <w:top w:val="nil"/>
              <w:left w:val="nil"/>
              <w:bottom w:val="nil"/>
              <w:right w:val="nil"/>
            </w:tcBorders>
            <w:shd w:val="clear" w:color="auto" w:fill="auto"/>
            <w:noWrap/>
            <w:hideMark/>
          </w:tcPr>
          <w:p w:rsidR="00247DCA" w:rsidRPr="00C96355" w:rsidRDefault="00247DCA" w:rsidP="00247DCA">
            <w:pPr>
              <w:pStyle w:val="Tabletext"/>
            </w:pPr>
          </w:p>
        </w:tc>
        <w:tc>
          <w:tcPr>
            <w:tcW w:w="3119" w:type="dxa"/>
            <w:tcBorders>
              <w:top w:val="nil"/>
              <w:left w:val="nil"/>
              <w:bottom w:val="nil"/>
              <w:right w:val="nil"/>
            </w:tcBorders>
            <w:shd w:val="clear" w:color="auto" w:fill="auto"/>
            <w:noWrap/>
            <w:hideMark/>
          </w:tcPr>
          <w:p w:rsidR="00247DCA" w:rsidRDefault="00247DCA" w:rsidP="00247DCA">
            <w:pPr>
              <w:pStyle w:val="Tabletext"/>
            </w:pPr>
            <w:r>
              <w:t>Queensland</w:t>
            </w:r>
          </w:p>
        </w:tc>
        <w:tc>
          <w:tcPr>
            <w:tcW w:w="1417" w:type="dxa"/>
            <w:tcBorders>
              <w:top w:val="nil"/>
              <w:left w:val="nil"/>
              <w:bottom w:val="nil"/>
              <w:right w:val="nil"/>
            </w:tcBorders>
            <w:shd w:val="clear" w:color="auto" w:fill="auto"/>
            <w:noWrap/>
            <w:hideMark/>
          </w:tcPr>
          <w:p w:rsidR="00247DCA" w:rsidRPr="00E4340D" w:rsidRDefault="00247DCA" w:rsidP="006B1956">
            <w:pPr>
              <w:pStyle w:val="Tabletext"/>
              <w:tabs>
                <w:tab w:val="decimal" w:pos="510"/>
              </w:tabs>
            </w:pPr>
            <w:r>
              <w:t xml:space="preserve"> 0.</w:t>
            </w:r>
            <w:r w:rsidRPr="00E4340D">
              <w:t>08</w:t>
            </w:r>
          </w:p>
        </w:tc>
        <w:tc>
          <w:tcPr>
            <w:tcW w:w="1134" w:type="dxa"/>
            <w:tcBorders>
              <w:top w:val="nil"/>
              <w:left w:val="nil"/>
              <w:bottom w:val="nil"/>
              <w:right w:val="nil"/>
            </w:tcBorders>
            <w:shd w:val="clear" w:color="auto" w:fill="auto"/>
            <w:noWrap/>
            <w:hideMark/>
          </w:tcPr>
          <w:p w:rsidR="00247DCA" w:rsidRPr="00E4340D" w:rsidRDefault="00247DCA" w:rsidP="006B1956">
            <w:pPr>
              <w:pStyle w:val="Tabletext"/>
              <w:tabs>
                <w:tab w:val="decimal" w:pos="425"/>
              </w:tabs>
            </w:pPr>
            <w:r w:rsidRPr="00E4340D">
              <w:t>0.09</w:t>
            </w:r>
          </w:p>
        </w:tc>
        <w:tc>
          <w:tcPr>
            <w:tcW w:w="1418" w:type="dxa"/>
            <w:tcBorders>
              <w:top w:val="nil"/>
              <w:left w:val="nil"/>
              <w:bottom w:val="nil"/>
              <w:right w:val="nil"/>
            </w:tcBorders>
            <w:shd w:val="clear" w:color="auto" w:fill="auto"/>
            <w:noWrap/>
            <w:hideMark/>
          </w:tcPr>
          <w:p w:rsidR="00247DCA" w:rsidRPr="003A7263" w:rsidRDefault="00247DCA" w:rsidP="006B1956">
            <w:pPr>
              <w:pStyle w:val="Tabletext"/>
              <w:tabs>
                <w:tab w:val="decimal" w:pos="510"/>
              </w:tabs>
            </w:pPr>
            <w:r>
              <w:t xml:space="preserve"> 0.</w:t>
            </w:r>
            <w:r w:rsidRPr="003A7263">
              <w:t>14</w:t>
            </w:r>
          </w:p>
        </w:tc>
        <w:tc>
          <w:tcPr>
            <w:tcW w:w="1134" w:type="dxa"/>
            <w:tcBorders>
              <w:top w:val="nil"/>
              <w:left w:val="nil"/>
              <w:bottom w:val="nil"/>
              <w:right w:val="nil"/>
            </w:tcBorders>
            <w:shd w:val="clear" w:color="auto" w:fill="auto"/>
            <w:noWrap/>
            <w:hideMark/>
          </w:tcPr>
          <w:p w:rsidR="00247DCA" w:rsidRPr="003A7263" w:rsidRDefault="00247DCA" w:rsidP="006B1956">
            <w:pPr>
              <w:pStyle w:val="Tabletext"/>
              <w:tabs>
                <w:tab w:val="decimal" w:pos="425"/>
              </w:tabs>
            </w:pPr>
            <w:r w:rsidRPr="003A7263">
              <w:t>0.09</w:t>
            </w:r>
          </w:p>
        </w:tc>
      </w:tr>
      <w:tr w:rsidR="00247DCA" w:rsidRPr="00C96355" w:rsidTr="006B1956">
        <w:tc>
          <w:tcPr>
            <w:tcW w:w="567" w:type="dxa"/>
            <w:tcBorders>
              <w:top w:val="nil"/>
              <w:left w:val="nil"/>
              <w:bottom w:val="nil"/>
              <w:right w:val="nil"/>
            </w:tcBorders>
            <w:shd w:val="clear" w:color="auto" w:fill="auto"/>
            <w:noWrap/>
            <w:hideMark/>
          </w:tcPr>
          <w:p w:rsidR="00247DCA" w:rsidRPr="00C96355" w:rsidRDefault="00247DCA" w:rsidP="00247DCA">
            <w:pPr>
              <w:pStyle w:val="Tabletext"/>
            </w:pPr>
          </w:p>
        </w:tc>
        <w:tc>
          <w:tcPr>
            <w:tcW w:w="3119" w:type="dxa"/>
            <w:tcBorders>
              <w:top w:val="nil"/>
              <w:left w:val="nil"/>
              <w:bottom w:val="nil"/>
              <w:right w:val="nil"/>
            </w:tcBorders>
            <w:shd w:val="clear" w:color="auto" w:fill="auto"/>
            <w:noWrap/>
            <w:hideMark/>
          </w:tcPr>
          <w:p w:rsidR="00247DCA" w:rsidRDefault="00247DCA" w:rsidP="00247DCA">
            <w:pPr>
              <w:pStyle w:val="Tabletext"/>
            </w:pPr>
            <w:r>
              <w:t>South Australia</w:t>
            </w:r>
          </w:p>
        </w:tc>
        <w:tc>
          <w:tcPr>
            <w:tcW w:w="1417" w:type="dxa"/>
            <w:tcBorders>
              <w:top w:val="nil"/>
              <w:left w:val="nil"/>
              <w:bottom w:val="nil"/>
              <w:right w:val="nil"/>
            </w:tcBorders>
            <w:shd w:val="clear" w:color="auto" w:fill="auto"/>
            <w:noWrap/>
            <w:hideMark/>
          </w:tcPr>
          <w:p w:rsidR="00247DCA" w:rsidRPr="00E4340D" w:rsidRDefault="00247DCA" w:rsidP="006B1956">
            <w:pPr>
              <w:pStyle w:val="Tabletext"/>
              <w:tabs>
                <w:tab w:val="decimal" w:pos="510"/>
              </w:tabs>
            </w:pPr>
            <w:r>
              <w:t xml:space="preserve"> 0.</w:t>
            </w:r>
            <w:r w:rsidRPr="00E4340D">
              <w:t>13</w:t>
            </w:r>
          </w:p>
        </w:tc>
        <w:tc>
          <w:tcPr>
            <w:tcW w:w="1134" w:type="dxa"/>
            <w:tcBorders>
              <w:top w:val="nil"/>
              <w:left w:val="nil"/>
              <w:bottom w:val="nil"/>
              <w:right w:val="nil"/>
            </w:tcBorders>
            <w:shd w:val="clear" w:color="auto" w:fill="auto"/>
            <w:noWrap/>
            <w:hideMark/>
          </w:tcPr>
          <w:p w:rsidR="00247DCA" w:rsidRPr="00E4340D" w:rsidRDefault="00247DCA" w:rsidP="006B1956">
            <w:pPr>
              <w:pStyle w:val="Tabletext"/>
              <w:tabs>
                <w:tab w:val="decimal" w:pos="425"/>
              </w:tabs>
            </w:pPr>
            <w:r w:rsidRPr="00E4340D">
              <w:t>0.11</w:t>
            </w:r>
          </w:p>
        </w:tc>
        <w:tc>
          <w:tcPr>
            <w:tcW w:w="1418" w:type="dxa"/>
            <w:tcBorders>
              <w:top w:val="nil"/>
              <w:left w:val="nil"/>
              <w:bottom w:val="nil"/>
              <w:right w:val="nil"/>
            </w:tcBorders>
            <w:shd w:val="clear" w:color="auto" w:fill="auto"/>
            <w:noWrap/>
            <w:hideMark/>
          </w:tcPr>
          <w:p w:rsidR="00247DCA" w:rsidRPr="003A7263" w:rsidRDefault="00247DCA" w:rsidP="006B1956">
            <w:pPr>
              <w:pStyle w:val="Tabletext"/>
              <w:tabs>
                <w:tab w:val="decimal" w:pos="510"/>
              </w:tabs>
            </w:pPr>
            <w:r>
              <w:t xml:space="preserve"> 0.</w:t>
            </w:r>
            <w:r w:rsidRPr="003A7263">
              <w:t>41</w:t>
            </w:r>
            <w:r>
              <w:t>**</w:t>
            </w:r>
          </w:p>
        </w:tc>
        <w:tc>
          <w:tcPr>
            <w:tcW w:w="1134" w:type="dxa"/>
            <w:tcBorders>
              <w:top w:val="nil"/>
              <w:left w:val="nil"/>
              <w:bottom w:val="nil"/>
              <w:right w:val="nil"/>
            </w:tcBorders>
            <w:shd w:val="clear" w:color="auto" w:fill="auto"/>
            <w:noWrap/>
            <w:hideMark/>
          </w:tcPr>
          <w:p w:rsidR="00247DCA" w:rsidRPr="003A7263" w:rsidRDefault="00247DCA" w:rsidP="006B1956">
            <w:pPr>
              <w:pStyle w:val="Tabletext"/>
              <w:tabs>
                <w:tab w:val="decimal" w:pos="425"/>
              </w:tabs>
            </w:pPr>
            <w:r w:rsidRPr="003A7263">
              <w:t>0.11</w:t>
            </w:r>
          </w:p>
        </w:tc>
      </w:tr>
      <w:tr w:rsidR="00247DCA" w:rsidRPr="00C96355" w:rsidTr="006B1956">
        <w:tc>
          <w:tcPr>
            <w:tcW w:w="567" w:type="dxa"/>
            <w:tcBorders>
              <w:top w:val="nil"/>
              <w:left w:val="nil"/>
              <w:bottom w:val="nil"/>
              <w:right w:val="nil"/>
            </w:tcBorders>
            <w:shd w:val="clear" w:color="auto" w:fill="auto"/>
            <w:noWrap/>
            <w:hideMark/>
          </w:tcPr>
          <w:p w:rsidR="00247DCA" w:rsidRPr="00C96355" w:rsidRDefault="00247DCA" w:rsidP="00247DCA">
            <w:pPr>
              <w:pStyle w:val="Tabletext"/>
            </w:pPr>
          </w:p>
        </w:tc>
        <w:tc>
          <w:tcPr>
            <w:tcW w:w="3119" w:type="dxa"/>
            <w:tcBorders>
              <w:top w:val="nil"/>
              <w:left w:val="nil"/>
              <w:bottom w:val="nil"/>
              <w:right w:val="nil"/>
            </w:tcBorders>
            <w:shd w:val="clear" w:color="auto" w:fill="auto"/>
            <w:noWrap/>
            <w:hideMark/>
          </w:tcPr>
          <w:p w:rsidR="00247DCA" w:rsidRDefault="00247DCA" w:rsidP="00247DCA">
            <w:pPr>
              <w:pStyle w:val="Tabletext"/>
            </w:pPr>
            <w:r>
              <w:t>Western Australia</w:t>
            </w:r>
          </w:p>
        </w:tc>
        <w:tc>
          <w:tcPr>
            <w:tcW w:w="1417" w:type="dxa"/>
            <w:tcBorders>
              <w:top w:val="nil"/>
              <w:left w:val="nil"/>
              <w:bottom w:val="nil"/>
              <w:right w:val="nil"/>
            </w:tcBorders>
            <w:shd w:val="clear" w:color="auto" w:fill="auto"/>
            <w:noWrap/>
            <w:hideMark/>
          </w:tcPr>
          <w:p w:rsidR="00247DCA" w:rsidRPr="00E4340D" w:rsidRDefault="00247DCA" w:rsidP="006B1956">
            <w:pPr>
              <w:pStyle w:val="Tabletext"/>
              <w:tabs>
                <w:tab w:val="decimal" w:pos="510"/>
              </w:tabs>
            </w:pPr>
            <w:r>
              <w:t xml:space="preserve"> 0.</w:t>
            </w:r>
            <w:r w:rsidRPr="00E4340D">
              <w:t>23</w:t>
            </w:r>
            <w:r>
              <w:t>**</w:t>
            </w:r>
          </w:p>
        </w:tc>
        <w:tc>
          <w:tcPr>
            <w:tcW w:w="1134" w:type="dxa"/>
            <w:tcBorders>
              <w:top w:val="nil"/>
              <w:left w:val="nil"/>
              <w:bottom w:val="nil"/>
              <w:right w:val="nil"/>
            </w:tcBorders>
            <w:shd w:val="clear" w:color="auto" w:fill="auto"/>
            <w:noWrap/>
            <w:hideMark/>
          </w:tcPr>
          <w:p w:rsidR="00247DCA" w:rsidRPr="00E4340D" w:rsidRDefault="00247DCA" w:rsidP="006B1956">
            <w:pPr>
              <w:pStyle w:val="Tabletext"/>
              <w:tabs>
                <w:tab w:val="decimal" w:pos="425"/>
              </w:tabs>
            </w:pPr>
            <w:r w:rsidRPr="00E4340D">
              <w:t>0.09</w:t>
            </w:r>
          </w:p>
        </w:tc>
        <w:tc>
          <w:tcPr>
            <w:tcW w:w="1418" w:type="dxa"/>
            <w:tcBorders>
              <w:top w:val="nil"/>
              <w:left w:val="nil"/>
              <w:bottom w:val="nil"/>
              <w:right w:val="nil"/>
            </w:tcBorders>
            <w:shd w:val="clear" w:color="auto" w:fill="auto"/>
            <w:noWrap/>
            <w:hideMark/>
          </w:tcPr>
          <w:p w:rsidR="00247DCA" w:rsidRPr="003A7263" w:rsidRDefault="00247DCA" w:rsidP="006B1956">
            <w:pPr>
              <w:pStyle w:val="Tabletext"/>
              <w:tabs>
                <w:tab w:val="decimal" w:pos="510"/>
              </w:tabs>
            </w:pPr>
            <w:r w:rsidRPr="003A7263">
              <w:t>-0.09</w:t>
            </w:r>
          </w:p>
        </w:tc>
        <w:tc>
          <w:tcPr>
            <w:tcW w:w="1134" w:type="dxa"/>
            <w:tcBorders>
              <w:top w:val="nil"/>
              <w:left w:val="nil"/>
              <w:bottom w:val="nil"/>
              <w:right w:val="nil"/>
            </w:tcBorders>
            <w:shd w:val="clear" w:color="auto" w:fill="auto"/>
            <w:noWrap/>
            <w:hideMark/>
          </w:tcPr>
          <w:p w:rsidR="00247DCA" w:rsidRPr="003A7263" w:rsidRDefault="00247DCA" w:rsidP="006B1956">
            <w:pPr>
              <w:pStyle w:val="Tabletext"/>
              <w:tabs>
                <w:tab w:val="decimal" w:pos="425"/>
              </w:tabs>
            </w:pPr>
            <w:r w:rsidRPr="003A7263">
              <w:t>0.09</w:t>
            </w:r>
          </w:p>
        </w:tc>
      </w:tr>
      <w:tr w:rsidR="00247DCA" w:rsidRPr="00C96355" w:rsidTr="006B1956">
        <w:tc>
          <w:tcPr>
            <w:tcW w:w="567" w:type="dxa"/>
            <w:tcBorders>
              <w:top w:val="nil"/>
              <w:left w:val="nil"/>
              <w:bottom w:val="nil"/>
              <w:right w:val="nil"/>
            </w:tcBorders>
            <w:shd w:val="clear" w:color="auto" w:fill="auto"/>
            <w:noWrap/>
            <w:hideMark/>
          </w:tcPr>
          <w:p w:rsidR="00247DCA" w:rsidRPr="00C96355" w:rsidRDefault="00247DCA" w:rsidP="00247DCA">
            <w:pPr>
              <w:pStyle w:val="Tabletext"/>
            </w:pPr>
          </w:p>
        </w:tc>
        <w:tc>
          <w:tcPr>
            <w:tcW w:w="3119" w:type="dxa"/>
            <w:tcBorders>
              <w:top w:val="nil"/>
              <w:left w:val="nil"/>
              <w:bottom w:val="nil"/>
              <w:right w:val="nil"/>
            </w:tcBorders>
            <w:shd w:val="clear" w:color="auto" w:fill="auto"/>
            <w:noWrap/>
            <w:hideMark/>
          </w:tcPr>
          <w:p w:rsidR="00247DCA" w:rsidRDefault="00247DCA" w:rsidP="00247DCA">
            <w:pPr>
              <w:pStyle w:val="Tabletext"/>
            </w:pPr>
            <w:r>
              <w:t>Tasmania</w:t>
            </w:r>
          </w:p>
        </w:tc>
        <w:tc>
          <w:tcPr>
            <w:tcW w:w="1417" w:type="dxa"/>
            <w:tcBorders>
              <w:top w:val="nil"/>
              <w:left w:val="nil"/>
              <w:bottom w:val="nil"/>
              <w:right w:val="nil"/>
            </w:tcBorders>
            <w:shd w:val="clear" w:color="auto" w:fill="auto"/>
            <w:noWrap/>
            <w:hideMark/>
          </w:tcPr>
          <w:p w:rsidR="00247DCA" w:rsidRPr="00E4340D" w:rsidRDefault="00247DCA" w:rsidP="006B1956">
            <w:pPr>
              <w:pStyle w:val="Tabletext"/>
              <w:tabs>
                <w:tab w:val="decimal" w:pos="510"/>
              </w:tabs>
            </w:pPr>
            <w:r w:rsidRPr="00E4340D">
              <w:t>-1.93</w:t>
            </w:r>
            <w:r>
              <w:t>**</w:t>
            </w:r>
          </w:p>
        </w:tc>
        <w:tc>
          <w:tcPr>
            <w:tcW w:w="1134" w:type="dxa"/>
            <w:tcBorders>
              <w:top w:val="nil"/>
              <w:left w:val="nil"/>
              <w:bottom w:val="nil"/>
              <w:right w:val="nil"/>
            </w:tcBorders>
            <w:shd w:val="clear" w:color="auto" w:fill="auto"/>
            <w:noWrap/>
            <w:hideMark/>
          </w:tcPr>
          <w:p w:rsidR="00247DCA" w:rsidRPr="00E4340D" w:rsidRDefault="00247DCA" w:rsidP="006B1956">
            <w:pPr>
              <w:pStyle w:val="Tabletext"/>
              <w:tabs>
                <w:tab w:val="decimal" w:pos="425"/>
              </w:tabs>
            </w:pPr>
            <w:r w:rsidRPr="00E4340D">
              <w:t>0.27</w:t>
            </w:r>
          </w:p>
        </w:tc>
        <w:tc>
          <w:tcPr>
            <w:tcW w:w="1418" w:type="dxa"/>
            <w:tcBorders>
              <w:top w:val="nil"/>
              <w:left w:val="nil"/>
              <w:bottom w:val="nil"/>
              <w:right w:val="nil"/>
            </w:tcBorders>
            <w:shd w:val="clear" w:color="auto" w:fill="auto"/>
            <w:noWrap/>
            <w:hideMark/>
          </w:tcPr>
          <w:p w:rsidR="00247DCA" w:rsidRPr="003A7263" w:rsidRDefault="00247DCA" w:rsidP="006B1956">
            <w:pPr>
              <w:pStyle w:val="Tabletext"/>
              <w:tabs>
                <w:tab w:val="decimal" w:pos="510"/>
              </w:tabs>
            </w:pPr>
            <w:r>
              <w:t xml:space="preserve"> 0.</w:t>
            </w:r>
            <w:r w:rsidRPr="003A7263">
              <w:t>56</w:t>
            </w:r>
            <w:r>
              <w:t>**</w:t>
            </w:r>
          </w:p>
        </w:tc>
        <w:tc>
          <w:tcPr>
            <w:tcW w:w="1134" w:type="dxa"/>
            <w:tcBorders>
              <w:top w:val="nil"/>
              <w:left w:val="nil"/>
              <w:bottom w:val="nil"/>
              <w:right w:val="nil"/>
            </w:tcBorders>
            <w:shd w:val="clear" w:color="auto" w:fill="auto"/>
            <w:noWrap/>
            <w:hideMark/>
          </w:tcPr>
          <w:p w:rsidR="00247DCA" w:rsidRPr="003A7263" w:rsidRDefault="00247DCA" w:rsidP="006B1956">
            <w:pPr>
              <w:pStyle w:val="Tabletext"/>
              <w:tabs>
                <w:tab w:val="decimal" w:pos="425"/>
              </w:tabs>
            </w:pPr>
            <w:r w:rsidRPr="003A7263">
              <w:t>0.19</w:t>
            </w:r>
          </w:p>
        </w:tc>
      </w:tr>
      <w:tr w:rsidR="00247DCA" w:rsidRPr="00C96355" w:rsidTr="006B1956">
        <w:tc>
          <w:tcPr>
            <w:tcW w:w="567" w:type="dxa"/>
            <w:tcBorders>
              <w:top w:val="nil"/>
              <w:left w:val="nil"/>
              <w:bottom w:val="nil"/>
              <w:right w:val="nil"/>
            </w:tcBorders>
            <w:shd w:val="clear" w:color="auto" w:fill="auto"/>
            <w:noWrap/>
            <w:hideMark/>
          </w:tcPr>
          <w:p w:rsidR="00247DCA" w:rsidRPr="00C96355" w:rsidRDefault="00247DCA" w:rsidP="00247DCA">
            <w:pPr>
              <w:pStyle w:val="Tabletext"/>
            </w:pPr>
          </w:p>
        </w:tc>
        <w:tc>
          <w:tcPr>
            <w:tcW w:w="3119" w:type="dxa"/>
            <w:tcBorders>
              <w:top w:val="nil"/>
              <w:left w:val="nil"/>
              <w:bottom w:val="nil"/>
              <w:right w:val="nil"/>
            </w:tcBorders>
            <w:shd w:val="clear" w:color="auto" w:fill="auto"/>
            <w:noWrap/>
            <w:hideMark/>
          </w:tcPr>
          <w:p w:rsidR="00247DCA" w:rsidRDefault="00247DCA" w:rsidP="00247DCA">
            <w:pPr>
              <w:pStyle w:val="Tabletext"/>
            </w:pPr>
            <w:r>
              <w:t>Northern Territory</w:t>
            </w:r>
          </w:p>
        </w:tc>
        <w:tc>
          <w:tcPr>
            <w:tcW w:w="1417" w:type="dxa"/>
            <w:tcBorders>
              <w:top w:val="nil"/>
              <w:left w:val="nil"/>
              <w:bottom w:val="nil"/>
              <w:right w:val="nil"/>
            </w:tcBorders>
            <w:shd w:val="clear" w:color="auto" w:fill="auto"/>
            <w:noWrap/>
            <w:hideMark/>
          </w:tcPr>
          <w:p w:rsidR="00247DCA" w:rsidRPr="00E4340D" w:rsidRDefault="00247DCA" w:rsidP="006B1956">
            <w:pPr>
              <w:pStyle w:val="Tabletext"/>
              <w:tabs>
                <w:tab w:val="decimal" w:pos="510"/>
              </w:tabs>
            </w:pPr>
            <w:r w:rsidRPr="00E4340D">
              <w:t>-0.15</w:t>
            </w:r>
          </w:p>
        </w:tc>
        <w:tc>
          <w:tcPr>
            <w:tcW w:w="1134" w:type="dxa"/>
            <w:tcBorders>
              <w:top w:val="nil"/>
              <w:left w:val="nil"/>
              <w:bottom w:val="nil"/>
              <w:right w:val="nil"/>
            </w:tcBorders>
            <w:shd w:val="clear" w:color="auto" w:fill="auto"/>
            <w:noWrap/>
            <w:hideMark/>
          </w:tcPr>
          <w:p w:rsidR="00247DCA" w:rsidRDefault="00247DCA" w:rsidP="006B1956">
            <w:pPr>
              <w:pStyle w:val="Tabletext"/>
              <w:tabs>
                <w:tab w:val="decimal" w:pos="425"/>
              </w:tabs>
            </w:pPr>
            <w:r w:rsidRPr="00E4340D">
              <w:t>0.13</w:t>
            </w:r>
          </w:p>
        </w:tc>
        <w:tc>
          <w:tcPr>
            <w:tcW w:w="1418" w:type="dxa"/>
            <w:tcBorders>
              <w:top w:val="nil"/>
              <w:left w:val="nil"/>
              <w:bottom w:val="nil"/>
              <w:right w:val="nil"/>
            </w:tcBorders>
            <w:shd w:val="clear" w:color="auto" w:fill="auto"/>
            <w:noWrap/>
            <w:hideMark/>
          </w:tcPr>
          <w:p w:rsidR="00247DCA" w:rsidRPr="003A7263" w:rsidRDefault="00247DCA" w:rsidP="006B1956">
            <w:pPr>
              <w:pStyle w:val="Tabletext"/>
              <w:tabs>
                <w:tab w:val="decimal" w:pos="510"/>
              </w:tabs>
            </w:pPr>
            <w:r>
              <w:t xml:space="preserve"> 0.</w:t>
            </w:r>
            <w:r w:rsidRPr="003A7263">
              <w:t>21</w:t>
            </w:r>
          </w:p>
        </w:tc>
        <w:tc>
          <w:tcPr>
            <w:tcW w:w="1134" w:type="dxa"/>
            <w:tcBorders>
              <w:top w:val="nil"/>
              <w:left w:val="nil"/>
              <w:bottom w:val="nil"/>
              <w:right w:val="nil"/>
            </w:tcBorders>
            <w:shd w:val="clear" w:color="auto" w:fill="auto"/>
            <w:noWrap/>
            <w:hideMark/>
          </w:tcPr>
          <w:p w:rsidR="00247DCA" w:rsidRDefault="00247DCA" w:rsidP="006B1956">
            <w:pPr>
              <w:pStyle w:val="Tabletext"/>
              <w:tabs>
                <w:tab w:val="decimal" w:pos="425"/>
              </w:tabs>
            </w:pPr>
            <w:r w:rsidRPr="003A7263">
              <w:t>0.17</w:t>
            </w:r>
          </w:p>
        </w:tc>
      </w:tr>
      <w:tr w:rsidR="00247DCA" w:rsidRPr="00C96355" w:rsidTr="006B1956">
        <w:tc>
          <w:tcPr>
            <w:tcW w:w="567" w:type="dxa"/>
            <w:tcBorders>
              <w:top w:val="nil"/>
              <w:left w:val="nil"/>
              <w:bottom w:val="nil"/>
              <w:right w:val="nil"/>
            </w:tcBorders>
            <w:shd w:val="clear" w:color="auto" w:fill="auto"/>
            <w:noWrap/>
            <w:hideMark/>
          </w:tcPr>
          <w:p w:rsidR="00247DCA" w:rsidRPr="00C96355" w:rsidRDefault="00247DCA" w:rsidP="00247DCA">
            <w:pPr>
              <w:pStyle w:val="Tabletext"/>
            </w:pPr>
          </w:p>
        </w:tc>
        <w:tc>
          <w:tcPr>
            <w:tcW w:w="3119" w:type="dxa"/>
            <w:tcBorders>
              <w:top w:val="nil"/>
              <w:left w:val="nil"/>
              <w:bottom w:val="nil"/>
              <w:right w:val="nil"/>
            </w:tcBorders>
            <w:shd w:val="clear" w:color="auto" w:fill="auto"/>
            <w:noWrap/>
            <w:hideMark/>
          </w:tcPr>
          <w:p w:rsidR="00247DCA" w:rsidRDefault="00247DCA" w:rsidP="00247DCA">
            <w:pPr>
              <w:pStyle w:val="Tabletext"/>
            </w:pPr>
            <w:r>
              <w:t>Metropolitan area</w:t>
            </w:r>
          </w:p>
        </w:tc>
        <w:tc>
          <w:tcPr>
            <w:tcW w:w="1417" w:type="dxa"/>
            <w:tcBorders>
              <w:top w:val="nil"/>
              <w:left w:val="nil"/>
              <w:bottom w:val="nil"/>
              <w:right w:val="nil"/>
            </w:tcBorders>
            <w:shd w:val="clear" w:color="auto" w:fill="auto"/>
            <w:noWrap/>
            <w:hideMark/>
          </w:tcPr>
          <w:p w:rsidR="00247DCA" w:rsidRPr="00AA75C7" w:rsidRDefault="00247DCA" w:rsidP="006B1956">
            <w:pPr>
              <w:pStyle w:val="Tabletext"/>
              <w:tabs>
                <w:tab w:val="decimal" w:pos="510"/>
              </w:tabs>
            </w:pPr>
            <w:r>
              <w:t>- -</w:t>
            </w:r>
          </w:p>
        </w:tc>
        <w:tc>
          <w:tcPr>
            <w:tcW w:w="1134" w:type="dxa"/>
            <w:tcBorders>
              <w:top w:val="nil"/>
              <w:left w:val="nil"/>
              <w:bottom w:val="nil"/>
              <w:right w:val="nil"/>
            </w:tcBorders>
            <w:shd w:val="clear" w:color="auto" w:fill="auto"/>
            <w:noWrap/>
            <w:hideMark/>
          </w:tcPr>
          <w:p w:rsidR="00247DCA" w:rsidRPr="00AA75C7" w:rsidRDefault="00247DCA" w:rsidP="006B1956">
            <w:pPr>
              <w:pStyle w:val="Tabletext"/>
              <w:tabs>
                <w:tab w:val="decimal" w:pos="425"/>
              </w:tabs>
            </w:pPr>
          </w:p>
        </w:tc>
        <w:tc>
          <w:tcPr>
            <w:tcW w:w="1418" w:type="dxa"/>
            <w:tcBorders>
              <w:top w:val="nil"/>
              <w:left w:val="nil"/>
              <w:bottom w:val="nil"/>
              <w:right w:val="nil"/>
            </w:tcBorders>
            <w:shd w:val="clear" w:color="auto" w:fill="auto"/>
            <w:noWrap/>
            <w:hideMark/>
          </w:tcPr>
          <w:p w:rsidR="00247DCA" w:rsidRPr="0079522F" w:rsidRDefault="00247DCA" w:rsidP="006B1956">
            <w:pPr>
              <w:pStyle w:val="Tabletext"/>
              <w:tabs>
                <w:tab w:val="decimal" w:pos="510"/>
              </w:tabs>
            </w:pPr>
            <w:r>
              <w:t>- -</w:t>
            </w:r>
          </w:p>
        </w:tc>
        <w:tc>
          <w:tcPr>
            <w:tcW w:w="1134" w:type="dxa"/>
            <w:tcBorders>
              <w:top w:val="nil"/>
              <w:left w:val="nil"/>
              <w:bottom w:val="nil"/>
              <w:right w:val="nil"/>
            </w:tcBorders>
            <w:shd w:val="clear" w:color="auto" w:fill="auto"/>
            <w:noWrap/>
            <w:hideMark/>
          </w:tcPr>
          <w:p w:rsidR="00247DCA" w:rsidRPr="0079522F" w:rsidRDefault="00247DCA" w:rsidP="006B1956">
            <w:pPr>
              <w:pStyle w:val="Tabletext"/>
              <w:tabs>
                <w:tab w:val="decimal" w:pos="425"/>
              </w:tabs>
            </w:pPr>
          </w:p>
        </w:tc>
      </w:tr>
      <w:tr w:rsidR="00247DCA" w:rsidRPr="00C96355" w:rsidTr="006B1956">
        <w:tc>
          <w:tcPr>
            <w:tcW w:w="567" w:type="dxa"/>
            <w:tcBorders>
              <w:top w:val="nil"/>
              <w:left w:val="nil"/>
              <w:bottom w:val="nil"/>
              <w:right w:val="nil"/>
            </w:tcBorders>
            <w:shd w:val="clear" w:color="auto" w:fill="auto"/>
            <w:noWrap/>
            <w:hideMark/>
          </w:tcPr>
          <w:p w:rsidR="00247DCA" w:rsidRPr="00C96355" w:rsidRDefault="00247DCA" w:rsidP="00247DCA">
            <w:pPr>
              <w:pStyle w:val="Tabletext"/>
            </w:pPr>
          </w:p>
        </w:tc>
        <w:tc>
          <w:tcPr>
            <w:tcW w:w="3119" w:type="dxa"/>
            <w:tcBorders>
              <w:top w:val="nil"/>
              <w:left w:val="nil"/>
              <w:bottom w:val="nil"/>
              <w:right w:val="nil"/>
            </w:tcBorders>
            <w:shd w:val="clear" w:color="auto" w:fill="auto"/>
            <w:noWrap/>
            <w:hideMark/>
          </w:tcPr>
          <w:p w:rsidR="00247DCA" w:rsidRDefault="00247DCA" w:rsidP="00247DCA">
            <w:pPr>
              <w:pStyle w:val="Tabletext"/>
            </w:pPr>
            <w:r>
              <w:t>Provincial town</w:t>
            </w:r>
          </w:p>
        </w:tc>
        <w:tc>
          <w:tcPr>
            <w:tcW w:w="1417" w:type="dxa"/>
            <w:tcBorders>
              <w:top w:val="nil"/>
              <w:left w:val="nil"/>
              <w:bottom w:val="nil"/>
              <w:right w:val="nil"/>
            </w:tcBorders>
            <w:shd w:val="clear" w:color="auto" w:fill="auto"/>
            <w:noWrap/>
            <w:hideMark/>
          </w:tcPr>
          <w:p w:rsidR="00247DCA" w:rsidRPr="0027186E" w:rsidRDefault="00247DCA" w:rsidP="006B1956">
            <w:pPr>
              <w:pStyle w:val="Tabletext"/>
              <w:tabs>
                <w:tab w:val="decimal" w:pos="510"/>
              </w:tabs>
            </w:pPr>
            <w:r>
              <w:t xml:space="preserve"> 0.</w:t>
            </w:r>
            <w:r w:rsidRPr="0027186E">
              <w:t>33</w:t>
            </w:r>
            <w:r>
              <w:t>**</w:t>
            </w:r>
          </w:p>
        </w:tc>
        <w:tc>
          <w:tcPr>
            <w:tcW w:w="1134" w:type="dxa"/>
            <w:tcBorders>
              <w:top w:val="nil"/>
              <w:left w:val="nil"/>
              <w:bottom w:val="nil"/>
              <w:right w:val="nil"/>
            </w:tcBorders>
            <w:shd w:val="clear" w:color="auto" w:fill="auto"/>
            <w:noWrap/>
            <w:hideMark/>
          </w:tcPr>
          <w:p w:rsidR="00247DCA" w:rsidRPr="0027186E" w:rsidRDefault="00247DCA" w:rsidP="006B1956">
            <w:pPr>
              <w:pStyle w:val="Tabletext"/>
              <w:tabs>
                <w:tab w:val="decimal" w:pos="425"/>
              </w:tabs>
            </w:pPr>
            <w:r w:rsidRPr="0027186E">
              <w:t>0.08</w:t>
            </w:r>
          </w:p>
        </w:tc>
        <w:tc>
          <w:tcPr>
            <w:tcW w:w="1418" w:type="dxa"/>
            <w:tcBorders>
              <w:top w:val="nil"/>
              <w:left w:val="nil"/>
              <w:bottom w:val="nil"/>
              <w:right w:val="nil"/>
            </w:tcBorders>
            <w:shd w:val="clear" w:color="auto" w:fill="auto"/>
            <w:noWrap/>
            <w:hideMark/>
          </w:tcPr>
          <w:p w:rsidR="00247DCA" w:rsidRPr="00475C96" w:rsidRDefault="00247DCA" w:rsidP="006B1956">
            <w:pPr>
              <w:pStyle w:val="Tabletext"/>
              <w:tabs>
                <w:tab w:val="decimal" w:pos="510"/>
              </w:tabs>
            </w:pPr>
            <w:r>
              <w:t xml:space="preserve"> 0.</w:t>
            </w:r>
            <w:r w:rsidRPr="00475C96">
              <w:t>06</w:t>
            </w:r>
          </w:p>
        </w:tc>
        <w:tc>
          <w:tcPr>
            <w:tcW w:w="1134" w:type="dxa"/>
            <w:tcBorders>
              <w:top w:val="nil"/>
              <w:left w:val="nil"/>
              <w:bottom w:val="nil"/>
              <w:right w:val="nil"/>
            </w:tcBorders>
            <w:shd w:val="clear" w:color="auto" w:fill="auto"/>
            <w:noWrap/>
            <w:hideMark/>
          </w:tcPr>
          <w:p w:rsidR="00247DCA" w:rsidRPr="00475C96" w:rsidRDefault="00247DCA" w:rsidP="006B1956">
            <w:pPr>
              <w:pStyle w:val="Tabletext"/>
              <w:tabs>
                <w:tab w:val="decimal" w:pos="425"/>
              </w:tabs>
            </w:pPr>
            <w:r w:rsidRPr="00475C96">
              <w:t>0.09</w:t>
            </w:r>
          </w:p>
        </w:tc>
      </w:tr>
      <w:tr w:rsidR="00247DCA" w:rsidRPr="00C96355" w:rsidTr="006B1956">
        <w:tc>
          <w:tcPr>
            <w:tcW w:w="567" w:type="dxa"/>
            <w:tcBorders>
              <w:top w:val="nil"/>
              <w:left w:val="nil"/>
              <w:bottom w:val="nil"/>
              <w:right w:val="nil"/>
            </w:tcBorders>
            <w:shd w:val="clear" w:color="auto" w:fill="auto"/>
            <w:noWrap/>
            <w:hideMark/>
          </w:tcPr>
          <w:p w:rsidR="00247DCA" w:rsidRPr="00C96355" w:rsidRDefault="00247DCA" w:rsidP="00247DCA">
            <w:pPr>
              <w:pStyle w:val="Tabletext"/>
            </w:pPr>
          </w:p>
        </w:tc>
        <w:tc>
          <w:tcPr>
            <w:tcW w:w="3119" w:type="dxa"/>
            <w:tcBorders>
              <w:top w:val="nil"/>
              <w:left w:val="nil"/>
              <w:bottom w:val="nil"/>
              <w:right w:val="nil"/>
            </w:tcBorders>
            <w:shd w:val="clear" w:color="auto" w:fill="auto"/>
            <w:noWrap/>
            <w:hideMark/>
          </w:tcPr>
          <w:p w:rsidR="00247DCA" w:rsidRDefault="00247DCA" w:rsidP="00247DCA">
            <w:pPr>
              <w:pStyle w:val="Tabletext"/>
            </w:pPr>
            <w:r>
              <w:t>Remote location</w:t>
            </w:r>
          </w:p>
        </w:tc>
        <w:tc>
          <w:tcPr>
            <w:tcW w:w="1417" w:type="dxa"/>
            <w:tcBorders>
              <w:top w:val="nil"/>
              <w:left w:val="nil"/>
              <w:bottom w:val="nil"/>
              <w:right w:val="nil"/>
            </w:tcBorders>
            <w:shd w:val="clear" w:color="auto" w:fill="auto"/>
            <w:noWrap/>
            <w:hideMark/>
          </w:tcPr>
          <w:p w:rsidR="00247DCA" w:rsidRPr="0027186E" w:rsidRDefault="00247DCA" w:rsidP="006B1956">
            <w:pPr>
              <w:pStyle w:val="Tabletext"/>
              <w:tabs>
                <w:tab w:val="decimal" w:pos="510"/>
              </w:tabs>
            </w:pPr>
            <w:r>
              <w:t xml:space="preserve"> 0.</w:t>
            </w:r>
            <w:r w:rsidRPr="0027186E">
              <w:t>59</w:t>
            </w:r>
            <w:r>
              <w:t>**</w:t>
            </w:r>
          </w:p>
        </w:tc>
        <w:tc>
          <w:tcPr>
            <w:tcW w:w="1134" w:type="dxa"/>
            <w:tcBorders>
              <w:top w:val="nil"/>
              <w:left w:val="nil"/>
              <w:bottom w:val="nil"/>
              <w:right w:val="nil"/>
            </w:tcBorders>
            <w:shd w:val="clear" w:color="auto" w:fill="auto"/>
            <w:noWrap/>
            <w:hideMark/>
          </w:tcPr>
          <w:p w:rsidR="00247DCA" w:rsidRPr="0027186E" w:rsidRDefault="00247DCA" w:rsidP="006B1956">
            <w:pPr>
              <w:pStyle w:val="Tabletext"/>
              <w:tabs>
                <w:tab w:val="decimal" w:pos="425"/>
              </w:tabs>
            </w:pPr>
            <w:r w:rsidRPr="0027186E">
              <w:t>0.19</w:t>
            </w:r>
          </w:p>
        </w:tc>
        <w:tc>
          <w:tcPr>
            <w:tcW w:w="1418" w:type="dxa"/>
            <w:tcBorders>
              <w:top w:val="nil"/>
              <w:left w:val="nil"/>
              <w:bottom w:val="nil"/>
              <w:right w:val="nil"/>
            </w:tcBorders>
            <w:shd w:val="clear" w:color="auto" w:fill="auto"/>
            <w:noWrap/>
            <w:hideMark/>
          </w:tcPr>
          <w:p w:rsidR="00247DCA" w:rsidRPr="00475C96" w:rsidRDefault="00247DCA" w:rsidP="006B1956">
            <w:pPr>
              <w:pStyle w:val="Tabletext"/>
              <w:tabs>
                <w:tab w:val="decimal" w:pos="510"/>
              </w:tabs>
            </w:pPr>
            <w:r>
              <w:t xml:space="preserve"> 0.</w:t>
            </w:r>
            <w:r w:rsidRPr="00475C96">
              <w:t>31</w:t>
            </w:r>
          </w:p>
        </w:tc>
        <w:tc>
          <w:tcPr>
            <w:tcW w:w="1134" w:type="dxa"/>
            <w:tcBorders>
              <w:top w:val="nil"/>
              <w:left w:val="nil"/>
              <w:bottom w:val="nil"/>
              <w:right w:val="nil"/>
            </w:tcBorders>
            <w:shd w:val="clear" w:color="auto" w:fill="auto"/>
            <w:noWrap/>
            <w:hideMark/>
          </w:tcPr>
          <w:p w:rsidR="00247DCA" w:rsidRDefault="00247DCA" w:rsidP="006B1956">
            <w:pPr>
              <w:pStyle w:val="Tabletext"/>
              <w:tabs>
                <w:tab w:val="decimal" w:pos="425"/>
              </w:tabs>
            </w:pPr>
            <w:r w:rsidRPr="00475C96">
              <w:t>0.21</w:t>
            </w:r>
          </w:p>
        </w:tc>
      </w:tr>
      <w:tr w:rsidR="00247DCA" w:rsidRPr="00C96355" w:rsidTr="006B1956">
        <w:tc>
          <w:tcPr>
            <w:tcW w:w="567" w:type="dxa"/>
            <w:tcBorders>
              <w:top w:val="nil"/>
              <w:left w:val="nil"/>
              <w:bottom w:val="nil"/>
              <w:right w:val="nil"/>
            </w:tcBorders>
            <w:shd w:val="clear" w:color="auto" w:fill="auto"/>
            <w:noWrap/>
            <w:hideMark/>
          </w:tcPr>
          <w:p w:rsidR="00247DCA" w:rsidRPr="00C96355" w:rsidRDefault="00247DCA" w:rsidP="00247DCA">
            <w:pPr>
              <w:pStyle w:val="Tabletext"/>
            </w:pPr>
          </w:p>
        </w:tc>
        <w:tc>
          <w:tcPr>
            <w:tcW w:w="3119" w:type="dxa"/>
            <w:tcBorders>
              <w:top w:val="nil"/>
              <w:left w:val="nil"/>
              <w:bottom w:val="nil"/>
              <w:right w:val="nil"/>
            </w:tcBorders>
            <w:shd w:val="clear" w:color="auto" w:fill="auto"/>
            <w:noWrap/>
            <w:hideMark/>
          </w:tcPr>
          <w:p w:rsidR="00247DCA" w:rsidRDefault="00247DCA" w:rsidP="00247DCA">
            <w:pPr>
              <w:pStyle w:val="Tabletext"/>
            </w:pPr>
            <w:r>
              <w:t>Indigenous</w:t>
            </w:r>
          </w:p>
        </w:tc>
        <w:tc>
          <w:tcPr>
            <w:tcW w:w="1417" w:type="dxa"/>
            <w:tcBorders>
              <w:top w:val="nil"/>
              <w:left w:val="nil"/>
              <w:bottom w:val="nil"/>
              <w:right w:val="nil"/>
            </w:tcBorders>
            <w:shd w:val="clear" w:color="auto" w:fill="auto"/>
            <w:noWrap/>
            <w:hideMark/>
          </w:tcPr>
          <w:p w:rsidR="00247DCA" w:rsidRPr="0027186E" w:rsidRDefault="00247DCA" w:rsidP="006B1956">
            <w:pPr>
              <w:pStyle w:val="Tabletext"/>
              <w:tabs>
                <w:tab w:val="decimal" w:pos="510"/>
              </w:tabs>
            </w:pPr>
            <w:r w:rsidRPr="0027186E">
              <w:t>-0.21</w:t>
            </w:r>
          </w:p>
        </w:tc>
        <w:tc>
          <w:tcPr>
            <w:tcW w:w="1134" w:type="dxa"/>
            <w:tcBorders>
              <w:top w:val="nil"/>
              <w:left w:val="nil"/>
              <w:bottom w:val="nil"/>
              <w:right w:val="nil"/>
            </w:tcBorders>
            <w:shd w:val="clear" w:color="auto" w:fill="auto"/>
            <w:noWrap/>
            <w:hideMark/>
          </w:tcPr>
          <w:p w:rsidR="00247DCA" w:rsidRPr="0027186E" w:rsidRDefault="00247DCA" w:rsidP="006B1956">
            <w:pPr>
              <w:pStyle w:val="Tabletext"/>
              <w:tabs>
                <w:tab w:val="decimal" w:pos="425"/>
              </w:tabs>
            </w:pPr>
            <w:r w:rsidRPr="0027186E">
              <w:t>0.14</w:t>
            </w:r>
          </w:p>
        </w:tc>
        <w:tc>
          <w:tcPr>
            <w:tcW w:w="1418" w:type="dxa"/>
            <w:tcBorders>
              <w:top w:val="nil"/>
              <w:left w:val="nil"/>
              <w:bottom w:val="nil"/>
              <w:right w:val="nil"/>
            </w:tcBorders>
            <w:shd w:val="clear" w:color="auto" w:fill="auto"/>
            <w:noWrap/>
            <w:hideMark/>
          </w:tcPr>
          <w:p w:rsidR="00247DCA" w:rsidRPr="00EF074E" w:rsidRDefault="00247DCA" w:rsidP="006B1956">
            <w:pPr>
              <w:pStyle w:val="Tabletext"/>
              <w:tabs>
                <w:tab w:val="decimal" w:pos="510"/>
              </w:tabs>
            </w:pPr>
            <w:r w:rsidRPr="00EF074E">
              <w:t>-0.35</w:t>
            </w:r>
          </w:p>
        </w:tc>
        <w:tc>
          <w:tcPr>
            <w:tcW w:w="1134" w:type="dxa"/>
            <w:tcBorders>
              <w:top w:val="nil"/>
              <w:left w:val="nil"/>
              <w:bottom w:val="nil"/>
              <w:right w:val="nil"/>
            </w:tcBorders>
            <w:shd w:val="clear" w:color="auto" w:fill="auto"/>
            <w:noWrap/>
            <w:hideMark/>
          </w:tcPr>
          <w:p w:rsidR="00247DCA" w:rsidRPr="00EF074E" w:rsidRDefault="00247DCA" w:rsidP="006B1956">
            <w:pPr>
              <w:pStyle w:val="Tabletext"/>
              <w:tabs>
                <w:tab w:val="decimal" w:pos="425"/>
              </w:tabs>
            </w:pPr>
            <w:r w:rsidRPr="00EF074E">
              <w:t>0.19</w:t>
            </w:r>
          </w:p>
        </w:tc>
      </w:tr>
      <w:tr w:rsidR="00247DCA" w:rsidRPr="00C96355" w:rsidTr="006B1956">
        <w:tc>
          <w:tcPr>
            <w:tcW w:w="567" w:type="dxa"/>
            <w:tcBorders>
              <w:top w:val="nil"/>
              <w:left w:val="nil"/>
              <w:bottom w:val="nil"/>
              <w:right w:val="nil"/>
            </w:tcBorders>
            <w:shd w:val="clear" w:color="auto" w:fill="auto"/>
            <w:noWrap/>
            <w:hideMark/>
          </w:tcPr>
          <w:p w:rsidR="00247DCA" w:rsidRPr="00C96355" w:rsidRDefault="00247DCA" w:rsidP="00247DCA">
            <w:pPr>
              <w:pStyle w:val="Tabletext"/>
            </w:pPr>
          </w:p>
        </w:tc>
        <w:tc>
          <w:tcPr>
            <w:tcW w:w="3119" w:type="dxa"/>
            <w:tcBorders>
              <w:top w:val="nil"/>
              <w:left w:val="nil"/>
              <w:bottom w:val="nil"/>
              <w:right w:val="nil"/>
            </w:tcBorders>
            <w:shd w:val="clear" w:color="auto" w:fill="auto"/>
            <w:noWrap/>
            <w:hideMark/>
          </w:tcPr>
          <w:p w:rsidR="00247DCA" w:rsidRDefault="00247DCA" w:rsidP="00247DCA">
            <w:pPr>
              <w:pStyle w:val="Tabletext"/>
            </w:pPr>
            <w:r>
              <w:t>Economic and cultural status of family</w:t>
            </w:r>
          </w:p>
        </w:tc>
        <w:tc>
          <w:tcPr>
            <w:tcW w:w="1417" w:type="dxa"/>
            <w:tcBorders>
              <w:top w:val="nil"/>
              <w:left w:val="nil"/>
              <w:bottom w:val="nil"/>
              <w:right w:val="nil"/>
            </w:tcBorders>
            <w:shd w:val="clear" w:color="auto" w:fill="auto"/>
            <w:noWrap/>
            <w:hideMark/>
          </w:tcPr>
          <w:p w:rsidR="00247DCA" w:rsidRPr="0027186E" w:rsidRDefault="00247DCA" w:rsidP="006B1956">
            <w:pPr>
              <w:pStyle w:val="Tabletext"/>
              <w:tabs>
                <w:tab w:val="decimal" w:pos="510"/>
              </w:tabs>
            </w:pPr>
            <w:r>
              <w:t xml:space="preserve"> 0.</w:t>
            </w:r>
            <w:r w:rsidRPr="0027186E">
              <w:t>08</w:t>
            </w:r>
            <w:r>
              <w:t>*</w:t>
            </w:r>
          </w:p>
        </w:tc>
        <w:tc>
          <w:tcPr>
            <w:tcW w:w="1134" w:type="dxa"/>
            <w:tcBorders>
              <w:top w:val="nil"/>
              <w:left w:val="nil"/>
              <w:bottom w:val="nil"/>
              <w:right w:val="nil"/>
            </w:tcBorders>
            <w:shd w:val="clear" w:color="auto" w:fill="auto"/>
            <w:noWrap/>
            <w:hideMark/>
          </w:tcPr>
          <w:p w:rsidR="00247DCA" w:rsidRPr="0027186E" w:rsidRDefault="00247DCA" w:rsidP="006B1956">
            <w:pPr>
              <w:pStyle w:val="Tabletext"/>
              <w:tabs>
                <w:tab w:val="decimal" w:pos="425"/>
              </w:tabs>
            </w:pPr>
            <w:r w:rsidRPr="0027186E">
              <w:t>0.04</w:t>
            </w:r>
          </w:p>
        </w:tc>
        <w:tc>
          <w:tcPr>
            <w:tcW w:w="1418" w:type="dxa"/>
            <w:tcBorders>
              <w:top w:val="nil"/>
              <w:left w:val="nil"/>
              <w:bottom w:val="nil"/>
              <w:right w:val="nil"/>
            </w:tcBorders>
            <w:shd w:val="clear" w:color="auto" w:fill="auto"/>
            <w:noWrap/>
            <w:hideMark/>
          </w:tcPr>
          <w:p w:rsidR="00247DCA" w:rsidRPr="00EF074E" w:rsidRDefault="00247DCA" w:rsidP="006B1956">
            <w:pPr>
              <w:pStyle w:val="Tabletext"/>
              <w:tabs>
                <w:tab w:val="decimal" w:pos="510"/>
              </w:tabs>
            </w:pPr>
            <w:r>
              <w:t xml:space="preserve"> 0.</w:t>
            </w:r>
            <w:r w:rsidRPr="00EF074E">
              <w:t>09</w:t>
            </w:r>
            <w:r>
              <w:t>*</w:t>
            </w:r>
          </w:p>
        </w:tc>
        <w:tc>
          <w:tcPr>
            <w:tcW w:w="1134" w:type="dxa"/>
            <w:tcBorders>
              <w:top w:val="nil"/>
              <w:left w:val="nil"/>
              <w:bottom w:val="nil"/>
              <w:right w:val="nil"/>
            </w:tcBorders>
            <w:shd w:val="clear" w:color="auto" w:fill="auto"/>
            <w:noWrap/>
            <w:hideMark/>
          </w:tcPr>
          <w:p w:rsidR="00247DCA" w:rsidRPr="00EF074E" w:rsidRDefault="00247DCA" w:rsidP="006B1956">
            <w:pPr>
              <w:pStyle w:val="Tabletext"/>
              <w:tabs>
                <w:tab w:val="decimal" w:pos="425"/>
              </w:tabs>
            </w:pPr>
            <w:r w:rsidRPr="00EF074E">
              <w:t>0.04</w:t>
            </w:r>
          </w:p>
        </w:tc>
      </w:tr>
      <w:tr w:rsidR="00247DCA" w:rsidRPr="00C96355" w:rsidTr="006B1956">
        <w:tc>
          <w:tcPr>
            <w:tcW w:w="567" w:type="dxa"/>
            <w:tcBorders>
              <w:top w:val="nil"/>
              <w:left w:val="nil"/>
              <w:bottom w:val="nil"/>
              <w:right w:val="nil"/>
            </w:tcBorders>
            <w:shd w:val="clear" w:color="auto" w:fill="auto"/>
            <w:noWrap/>
            <w:hideMark/>
          </w:tcPr>
          <w:p w:rsidR="00247DCA" w:rsidRPr="00C96355" w:rsidRDefault="00247DCA" w:rsidP="00247DCA">
            <w:pPr>
              <w:pStyle w:val="Tabletext"/>
            </w:pPr>
          </w:p>
        </w:tc>
        <w:tc>
          <w:tcPr>
            <w:tcW w:w="3119" w:type="dxa"/>
            <w:tcBorders>
              <w:top w:val="nil"/>
              <w:left w:val="nil"/>
              <w:bottom w:val="nil"/>
              <w:right w:val="nil"/>
            </w:tcBorders>
            <w:shd w:val="clear" w:color="auto" w:fill="auto"/>
            <w:noWrap/>
            <w:hideMark/>
          </w:tcPr>
          <w:p w:rsidR="00247DCA" w:rsidRDefault="00247DCA" w:rsidP="00247DCA">
            <w:pPr>
              <w:pStyle w:val="Tabletext"/>
            </w:pPr>
            <w:r>
              <w:t>Academic performance in science</w:t>
            </w:r>
          </w:p>
        </w:tc>
        <w:tc>
          <w:tcPr>
            <w:tcW w:w="1417" w:type="dxa"/>
            <w:tcBorders>
              <w:top w:val="nil"/>
              <w:left w:val="nil"/>
              <w:bottom w:val="nil"/>
              <w:right w:val="nil"/>
            </w:tcBorders>
            <w:shd w:val="clear" w:color="auto" w:fill="auto"/>
            <w:noWrap/>
            <w:hideMark/>
          </w:tcPr>
          <w:p w:rsidR="00247DCA" w:rsidRPr="0027186E" w:rsidRDefault="00247DCA" w:rsidP="006B1956">
            <w:pPr>
              <w:pStyle w:val="Tabletext"/>
              <w:tabs>
                <w:tab w:val="decimal" w:pos="510"/>
              </w:tabs>
            </w:pPr>
            <w:r>
              <w:t xml:space="preserve"> 0.</w:t>
            </w:r>
            <w:r w:rsidRPr="0027186E">
              <w:t>11</w:t>
            </w:r>
            <w:r>
              <w:t>**</w:t>
            </w:r>
          </w:p>
        </w:tc>
        <w:tc>
          <w:tcPr>
            <w:tcW w:w="1134" w:type="dxa"/>
            <w:tcBorders>
              <w:top w:val="nil"/>
              <w:left w:val="nil"/>
              <w:bottom w:val="nil"/>
              <w:right w:val="nil"/>
            </w:tcBorders>
            <w:shd w:val="clear" w:color="auto" w:fill="auto"/>
            <w:noWrap/>
            <w:hideMark/>
          </w:tcPr>
          <w:p w:rsidR="00247DCA" w:rsidRPr="0027186E" w:rsidRDefault="00247DCA" w:rsidP="006B1956">
            <w:pPr>
              <w:pStyle w:val="Tabletext"/>
              <w:tabs>
                <w:tab w:val="decimal" w:pos="425"/>
              </w:tabs>
            </w:pPr>
            <w:r w:rsidRPr="0027186E">
              <w:t>0.03</w:t>
            </w:r>
          </w:p>
        </w:tc>
        <w:tc>
          <w:tcPr>
            <w:tcW w:w="1418" w:type="dxa"/>
            <w:tcBorders>
              <w:top w:val="nil"/>
              <w:left w:val="nil"/>
              <w:bottom w:val="nil"/>
              <w:right w:val="nil"/>
            </w:tcBorders>
            <w:shd w:val="clear" w:color="auto" w:fill="auto"/>
            <w:noWrap/>
            <w:hideMark/>
          </w:tcPr>
          <w:p w:rsidR="00247DCA" w:rsidRPr="00EF074E" w:rsidRDefault="00247DCA" w:rsidP="006B1956">
            <w:pPr>
              <w:pStyle w:val="Tabletext"/>
              <w:tabs>
                <w:tab w:val="decimal" w:pos="510"/>
              </w:tabs>
            </w:pPr>
            <w:r>
              <w:t xml:space="preserve"> 0.</w:t>
            </w:r>
            <w:r w:rsidRPr="00EF074E">
              <w:t>87</w:t>
            </w:r>
            <w:r>
              <w:t>**</w:t>
            </w:r>
          </w:p>
        </w:tc>
        <w:tc>
          <w:tcPr>
            <w:tcW w:w="1134" w:type="dxa"/>
            <w:tcBorders>
              <w:top w:val="nil"/>
              <w:left w:val="nil"/>
              <w:bottom w:val="nil"/>
              <w:right w:val="nil"/>
            </w:tcBorders>
            <w:shd w:val="clear" w:color="auto" w:fill="auto"/>
            <w:noWrap/>
            <w:hideMark/>
          </w:tcPr>
          <w:p w:rsidR="00247DCA" w:rsidRPr="00EF074E" w:rsidRDefault="00247DCA" w:rsidP="006B1956">
            <w:pPr>
              <w:pStyle w:val="Tabletext"/>
              <w:tabs>
                <w:tab w:val="decimal" w:pos="425"/>
              </w:tabs>
            </w:pPr>
            <w:r w:rsidRPr="00EF074E">
              <w:t>0.04</w:t>
            </w:r>
          </w:p>
        </w:tc>
      </w:tr>
      <w:tr w:rsidR="00247DCA" w:rsidRPr="00C96355" w:rsidTr="006B1956">
        <w:tc>
          <w:tcPr>
            <w:tcW w:w="567" w:type="dxa"/>
            <w:tcBorders>
              <w:top w:val="nil"/>
              <w:left w:val="nil"/>
              <w:bottom w:val="nil"/>
              <w:right w:val="nil"/>
            </w:tcBorders>
            <w:shd w:val="clear" w:color="auto" w:fill="auto"/>
            <w:noWrap/>
            <w:hideMark/>
          </w:tcPr>
          <w:p w:rsidR="00247DCA" w:rsidRPr="00C96355" w:rsidRDefault="00247DCA" w:rsidP="00247DCA">
            <w:pPr>
              <w:pStyle w:val="Tabletext"/>
            </w:pPr>
          </w:p>
        </w:tc>
        <w:tc>
          <w:tcPr>
            <w:tcW w:w="3119" w:type="dxa"/>
            <w:tcBorders>
              <w:top w:val="nil"/>
              <w:left w:val="nil"/>
              <w:bottom w:val="nil"/>
              <w:right w:val="nil"/>
            </w:tcBorders>
            <w:shd w:val="clear" w:color="auto" w:fill="auto"/>
            <w:noWrap/>
            <w:hideMark/>
          </w:tcPr>
          <w:p w:rsidR="00247DCA" w:rsidRDefault="00247DCA" w:rsidP="00247DCA">
            <w:pPr>
              <w:pStyle w:val="Tabletext"/>
            </w:pPr>
            <w:r>
              <w:t>Minutes per week study science</w:t>
            </w:r>
          </w:p>
        </w:tc>
        <w:tc>
          <w:tcPr>
            <w:tcW w:w="1417" w:type="dxa"/>
            <w:tcBorders>
              <w:top w:val="nil"/>
              <w:left w:val="nil"/>
              <w:bottom w:val="nil"/>
              <w:right w:val="nil"/>
            </w:tcBorders>
            <w:shd w:val="clear" w:color="auto" w:fill="auto"/>
            <w:noWrap/>
            <w:hideMark/>
          </w:tcPr>
          <w:p w:rsidR="00247DCA" w:rsidRPr="0027186E" w:rsidRDefault="00247DCA" w:rsidP="006B1956">
            <w:pPr>
              <w:pStyle w:val="Tabletext"/>
              <w:tabs>
                <w:tab w:val="decimal" w:pos="510"/>
              </w:tabs>
            </w:pPr>
            <w:r>
              <w:t xml:space="preserve"> 0.</w:t>
            </w:r>
            <w:r w:rsidRPr="0027186E">
              <w:t>05</w:t>
            </w:r>
            <w:r>
              <w:t>*</w:t>
            </w:r>
          </w:p>
        </w:tc>
        <w:tc>
          <w:tcPr>
            <w:tcW w:w="1134" w:type="dxa"/>
            <w:tcBorders>
              <w:top w:val="nil"/>
              <w:left w:val="nil"/>
              <w:bottom w:val="nil"/>
              <w:right w:val="nil"/>
            </w:tcBorders>
            <w:shd w:val="clear" w:color="auto" w:fill="auto"/>
            <w:noWrap/>
            <w:hideMark/>
          </w:tcPr>
          <w:p w:rsidR="00247DCA" w:rsidRPr="0027186E" w:rsidRDefault="00247DCA" w:rsidP="006B1956">
            <w:pPr>
              <w:pStyle w:val="Tabletext"/>
              <w:tabs>
                <w:tab w:val="decimal" w:pos="425"/>
              </w:tabs>
            </w:pPr>
            <w:r w:rsidRPr="0027186E">
              <w:t>0.02</w:t>
            </w:r>
          </w:p>
        </w:tc>
        <w:tc>
          <w:tcPr>
            <w:tcW w:w="1418" w:type="dxa"/>
            <w:tcBorders>
              <w:top w:val="nil"/>
              <w:left w:val="nil"/>
              <w:bottom w:val="nil"/>
              <w:right w:val="nil"/>
            </w:tcBorders>
            <w:shd w:val="clear" w:color="auto" w:fill="auto"/>
            <w:noWrap/>
            <w:hideMark/>
          </w:tcPr>
          <w:p w:rsidR="00247DCA" w:rsidRPr="00EF074E" w:rsidRDefault="00247DCA" w:rsidP="006B1956">
            <w:pPr>
              <w:pStyle w:val="Tabletext"/>
              <w:tabs>
                <w:tab w:val="decimal" w:pos="510"/>
              </w:tabs>
            </w:pPr>
            <w:r>
              <w:t xml:space="preserve"> 0.05</w:t>
            </w:r>
          </w:p>
        </w:tc>
        <w:tc>
          <w:tcPr>
            <w:tcW w:w="1134" w:type="dxa"/>
            <w:tcBorders>
              <w:top w:val="nil"/>
              <w:left w:val="nil"/>
              <w:bottom w:val="nil"/>
              <w:right w:val="nil"/>
            </w:tcBorders>
            <w:shd w:val="clear" w:color="auto" w:fill="auto"/>
            <w:noWrap/>
            <w:hideMark/>
          </w:tcPr>
          <w:p w:rsidR="00247DCA" w:rsidRPr="00EF074E" w:rsidRDefault="00247DCA" w:rsidP="006B1956">
            <w:pPr>
              <w:pStyle w:val="Tabletext"/>
              <w:tabs>
                <w:tab w:val="decimal" w:pos="425"/>
              </w:tabs>
            </w:pPr>
            <w:r>
              <w:t>0.03</w:t>
            </w:r>
          </w:p>
        </w:tc>
      </w:tr>
      <w:tr w:rsidR="00247DCA" w:rsidRPr="00C96355" w:rsidTr="006B1956">
        <w:tc>
          <w:tcPr>
            <w:tcW w:w="567" w:type="dxa"/>
            <w:tcBorders>
              <w:top w:val="nil"/>
              <w:left w:val="nil"/>
              <w:bottom w:val="nil"/>
              <w:right w:val="nil"/>
            </w:tcBorders>
            <w:shd w:val="clear" w:color="auto" w:fill="auto"/>
            <w:noWrap/>
            <w:hideMark/>
          </w:tcPr>
          <w:p w:rsidR="00247DCA" w:rsidRPr="00C96355" w:rsidRDefault="00247DCA" w:rsidP="00247DCA">
            <w:pPr>
              <w:pStyle w:val="Tabletext"/>
            </w:pPr>
          </w:p>
        </w:tc>
        <w:tc>
          <w:tcPr>
            <w:tcW w:w="3119" w:type="dxa"/>
            <w:tcBorders>
              <w:top w:val="nil"/>
              <w:left w:val="nil"/>
              <w:bottom w:val="nil"/>
              <w:right w:val="nil"/>
            </w:tcBorders>
            <w:shd w:val="clear" w:color="auto" w:fill="auto"/>
            <w:noWrap/>
            <w:hideMark/>
          </w:tcPr>
          <w:p w:rsidR="00247DCA" w:rsidRDefault="00247DCA" w:rsidP="00247DCA">
            <w:pPr>
              <w:pStyle w:val="Tabletext"/>
            </w:pPr>
            <w:r>
              <w:t>Self-confidence in science skills</w:t>
            </w:r>
          </w:p>
        </w:tc>
        <w:tc>
          <w:tcPr>
            <w:tcW w:w="1417" w:type="dxa"/>
            <w:tcBorders>
              <w:top w:val="nil"/>
              <w:left w:val="nil"/>
              <w:bottom w:val="nil"/>
              <w:right w:val="nil"/>
            </w:tcBorders>
            <w:shd w:val="clear" w:color="auto" w:fill="auto"/>
            <w:noWrap/>
            <w:hideMark/>
          </w:tcPr>
          <w:p w:rsidR="00247DCA" w:rsidRPr="0027186E" w:rsidRDefault="00247DCA" w:rsidP="006B1956">
            <w:pPr>
              <w:pStyle w:val="Tabletext"/>
              <w:tabs>
                <w:tab w:val="decimal" w:pos="510"/>
              </w:tabs>
            </w:pPr>
            <w:r>
              <w:t xml:space="preserve"> 0.</w:t>
            </w:r>
            <w:r w:rsidRPr="0027186E">
              <w:t>00</w:t>
            </w:r>
            <w:r>
              <w:t>5**</w:t>
            </w:r>
          </w:p>
        </w:tc>
        <w:tc>
          <w:tcPr>
            <w:tcW w:w="1134" w:type="dxa"/>
            <w:tcBorders>
              <w:top w:val="nil"/>
              <w:left w:val="nil"/>
              <w:bottom w:val="nil"/>
              <w:right w:val="nil"/>
            </w:tcBorders>
            <w:shd w:val="clear" w:color="auto" w:fill="auto"/>
            <w:noWrap/>
            <w:hideMark/>
          </w:tcPr>
          <w:p w:rsidR="00247DCA" w:rsidRDefault="00247DCA" w:rsidP="006B1956">
            <w:pPr>
              <w:pStyle w:val="Tabletext"/>
              <w:tabs>
                <w:tab w:val="decimal" w:pos="425"/>
              </w:tabs>
            </w:pPr>
            <w:r w:rsidRPr="0027186E">
              <w:t>0.00</w:t>
            </w:r>
          </w:p>
        </w:tc>
        <w:tc>
          <w:tcPr>
            <w:tcW w:w="1418" w:type="dxa"/>
            <w:tcBorders>
              <w:top w:val="nil"/>
              <w:left w:val="nil"/>
              <w:bottom w:val="nil"/>
              <w:right w:val="nil"/>
            </w:tcBorders>
            <w:shd w:val="clear" w:color="auto" w:fill="auto"/>
            <w:noWrap/>
            <w:hideMark/>
          </w:tcPr>
          <w:p w:rsidR="00247DCA" w:rsidRPr="00EF074E" w:rsidRDefault="00247DCA" w:rsidP="006B1956">
            <w:pPr>
              <w:pStyle w:val="Tabletext"/>
              <w:tabs>
                <w:tab w:val="decimal" w:pos="510"/>
              </w:tabs>
            </w:pPr>
            <w:r>
              <w:t xml:space="preserve"> 0.</w:t>
            </w:r>
            <w:r w:rsidRPr="00EF074E">
              <w:t>02</w:t>
            </w:r>
            <w:r>
              <w:t>**</w:t>
            </w:r>
          </w:p>
        </w:tc>
        <w:tc>
          <w:tcPr>
            <w:tcW w:w="1134" w:type="dxa"/>
            <w:tcBorders>
              <w:top w:val="nil"/>
              <w:left w:val="nil"/>
              <w:bottom w:val="nil"/>
              <w:right w:val="nil"/>
            </w:tcBorders>
            <w:shd w:val="clear" w:color="auto" w:fill="auto"/>
            <w:noWrap/>
            <w:hideMark/>
          </w:tcPr>
          <w:p w:rsidR="00247DCA" w:rsidRDefault="00247DCA" w:rsidP="006B1956">
            <w:pPr>
              <w:pStyle w:val="Tabletext"/>
              <w:tabs>
                <w:tab w:val="decimal" w:pos="425"/>
              </w:tabs>
            </w:pPr>
            <w:r w:rsidRPr="00EF074E">
              <w:t>0.00</w:t>
            </w:r>
          </w:p>
        </w:tc>
      </w:tr>
      <w:tr w:rsidR="00247DCA" w:rsidRPr="00C96355" w:rsidTr="006B1956">
        <w:tc>
          <w:tcPr>
            <w:tcW w:w="3686" w:type="dxa"/>
            <w:gridSpan w:val="2"/>
            <w:tcBorders>
              <w:top w:val="nil"/>
              <w:left w:val="nil"/>
              <w:bottom w:val="nil"/>
              <w:right w:val="nil"/>
            </w:tcBorders>
            <w:shd w:val="clear" w:color="auto" w:fill="auto"/>
            <w:noWrap/>
            <w:hideMark/>
          </w:tcPr>
          <w:p w:rsidR="00247DCA" w:rsidRPr="006B1956" w:rsidRDefault="00247DCA" w:rsidP="00247DCA">
            <w:pPr>
              <w:pStyle w:val="Tabletext"/>
              <w:rPr>
                <w:i/>
              </w:rPr>
            </w:pPr>
            <w:r w:rsidRPr="006B1956">
              <w:rPr>
                <w:i/>
              </w:rPr>
              <w:t>School characteristics</w:t>
            </w:r>
          </w:p>
        </w:tc>
        <w:tc>
          <w:tcPr>
            <w:tcW w:w="1417" w:type="dxa"/>
            <w:tcBorders>
              <w:top w:val="nil"/>
              <w:left w:val="nil"/>
              <w:bottom w:val="nil"/>
              <w:right w:val="nil"/>
            </w:tcBorders>
            <w:shd w:val="clear" w:color="auto" w:fill="auto"/>
            <w:noWrap/>
            <w:hideMark/>
          </w:tcPr>
          <w:p w:rsidR="00247DCA" w:rsidRPr="00C96355" w:rsidRDefault="00247DCA" w:rsidP="006B1956">
            <w:pPr>
              <w:pStyle w:val="Tabletext"/>
              <w:tabs>
                <w:tab w:val="decimal" w:pos="510"/>
              </w:tabs>
            </w:pPr>
          </w:p>
        </w:tc>
        <w:tc>
          <w:tcPr>
            <w:tcW w:w="1134" w:type="dxa"/>
            <w:tcBorders>
              <w:top w:val="nil"/>
              <w:left w:val="nil"/>
              <w:bottom w:val="nil"/>
              <w:right w:val="nil"/>
            </w:tcBorders>
            <w:shd w:val="clear" w:color="auto" w:fill="auto"/>
            <w:noWrap/>
            <w:hideMark/>
          </w:tcPr>
          <w:p w:rsidR="00247DCA" w:rsidRPr="00C96355" w:rsidRDefault="00247DCA" w:rsidP="006B1956">
            <w:pPr>
              <w:pStyle w:val="Tabletext"/>
              <w:tabs>
                <w:tab w:val="decimal" w:pos="425"/>
              </w:tabs>
            </w:pPr>
          </w:p>
        </w:tc>
        <w:tc>
          <w:tcPr>
            <w:tcW w:w="1418" w:type="dxa"/>
            <w:tcBorders>
              <w:top w:val="nil"/>
              <w:left w:val="nil"/>
              <w:bottom w:val="nil"/>
              <w:right w:val="nil"/>
            </w:tcBorders>
            <w:shd w:val="clear" w:color="auto" w:fill="auto"/>
            <w:noWrap/>
            <w:hideMark/>
          </w:tcPr>
          <w:p w:rsidR="00247DCA" w:rsidRPr="00C96355" w:rsidRDefault="00247DCA" w:rsidP="006B1956">
            <w:pPr>
              <w:pStyle w:val="Tabletext"/>
              <w:tabs>
                <w:tab w:val="decimal" w:pos="510"/>
              </w:tabs>
            </w:pPr>
          </w:p>
        </w:tc>
        <w:tc>
          <w:tcPr>
            <w:tcW w:w="1134" w:type="dxa"/>
            <w:tcBorders>
              <w:top w:val="nil"/>
              <w:left w:val="nil"/>
              <w:bottom w:val="nil"/>
              <w:right w:val="nil"/>
            </w:tcBorders>
            <w:shd w:val="clear" w:color="auto" w:fill="auto"/>
            <w:noWrap/>
            <w:hideMark/>
          </w:tcPr>
          <w:p w:rsidR="00247DCA" w:rsidRPr="00C96355" w:rsidRDefault="00247DCA" w:rsidP="006B1956">
            <w:pPr>
              <w:pStyle w:val="Tabletext"/>
              <w:tabs>
                <w:tab w:val="decimal" w:pos="425"/>
              </w:tabs>
            </w:pPr>
          </w:p>
        </w:tc>
      </w:tr>
      <w:tr w:rsidR="00247DCA" w:rsidRPr="00C96355" w:rsidTr="006B1956">
        <w:tc>
          <w:tcPr>
            <w:tcW w:w="567" w:type="dxa"/>
            <w:tcBorders>
              <w:top w:val="nil"/>
              <w:left w:val="nil"/>
              <w:bottom w:val="nil"/>
              <w:right w:val="nil"/>
            </w:tcBorders>
            <w:shd w:val="clear" w:color="auto" w:fill="auto"/>
            <w:noWrap/>
            <w:hideMark/>
          </w:tcPr>
          <w:p w:rsidR="00247DCA" w:rsidRPr="00C96355" w:rsidRDefault="00247DCA" w:rsidP="00247DCA">
            <w:pPr>
              <w:pStyle w:val="Tabletext"/>
              <w:rPr>
                <w:rFonts w:ascii="Arial Narrow" w:hAnsi="Arial Narrow"/>
                <w:sz w:val="18"/>
                <w:szCs w:val="18"/>
              </w:rPr>
            </w:pPr>
          </w:p>
        </w:tc>
        <w:tc>
          <w:tcPr>
            <w:tcW w:w="3119" w:type="dxa"/>
            <w:tcBorders>
              <w:top w:val="nil"/>
              <w:left w:val="nil"/>
              <w:bottom w:val="nil"/>
              <w:right w:val="nil"/>
            </w:tcBorders>
            <w:shd w:val="clear" w:color="auto" w:fill="auto"/>
            <w:noWrap/>
            <w:hideMark/>
          </w:tcPr>
          <w:p w:rsidR="00247DCA" w:rsidRDefault="00247DCA" w:rsidP="00247DCA">
            <w:pPr>
              <w:pStyle w:val="Tabletext"/>
            </w:pPr>
            <w:r>
              <w:t>Coeducational school</w:t>
            </w:r>
          </w:p>
        </w:tc>
        <w:tc>
          <w:tcPr>
            <w:tcW w:w="1417" w:type="dxa"/>
            <w:tcBorders>
              <w:top w:val="nil"/>
              <w:left w:val="nil"/>
              <w:bottom w:val="nil"/>
              <w:right w:val="nil"/>
            </w:tcBorders>
            <w:shd w:val="clear" w:color="auto" w:fill="auto"/>
            <w:noWrap/>
            <w:hideMark/>
          </w:tcPr>
          <w:p w:rsidR="00247DCA" w:rsidRDefault="00247DCA" w:rsidP="006B1956">
            <w:pPr>
              <w:pStyle w:val="Tabletext"/>
              <w:tabs>
                <w:tab w:val="decimal" w:pos="510"/>
              </w:tabs>
            </w:pPr>
            <w:r>
              <w:t xml:space="preserve">- - </w:t>
            </w:r>
          </w:p>
        </w:tc>
        <w:tc>
          <w:tcPr>
            <w:tcW w:w="1134" w:type="dxa"/>
            <w:tcBorders>
              <w:top w:val="nil"/>
              <w:left w:val="nil"/>
              <w:bottom w:val="nil"/>
              <w:right w:val="nil"/>
            </w:tcBorders>
            <w:shd w:val="clear" w:color="auto" w:fill="auto"/>
            <w:noWrap/>
            <w:hideMark/>
          </w:tcPr>
          <w:p w:rsidR="00247DCA" w:rsidRPr="00687C5B" w:rsidRDefault="00247DCA" w:rsidP="006B1956">
            <w:pPr>
              <w:pStyle w:val="Tabletext"/>
              <w:tabs>
                <w:tab w:val="decimal" w:pos="425"/>
              </w:tabs>
            </w:pPr>
          </w:p>
        </w:tc>
        <w:tc>
          <w:tcPr>
            <w:tcW w:w="1418" w:type="dxa"/>
            <w:tcBorders>
              <w:top w:val="nil"/>
              <w:left w:val="nil"/>
              <w:bottom w:val="nil"/>
              <w:right w:val="nil"/>
            </w:tcBorders>
            <w:shd w:val="clear" w:color="auto" w:fill="auto"/>
            <w:noWrap/>
            <w:hideMark/>
          </w:tcPr>
          <w:p w:rsidR="00247DCA" w:rsidRPr="00897D0B" w:rsidRDefault="00247DCA" w:rsidP="006B1956">
            <w:pPr>
              <w:pStyle w:val="Tabletext"/>
              <w:tabs>
                <w:tab w:val="decimal" w:pos="510"/>
              </w:tabs>
            </w:pPr>
            <w:r>
              <w:t>- -</w:t>
            </w:r>
          </w:p>
        </w:tc>
        <w:tc>
          <w:tcPr>
            <w:tcW w:w="1134" w:type="dxa"/>
            <w:tcBorders>
              <w:top w:val="nil"/>
              <w:left w:val="nil"/>
              <w:bottom w:val="nil"/>
              <w:right w:val="nil"/>
            </w:tcBorders>
            <w:shd w:val="clear" w:color="auto" w:fill="auto"/>
            <w:noWrap/>
            <w:hideMark/>
          </w:tcPr>
          <w:p w:rsidR="00247DCA" w:rsidRPr="00897D0B" w:rsidRDefault="00247DCA" w:rsidP="006B1956">
            <w:pPr>
              <w:pStyle w:val="Tabletext"/>
              <w:tabs>
                <w:tab w:val="decimal" w:pos="425"/>
              </w:tabs>
            </w:pPr>
          </w:p>
        </w:tc>
      </w:tr>
      <w:tr w:rsidR="00247DCA" w:rsidRPr="00C96355" w:rsidTr="006B1956">
        <w:tc>
          <w:tcPr>
            <w:tcW w:w="567" w:type="dxa"/>
            <w:tcBorders>
              <w:top w:val="nil"/>
              <w:left w:val="nil"/>
              <w:bottom w:val="nil"/>
              <w:right w:val="nil"/>
            </w:tcBorders>
            <w:shd w:val="clear" w:color="auto" w:fill="auto"/>
            <w:noWrap/>
            <w:hideMark/>
          </w:tcPr>
          <w:p w:rsidR="00247DCA" w:rsidRPr="00C96355" w:rsidRDefault="00247DCA" w:rsidP="00247DCA">
            <w:pPr>
              <w:pStyle w:val="Tabletext"/>
              <w:rPr>
                <w:rFonts w:ascii="Arial Narrow" w:hAnsi="Arial Narrow"/>
                <w:sz w:val="18"/>
                <w:szCs w:val="18"/>
              </w:rPr>
            </w:pPr>
          </w:p>
        </w:tc>
        <w:tc>
          <w:tcPr>
            <w:tcW w:w="3119" w:type="dxa"/>
            <w:tcBorders>
              <w:top w:val="nil"/>
              <w:left w:val="nil"/>
              <w:bottom w:val="nil"/>
              <w:right w:val="nil"/>
            </w:tcBorders>
            <w:shd w:val="clear" w:color="auto" w:fill="auto"/>
            <w:noWrap/>
            <w:hideMark/>
          </w:tcPr>
          <w:p w:rsidR="00247DCA" w:rsidRPr="00C96355" w:rsidRDefault="00247DCA" w:rsidP="00247DCA">
            <w:pPr>
              <w:pStyle w:val="Tabletext"/>
            </w:pPr>
            <w:r>
              <w:t>Boys-only school</w:t>
            </w:r>
          </w:p>
        </w:tc>
        <w:tc>
          <w:tcPr>
            <w:tcW w:w="1417" w:type="dxa"/>
            <w:tcBorders>
              <w:top w:val="nil"/>
              <w:left w:val="nil"/>
              <w:bottom w:val="nil"/>
              <w:right w:val="nil"/>
            </w:tcBorders>
            <w:shd w:val="clear" w:color="auto" w:fill="auto"/>
            <w:noWrap/>
            <w:hideMark/>
          </w:tcPr>
          <w:p w:rsidR="00247DCA" w:rsidRPr="00687C5B" w:rsidRDefault="00247DCA" w:rsidP="006B1956">
            <w:pPr>
              <w:pStyle w:val="Tabletext"/>
              <w:tabs>
                <w:tab w:val="decimal" w:pos="510"/>
              </w:tabs>
            </w:pPr>
            <w:r>
              <w:t xml:space="preserve"> 0.</w:t>
            </w:r>
            <w:r w:rsidRPr="00687C5B">
              <w:t>21</w:t>
            </w:r>
          </w:p>
        </w:tc>
        <w:tc>
          <w:tcPr>
            <w:tcW w:w="1134" w:type="dxa"/>
            <w:tcBorders>
              <w:top w:val="nil"/>
              <w:left w:val="nil"/>
              <w:bottom w:val="nil"/>
              <w:right w:val="nil"/>
            </w:tcBorders>
            <w:shd w:val="clear" w:color="auto" w:fill="auto"/>
            <w:noWrap/>
            <w:hideMark/>
          </w:tcPr>
          <w:p w:rsidR="00247DCA" w:rsidRPr="00687C5B" w:rsidRDefault="00247DCA" w:rsidP="006B1956">
            <w:pPr>
              <w:pStyle w:val="Tabletext"/>
              <w:tabs>
                <w:tab w:val="decimal" w:pos="425"/>
              </w:tabs>
            </w:pPr>
            <w:r w:rsidRPr="00687C5B">
              <w:t>0.13</w:t>
            </w:r>
          </w:p>
        </w:tc>
        <w:tc>
          <w:tcPr>
            <w:tcW w:w="1418" w:type="dxa"/>
            <w:tcBorders>
              <w:top w:val="nil"/>
              <w:left w:val="nil"/>
              <w:bottom w:val="nil"/>
              <w:right w:val="nil"/>
            </w:tcBorders>
            <w:shd w:val="clear" w:color="auto" w:fill="auto"/>
            <w:noWrap/>
            <w:hideMark/>
          </w:tcPr>
          <w:p w:rsidR="00247DCA" w:rsidRPr="00897D0B" w:rsidRDefault="00247DCA" w:rsidP="006B1956">
            <w:pPr>
              <w:pStyle w:val="Tabletext"/>
              <w:tabs>
                <w:tab w:val="decimal" w:pos="510"/>
              </w:tabs>
            </w:pPr>
            <w:r w:rsidRPr="00897D0B">
              <w:t>-0.21</w:t>
            </w:r>
          </w:p>
        </w:tc>
        <w:tc>
          <w:tcPr>
            <w:tcW w:w="1134" w:type="dxa"/>
            <w:tcBorders>
              <w:top w:val="nil"/>
              <w:left w:val="nil"/>
              <w:bottom w:val="nil"/>
              <w:right w:val="nil"/>
            </w:tcBorders>
            <w:shd w:val="clear" w:color="auto" w:fill="auto"/>
            <w:noWrap/>
            <w:hideMark/>
          </w:tcPr>
          <w:p w:rsidR="00247DCA" w:rsidRPr="00897D0B" w:rsidRDefault="00247DCA" w:rsidP="006B1956">
            <w:pPr>
              <w:pStyle w:val="Tabletext"/>
              <w:tabs>
                <w:tab w:val="decimal" w:pos="425"/>
              </w:tabs>
            </w:pPr>
            <w:r w:rsidRPr="00897D0B">
              <w:t>0.13</w:t>
            </w:r>
          </w:p>
        </w:tc>
      </w:tr>
      <w:tr w:rsidR="00247DCA" w:rsidRPr="00C96355" w:rsidTr="006B1956">
        <w:tc>
          <w:tcPr>
            <w:tcW w:w="567" w:type="dxa"/>
            <w:tcBorders>
              <w:top w:val="nil"/>
              <w:left w:val="nil"/>
              <w:bottom w:val="nil"/>
              <w:right w:val="nil"/>
            </w:tcBorders>
            <w:shd w:val="clear" w:color="auto" w:fill="auto"/>
            <w:noWrap/>
            <w:hideMark/>
          </w:tcPr>
          <w:p w:rsidR="00247DCA" w:rsidRPr="00C96355" w:rsidRDefault="00247DCA" w:rsidP="00247DCA">
            <w:pPr>
              <w:pStyle w:val="Tabletext"/>
              <w:rPr>
                <w:rFonts w:ascii="Arial Narrow" w:hAnsi="Arial Narrow"/>
                <w:sz w:val="18"/>
                <w:szCs w:val="18"/>
              </w:rPr>
            </w:pPr>
          </w:p>
        </w:tc>
        <w:tc>
          <w:tcPr>
            <w:tcW w:w="3119" w:type="dxa"/>
            <w:tcBorders>
              <w:top w:val="nil"/>
              <w:left w:val="nil"/>
              <w:bottom w:val="nil"/>
              <w:right w:val="nil"/>
            </w:tcBorders>
            <w:shd w:val="clear" w:color="auto" w:fill="auto"/>
            <w:noWrap/>
            <w:hideMark/>
          </w:tcPr>
          <w:p w:rsidR="00247DCA" w:rsidRPr="00C96355" w:rsidRDefault="00247DCA" w:rsidP="00247DCA">
            <w:pPr>
              <w:pStyle w:val="Tabletext"/>
            </w:pPr>
            <w:r>
              <w:t>Girls-only school</w:t>
            </w:r>
          </w:p>
        </w:tc>
        <w:tc>
          <w:tcPr>
            <w:tcW w:w="1417" w:type="dxa"/>
            <w:tcBorders>
              <w:top w:val="nil"/>
              <w:left w:val="nil"/>
              <w:bottom w:val="nil"/>
              <w:right w:val="nil"/>
            </w:tcBorders>
            <w:shd w:val="clear" w:color="auto" w:fill="auto"/>
            <w:noWrap/>
            <w:hideMark/>
          </w:tcPr>
          <w:p w:rsidR="00247DCA" w:rsidRPr="00687C5B" w:rsidRDefault="00247DCA" w:rsidP="006B1956">
            <w:pPr>
              <w:pStyle w:val="Tabletext"/>
              <w:tabs>
                <w:tab w:val="decimal" w:pos="510"/>
              </w:tabs>
            </w:pPr>
            <w:r w:rsidRPr="00687C5B">
              <w:t>-0.18</w:t>
            </w:r>
          </w:p>
        </w:tc>
        <w:tc>
          <w:tcPr>
            <w:tcW w:w="1134" w:type="dxa"/>
            <w:tcBorders>
              <w:top w:val="nil"/>
              <w:left w:val="nil"/>
              <w:bottom w:val="nil"/>
              <w:right w:val="nil"/>
            </w:tcBorders>
            <w:shd w:val="clear" w:color="auto" w:fill="auto"/>
            <w:noWrap/>
            <w:hideMark/>
          </w:tcPr>
          <w:p w:rsidR="00247DCA" w:rsidRPr="00687C5B" w:rsidRDefault="00247DCA" w:rsidP="006B1956">
            <w:pPr>
              <w:pStyle w:val="Tabletext"/>
              <w:tabs>
                <w:tab w:val="decimal" w:pos="425"/>
              </w:tabs>
            </w:pPr>
            <w:r w:rsidRPr="00687C5B">
              <w:t>0.09</w:t>
            </w:r>
          </w:p>
        </w:tc>
        <w:tc>
          <w:tcPr>
            <w:tcW w:w="1418" w:type="dxa"/>
            <w:tcBorders>
              <w:top w:val="nil"/>
              <w:left w:val="nil"/>
              <w:bottom w:val="nil"/>
              <w:right w:val="nil"/>
            </w:tcBorders>
            <w:shd w:val="clear" w:color="auto" w:fill="auto"/>
            <w:noWrap/>
            <w:hideMark/>
          </w:tcPr>
          <w:p w:rsidR="00247DCA" w:rsidRPr="00F45992" w:rsidRDefault="00247DCA" w:rsidP="006B1956">
            <w:pPr>
              <w:pStyle w:val="Tabletext"/>
              <w:tabs>
                <w:tab w:val="decimal" w:pos="510"/>
              </w:tabs>
              <w:rPr>
                <w:b/>
              </w:rPr>
            </w:pPr>
            <w:r w:rsidRPr="00F45992">
              <w:rPr>
                <w:b/>
              </w:rPr>
              <w:t xml:space="preserve"> 0.49**</w:t>
            </w:r>
          </w:p>
        </w:tc>
        <w:tc>
          <w:tcPr>
            <w:tcW w:w="1134" w:type="dxa"/>
            <w:tcBorders>
              <w:top w:val="nil"/>
              <w:left w:val="nil"/>
              <w:bottom w:val="nil"/>
              <w:right w:val="nil"/>
            </w:tcBorders>
            <w:shd w:val="clear" w:color="auto" w:fill="auto"/>
            <w:noWrap/>
            <w:hideMark/>
          </w:tcPr>
          <w:p w:rsidR="00247DCA" w:rsidRPr="00897D0B" w:rsidRDefault="00247DCA" w:rsidP="006B1956">
            <w:pPr>
              <w:pStyle w:val="Tabletext"/>
              <w:tabs>
                <w:tab w:val="decimal" w:pos="425"/>
              </w:tabs>
            </w:pPr>
            <w:r w:rsidRPr="00897D0B">
              <w:t>0.11</w:t>
            </w:r>
          </w:p>
        </w:tc>
      </w:tr>
      <w:tr w:rsidR="00247DCA" w:rsidRPr="00C96355" w:rsidTr="006B1956">
        <w:tc>
          <w:tcPr>
            <w:tcW w:w="567" w:type="dxa"/>
            <w:tcBorders>
              <w:top w:val="nil"/>
              <w:left w:val="nil"/>
              <w:bottom w:val="nil"/>
              <w:right w:val="nil"/>
            </w:tcBorders>
            <w:shd w:val="clear" w:color="auto" w:fill="auto"/>
            <w:noWrap/>
            <w:hideMark/>
          </w:tcPr>
          <w:p w:rsidR="00247DCA" w:rsidRPr="00C96355" w:rsidRDefault="00247DCA" w:rsidP="00247DCA">
            <w:pPr>
              <w:pStyle w:val="Tabletext"/>
              <w:rPr>
                <w:rFonts w:ascii="Arial Narrow" w:hAnsi="Arial Narrow"/>
                <w:sz w:val="18"/>
                <w:szCs w:val="18"/>
              </w:rPr>
            </w:pPr>
          </w:p>
        </w:tc>
        <w:tc>
          <w:tcPr>
            <w:tcW w:w="3119" w:type="dxa"/>
            <w:tcBorders>
              <w:top w:val="nil"/>
              <w:left w:val="nil"/>
              <w:bottom w:val="nil"/>
              <w:right w:val="nil"/>
            </w:tcBorders>
            <w:shd w:val="clear" w:color="auto" w:fill="auto"/>
            <w:noWrap/>
            <w:hideMark/>
          </w:tcPr>
          <w:p w:rsidR="00247DCA" w:rsidRDefault="00247DCA" w:rsidP="00247DCA">
            <w:pPr>
              <w:pStyle w:val="Tabletext"/>
            </w:pPr>
            <w:r>
              <w:t>Government school</w:t>
            </w:r>
          </w:p>
        </w:tc>
        <w:tc>
          <w:tcPr>
            <w:tcW w:w="1417" w:type="dxa"/>
            <w:tcBorders>
              <w:top w:val="nil"/>
              <w:left w:val="nil"/>
              <w:bottom w:val="nil"/>
              <w:right w:val="nil"/>
            </w:tcBorders>
            <w:shd w:val="clear" w:color="auto" w:fill="auto"/>
            <w:noWrap/>
            <w:hideMark/>
          </w:tcPr>
          <w:p w:rsidR="00247DCA" w:rsidRDefault="00247DCA" w:rsidP="006B1956">
            <w:pPr>
              <w:pStyle w:val="Tabletext"/>
              <w:tabs>
                <w:tab w:val="decimal" w:pos="510"/>
              </w:tabs>
            </w:pPr>
            <w:r>
              <w:t xml:space="preserve">- - </w:t>
            </w:r>
          </w:p>
        </w:tc>
        <w:tc>
          <w:tcPr>
            <w:tcW w:w="1134" w:type="dxa"/>
            <w:tcBorders>
              <w:top w:val="nil"/>
              <w:left w:val="nil"/>
              <w:bottom w:val="nil"/>
              <w:right w:val="nil"/>
            </w:tcBorders>
            <w:shd w:val="clear" w:color="auto" w:fill="auto"/>
            <w:noWrap/>
            <w:hideMark/>
          </w:tcPr>
          <w:p w:rsidR="00247DCA" w:rsidRPr="00687C5B" w:rsidRDefault="00247DCA" w:rsidP="006B1956">
            <w:pPr>
              <w:pStyle w:val="Tabletext"/>
              <w:tabs>
                <w:tab w:val="decimal" w:pos="425"/>
              </w:tabs>
            </w:pPr>
          </w:p>
        </w:tc>
        <w:tc>
          <w:tcPr>
            <w:tcW w:w="1418" w:type="dxa"/>
            <w:tcBorders>
              <w:top w:val="nil"/>
              <w:left w:val="nil"/>
              <w:bottom w:val="nil"/>
              <w:right w:val="nil"/>
            </w:tcBorders>
            <w:shd w:val="clear" w:color="auto" w:fill="auto"/>
            <w:noWrap/>
            <w:hideMark/>
          </w:tcPr>
          <w:p w:rsidR="00247DCA" w:rsidRDefault="00247DCA" w:rsidP="006B1956">
            <w:pPr>
              <w:pStyle w:val="Tabletext"/>
              <w:tabs>
                <w:tab w:val="decimal" w:pos="510"/>
              </w:tabs>
            </w:pPr>
            <w:r>
              <w:t>- -</w:t>
            </w:r>
          </w:p>
        </w:tc>
        <w:tc>
          <w:tcPr>
            <w:tcW w:w="1134" w:type="dxa"/>
            <w:tcBorders>
              <w:top w:val="nil"/>
              <w:left w:val="nil"/>
              <w:bottom w:val="nil"/>
              <w:right w:val="nil"/>
            </w:tcBorders>
            <w:shd w:val="clear" w:color="auto" w:fill="auto"/>
            <w:noWrap/>
            <w:hideMark/>
          </w:tcPr>
          <w:p w:rsidR="00247DCA" w:rsidRPr="00897D0B" w:rsidRDefault="00247DCA" w:rsidP="006B1956">
            <w:pPr>
              <w:pStyle w:val="Tabletext"/>
              <w:tabs>
                <w:tab w:val="decimal" w:pos="425"/>
              </w:tabs>
            </w:pPr>
          </w:p>
        </w:tc>
      </w:tr>
      <w:tr w:rsidR="00247DCA" w:rsidRPr="00C96355" w:rsidTr="006B1956">
        <w:tc>
          <w:tcPr>
            <w:tcW w:w="567" w:type="dxa"/>
            <w:tcBorders>
              <w:top w:val="nil"/>
              <w:left w:val="nil"/>
              <w:bottom w:val="nil"/>
              <w:right w:val="nil"/>
            </w:tcBorders>
            <w:shd w:val="clear" w:color="auto" w:fill="auto"/>
            <w:noWrap/>
            <w:hideMark/>
          </w:tcPr>
          <w:p w:rsidR="00247DCA" w:rsidRPr="00C96355" w:rsidRDefault="00247DCA" w:rsidP="00247DCA">
            <w:pPr>
              <w:pStyle w:val="Tabletext"/>
              <w:rPr>
                <w:rFonts w:ascii="Arial Narrow" w:hAnsi="Arial Narrow"/>
                <w:sz w:val="18"/>
                <w:szCs w:val="18"/>
              </w:rPr>
            </w:pPr>
          </w:p>
        </w:tc>
        <w:tc>
          <w:tcPr>
            <w:tcW w:w="3119" w:type="dxa"/>
            <w:tcBorders>
              <w:top w:val="nil"/>
              <w:left w:val="nil"/>
              <w:bottom w:val="nil"/>
              <w:right w:val="nil"/>
            </w:tcBorders>
            <w:shd w:val="clear" w:color="auto" w:fill="auto"/>
            <w:noWrap/>
            <w:hideMark/>
          </w:tcPr>
          <w:p w:rsidR="00247DCA" w:rsidRDefault="00247DCA" w:rsidP="00247DCA">
            <w:pPr>
              <w:pStyle w:val="Tabletext"/>
            </w:pPr>
            <w:r>
              <w:t>Independent</w:t>
            </w:r>
          </w:p>
        </w:tc>
        <w:tc>
          <w:tcPr>
            <w:tcW w:w="1417" w:type="dxa"/>
            <w:tcBorders>
              <w:top w:val="nil"/>
              <w:left w:val="nil"/>
              <w:bottom w:val="nil"/>
              <w:right w:val="nil"/>
            </w:tcBorders>
            <w:shd w:val="clear" w:color="auto" w:fill="auto"/>
            <w:noWrap/>
            <w:hideMark/>
          </w:tcPr>
          <w:p w:rsidR="00247DCA" w:rsidRPr="00687C5B" w:rsidRDefault="00247DCA" w:rsidP="006B1956">
            <w:pPr>
              <w:pStyle w:val="Tabletext"/>
              <w:tabs>
                <w:tab w:val="decimal" w:pos="510"/>
              </w:tabs>
            </w:pPr>
            <w:r>
              <w:t xml:space="preserve"> 0.</w:t>
            </w:r>
            <w:r w:rsidRPr="00687C5B">
              <w:t>23</w:t>
            </w:r>
            <w:r>
              <w:t>**</w:t>
            </w:r>
          </w:p>
        </w:tc>
        <w:tc>
          <w:tcPr>
            <w:tcW w:w="1134" w:type="dxa"/>
            <w:tcBorders>
              <w:top w:val="nil"/>
              <w:left w:val="nil"/>
              <w:bottom w:val="nil"/>
              <w:right w:val="nil"/>
            </w:tcBorders>
            <w:shd w:val="clear" w:color="auto" w:fill="auto"/>
            <w:noWrap/>
            <w:hideMark/>
          </w:tcPr>
          <w:p w:rsidR="00247DCA" w:rsidRPr="00687C5B" w:rsidRDefault="00247DCA" w:rsidP="006B1956">
            <w:pPr>
              <w:pStyle w:val="Tabletext"/>
              <w:tabs>
                <w:tab w:val="decimal" w:pos="425"/>
              </w:tabs>
            </w:pPr>
            <w:r w:rsidRPr="00687C5B">
              <w:t>0.08</w:t>
            </w:r>
          </w:p>
        </w:tc>
        <w:tc>
          <w:tcPr>
            <w:tcW w:w="1418" w:type="dxa"/>
            <w:tcBorders>
              <w:top w:val="nil"/>
              <w:left w:val="nil"/>
              <w:bottom w:val="nil"/>
              <w:right w:val="nil"/>
            </w:tcBorders>
            <w:shd w:val="clear" w:color="auto" w:fill="auto"/>
            <w:noWrap/>
            <w:hideMark/>
          </w:tcPr>
          <w:p w:rsidR="00247DCA" w:rsidRPr="00897D0B" w:rsidRDefault="00247DCA" w:rsidP="006B1956">
            <w:pPr>
              <w:pStyle w:val="Tabletext"/>
              <w:tabs>
                <w:tab w:val="decimal" w:pos="510"/>
              </w:tabs>
            </w:pPr>
            <w:r>
              <w:t xml:space="preserve"> 0.</w:t>
            </w:r>
            <w:r w:rsidRPr="00897D0B">
              <w:t>24</w:t>
            </w:r>
            <w:r>
              <w:t>**</w:t>
            </w:r>
          </w:p>
        </w:tc>
        <w:tc>
          <w:tcPr>
            <w:tcW w:w="1134" w:type="dxa"/>
            <w:tcBorders>
              <w:top w:val="nil"/>
              <w:left w:val="nil"/>
              <w:bottom w:val="nil"/>
              <w:right w:val="nil"/>
            </w:tcBorders>
            <w:shd w:val="clear" w:color="auto" w:fill="auto"/>
            <w:noWrap/>
            <w:hideMark/>
          </w:tcPr>
          <w:p w:rsidR="00247DCA" w:rsidRPr="00897D0B" w:rsidRDefault="00247DCA" w:rsidP="006B1956">
            <w:pPr>
              <w:pStyle w:val="Tabletext"/>
              <w:tabs>
                <w:tab w:val="decimal" w:pos="425"/>
              </w:tabs>
            </w:pPr>
            <w:r w:rsidRPr="00897D0B">
              <w:t>0.08</w:t>
            </w:r>
          </w:p>
        </w:tc>
      </w:tr>
      <w:tr w:rsidR="00247DCA" w:rsidRPr="00C96355" w:rsidTr="006B1956">
        <w:tc>
          <w:tcPr>
            <w:tcW w:w="567" w:type="dxa"/>
            <w:tcBorders>
              <w:top w:val="nil"/>
              <w:left w:val="nil"/>
              <w:bottom w:val="nil"/>
              <w:right w:val="nil"/>
            </w:tcBorders>
            <w:shd w:val="clear" w:color="auto" w:fill="auto"/>
            <w:noWrap/>
            <w:hideMark/>
          </w:tcPr>
          <w:p w:rsidR="00247DCA" w:rsidRPr="00C96355" w:rsidRDefault="00247DCA" w:rsidP="00247DCA">
            <w:pPr>
              <w:pStyle w:val="Tabletext"/>
              <w:rPr>
                <w:rFonts w:ascii="Arial Narrow" w:hAnsi="Arial Narrow"/>
                <w:sz w:val="18"/>
                <w:szCs w:val="18"/>
              </w:rPr>
            </w:pPr>
          </w:p>
        </w:tc>
        <w:tc>
          <w:tcPr>
            <w:tcW w:w="3119" w:type="dxa"/>
            <w:tcBorders>
              <w:top w:val="nil"/>
              <w:left w:val="nil"/>
              <w:bottom w:val="nil"/>
              <w:right w:val="nil"/>
            </w:tcBorders>
            <w:shd w:val="clear" w:color="auto" w:fill="auto"/>
            <w:noWrap/>
            <w:hideMark/>
          </w:tcPr>
          <w:p w:rsidR="00247DCA" w:rsidRDefault="00247DCA" w:rsidP="00247DCA">
            <w:pPr>
              <w:pStyle w:val="Tabletext"/>
            </w:pPr>
            <w:r>
              <w:t>Catholic</w:t>
            </w:r>
          </w:p>
        </w:tc>
        <w:tc>
          <w:tcPr>
            <w:tcW w:w="1417" w:type="dxa"/>
            <w:tcBorders>
              <w:top w:val="nil"/>
              <w:left w:val="nil"/>
              <w:bottom w:val="nil"/>
              <w:right w:val="nil"/>
            </w:tcBorders>
            <w:shd w:val="clear" w:color="auto" w:fill="auto"/>
            <w:noWrap/>
            <w:hideMark/>
          </w:tcPr>
          <w:p w:rsidR="00247DCA" w:rsidRPr="00687C5B" w:rsidRDefault="00247DCA" w:rsidP="006B1956">
            <w:pPr>
              <w:pStyle w:val="Tabletext"/>
              <w:tabs>
                <w:tab w:val="decimal" w:pos="510"/>
              </w:tabs>
            </w:pPr>
            <w:r>
              <w:t xml:space="preserve"> 0.</w:t>
            </w:r>
            <w:r w:rsidRPr="00687C5B">
              <w:t>25</w:t>
            </w:r>
            <w:r>
              <w:t>**</w:t>
            </w:r>
          </w:p>
        </w:tc>
        <w:tc>
          <w:tcPr>
            <w:tcW w:w="1134" w:type="dxa"/>
            <w:tcBorders>
              <w:top w:val="nil"/>
              <w:left w:val="nil"/>
              <w:bottom w:val="nil"/>
              <w:right w:val="nil"/>
            </w:tcBorders>
            <w:shd w:val="clear" w:color="auto" w:fill="auto"/>
            <w:noWrap/>
            <w:hideMark/>
          </w:tcPr>
          <w:p w:rsidR="00247DCA" w:rsidRDefault="00247DCA" w:rsidP="006B1956">
            <w:pPr>
              <w:pStyle w:val="Tabletext"/>
              <w:tabs>
                <w:tab w:val="decimal" w:pos="425"/>
              </w:tabs>
            </w:pPr>
            <w:r w:rsidRPr="00687C5B">
              <w:t>0.07</w:t>
            </w:r>
          </w:p>
        </w:tc>
        <w:tc>
          <w:tcPr>
            <w:tcW w:w="1418" w:type="dxa"/>
            <w:tcBorders>
              <w:top w:val="nil"/>
              <w:left w:val="nil"/>
              <w:bottom w:val="nil"/>
              <w:right w:val="nil"/>
            </w:tcBorders>
            <w:shd w:val="clear" w:color="auto" w:fill="auto"/>
            <w:noWrap/>
            <w:hideMark/>
          </w:tcPr>
          <w:p w:rsidR="00247DCA" w:rsidRPr="00897D0B" w:rsidRDefault="00247DCA" w:rsidP="006B1956">
            <w:pPr>
              <w:pStyle w:val="Tabletext"/>
              <w:tabs>
                <w:tab w:val="decimal" w:pos="510"/>
              </w:tabs>
            </w:pPr>
            <w:r w:rsidRPr="00897D0B">
              <w:t>-0.09</w:t>
            </w:r>
          </w:p>
        </w:tc>
        <w:tc>
          <w:tcPr>
            <w:tcW w:w="1134" w:type="dxa"/>
            <w:tcBorders>
              <w:top w:val="nil"/>
              <w:left w:val="nil"/>
              <w:bottom w:val="nil"/>
              <w:right w:val="nil"/>
            </w:tcBorders>
            <w:shd w:val="clear" w:color="auto" w:fill="auto"/>
            <w:noWrap/>
            <w:hideMark/>
          </w:tcPr>
          <w:p w:rsidR="00247DCA" w:rsidRPr="00897D0B" w:rsidRDefault="00247DCA" w:rsidP="006B1956">
            <w:pPr>
              <w:pStyle w:val="Tabletext"/>
              <w:tabs>
                <w:tab w:val="decimal" w:pos="425"/>
              </w:tabs>
            </w:pPr>
            <w:r w:rsidRPr="00897D0B">
              <w:t>0.08</w:t>
            </w:r>
          </w:p>
        </w:tc>
      </w:tr>
      <w:tr w:rsidR="00247DCA" w:rsidRPr="00C96355" w:rsidTr="006B1956">
        <w:tc>
          <w:tcPr>
            <w:tcW w:w="567" w:type="dxa"/>
            <w:tcBorders>
              <w:top w:val="nil"/>
              <w:left w:val="nil"/>
              <w:right w:val="nil"/>
            </w:tcBorders>
            <w:shd w:val="clear" w:color="auto" w:fill="auto"/>
            <w:noWrap/>
            <w:hideMark/>
          </w:tcPr>
          <w:p w:rsidR="00247DCA" w:rsidRPr="00C96355" w:rsidRDefault="00247DCA" w:rsidP="00247DCA">
            <w:pPr>
              <w:pStyle w:val="Tabletext"/>
              <w:rPr>
                <w:rFonts w:ascii="Arial Narrow" w:hAnsi="Arial Narrow"/>
                <w:sz w:val="18"/>
                <w:szCs w:val="18"/>
              </w:rPr>
            </w:pPr>
          </w:p>
        </w:tc>
        <w:tc>
          <w:tcPr>
            <w:tcW w:w="3119" w:type="dxa"/>
            <w:tcBorders>
              <w:top w:val="nil"/>
              <w:left w:val="nil"/>
              <w:right w:val="nil"/>
            </w:tcBorders>
            <w:shd w:val="clear" w:color="auto" w:fill="auto"/>
            <w:noWrap/>
            <w:hideMark/>
          </w:tcPr>
          <w:p w:rsidR="00247DCA" w:rsidRDefault="00247DCA" w:rsidP="00247DCA">
            <w:pPr>
              <w:pStyle w:val="Tabletext"/>
            </w:pPr>
            <w:r>
              <w:t>Selective admission to school</w:t>
            </w:r>
          </w:p>
        </w:tc>
        <w:tc>
          <w:tcPr>
            <w:tcW w:w="1417" w:type="dxa"/>
            <w:tcBorders>
              <w:top w:val="nil"/>
              <w:left w:val="nil"/>
              <w:right w:val="nil"/>
            </w:tcBorders>
            <w:shd w:val="clear" w:color="auto" w:fill="auto"/>
            <w:noWrap/>
            <w:hideMark/>
          </w:tcPr>
          <w:p w:rsidR="00247DCA" w:rsidRPr="00687C5B" w:rsidRDefault="00247DCA" w:rsidP="006B1956">
            <w:pPr>
              <w:pStyle w:val="Tabletext"/>
              <w:tabs>
                <w:tab w:val="decimal" w:pos="510"/>
              </w:tabs>
            </w:pPr>
            <w:r>
              <w:t xml:space="preserve"> 0.</w:t>
            </w:r>
            <w:r w:rsidRPr="00687C5B">
              <w:t>21</w:t>
            </w:r>
          </w:p>
        </w:tc>
        <w:tc>
          <w:tcPr>
            <w:tcW w:w="1134" w:type="dxa"/>
            <w:tcBorders>
              <w:top w:val="nil"/>
              <w:left w:val="nil"/>
              <w:right w:val="nil"/>
            </w:tcBorders>
            <w:shd w:val="clear" w:color="auto" w:fill="auto"/>
            <w:noWrap/>
            <w:hideMark/>
          </w:tcPr>
          <w:p w:rsidR="00247DCA" w:rsidRPr="00687C5B" w:rsidRDefault="00247DCA" w:rsidP="006B1956">
            <w:pPr>
              <w:pStyle w:val="Tabletext"/>
              <w:tabs>
                <w:tab w:val="decimal" w:pos="425"/>
              </w:tabs>
            </w:pPr>
            <w:r w:rsidRPr="00687C5B">
              <w:t>0.13</w:t>
            </w:r>
          </w:p>
        </w:tc>
        <w:tc>
          <w:tcPr>
            <w:tcW w:w="1418" w:type="dxa"/>
            <w:tcBorders>
              <w:top w:val="nil"/>
              <w:left w:val="nil"/>
              <w:right w:val="nil"/>
            </w:tcBorders>
            <w:shd w:val="clear" w:color="auto" w:fill="auto"/>
            <w:noWrap/>
            <w:hideMark/>
          </w:tcPr>
          <w:p w:rsidR="00247DCA" w:rsidRPr="00897D0B" w:rsidRDefault="00247DCA" w:rsidP="006B1956">
            <w:pPr>
              <w:pStyle w:val="Tabletext"/>
              <w:tabs>
                <w:tab w:val="decimal" w:pos="510"/>
              </w:tabs>
            </w:pPr>
            <w:r>
              <w:t xml:space="preserve"> 0.</w:t>
            </w:r>
            <w:r w:rsidRPr="00897D0B">
              <w:t>08</w:t>
            </w:r>
          </w:p>
        </w:tc>
        <w:tc>
          <w:tcPr>
            <w:tcW w:w="1134" w:type="dxa"/>
            <w:tcBorders>
              <w:top w:val="nil"/>
              <w:left w:val="nil"/>
              <w:right w:val="nil"/>
            </w:tcBorders>
            <w:shd w:val="clear" w:color="auto" w:fill="auto"/>
            <w:noWrap/>
            <w:hideMark/>
          </w:tcPr>
          <w:p w:rsidR="00247DCA" w:rsidRDefault="00247DCA" w:rsidP="006B1956">
            <w:pPr>
              <w:pStyle w:val="Tabletext"/>
              <w:tabs>
                <w:tab w:val="decimal" w:pos="425"/>
              </w:tabs>
            </w:pPr>
            <w:r w:rsidRPr="00897D0B">
              <w:t>0.05</w:t>
            </w:r>
          </w:p>
        </w:tc>
      </w:tr>
      <w:tr w:rsidR="00247DCA" w:rsidRPr="00C96355" w:rsidTr="006B1956">
        <w:tc>
          <w:tcPr>
            <w:tcW w:w="567" w:type="dxa"/>
            <w:tcBorders>
              <w:top w:val="nil"/>
              <w:left w:val="nil"/>
              <w:bottom w:val="dashed" w:sz="4" w:space="0" w:color="auto"/>
              <w:right w:val="nil"/>
            </w:tcBorders>
            <w:shd w:val="clear" w:color="auto" w:fill="auto"/>
            <w:noWrap/>
            <w:hideMark/>
          </w:tcPr>
          <w:p w:rsidR="00247DCA" w:rsidRPr="00C96355" w:rsidRDefault="00247DCA" w:rsidP="00247DCA">
            <w:pPr>
              <w:pStyle w:val="Tabletext"/>
            </w:pPr>
          </w:p>
        </w:tc>
        <w:tc>
          <w:tcPr>
            <w:tcW w:w="3119" w:type="dxa"/>
            <w:tcBorders>
              <w:top w:val="nil"/>
              <w:left w:val="nil"/>
              <w:bottom w:val="dashed" w:sz="4" w:space="0" w:color="auto"/>
              <w:right w:val="nil"/>
            </w:tcBorders>
            <w:shd w:val="clear" w:color="auto" w:fill="auto"/>
            <w:noWrap/>
            <w:hideMark/>
          </w:tcPr>
          <w:p w:rsidR="00247DCA" w:rsidRPr="00C96355" w:rsidRDefault="00247DCA" w:rsidP="00247DCA">
            <w:pPr>
              <w:pStyle w:val="Tabletext"/>
            </w:pPr>
            <w:r w:rsidRPr="00C96355">
              <w:t>(constant)</w:t>
            </w:r>
          </w:p>
        </w:tc>
        <w:tc>
          <w:tcPr>
            <w:tcW w:w="1417" w:type="dxa"/>
            <w:tcBorders>
              <w:top w:val="nil"/>
              <w:left w:val="nil"/>
              <w:bottom w:val="dashed" w:sz="4" w:space="0" w:color="auto"/>
              <w:right w:val="nil"/>
            </w:tcBorders>
            <w:shd w:val="clear" w:color="auto" w:fill="auto"/>
            <w:noWrap/>
            <w:hideMark/>
          </w:tcPr>
          <w:p w:rsidR="00247DCA" w:rsidRPr="004A7D65" w:rsidRDefault="00247DCA" w:rsidP="006B1956">
            <w:pPr>
              <w:pStyle w:val="Tabletext"/>
              <w:tabs>
                <w:tab w:val="decimal" w:pos="510"/>
              </w:tabs>
            </w:pPr>
            <w:r>
              <w:t xml:space="preserve"> </w:t>
            </w:r>
            <w:r w:rsidRPr="004A7D65">
              <w:t>2.24</w:t>
            </w:r>
            <w:r>
              <w:t>**</w:t>
            </w:r>
          </w:p>
        </w:tc>
        <w:tc>
          <w:tcPr>
            <w:tcW w:w="1134" w:type="dxa"/>
            <w:tcBorders>
              <w:top w:val="nil"/>
              <w:left w:val="nil"/>
              <w:bottom w:val="dashed" w:sz="4" w:space="0" w:color="auto"/>
              <w:right w:val="nil"/>
            </w:tcBorders>
            <w:shd w:val="clear" w:color="auto" w:fill="auto"/>
            <w:noWrap/>
            <w:hideMark/>
          </w:tcPr>
          <w:p w:rsidR="00247DCA" w:rsidRDefault="00247DCA" w:rsidP="006B1956">
            <w:pPr>
              <w:pStyle w:val="Tabletext"/>
              <w:tabs>
                <w:tab w:val="decimal" w:pos="425"/>
              </w:tabs>
            </w:pPr>
            <w:r w:rsidRPr="004A7D65">
              <w:t>0.23</w:t>
            </w:r>
          </w:p>
        </w:tc>
        <w:tc>
          <w:tcPr>
            <w:tcW w:w="1418" w:type="dxa"/>
            <w:tcBorders>
              <w:top w:val="nil"/>
              <w:left w:val="nil"/>
              <w:bottom w:val="dashed" w:sz="4" w:space="0" w:color="auto"/>
              <w:right w:val="nil"/>
            </w:tcBorders>
            <w:shd w:val="clear" w:color="auto" w:fill="auto"/>
            <w:noWrap/>
            <w:hideMark/>
          </w:tcPr>
          <w:p w:rsidR="00247DCA" w:rsidRPr="00840043" w:rsidRDefault="00247DCA" w:rsidP="006B1956">
            <w:pPr>
              <w:pStyle w:val="Tabletext"/>
              <w:tabs>
                <w:tab w:val="decimal" w:pos="510"/>
              </w:tabs>
            </w:pPr>
            <w:r>
              <w:t xml:space="preserve"> </w:t>
            </w:r>
            <w:r w:rsidRPr="00840043">
              <w:t>6.49</w:t>
            </w:r>
            <w:r>
              <w:t>**</w:t>
            </w:r>
          </w:p>
        </w:tc>
        <w:tc>
          <w:tcPr>
            <w:tcW w:w="1134" w:type="dxa"/>
            <w:tcBorders>
              <w:top w:val="nil"/>
              <w:left w:val="nil"/>
              <w:bottom w:val="dashed" w:sz="4" w:space="0" w:color="auto"/>
              <w:right w:val="nil"/>
            </w:tcBorders>
            <w:shd w:val="clear" w:color="auto" w:fill="auto"/>
            <w:noWrap/>
            <w:hideMark/>
          </w:tcPr>
          <w:p w:rsidR="00247DCA" w:rsidRDefault="00247DCA" w:rsidP="006B1956">
            <w:pPr>
              <w:pStyle w:val="Tabletext"/>
              <w:tabs>
                <w:tab w:val="decimal" w:pos="425"/>
              </w:tabs>
            </w:pPr>
            <w:r w:rsidRPr="00840043">
              <w:t>0.26</w:t>
            </w:r>
          </w:p>
        </w:tc>
      </w:tr>
      <w:tr w:rsidR="00247DCA" w:rsidRPr="00C96355" w:rsidTr="006B1956">
        <w:tc>
          <w:tcPr>
            <w:tcW w:w="3686" w:type="dxa"/>
            <w:gridSpan w:val="2"/>
            <w:tcBorders>
              <w:top w:val="dashed" w:sz="4" w:space="0" w:color="auto"/>
              <w:left w:val="nil"/>
              <w:bottom w:val="nil"/>
              <w:right w:val="nil"/>
            </w:tcBorders>
            <w:shd w:val="clear" w:color="auto" w:fill="auto"/>
            <w:noWrap/>
            <w:hideMark/>
          </w:tcPr>
          <w:p w:rsidR="00247DCA" w:rsidRPr="00C96355" w:rsidRDefault="00247DCA" w:rsidP="00247DCA">
            <w:pPr>
              <w:pStyle w:val="Tablehead1"/>
            </w:pPr>
            <w:r w:rsidRPr="00C96355">
              <w:t>Random effects</w:t>
            </w:r>
          </w:p>
        </w:tc>
        <w:tc>
          <w:tcPr>
            <w:tcW w:w="1417" w:type="dxa"/>
            <w:tcBorders>
              <w:top w:val="dashed" w:sz="4" w:space="0" w:color="auto"/>
              <w:left w:val="nil"/>
              <w:bottom w:val="nil"/>
              <w:right w:val="nil"/>
            </w:tcBorders>
            <w:shd w:val="clear" w:color="auto" w:fill="auto"/>
            <w:noWrap/>
            <w:hideMark/>
          </w:tcPr>
          <w:p w:rsidR="00247DCA" w:rsidRPr="00C96355" w:rsidRDefault="00247DCA" w:rsidP="00247DCA">
            <w:pPr>
              <w:pStyle w:val="Tablehead1"/>
            </w:pPr>
          </w:p>
        </w:tc>
        <w:tc>
          <w:tcPr>
            <w:tcW w:w="1134" w:type="dxa"/>
            <w:tcBorders>
              <w:top w:val="dashed" w:sz="4" w:space="0" w:color="auto"/>
              <w:left w:val="nil"/>
              <w:bottom w:val="nil"/>
              <w:right w:val="nil"/>
            </w:tcBorders>
            <w:shd w:val="clear" w:color="auto" w:fill="auto"/>
            <w:noWrap/>
            <w:hideMark/>
          </w:tcPr>
          <w:p w:rsidR="00247DCA" w:rsidRPr="00C96355" w:rsidRDefault="00247DCA" w:rsidP="00247DCA">
            <w:pPr>
              <w:pStyle w:val="Tablehead1"/>
            </w:pPr>
          </w:p>
        </w:tc>
        <w:tc>
          <w:tcPr>
            <w:tcW w:w="1418" w:type="dxa"/>
            <w:tcBorders>
              <w:top w:val="dashed" w:sz="4" w:space="0" w:color="auto"/>
              <w:left w:val="nil"/>
              <w:bottom w:val="nil"/>
              <w:right w:val="nil"/>
            </w:tcBorders>
            <w:shd w:val="clear" w:color="auto" w:fill="auto"/>
            <w:noWrap/>
            <w:hideMark/>
          </w:tcPr>
          <w:p w:rsidR="00247DCA" w:rsidRPr="00C96355" w:rsidRDefault="00247DCA" w:rsidP="00247DCA">
            <w:pPr>
              <w:pStyle w:val="Tablehead1"/>
            </w:pPr>
          </w:p>
        </w:tc>
        <w:tc>
          <w:tcPr>
            <w:tcW w:w="1134" w:type="dxa"/>
            <w:tcBorders>
              <w:top w:val="dashed" w:sz="4" w:space="0" w:color="auto"/>
              <w:left w:val="nil"/>
              <w:bottom w:val="nil"/>
              <w:right w:val="nil"/>
            </w:tcBorders>
            <w:shd w:val="clear" w:color="auto" w:fill="auto"/>
            <w:noWrap/>
            <w:hideMark/>
          </w:tcPr>
          <w:p w:rsidR="00247DCA" w:rsidRPr="00C96355" w:rsidRDefault="00247DCA" w:rsidP="00247DCA">
            <w:pPr>
              <w:pStyle w:val="Tablehead1"/>
            </w:pPr>
          </w:p>
        </w:tc>
      </w:tr>
      <w:tr w:rsidR="00247DCA" w:rsidRPr="00C96355" w:rsidTr="006B1956">
        <w:tc>
          <w:tcPr>
            <w:tcW w:w="567" w:type="dxa"/>
            <w:tcBorders>
              <w:top w:val="nil"/>
              <w:left w:val="nil"/>
              <w:bottom w:val="nil"/>
              <w:right w:val="nil"/>
            </w:tcBorders>
            <w:shd w:val="clear" w:color="auto" w:fill="auto"/>
            <w:noWrap/>
            <w:hideMark/>
          </w:tcPr>
          <w:p w:rsidR="00247DCA" w:rsidRPr="00C96355" w:rsidRDefault="00247DCA" w:rsidP="00247DCA">
            <w:pPr>
              <w:pStyle w:val="Tabletext"/>
            </w:pPr>
          </w:p>
        </w:tc>
        <w:tc>
          <w:tcPr>
            <w:tcW w:w="3119" w:type="dxa"/>
            <w:tcBorders>
              <w:top w:val="nil"/>
              <w:left w:val="nil"/>
              <w:bottom w:val="nil"/>
              <w:right w:val="nil"/>
            </w:tcBorders>
            <w:shd w:val="clear" w:color="auto" w:fill="auto"/>
            <w:noWrap/>
            <w:hideMark/>
          </w:tcPr>
          <w:p w:rsidR="00247DCA" w:rsidRPr="00C96355" w:rsidRDefault="00247DCA" w:rsidP="00247DCA">
            <w:pPr>
              <w:pStyle w:val="Tabletext"/>
            </w:pPr>
            <w:r w:rsidRPr="00C96355">
              <w:t xml:space="preserve">Variance between </w:t>
            </w:r>
            <w:r>
              <w:t>schools</w:t>
            </w:r>
          </w:p>
        </w:tc>
        <w:tc>
          <w:tcPr>
            <w:tcW w:w="1417" w:type="dxa"/>
            <w:tcBorders>
              <w:top w:val="nil"/>
              <w:left w:val="nil"/>
              <w:bottom w:val="nil"/>
              <w:right w:val="nil"/>
            </w:tcBorders>
            <w:shd w:val="clear" w:color="auto" w:fill="auto"/>
            <w:noWrap/>
            <w:hideMark/>
          </w:tcPr>
          <w:p w:rsidR="00247DCA" w:rsidRPr="00C96355" w:rsidRDefault="00247DCA" w:rsidP="004613AB">
            <w:pPr>
              <w:pStyle w:val="Tabletext"/>
              <w:tabs>
                <w:tab w:val="decimal" w:pos="515"/>
              </w:tabs>
            </w:pPr>
            <w:r>
              <w:t>0.05**</w:t>
            </w:r>
          </w:p>
        </w:tc>
        <w:tc>
          <w:tcPr>
            <w:tcW w:w="1134" w:type="dxa"/>
            <w:tcBorders>
              <w:top w:val="nil"/>
              <w:left w:val="nil"/>
              <w:bottom w:val="nil"/>
              <w:right w:val="nil"/>
            </w:tcBorders>
            <w:shd w:val="clear" w:color="auto" w:fill="auto"/>
            <w:noWrap/>
            <w:hideMark/>
          </w:tcPr>
          <w:p w:rsidR="00247DCA" w:rsidRPr="00C96355" w:rsidRDefault="00247DCA" w:rsidP="006B1956">
            <w:pPr>
              <w:pStyle w:val="Tabletext"/>
              <w:jc w:val="center"/>
            </w:pPr>
            <w:r>
              <w:t>0.02</w:t>
            </w:r>
          </w:p>
        </w:tc>
        <w:tc>
          <w:tcPr>
            <w:tcW w:w="1418" w:type="dxa"/>
            <w:tcBorders>
              <w:top w:val="nil"/>
              <w:left w:val="nil"/>
              <w:bottom w:val="nil"/>
              <w:right w:val="nil"/>
            </w:tcBorders>
            <w:shd w:val="clear" w:color="auto" w:fill="auto"/>
            <w:noWrap/>
            <w:hideMark/>
          </w:tcPr>
          <w:p w:rsidR="00247DCA" w:rsidRPr="00C96355" w:rsidRDefault="00247DCA" w:rsidP="006B1956">
            <w:pPr>
              <w:pStyle w:val="Tabletext"/>
              <w:jc w:val="center"/>
            </w:pPr>
            <w:r>
              <w:t>0.02</w:t>
            </w:r>
          </w:p>
        </w:tc>
        <w:tc>
          <w:tcPr>
            <w:tcW w:w="1134" w:type="dxa"/>
            <w:tcBorders>
              <w:top w:val="nil"/>
              <w:left w:val="nil"/>
              <w:bottom w:val="nil"/>
              <w:right w:val="nil"/>
            </w:tcBorders>
            <w:shd w:val="clear" w:color="auto" w:fill="auto"/>
            <w:noWrap/>
            <w:hideMark/>
          </w:tcPr>
          <w:p w:rsidR="00247DCA" w:rsidRPr="00C96355" w:rsidRDefault="00247DCA" w:rsidP="006B1956">
            <w:pPr>
              <w:pStyle w:val="Tabletext"/>
              <w:jc w:val="center"/>
            </w:pPr>
            <w:r>
              <w:t>0.02</w:t>
            </w:r>
          </w:p>
        </w:tc>
      </w:tr>
      <w:tr w:rsidR="00247DCA" w:rsidRPr="00C96355" w:rsidTr="006B1956">
        <w:tc>
          <w:tcPr>
            <w:tcW w:w="567" w:type="dxa"/>
            <w:tcBorders>
              <w:top w:val="nil"/>
              <w:left w:val="nil"/>
              <w:bottom w:val="nil"/>
              <w:right w:val="nil"/>
            </w:tcBorders>
            <w:shd w:val="clear" w:color="auto" w:fill="auto"/>
            <w:noWrap/>
            <w:hideMark/>
          </w:tcPr>
          <w:p w:rsidR="00247DCA" w:rsidRPr="00C96355" w:rsidRDefault="00247DCA" w:rsidP="00247DCA">
            <w:pPr>
              <w:pStyle w:val="Tabletext"/>
            </w:pPr>
          </w:p>
        </w:tc>
        <w:tc>
          <w:tcPr>
            <w:tcW w:w="3119" w:type="dxa"/>
            <w:tcBorders>
              <w:top w:val="nil"/>
              <w:left w:val="nil"/>
              <w:bottom w:val="nil"/>
              <w:right w:val="nil"/>
            </w:tcBorders>
            <w:shd w:val="clear" w:color="auto" w:fill="auto"/>
            <w:noWrap/>
            <w:hideMark/>
          </w:tcPr>
          <w:p w:rsidR="00247DCA" w:rsidRPr="00C96355" w:rsidRDefault="00247DCA" w:rsidP="00247DCA">
            <w:pPr>
              <w:pStyle w:val="Tabletext"/>
            </w:pPr>
            <w:r w:rsidRPr="00C96355">
              <w:t>Number of students</w:t>
            </w:r>
          </w:p>
        </w:tc>
        <w:tc>
          <w:tcPr>
            <w:tcW w:w="1417" w:type="dxa"/>
            <w:tcBorders>
              <w:top w:val="nil"/>
              <w:left w:val="nil"/>
              <w:bottom w:val="nil"/>
              <w:right w:val="nil"/>
            </w:tcBorders>
            <w:shd w:val="clear" w:color="auto" w:fill="auto"/>
            <w:noWrap/>
            <w:hideMark/>
          </w:tcPr>
          <w:p w:rsidR="00247DCA" w:rsidRPr="00C96355" w:rsidRDefault="00247DCA" w:rsidP="004613AB">
            <w:pPr>
              <w:pStyle w:val="Tabletext"/>
              <w:ind w:right="226"/>
              <w:jc w:val="center"/>
            </w:pPr>
            <w:r>
              <w:t>7 660</w:t>
            </w:r>
          </w:p>
        </w:tc>
        <w:tc>
          <w:tcPr>
            <w:tcW w:w="1134" w:type="dxa"/>
            <w:tcBorders>
              <w:top w:val="nil"/>
              <w:left w:val="nil"/>
              <w:bottom w:val="nil"/>
              <w:right w:val="nil"/>
            </w:tcBorders>
            <w:shd w:val="clear" w:color="auto" w:fill="auto"/>
            <w:noWrap/>
            <w:hideMark/>
          </w:tcPr>
          <w:p w:rsidR="00247DCA" w:rsidRPr="00C96355" w:rsidRDefault="00247DCA" w:rsidP="006B1956">
            <w:pPr>
              <w:pStyle w:val="Tabletext"/>
              <w:jc w:val="center"/>
              <w:rPr>
                <w:rFonts w:ascii="Arial Narrow" w:hAnsi="Arial Narrow"/>
                <w:sz w:val="18"/>
                <w:szCs w:val="18"/>
              </w:rPr>
            </w:pPr>
          </w:p>
        </w:tc>
        <w:tc>
          <w:tcPr>
            <w:tcW w:w="1418" w:type="dxa"/>
            <w:tcBorders>
              <w:top w:val="nil"/>
              <w:left w:val="nil"/>
              <w:bottom w:val="nil"/>
              <w:right w:val="nil"/>
            </w:tcBorders>
            <w:shd w:val="clear" w:color="auto" w:fill="auto"/>
            <w:noWrap/>
            <w:hideMark/>
          </w:tcPr>
          <w:p w:rsidR="00247DCA" w:rsidRPr="00C96355" w:rsidRDefault="003C5BA8" w:rsidP="003C5BA8">
            <w:pPr>
              <w:pStyle w:val="Tabletext"/>
              <w:tabs>
                <w:tab w:val="left" w:pos="425"/>
              </w:tabs>
              <w:ind w:right="85"/>
            </w:pPr>
            <w:r>
              <w:tab/>
            </w:r>
            <w:r w:rsidR="00247DCA">
              <w:t>7 660</w:t>
            </w:r>
          </w:p>
        </w:tc>
        <w:tc>
          <w:tcPr>
            <w:tcW w:w="1134" w:type="dxa"/>
            <w:tcBorders>
              <w:top w:val="nil"/>
              <w:left w:val="nil"/>
              <w:bottom w:val="nil"/>
              <w:right w:val="nil"/>
            </w:tcBorders>
            <w:shd w:val="clear" w:color="auto" w:fill="auto"/>
            <w:noWrap/>
            <w:hideMark/>
          </w:tcPr>
          <w:p w:rsidR="00247DCA" w:rsidRPr="00C96355" w:rsidRDefault="00247DCA" w:rsidP="006B1956">
            <w:pPr>
              <w:pStyle w:val="Tabletext"/>
              <w:jc w:val="center"/>
            </w:pPr>
          </w:p>
        </w:tc>
      </w:tr>
      <w:tr w:rsidR="00247DCA" w:rsidRPr="00C96355" w:rsidTr="006B1956">
        <w:tc>
          <w:tcPr>
            <w:tcW w:w="567" w:type="dxa"/>
            <w:tcBorders>
              <w:top w:val="nil"/>
              <w:left w:val="nil"/>
              <w:bottom w:val="single" w:sz="4" w:space="0" w:color="auto"/>
              <w:right w:val="nil"/>
            </w:tcBorders>
            <w:shd w:val="clear" w:color="auto" w:fill="auto"/>
            <w:noWrap/>
            <w:hideMark/>
          </w:tcPr>
          <w:p w:rsidR="00247DCA" w:rsidRPr="00C96355" w:rsidRDefault="00247DCA" w:rsidP="00247DCA">
            <w:pPr>
              <w:pStyle w:val="Tabletext"/>
            </w:pPr>
            <w:r w:rsidRPr="00C96355">
              <w:t> </w:t>
            </w:r>
          </w:p>
        </w:tc>
        <w:tc>
          <w:tcPr>
            <w:tcW w:w="3119" w:type="dxa"/>
            <w:tcBorders>
              <w:top w:val="nil"/>
              <w:left w:val="nil"/>
              <w:bottom w:val="single" w:sz="4" w:space="0" w:color="auto"/>
              <w:right w:val="nil"/>
            </w:tcBorders>
            <w:shd w:val="clear" w:color="auto" w:fill="auto"/>
            <w:noWrap/>
            <w:hideMark/>
          </w:tcPr>
          <w:p w:rsidR="00247DCA" w:rsidRPr="00C96355" w:rsidRDefault="00247DCA" w:rsidP="00247DCA">
            <w:pPr>
              <w:pStyle w:val="Tabletext"/>
            </w:pPr>
            <w:r w:rsidRPr="00C96355">
              <w:t xml:space="preserve">Number of </w:t>
            </w:r>
            <w:r>
              <w:t>schools</w:t>
            </w:r>
          </w:p>
        </w:tc>
        <w:tc>
          <w:tcPr>
            <w:tcW w:w="1417" w:type="dxa"/>
            <w:tcBorders>
              <w:top w:val="nil"/>
              <w:left w:val="nil"/>
              <w:bottom w:val="single" w:sz="4" w:space="0" w:color="auto"/>
              <w:right w:val="nil"/>
            </w:tcBorders>
            <w:shd w:val="clear" w:color="auto" w:fill="auto"/>
            <w:noWrap/>
            <w:hideMark/>
          </w:tcPr>
          <w:p w:rsidR="00247DCA" w:rsidRPr="00C96355" w:rsidRDefault="00247DCA" w:rsidP="004613AB">
            <w:pPr>
              <w:pStyle w:val="Tabletext"/>
              <w:ind w:right="84"/>
              <w:jc w:val="center"/>
            </w:pPr>
            <w:r>
              <w:t>335</w:t>
            </w:r>
          </w:p>
        </w:tc>
        <w:tc>
          <w:tcPr>
            <w:tcW w:w="1134" w:type="dxa"/>
            <w:tcBorders>
              <w:top w:val="nil"/>
              <w:left w:val="nil"/>
              <w:bottom w:val="single" w:sz="4" w:space="0" w:color="auto"/>
              <w:right w:val="nil"/>
            </w:tcBorders>
            <w:shd w:val="clear" w:color="auto" w:fill="auto"/>
            <w:noWrap/>
            <w:hideMark/>
          </w:tcPr>
          <w:p w:rsidR="00247DCA" w:rsidRPr="00C96355" w:rsidRDefault="00247DCA" w:rsidP="006B1956">
            <w:pPr>
              <w:pStyle w:val="Tabletext"/>
              <w:jc w:val="center"/>
              <w:rPr>
                <w:rFonts w:ascii="Arial Narrow" w:hAnsi="Arial Narrow"/>
                <w:sz w:val="18"/>
                <w:szCs w:val="18"/>
              </w:rPr>
            </w:pPr>
          </w:p>
        </w:tc>
        <w:tc>
          <w:tcPr>
            <w:tcW w:w="1418" w:type="dxa"/>
            <w:tcBorders>
              <w:top w:val="nil"/>
              <w:left w:val="nil"/>
              <w:bottom w:val="single" w:sz="4" w:space="0" w:color="auto"/>
              <w:right w:val="nil"/>
            </w:tcBorders>
            <w:shd w:val="clear" w:color="auto" w:fill="auto"/>
            <w:noWrap/>
            <w:hideMark/>
          </w:tcPr>
          <w:p w:rsidR="00247DCA" w:rsidRPr="00C96355" w:rsidRDefault="003C5BA8" w:rsidP="003C5BA8">
            <w:pPr>
              <w:pStyle w:val="Tabletext"/>
              <w:tabs>
                <w:tab w:val="left" w:pos="539"/>
              </w:tabs>
              <w:ind w:right="-57"/>
            </w:pPr>
            <w:r>
              <w:tab/>
            </w:r>
            <w:r w:rsidR="00247DCA">
              <w:t>335</w:t>
            </w:r>
          </w:p>
        </w:tc>
        <w:tc>
          <w:tcPr>
            <w:tcW w:w="1134" w:type="dxa"/>
            <w:tcBorders>
              <w:top w:val="nil"/>
              <w:left w:val="nil"/>
              <w:bottom w:val="single" w:sz="4" w:space="0" w:color="auto"/>
              <w:right w:val="nil"/>
            </w:tcBorders>
            <w:shd w:val="clear" w:color="auto" w:fill="auto"/>
            <w:noWrap/>
            <w:hideMark/>
          </w:tcPr>
          <w:p w:rsidR="00247DCA" w:rsidRPr="00C96355" w:rsidRDefault="00247DCA" w:rsidP="006B1956">
            <w:pPr>
              <w:pStyle w:val="Tabletext"/>
              <w:jc w:val="center"/>
              <w:rPr>
                <w:color w:val="FF0000"/>
              </w:rPr>
            </w:pPr>
          </w:p>
        </w:tc>
      </w:tr>
    </w:tbl>
    <w:p w:rsidR="00F87F00" w:rsidRPr="00A30E8F" w:rsidRDefault="00642965" w:rsidP="00502974">
      <w:pPr>
        <w:pStyle w:val="Source"/>
      </w:pPr>
      <w:r>
        <w:t>Notes:</w:t>
      </w:r>
      <w:r>
        <w:tab/>
      </w:r>
      <w:r w:rsidR="00F87F00" w:rsidRPr="00A30E8F">
        <w:t>* Statistically different from zero at p</w:t>
      </w:r>
      <w:r w:rsidR="0084401E">
        <w:t xml:space="preserve"> </w:t>
      </w:r>
      <w:r w:rsidR="00F87F00" w:rsidRPr="00A30E8F">
        <w:t>=</w:t>
      </w:r>
      <w:r w:rsidR="0084401E">
        <w:t xml:space="preserve"> </w:t>
      </w:r>
      <w:r w:rsidR="00F87F00" w:rsidRPr="00A30E8F">
        <w:t>0.05</w:t>
      </w:r>
      <w:r w:rsidR="0084401E">
        <w:t>.</w:t>
      </w:r>
      <w:r>
        <w:br/>
      </w:r>
      <w:r w:rsidR="00F87F00" w:rsidRPr="00A30E8F">
        <w:t>*</w:t>
      </w:r>
      <w:r w:rsidR="00F87F00">
        <w:t>*</w:t>
      </w:r>
      <w:r w:rsidR="00F87F00" w:rsidRPr="00A30E8F">
        <w:t xml:space="preserve"> Statistically different from zero at p</w:t>
      </w:r>
      <w:r w:rsidR="0084401E">
        <w:t xml:space="preserve"> </w:t>
      </w:r>
      <w:r w:rsidR="00F87F00" w:rsidRPr="00A30E8F">
        <w:t>=</w:t>
      </w:r>
      <w:r w:rsidR="0084401E">
        <w:t xml:space="preserve"> </w:t>
      </w:r>
      <w:r w:rsidR="00F87F00" w:rsidRPr="00A30E8F">
        <w:t>0.0</w:t>
      </w:r>
      <w:r w:rsidR="00F87F00">
        <w:t>1</w:t>
      </w:r>
      <w:r w:rsidR="0084401E">
        <w:t>.</w:t>
      </w:r>
      <w:r>
        <w:br/>
      </w:r>
      <w:r w:rsidR="00F87F00">
        <w:t>- - a reference category</w:t>
      </w:r>
      <w:r w:rsidR="0084401E">
        <w:t>.</w:t>
      </w:r>
    </w:p>
    <w:p w:rsidR="00F87F00" w:rsidRPr="00A30E8F" w:rsidRDefault="00F87F00" w:rsidP="00502974">
      <w:pPr>
        <w:pStyle w:val="Source"/>
      </w:pPr>
    </w:p>
    <w:p w:rsidR="00F87F00" w:rsidRDefault="00F87F00" w:rsidP="00642965">
      <w:pPr>
        <w:pStyle w:val="tabletitle"/>
        <w:rPr>
          <w:kern w:val="28"/>
        </w:rPr>
      </w:pPr>
      <w:r>
        <w:rPr>
          <w:kern w:val="28"/>
        </w:rPr>
        <w:br w:type="page"/>
      </w:r>
    </w:p>
    <w:p w:rsidR="00F87F00" w:rsidRDefault="00F87F00" w:rsidP="00642965">
      <w:pPr>
        <w:pStyle w:val="tabletitle"/>
      </w:pPr>
      <w:bookmarkStart w:id="64" w:name="_Toc367713393"/>
      <w:r w:rsidRPr="00C96355">
        <w:lastRenderedPageBreak/>
        <w:t xml:space="preserve">Table </w:t>
      </w:r>
      <w:r>
        <w:t>5</w:t>
      </w:r>
      <w:r>
        <w:tab/>
        <w:t>Planning a career related to lif</w:t>
      </w:r>
      <w:r w:rsidR="0084401E">
        <w:t xml:space="preserve">e science or </w:t>
      </w:r>
      <w:r w:rsidR="0084401E" w:rsidRPr="00642965">
        <w:t>physical</w:t>
      </w:r>
      <w:r w:rsidR="0084401E">
        <w:t xml:space="preserve"> science, u</w:t>
      </w:r>
      <w:r>
        <w:t>nstandardised coefficients from multilevel random intercept models</w:t>
      </w:r>
      <w:bookmarkEnd w:id="64"/>
    </w:p>
    <w:tbl>
      <w:tblPr>
        <w:tblW w:w="8789" w:type="dxa"/>
        <w:tblInd w:w="57" w:type="dxa"/>
        <w:tblLayout w:type="fixed"/>
        <w:tblCellMar>
          <w:left w:w="57" w:type="dxa"/>
          <w:right w:w="57" w:type="dxa"/>
        </w:tblCellMar>
        <w:tblLook w:val="04A0"/>
      </w:tblPr>
      <w:tblGrid>
        <w:gridCol w:w="568"/>
        <w:gridCol w:w="3118"/>
        <w:gridCol w:w="1418"/>
        <w:gridCol w:w="1133"/>
        <w:gridCol w:w="1418"/>
        <w:gridCol w:w="1134"/>
      </w:tblGrid>
      <w:tr w:rsidR="00247DCA" w:rsidRPr="00C96355" w:rsidTr="006B1956">
        <w:tc>
          <w:tcPr>
            <w:tcW w:w="568" w:type="dxa"/>
            <w:tcBorders>
              <w:top w:val="single" w:sz="4" w:space="0" w:color="auto"/>
              <w:left w:val="nil"/>
              <w:right w:val="nil"/>
            </w:tcBorders>
            <w:shd w:val="clear" w:color="auto" w:fill="auto"/>
            <w:hideMark/>
          </w:tcPr>
          <w:p w:rsidR="00247DCA" w:rsidRPr="00C96355" w:rsidRDefault="00247DCA" w:rsidP="00247DCA">
            <w:pPr>
              <w:pStyle w:val="Tablehead1"/>
            </w:pPr>
            <w:r w:rsidRPr="00C96355">
              <w:t> </w:t>
            </w:r>
          </w:p>
        </w:tc>
        <w:tc>
          <w:tcPr>
            <w:tcW w:w="3118" w:type="dxa"/>
            <w:tcBorders>
              <w:top w:val="single" w:sz="4" w:space="0" w:color="auto"/>
              <w:left w:val="nil"/>
              <w:right w:val="nil"/>
            </w:tcBorders>
            <w:shd w:val="clear" w:color="auto" w:fill="auto"/>
            <w:hideMark/>
          </w:tcPr>
          <w:p w:rsidR="00247DCA" w:rsidRPr="00C96355" w:rsidRDefault="00247DCA" w:rsidP="00247DCA">
            <w:pPr>
              <w:pStyle w:val="Tablehead1"/>
              <w:rPr>
                <w:sz w:val="16"/>
                <w:szCs w:val="16"/>
              </w:rPr>
            </w:pPr>
            <w:r w:rsidRPr="00C96355">
              <w:rPr>
                <w:sz w:val="16"/>
                <w:szCs w:val="16"/>
              </w:rPr>
              <w:t> </w:t>
            </w:r>
          </w:p>
        </w:tc>
        <w:tc>
          <w:tcPr>
            <w:tcW w:w="2551" w:type="dxa"/>
            <w:gridSpan w:val="2"/>
            <w:tcBorders>
              <w:top w:val="single" w:sz="4" w:space="0" w:color="auto"/>
              <w:left w:val="nil"/>
              <w:right w:val="nil"/>
            </w:tcBorders>
            <w:shd w:val="clear" w:color="auto" w:fill="auto"/>
            <w:hideMark/>
          </w:tcPr>
          <w:p w:rsidR="00247DCA" w:rsidRPr="00C96355" w:rsidRDefault="00247DCA" w:rsidP="006B1956">
            <w:pPr>
              <w:pStyle w:val="Tablehead1"/>
              <w:jc w:val="center"/>
              <w:rPr>
                <w:sz w:val="16"/>
                <w:szCs w:val="16"/>
              </w:rPr>
            </w:pPr>
            <w:r>
              <w:rPr>
                <w:sz w:val="16"/>
                <w:szCs w:val="16"/>
              </w:rPr>
              <w:t xml:space="preserve">Life science </w:t>
            </w:r>
            <w:r w:rsidR="006B1956">
              <w:rPr>
                <w:sz w:val="16"/>
                <w:szCs w:val="16"/>
              </w:rPr>
              <w:br/>
            </w:r>
            <w:r>
              <w:rPr>
                <w:sz w:val="16"/>
                <w:szCs w:val="16"/>
              </w:rPr>
              <w:t>career plan</w:t>
            </w:r>
          </w:p>
        </w:tc>
        <w:tc>
          <w:tcPr>
            <w:tcW w:w="2552" w:type="dxa"/>
            <w:gridSpan w:val="2"/>
            <w:tcBorders>
              <w:top w:val="single" w:sz="4" w:space="0" w:color="auto"/>
              <w:left w:val="nil"/>
              <w:right w:val="nil"/>
            </w:tcBorders>
            <w:shd w:val="clear" w:color="auto" w:fill="auto"/>
          </w:tcPr>
          <w:p w:rsidR="00247DCA" w:rsidRPr="00C96355" w:rsidRDefault="00247DCA" w:rsidP="006B1956">
            <w:pPr>
              <w:pStyle w:val="Tablehead1"/>
              <w:jc w:val="center"/>
              <w:rPr>
                <w:sz w:val="16"/>
                <w:szCs w:val="16"/>
              </w:rPr>
            </w:pPr>
            <w:r>
              <w:rPr>
                <w:sz w:val="16"/>
                <w:szCs w:val="16"/>
              </w:rPr>
              <w:t xml:space="preserve">Physical science </w:t>
            </w:r>
            <w:r w:rsidR="006B1956">
              <w:rPr>
                <w:sz w:val="16"/>
                <w:szCs w:val="16"/>
              </w:rPr>
              <w:br/>
            </w:r>
            <w:r>
              <w:rPr>
                <w:sz w:val="16"/>
                <w:szCs w:val="16"/>
              </w:rPr>
              <w:t>career plan</w:t>
            </w:r>
          </w:p>
        </w:tc>
      </w:tr>
      <w:tr w:rsidR="00247DCA" w:rsidRPr="00C96355" w:rsidTr="006B1956">
        <w:tc>
          <w:tcPr>
            <w:tcW w:w="3686" w:type="dxa"/>
            <w:gridSpan w:val="2"/>
            <w:tcBorders>
              <w:left w:val="nil"/>
              <w:right w:val="nil"/>
            </w:tcBorders>
            <w:shd w:val="clear" w:color="auto" w:fill="auto"/>
            <w:noWrap/>
            <w:hideMark/>
          </w:tcPr>
          <w:p w:rsidR="00247DCA" w:rsidRPr="00C96355" w:rsidRDefault="00247DCA" w:rsidP="00247DCA">
            <w:pPr>
              <w:pStyle w:val="Tablehead1"/>
            </w:pPr>
            <w:r w:rsidRPr="00C96355">
              <w:t>Fixed effects</w:t>
            </w:r>
          </w:p>
        </w:tc>
        <w:tc>
          <w:tcPr>
            <w:tcW w:w="1418" w:type="dxa"/>
            <w:tcBorders>
              <w:left w:val="nil"/>
              <w:right w:val="nil"/>
            </w:tcBorders>
            <w:shd w:val="clear" w:color="auto" w:fill="auto"/>
            <w:hideMark/>
          </w:tcPr>
          <w:p w:rsidR="00247DCA" w:rsidRPr="00C96355" w:rsidRDefault="00247DCA" w:rsidP="006B1956">
            <w:pPr>
              <w:pStyle w:val="Tablehead1"/>
              <w:jc w:val="center"/>
            </w:pPr>
          </w:p>
        </w:tc>
        <w:tc>
          <w:tcPr>
            <w:tcW w:w="1133" w:type="dxa"/>
            <w:tcBorders>
              <w:left w:val="nil"/>
              <w:right w:val="nil"/>
            </w:tcBorders>
            <w:shd w:val="clear" w:color="auto" w:fill="auto"/>
            <w:noWrap/>
            <w:hideMark/>
          </w:tcPr>
          <w:p w:rsidR="00247DCA" w:rsidRPr="00C96355" w:rsidRDefault="00247DCA" w:rsidP="006B1956">
            <w:pPr>
              <w:pStyle w:val="Tablehead1"/>
              <w:jc w:val="center"/>
            </w:pPr>
          </w:p>
        </w:tc>
        <w:tc>
          <w:tcPr>
            <w:tcW w:w="1418" w:type="dxa"/>
            <w:tcBorders>
              <w:left w:val="nil"/>
              <w:right w:val="nil"/>
            </w:tcBorders>
            <w:shd w:val="clear" w:color="auto" w:fill="auto"/>
            <w:hideMark/>
          </w:tcPr>
          <w:p w:rsidR="00247DCA" w:rsidRPr="00C96355" w:rsidRDefault="00247DCA" w:rsidP="006B1956">
            <w:pPr>
              <w:pStyle w:val="Tablehead1"/>
              <w:jc w:val="center"/>
            </w:pPr>
          </w:p>
        </w:tc>
        <w:tc>
          <w:tcPr>
            <w:tcW w:w="1134" w:type="dxa"/>
            <w:tcBorders>
              <w:left w:val="nil"/>
              <w:right w:val="nil"/>
            </w:tcBorders>
            <w:shd w:val="clear" w:color="auto" w:fill="auto"/>
            <w:textDirection w:val="btLr"/>
            <w:hideMark/>
          </w:tcPr>
          <w:p w:rsidR="00247DCA" w:rsidRPr="00C96355" w:rsidRDefault="00247DCA" w:rsidP="006B1956">
            <w:pPr>
              <w:pStyle w:val="Tablehead1"/>
              <w:jc w:val="center"/>
            </w:pPr>
          </w:p>
        </w:tc>
      </w:tr>
      <w:tr w:rsidR="00247DCA" w:rsidRPr="00247DCA" w:rsidTr="006B1956">
        <w:tc>
          <w:tcPr>
            <w:tcW w:w="568" w:type="dxa"/>
            <w:tcBorders>
              <w:top w:val="nil"/>
              <w:left w:val="nil"/>
              <w:bottom w:val="single" w:sz="4" w:space="0" w:color="auto"/>
              <w:right w:val="nil"/>
            </w:tcBorders>
            <w:shd w:val="clear" w:color="auto" w:fill="auto"/>
            <w:noWrap/>
            <w:hideMark/>
          </w:tcPr>
          <w:p w:rsidR="00247DCA" w:rsidRPr="00247DCA" w:rsidRDefault="00247DCA" w:rsidP="00247DCA">
            <w:pPr>
              <w:pStyle w:val="Tablehead2"/>
              <w:rPr>
                <w:szCs w:val="22"/>
              </w:rPr>
            </w:pPr>
            <w:r w:rsidRPr="00247DCA">
              <w:rPr>
                <w:szCs w:val="22"/>
              </w:rPr>
              <w:t> </w:t>
            </w:r>
          </w:p>
        </w:tc>
        <w:tc>
          <w:tcPr>
            <w:tcW w:w="3118" w:type="dxa"/>
            <w:tcBorders>
              <w:top w:val="nil"/>
              <w:left w:val="nil"/>
              <w:bottom w:val="single" w:sz="4" w:space="0" w:color="auto"/>
              <w:right w:val="nil"/>
            </w:tcBorders>
            <w:shd w:val="clear" w:color="auto" w:fill="auto"/>
            <w:noWrap/>
            <w:hideMark/>
          </w:tcPr>
          <w:p w:rsidR="00247DCA" w:rsidRPr="00247DCA" w:rsidRDefault="00247DCA" w:rsidP="00247DCA">
            <w:pPr>
              <w:pStyle w:val="Tablehead2"/>
              <w:rPr>
                <w:szCs w:val="16"/>
              </w:rPr>
            </w:pPr>
            <w:r w:rsidRPr="00247DCA">
              <w:rPr>
                <w:szCs w:val="16"/>
              </w:rPr>
              <w:t> </w:t>
            </w:r>
          </w:p>
        </w:tc>
        <w:tc>
          <w:tcPr>
            <w:tcW w:w="1418" w:type="dxa"/>
            <w:tcBorders>
              <w:top w:val="nil"/>
              <w:left w:val="nil"/>
              <w:bottom w:val="single" w:sz="4" w:space="0" w:color="auto"/>
              <w:right w:val="nil"/>
            </w:tcBorders>
            <w:shd w:val="clear" w:color="auto" w:fill="auto"/>
            <w:hideMark/>
          </w:tcPr>
          <w:p w:rsidR="00247DCA" w:rsidRPr="00247DCA" w:rsidRDefault="00247DCA" w:rsidP="006B1956">
            <w:pPr>
              <w:pStyle w:val="Tablehead2"/>
              <w:jc w:val="center"/>
              <w:rPr>
                <w:szCs w:val="14"/>
              </w:rPr>
            </w:pPr>
            <w:r w:rsidRPr="00247DCA">
              <w:rPr>
                <w:szCs w:val="14"/>
              </w:rPr>
              <w:t>Unstandardised coefficient</w:t>
            </w:r>
          </w:p>
        </w:tc>
        <w:tc>
          <w:tcPr>
            <w:tcW w:w="1133" w:type="dxa"/>
            <w:tcBorders>
              <w:top w:val="nil"/>
              <w:left w:val="nil"/>
              <w:bottom w:val="single" w:sz="4" w:space="0" w:color="auto"/>
              <w:right w:val="nil"/>
            </w:tcBorders>
            <w:shd w:val="clear" w:color="auto" w:fill="auto"/>
            <w:hideMark/>
          </w:tcPr>
          <w:p w:rsidR="00247DCA" w:rsidRPr="00247DCA" w:rsidRDefault="00247DCA" w:rsidP="006B1956">
            <w:pPr>
              <w:pStyle w:val="Tablehead2"/>
              <w:jc w:val="center"/>
              <w:rPr>
                <w:szCs w:val="14"/>
              </w:rPr>
            </w:pPr>
            <w:r w:rsidRPr="00247DCA">
              <w:rPr>
                <w:szCs w:val="14"/>
              </w:rPr>
              <w:t>Standard error</w:t>
            </w:r>
          </w:p>
        </w:tc>
        <w:tc>
          <w:tcPr>
            <w:tcW w:w="1418" w:type="dxa"/>
            <w:tcBorders>
              <w:top w:val="nil"/>
              <w:left w:val="nil"/>
              <w:bottom w:val="single" w:sz="4" w:space="0" w:color="auto"/>
              <w:right w:val="nil"/>
            </w:tcBorders>
            <w:shd w:val="clear" w:color="auto" w:fill="auto"/>
            <w:hideMark/>
          </w:tcPr>
          <w:p w:rsidR="00247DCA" w:rsidRPr="00247DCA" w:rsidRDefault="00247DCA" w:rsidP="006B1956">
            <w:pPr>
              <w:pStyle w:val="Tablehead2"/>
              <w:jc w:val="center"/>
              <w:rPr>
                <w:szCs w:val="14"/>
              </w:rPr>
            </w:pPr>
            <w:r w:rsidRPr="00247DCA">
              <w:rPr>
                <w:szCs w:val="14"/>
              </w:rPr>
              <w:t>Unstandardised coefficient</w:t>
            </w:r>
          </w:p>
        </w:tc>
        <w:tc>
          <w:tcPr>
            <w:tcW w:w="1134" w:type="dxa"/>
            <w:tcBorders>
              <w:top w:val="nil"/>
              <w:left w:val="nil"/>
              <w:bottom w:val="single" w:sz="4" w:space="0" w:color="auto"/>
              <w:right w:val="nil"/>
            </w:tcBorders>
            <w:shd w:val="clear" w:color="auto" w:fill="auto"/>
            <w:hideMark/>
          </w:tcPr>
          <w:p w:rsidR="00247DCA" w:rsidRPr="00247DCA" w:rsidRDefault="00247DCA" w:rsidP="006B1956">
            <w:pPr>
              <w:pStyle w:val="Tablehead2"/>
              <w:jc w:val="center"/>
              <w:rPr>
                <w:szCs w:val="14"/>
              </w:rPr>
            </w:pPr>
            <w:r w:rsidRPr="00247DCA">
              <w:rPr>
                <w:szCs w:val="14"/>
              </w:rPr>
              <w:t>Standard error</w:t>
            </w:r>
          </w:p>
        </w:tc>
      </w:tr>
      <w:tr w:rsidR="00247DCA" w:rsidRPr="00C96355" w:rsidTr="006B1956">
        <w:tc>
          <w:tcPr>
            <w:tcW w:w="3686" w:type="dxa"/>
            <w:gridSpan w:val="2"/>
            <w:tcBorders>
              <w:top w:val="single" w:sz="4" w:space="0" w:color="auto"/>
              <w:left w:val="nil"/>
              <w:bottom w:val="nil"/>
              <w:right w:val="nil"/>
            </w:tcBorders>
            <w:shd w:val="clear" w:color="auto" w:fill="auto"/>
            <w:noWrap/>
            <w:hideMark/>
          </w:tcPr>
          <w:p w:rsidR="00247DCA" w:rsidRPr="006B1956" w:rsidRDefault="00247DCA" w:rsidP="00247DCA">
            <w:pPr>
              <w:pStyle w:val="Tabletext"/>
              <w:rPr>
                <w:i/>
              </w:rPr>
            </w:pPr>
            <w:r w:rsidRPr="006B1956">
              <w:rPr>
                <w:i/>
              </w:rPr>
              <w:t>Student characteristics</w:t>
            </w:r>
          </w:p>
        </w:tc>
        <w:tc>
          <w:tcPr>
            <w:tcW w:w="1418" w:type="dxa"/>
            <w:tcBorders>
              <w:top w:val="single" w:sz="4" w:space="0" w:color="auto"/>
              <w:left w:val="nil"/>
              <w:bottom w:val="nil"/>
              <w:right w:val="nil"/>
            </w:tcBorders>
            <w:shd w:val="clear" w:color="auto" w:fill="auto"/>
            <w:noWrap/>
            <w:hideMark/>
          </w:tcPr>
          <w:p w:rsidR="00247DCA" w:rsidRPr="00C96355" w:rsidRDefault="00247DCA" w:rsidP="00247DCA">
            <w:pPr>
              <w:pStyle w:val="Tabletext"/>
            </w:pPr>
          </w:p>
        </w:tc>
        <w:tc>
          <w:tcPr>
            <w:tcW w:w="1133" w:type="dxa"/>
            <w:tcBorders>
              <w:top w:val="single" w:sz="4" w:space="0" w:color="auto"/>
              <w:left w:val="nil"/>
              <w:bottom w:val="nil"/>
              <w:right w:val="nil"/>
            </w:tcBorders>
            <w:shd w:val="clear" w:color="auto" w:fill="auto"/>
            <w:noWrap/>
            <w:hideMark/>
          </w:tcPr>
          <w:p w:rsidR="00247DCA" w:rsidRPr="00C96355" w:rsidRDefault="00247DCA" w:rsidP="00247DCA">
            <w:pPr>
              <w:pStyle w:val="Tabletext"/>
            </w:pPr>
          </w:p>
        </w:tc>
        <w:tc>
          <w:tcPr>
            <w:tcW w:w="1418" w:type="dxa"/>
            <w:tcBorders>
              <w:top w:val="single" w:sz="4" w:space="0" w:color="auto"/>
              <w:left w:val="nil"/>
              <w:bottom w:val="nil"/>
              <w:right w:val="nil"/>
            </w:tcBorders>
            <w:shd w:val="clear" w:color="auto" w:fill="auto"/>
            <w:noWrap/>
            <w:hideMark/>
          </w:tcPr>
          <w:p w:rsidR="00247DCA" w:rsidRPr="00C96355" w:rsidRDefault="00247DCA" w:rsidP="00247DCA">
            <w:pPr>
              <w:pStyle w:val="Tabletext"/>
            </w:pPr>
          </w:p>
        </w:tc>
        <w:tc>
          <w:tcPr>
            <w:tcW w:w="1134" w:type="dxa"/>
            <w:tcBorders>
              <w:top w:val="single" w:sz="4" w:space="0" w:color="auto"/>
              <w:left w:val="nil"/>
              <w:bottom w:val="nil"/>
              <w:right w:val="nil"/>
            </w:tcBorders>
            <w:shd w:val="clear" w:color="auto" w:fill="auto"/>
            <w:noWrap/>
            <w:hideMark/>
          </w:tcPr>
          <w:p w:rsidR="00247DCA" w:rsidRPr="00C96355" w:rsidRDefault="00247DCA" w:rsidP="00247DCA">
            <w:pPr>
              <w:pStyle w:val="Tabletext"/>
            </w:pPr>
          </w:p>
        </w:tc>
      </w:tr>
      <w:tr w:rsidR="00247DCA" w:rsidRPr="00C96355" w:rsidTr="006B1956">
        <w:tc>
          <w:tcPr>
            <w:tcW w:w="568" w:type="dxa"/>
            <w:tcBorders>
              <w:top w:val="nil"/>
              <w:left w:val="nil"/>
              <w:bottom w:val="nil"/>
              <w:right w:val="nil"/>
            </w:tcBorders>
            <w:shd w:val="clear" w:color="auto" w:fill="auto"/>
            <w:noWrap/>
            <w:hideMark/>
          </w:tcPr>
          <w:p w:rsidR="00247DCA" w:rsidRPr="00C96355" w:rsidRDefault="00247DCA" w:rsidP="00247DCA">
            <w:pPr>
              <w:pStyle w:val="Tabletext"/>
            </w:pPr>
          </w:p>
        </w:tc>
        <w:tc>
          <w:tcPr>
            <w:tcW w:w="3118" w:type="dxa"/>
            <w:tcBorders>
              <w:top w:val="nil"/>
              <w:left w:val="nil"/>
              <w:bottom w:val="nil"/>
              <w:right w:val="nil"/>
            </w:tcBorders>
            <w:shd w:val="clear" w:color="auto" w:fill="auto"/>
            <w:noWrap/>
            <w:hideMark/>
          </w:tcPr>
          <w:p w:rsidR="00247DCA" w:rsidRPr="00C96355" w:rsidRDefault="00247DCA" w:rsidP="00247DCA">
            <w:pPr>
              <w:pStyle w:val="Tabletext"/>
            </w:pPr>
            <w:r>
              <w:t>Female</w:t>
            </w:r>
          </w:p>
        </w:tc>
        <w:tc>
          <w:tcPr>
            <w:tcW w:w="1418" w:type="dxa"/>
            <w:tcBorders>
              <w:top w:val="nil"/>
              <w:left w:val="nil"/>
              <w:bottom w:val="nil"/>
              <w:right w:val="nil"/>
            </w:tcBorders>
            <w:shd w:val="clear" w:color="auto" w:fill="auto"/>
            <w:noWrap/>
            <w:hideMark/>
          </w:tcPr>
          <w:p w:rsidR="00247DCA" w:rsidRPr="00E11523" w:rsidRDefault="00247DCA" w:rsidP="006B1956">
            <w:pPr>
              <w:pStyle w:val="Tabletext"/>
              <w:tabs>
                <w:tab w:val="decimal" w:pos="510"/>
              </w:tabs>
            </w:pPr>
            <w:r>
              <w:t xml:space="preserve"> </w:t>
            </w:r>
            <w:r w:rsidRPr="00E11523">
              <w:t>1.12</w:t>
            </w:r>
            <w:r>
              <w:t>**</w:t>
            </w:r>
          </w:p>
        </w:tc>
        <w:tc>
          <w:tcPr>
            <w:tcW w:w="1133" w:type="dxa"/>
            <w:tcBorders>
              <w:top w:val="nil"/>
              <w:left w:val="nil"/>
              <w:bottom w:val="nil"/>
              <w:right w:val="nil"/>
            </w:tcBorders>
            <w:shd w:val="clear" w:color="auto" w:fill="auto"/>
            <w:noWrap/>
            <w:hideMark/>
          </w:tcPr>
          <w:p w:rsidR="00247DCA" w:rsidRPr="00E11523" w:rsidRDefault="00247DCA" w:rsidP="006B1956">
            <w:pPr>
              <w:pStyle w:val="Tabletext"/>
              <w:tabs>
                <w:tab w:val="decimal" w:pos="425"/>
              </w:tabs>
            </w:pPr>
            <w:r w:rsidRPr="00E11523">
              <w:t>0.06</w:t>
            </w:r>
          </w:p>
        </w:tc>
        <w:tc>
          <w:tcPr>
            <w:tcW w:w="1418" w:type="dxa"/>
            <w:tcBorders>
              <w:top w:val="nil"/>
              <w:left w:val="nil"/>
              <w:bottom w:val="nil"/>
              <w:right w:val="nil"/>
            </w:tcBorders>
            <w:shd w:val="clear" w:color="auto" w:fill="auto"/>
            <w:noWrap/>
            <w:hideMark/>
          </w:tcPr>
          <w:p w:rsidR="00247DCA" w:rsidRPr="00B83FDF" w:rsidRDefault="00247DCA" w:rsidP="006B1956">
            <w:pPr>
              <w:pStyle w:val="Tabletext"/>
              <w:tabs>
                <w:tab w:val="decimal" w:pos="510"/>
              </w:tabs>
            </w:pPr>
            <w:r w:rsidRPr="00B83FDF">
              <w:t>-1.52</w:t>
            </w:r>
            <w:r>
              <w:t>**</w:t>
            </w:r>
          </w:p>
        </w:tc>
        <w:tc>
          <w:tcPr>
            <w:tcW w:w="1134" w:type="dxa"/>
            <w:tcBorders>
              <w:top w:val="nil"/>
              <w:left w:val="nil"/>
              <w:bottom w:val="nil"/>
              <w:right w:val="nil"/>
            </w:tcBorders>
            <w:shd w:val="clear" w:color="auto" w:fill="auto"/>
            <w:noWrap/>
            <w:hideMark/>
          </w:tcPr>
          <w:p w:rsidR="00247DCA" w:rsidRPr="00B83FDF" w:rsidRDefault="00247DCA" w:rsidP="006B1956">
            <w:pPr>
              <w:pStyle w:val="Tabletext"/>
              <w:tabs>
                <w:tab w:val="decimal" w:pos="425"/>
              </w:tabs>
            </w:pPr>
            <w:r w:rsidRPr="00B83FDF">
              <w:t>0.07</w:t>
            </w:r>
          </w:p>
        </w:tc>
      </w:tr>
      <w:tr w:rsidR="00247DCA" w:rsidRPr="00C96355" w:rsidTr="006B1956">
        <w:tc>
          <w:tcPr>
            <w:tcW w:w="568" w:type="dxa"/>
            <w:tcBorders>
              <w:top w:val="nil"/>
              <w:left w:val="nil"/>
              <w:bottom w:val="nil"/>
              <w:right w:val="nil"/>
            </w:tcBorders>
            <w:shd w:val="clear" w:color="auto" w:fill="auto"/>
            <w:noWrap/>
            <w:hideMark/>
          </w:tcPr>
          <w:p w:rsidR="00247DCA" w:rsidRPr="00C96355" w:rsidRDefault="00247DCA" w:rsidP="00247DCA">
            <w:pPr>
              <w:pStyle w:val="Tabletext"/>
            </w:pPr>
          </w:p>
        </w:tc>
        <w:tc>
          <w:tcPr>
            <w:tcW w:w="3118" w:type="dxa"/>
            <w:tcBorders>
              <w:top w:val="nil"/>
              <w:left w:val="nil"/>
              <w:bottom w:val="nil"/>
              <w:right w:val="nil"/>
            </w:tcBorders>
            <w:shd w:val="clear" w:color="auto" w:fill="auto"/>
            <w:noWrap/>
            <w:hideMark/>
          </w:tcPr>
          <w:p w:rsidR="00247DCA" w:rsidRDefault="00247DCA" w:rsidP="00247DCA">
            <w:pPr>
              <w:pStyle w:val="Tabletext"/>
            </w:pPr>
            <w:r>
              <w:t>English spoken at home</w:t>
            </w:r>
          </w:p>
        </w:tc>
        <w:tc>
          <w:tcPr>
            <w:tcW w:w="1418" w:type="dxa"/>
            <w:tcBorders>
              <w:top w:val="nil"/>
              <w:left w:val="nil"/>
              <w:bottom w:val="nil"/>
              <w:right w:val="nil"/>
            </w:tcBorders>
            <w:shd w:val="clear" w:color="auto" w:fill="auto"/>
            <w:noWrap/>
            <w:hideMark/>
          </w:tcPr>
          <w:p w:rsidR="00247DCA" w:rsidRPr="00E11523" w:rsidRDefault="00247DCA" w:rsidP="006B1956">
            <w:pPr>
              <w:pStyle w:val="Tabletext"/>
              <w:tabs>
                <w:tab w:val="decimal" w:pos="510"/>
              </w:tabs>
            </w:pPr>
            <w:r w:rsidRPr="00E11523">
              <w:t>-0.44</w:t>
            </w:r>
            <w:r>
              <w:t>**</w:t>
            </w:r>
          </w:p>
        </w:tc>
        <w:tc>
          <w:tcPr>
            <w:tcW w:w="1133" w:type="dxa"/>
            <w:tcBorders>
              <w:top w:val="nil"/>
              <w:left w:val="nil"/>
              <w:bottom w:val="nil"/>
              <w:right w:val="nil"/>
            </w:tcBorders>
            <w:shd w:val="clear" w:color="auto" w:fill="auto"/>
            <w:noWrap/>
            <w:hideMark/>
          </w:tcPr>
          <w:p w:rsidR="00247DCA" w:rsidRPr="00E11523" w:rsidRDefault="00247DCA" w:rsidP="006B1956">
            <w:pPr>
              <w:pStyle w:val="Tabletext"/>
              <w:tabs>
                <w:tab w:val="decimal" w:pos="425"/>
              </w:tabs>
            </w:pPr>
            <w:r w:rsidRPr="00E11523">
              <w:t>0.10</w:t>
            </w:r>
          </w:p>
        </w:tc>
        <w:tc>
          <w:tcPr>
            <w:tcW w:w="1418" w:type="dxa"/>
            <w:tcBorders>
              <w:top w:val="nil"/>
              <w:left w:val="nil"/>
              <w:bottom w:val="nil"/>
              <w:right w:val="nil"/>
            </w:tcBorders>
            <w:shd w:val="clear" w:color="auto" w:fill="auto"/>
            <w:noWrap/>
            <w:hideMark/>
          </w:tcPr>
          <w:p w:rsidR="00247DCA" w:rsidRPr="00B83FDF" w:rsidRDefault="00247DCA" w:rsidP="006B1956">
            <w:pPr>
              <w:pStyle w:val="Tabletext"/>
              <w:tabs>
                <w:tab w:val="decimal" w:pos="510"/>
              </w:tabs>
            </w:pPr>
            <w:r w:rsidRPr="00B83FDF">
              <w:t>-0.31</w:t>
            </w:r>
            <w:r>
              <w:t>**</w:t>
            </w:r>
          </w:p>
        </w:tc>
        <w:tc>
          <w:tcPr>
            <w:tcW w:w="1134" w:type="dxa"/>
            <w:tcBorders>
              <w:top w:val="nil"/>
              <w:left w:val="nil"/>
              <w:bottom w:val="nil"/>
              <w:right w:val="nil"/>
            </w:tcBorders>
            <w:shd w:val="clear" w:color="auto" w:fill="auto"/>
            <w:noWrap/>
            <w:hideMark/>
          </w:tcPr>
          <w:p w:rsidR="00247DCA" w:rsidRPr="00B83FDF" w:rsidRDefault="00247DCA" w:rsidP="006B1956">
            <w:pPr>
              <w:pStyle w:val="Tabletext"/>
              <w:tabs>
                <w:tab w:val="decimal" w:pos="425"/>
              </w:tabs>
            </w:pPr>
            <w:r w:rsidRPr="00B83FDF">
              <w:t>0.11</w:t>
            </w:r>
          </w:p>
        </w:tc>
      </w:tr>
      <w:tr w:rsidR="00247DCA" w:rsidRPr="00C96355" w:rsidTr="006B1956">
        <w:tc>
          <w:tcPr>
            <w:tcW w:w="568" w:type="dxa"/>
            <w:tcBorders>
              <w:top w:val="nil"/>
              <w:left w:val="nil"/>
              <w:bottom w:val="nil"/>
              <w:right w:val="nil"/>
            </w:tcBorders>
            <w:shd w:val="clear" w:color="auto" w:fill="auto"/>
            <w:noWrap/>
            <w:hideMark/>
          </w:tcPr>
          <w:p w:rsidR="00247DCA" w:rsidRPr="00C96355" w:rsidRDefault="00247DCA" w:rsidP="00247DCA">
            <w:pPr>
              <w:pStyle w:val="Tabletext"/>
            </w:pPr>
          </w:p>
        </w:tc>
        <w:tc>
          <w:tcPr>
            <w:tcW w:w="3118" w:type="dxa"/>
            <w:tcBorders>
              <w:top w:val="nil"/>
              <w:left w:val="nil"/>
              <w:bottom w:val="nil"/>
              <w:right w:val="nil"/>
            </w:tcBorders>
            <w:shd w:val="clear" w:color="auto" w:fill="auto"/>
            <w:noWrap/>
            <w:hideMark/>
          </w:tcPr>
          <w:p w:rsidR="00247DCA" w:rsidRDefault="00C019C4" w:rsidP="00247DCA">
            <w:pPr>
              <w:pStyle w:val="Tabletext"/>
            </w:pPr>
            <w:r>
              <w:t>Australian-</w:t>
            </w:r>
            <w:r w:rsidR="00247DCA">
              <w:t>born to Australian parents</w:t>
            </w:r>
          </w:p>
        </w:tc>
        <w:tc>
          <w:tcPr>
            <w:tcW w:w="1418" w:type="dxa"/>
            <w:tcBorders>
              <w:top w:val="nil"/>
              <w:left w:val="nil"/>
              <w:bottom w:val="nil"/>
              <w:right w:val="nil"/>
            </w:tcBorders>
            <w:shd w:val="clear" w:color="auto" w:fill="auto"/>
            <w:noWrap/>
            <w:hideMark/>
          </w:tcPr>
          <w:p w:rsidR="00247DCA" w:rsidRPr="00AA75C7" w:rsidRDefault="00247DCA" w:rsidP="006B1956">
            <w:pPr>
              <w:pStyle w:val="Tabletext"/>
              <w:tabs>
                <w:tab w:val="decimal" w:pos="510"/>
              </w:tabs>
            </w:pPr>
            <w:r>
              <w:t>-</w:t>
            </w:r>
          </w:p>
        </w:tc>
        <w:tc>
          <w:tcPr>
            <w:tcW w:w="1133" w:type="dxa"/>
            <w:tcBorders>
              <w:top w:val="nil"/>
              <w:left w:val="nil"/>
              <w:bottom w:val="nil"/>
              <w:right w:val="nil"/>
            </w:tcBorders>
            <w:shd w:val="clear" w:color="auto" w:fill="auto"/>
            <w:noWrap/>
            <w:hideMark/>
          </w:tcPr>
          <w:p w:rsidR="00247DCA" w:rsidRPr="00AA75C7" w:rsidRDefault="00247DCA" w:rsidP="006B1956">
            <w:pPr>
              <w:pStyle w:val="Tabletext"/>
              <w:tabs>
                <w:tab w:val="decimal" w:pos="425"/>
              </w:tabs>
            </w:pPr>
          </w:p>
        </w:tc>
        <w:tc>
          <w:tcPr>
            <w:tcW w:w="1418" w:type="dxa"/>
            <w:tcBorders>
              <w:top w:val="nil"/>
              <w:left w:val="nil"/>
              <w:bottom w:val="nil"/>
              <w:right w:val="nil"/>
            </w:tcBorders>
            <w:shd w:val="clear" w:color="auto" w:fill="auto"/>
            <w:noWrap/>
            <w:hideMark/>
          </w:tcPr>
          <w:p w:rsidR="00247DCA" w:rsidRPr="0079522F" w:rsidRDefault="00247DCA" w:rsidP="006B1956">
            <w:pPr>
              <w:pStyle w:val="Tabletext"/>
              <w:tabs>
                <w:tab w:val="decimal" w:pos="510"/>
              </w:tabs>
            </w:pPr>
            <w:r>
              <w:t>-</w:t>
            </w:r>
          </w:p>
        </w:tc>
        <w:tc>
          <w:tcPr>
            <w:tcW w:w="1134" w:type="dxa"/>
            <w:tcBorders>
              <w:top w:val="nil"/>
              <w:left w:val="nil"/>
              <w:bottom w:val="nil"/>
              <w:right w:val="nil"/>
            </w:tcBorders>
            <w:shd w:val="clear" w:color="auto" w:fill="auto"/>
            <w:noWrap/>
            <w:hideMark/>
          </w:tcPr>
          <w:p w:rsidR="00247DCA" w:rsidRPr="0079522F" w:rsidRDefault="00247DCA" w:rsidP="006B1956">
            <w:pPr>
              <w:pStyle w:val="Tabletext"/>
              <w:tabs>
                <w:tab w:val="decimal" w:pos="425"/>
              </w:tabs>
            </w:pPr>
          </w:p>
        </w:tc>
      </w:tr>
      <w:tr w:rsidR="00247DCA" w:rsidRPr="00C96355" w:rsidTr="006B1956">
        <w:tc>
          <w:tcPr>
            <w:tcW w:w="568" w:type="dxa"/>
            <w:tcBorders>
              <w:top w:val="nil"/>
              <w:left w:val="nil"/>
              <w:bottom w:val="nil"/>
              <w:right w:val="nil"/>
            </w:tcBorders>
            <w:shd w:val="clear" w:color="auto" w:fill="auto"/>
            <w:noWrap/>
            <w:hideMark/>
          </w:tcPr>
          <w:p w:rsidR="00247DCA" w:rsidRPr="00C96355" w:rsidRDefault="00247DCA" w:rsidP="00247DCA">
            <w:pPr>
              <w:pStyle w:val="Tabletext"/>
            </w:pPr>
          </w:p>
        </w:tc>
        <w:tc>
          <w:tcPr>
            <w:tcW w:w="3118" w:type="dxa"/>
            <w:tcBorders>
              <w:top w:val="nil"/>
              <w:left w:val="nil"/>
              <w:bottom w:val="nil"/>
              <w:right w:val="nil"/>
            </w:tcBorders>
            <w:shd w:val="clear" w:color="auto" w:fill="auto"/>
            <w:noWrap/>
            <w:hideMark/>
          </w:tcPr>
          <w:p w:rsidR="00247DCA" w:rsidRDefault="00247DCA" w:rsidP="00247DCA">
            <w:pPr>
              <w:pStyle w:val="Tabletext"/>
            </w:pPr>
            <w:r>
              <w:t>Foreign-born student</w:t>
            </w:r>
          </w:p>
        </w:tc>
        <w:tc>
          <w:tcPr>
            <w:tcW w:w="1418" w:type="dxa"/>
            <w:tcBorders>
              <w:top w:val="nil"/>
              <w:left w:val="nil"/>
              <w:bottom w:val="nil"/>
              <w:right w:val="nil"/>
            </w:tcBorders>
            <w:shd w:val="clear" w:color="auto" w:fill="auto"/>
            <w:noWrap/>
            <w:hideMark/>
          </w:tcPr>
          <w:p w:rsidR="00247DCA" w:rsidRPr="00E11523" w:rsidRDefault="00247DCA" w:rsidP="006B1956">
            <w:pPr>
              <w:pStyle w:val="Tabletext"/>
              <w:tabs>
                <w:tab w:val="decimal" w:pos="510"/>
              </w:tabs>
            </w:pPr>
            <w:r>
              <w:t xml:space="preserve"> </w:t>
            </w:r>
            <w:r w:rsidRPr="00E11523">
              <w:t>0.11</w:t>
            </w:r>
          </w:p>
        </w:tc>
        <w:tc>
          <w:tcPr>
            <w:tcW w:w="1133" w:type="dxa"/>
            <w:tcBorders>
              <w:top w:val="nil"/>
              <w:left w:val="nil"/>
              <w:bottom w:val="nil"/>
              <w:right w:val="nil"/>
            </w:tcBorders>
            <w:shd w:val="clear" w:color="auto" w:fill="auto"/>
            <w:noWrap/>
            <w:hideMark/>
          </w:tcPr>
          <w:p w:rsidR="00247DCA" w:rsidRPr="00E11523" w:rsidRDefault="00247DCA" w:rsidP="006B1956">
            <w:pPr>
              <w:pStyle w:val="Tabletext"/>
              <w:tabs>
                <w:tab w:val="decimal" w:pos="425"/>
              </w:tabs>
            </w:pPr>
            <w:r w:rsidRPr="00E11523">
              <w:t>0.09</w:t>
            </w:r>
          </w:p>
        </w:tc>
        <w:tc>
          <w:tcPr>
            <w:tcW w:w="1418" w:type="dxa"/>
            <w:tcBorders>
              <w:top w:val="nil"/>
              <w:left w:val="nil"/>
              <w:bottom w:val="nil"/>
              <w:right w:val="nil"/>
            </w:tcBorders>
            <w:shd w:val="clear" w:color="auto" w:fill="auto"/>
            <w:noWrap/>
            <w:hideMark/>
          </w:tcPr>
          <w:p w:rsidR="00247DCA" w:rsidRPr="00B83FDF" w:rsidRDefault="00247DCA" w:rsidP="006B1956">
            <w:pPr>
              <w:pStyle w:val="Tabletext"/>
              <w:tabs>
                <w:tab w:val="decimal" w:pos="510"/>
              </w:tabs>
            </w:pPr>
            <w:r>
              <w:t xml:space="preserve"> 0.</w:t>
            </w:r>
            <w:r w:rsidRPr="00B83FDF">
              <w:t>20</w:t>
            </w:r>
            <w:r>
              <w:t>*</w:t>
            </w:r>
          </w:p>
        </w:tc>
        <w:tc>
          <w:tcPr>
            <w:tcW w:w="1134" w:type="dxa"/>
            <w:tcBorders>
              <w:top w:val="nil"/>
              <w:left w:val="nil"/>
              <w:bottom w:val="nil"/>
              <w:right w:val="nil"/>
            </w:tcBorders>
            <w:shd w:val="clear" w:color="auto" w:fill="auto"/>
            <w:noWrap/>
            <w:hideMark/>
          </w:tcPr>
          <w:p w:rsidR="00247DCA" w:rsidRPr="00B83FDF" w:rsidRDefault="00247DCA" w:rsidP="006B1956">
            <w:pPr>
              <w:pStyle w:val="Tabletext"/>
              <w:tabs>
                <w:tab w:val="decimal" w:pos="425"/>
              </w:tabs>
            </w:pPr>
            <w:r w:rsidRPr="00B83FDF">
              <w:t>0.10</w:t>
            </w:r>
          </w:p>
        </w:tc>
      </w:tr>
      <w:tr w:rsidR="00247DCA" w:rsidRPr="00C96355" w:rsidTr="006B1956">
        <w:tc>
          <w:tcPr>
            <w:tcW w:w="568" w:type="dxa"/>
            <w:tcBorders>
              <w:top w:val="nil"/>
              <w:left w:val="nil"/>
              <w:bottom w:val="nil"/>
              <w:right w:val="nil"/>
            </w:tcBorders>
            <w:shd w:val="clear" w:color="auto" w:fill="auto"/>
            <w:noWrap/>
            <w:hideMark/>
          </w:tcPr>
          <w:p w:rsidR="00247DCA" w:rsidRPr="00C96355" w:rsidRDefault="00247DCA" w:rsidP="00247DCA">
            <w:pPr>
              <w:pStyle w:val="Tabletext"/>
            </w:pPr>
          </w:p>
        </w:tc>
        <w:tc>
          <w:tcPr>
            <w:tcW w:w="3118" w:type="dxa"/>
            <w:tcBorders>
              <w:top w:val="nil"/>
              <w:left w:val="nil"/>
              <w:bottom w:val="nil"/>
              <w:right w:val="nil"/>
            </w:tcBorders>
            <w:shd w:val="clear" w:color="auto" w:fill="auto"/>
            <w:noWrap/>
            <w:hideMark/>
          </w:tcPr>
          <w:p w:rsidR="00247DCA" w:rsidRDefault="00C019C4" w:rsidP="00247DCA">
            <w:pPr>
              <w:pStyle w:val="Tabletext"/>
            </w:pPr>
            <w:r>
              <w:t>Parent foreign-</w:t>
            </w:r>
            <w:r w:rsidR="00247DCA">
              <w:t>born</w:t>
            </w:r>
          </w:p>
        </w:tc>
        <w:tc>
          <w:tcPr>
            <w:tcW w:w="1418" w:type="dxa"/>
            <w:tcBorders>
              <w:top w:val="nil"/>
              <w:left w:val="nil"/>
              <w:bottom w:val="nil"/>
              <w:right w:val="nil"/>
            </w:tcBorders>
            <w:shd w:val="clear" w:color="auto" w:fill="auto"/>
            <w:noWrap/>
            <w:hideMark/>
          </w:tcPr>
          <w:p w:rsidR="00247DCA" w:rsidRPr="00E11523" w:rsidRDefault="00247DCA" w:rsidP="006B1956">
            <w:pPr>
              <w:pStyle w:val="Tabletext"/>
              <w:tabs>
                <w:tab w:val="decimal" w:pos="510"/>
              </w:tabs>
            </w:pPr>
            <w:r>
              <w:t xml:space="preserve"> </w:t>
            </w:r>
            <w:r w:rsidRPr="00E11523">
              <w:t>0.10</w:t>
            </w:r>
          </w:p>
        </w:tc>
        <w:tc>
          <w:tcPr>
            <w:tcW w:w="1133" w:type="dxa"/>
            <w:tcBorders>
              <w:top w:val="nil"/>
              <w:left w:val="nil"/>
              <w:bottom w:val="nil"/>
              <w:right w:val="nil"/>
            </w:tcBorders>
            <w:shd w:val="clear" w:color="auto" w:fill="auto"/>
            <w:noWrap/>
            <w:hideMark/>
          </w:tcPr>
          <w:p w:rsidR="00247DCA" w:rsidRPr="00E11523" w:rsidRDefault="00247DCA" w:rsidP="006B1956">
            <w:pPr>
              <w:pStyle w:val="Tabletext"/>
              <w:tabs>
                <w:tab w:val="decimal" w:pos="425"/>
              </w:tabs>
            </w:pPr>
            <w:r w:rsidRPr="00E11523">
              <w:t>0.05</w:t>
            </w:r>
          </w:p>
        </w:tc>
        <w:tc>
          <w:tcPr>
            <w:tcW w:w="1418" w:type="dxa"/>
            <w:tcBorders>
              <w:top w:val="nil"/>
              <w:left w:val="nil"/>
              <w:bottom w:val="nil"/>
              <w:right w:val="nil"/>
            </w:tcBorders>
            <w:shd w:val="clear" w:color="auto" w:fill="auto"/>
            <w:noWrap/>
            <w:hideMark/>
          </w:tcPr>
          <w:p w:rsidR="00247DCA" w:rsidRPr="00B83FDF" w:rsidRDefault="00247DCA" w:rsidP="006B1956">
            <w:pPr>
              <w:pStyle w:val="Tabletext"/>
              <w:tabs>
                <w:tab w:val="decimal" w:pos="510"/>
              </w:tabs>
            </w:pPr>
            <w:r>
              <w:t xml:space="preserve"> 0.</w:t>
            </w:r>
            <w:r w:rsidRPr="00B83FDF">
              <w:t>11</w:t>
            </w:r>
          </w:p>
        </w:tc>
        <w:tc>
          <w:tcPr>
            <w:tcW w:w="1134" w:type="dxa"/>
            <w:tcBorders>
              <w:top w:val="nil"/>
              <w:left w:val="nil"/>
              <w:bottom w:val="nil"/>
              <w:right w:val="nil"/>
            </w:tcBorders>
            <w:shd w:val="clear" w:color="auto" w:fill="auto"/>
            <w:noWrap/>
            <w:hideMark/>
          </w:tcPr>
          <w:p w:rsidR="00247DCA" w:rsidRPr="00B83FDF" w:rsidRDefault="00247DCA" w:rsidP="006B1956">
            <w:pPr>
              <w:pStyle w:val="Tabletext"/>
              <w:tabs>
                <w:tab w:val="decimal" w:pos="425"/>
              </w:tabs>
            </w:pPr>
            <w:r w:rsidRPr="00B83FDF">
              <w:t>0.06</w:t>
            </w:r>
          </w:p>
        </w:tc>
      </w:tr>
      <w:tr w:rsidR="00247DCA" w:rsidRPr="00C96355" w:rsidTr="006B1956">
        <w:tc>
          <w:tcPr>
            <w:tcW w:w="568" w:type="dxa"/>
            <w:tcBorders>
              <w:top w:val="nil"/>
              <w:left w:val="nil"/>
              <w:bottom w:val="nil"/>
              <w:right w:val="nil"/>
            </w:tcBorders>
            <w:shd w:val="clear" w:color="auto" w:fill="auto"/>
            <w:noWrap/>
            <w:hideMark/>
          </w:tcPr>
          <w:p w:rsidR="00247DCA" w:rsidRPr="00C96355" w:rsidRDefault="00247DCA" w:rsidP="00247DCA">
            <w:pPr>
              <w:pStyle w:val="Tabletext"/>
            </w:pPr>
          </w:p>
        </w:tc>
        <w:tc>
          <w:tcPr>
            <w:tcW w:w="3118" w:type="dxa"/>
            <w:tcBorders>
              <w:top w:val="nil"/>
              <w:left w:val="nil"/>
              <w:bottom w:val="nil"/>
              <w:right w:val="nil"/>
            </w:tcBorders>
            <w:shd w:val="clear" w:color="auto" w:fill="auto"/>
            <w:noWrap/>
            <w:hideMark/>
          </w:tcPr>
          <w:p w:rsidR="00247DCA" w:rsidRDefault="00247DCA" w:rsidP="00247DCA">
            <w:pPr>
              <w:pStyle w:val="Tabletext"/>
            </w:pPr>
            <w:r>
              <w:t>NSW</w:t>
            </w:r>
          </w:p>
        </w:tc>
        <w:tc>
          <w:tcPr>
            <w:tcW w:w="1418" w:type="dxa"/>
            <w:tcBorders>
              <w:top w:val="nil"/>
              <w:left w:val="nil"/>
              <w:bottom w:val="nil"/>
              <w:right w:val="nil"/>
            </w:tcBorders>
            <w:shd w:val="clear" w:color="auto" w:fill="auto"/>
            <w:noWrap/>
            <w:hideMark/>
          </w:tcPr>
          <w:p w:rsidR="00247DCA" w:rsidRPr="00AA75C7" w:rsidRDefault="00247DCA" w:rsidP="006B1956">
            <w:pPr>
              <w:pStyle w:val="Tabletext"/>
              <w:tabs>
                <w:tab w:val="decimal" w:pos="510"/>
              </w:tabs>
            </w:pPr>
            <w:r>
              <w:t>- -</w:t>
            </w:r>
          </w:p>
        </w:tc>
        <w:tc>
          <w:tcPr>
            <w:tcW w:w="1133" w:type="dxa"/>
            <w:tcBorders>
              <w:top w:val="nil"/>
              <w:left w:val="nil"/>
              <w:bottom w:val="nil"/>
              <w:right w:val="nil"/>
            </w:tcBorders>
            <w:shd w:val="clear" w:color="auto" w:fill="auto"/>
            <w:noWrap/>
            <w:hideMark/>
          </w:tcPr>
          <w:p w:rsidR="00247DCA" w:rsidRPr="00AA75C7" w:rsidRDefault="00247DCA" w:rsidP="006B1956">
            <w:pPr>
              <w:pStyle w:val="Tabletext"/>
              <w:tabs>
                <w:tab w:val="decimal" w:pos="425"/>
              </w:tabs>
            </w:pPr>
          </w:p>
        </w:tc>
        <w:tc>
          <w:tcPr>
            <w:tcW w:w="1418" w:type="dxa"/>
            <w:tcBorders>
              <w:top w:val="nil"/>
              <w:left w:val="nil"/>
              <w:bottom w:val="nil"/>
              <w:right w:val="nil"/>
            </w:tcBorders>
            <w:shd w:val="clear" w:color="auto" w:fill="auto"/>
            <w:noWrap/>
            <w:hideMark/>
          </w:tcPr>
          <w:p w:rsidR="00247DCA" w:rsidRPr="0079522F" w:rsidRDefault="00247DCA" w:rsidP="006B1956">
            <w:pPr>
              <w:pStyle w:val="Tabletext"/>
              <w:tabs>
                <w:tab w:val="decimal" w:pos="510"/>
              </w:tabs>
            </w:pPr>
            <w:r>
              <w:t>- -</w:t>
            </w:r>
          </w:p>
        </w:tc>
        <w:tc>
          <w:tcPr>
            <w:tcW w:w="1134" w:type="dxa"/>
            <w:tcBorders>
              <w:top w:val="nil"/>
              <w:left w:val="nil"/>
              <w:bottom w:val="nil"/>
              <w:right w:val="nil"/>
            </w:tcBorders>
            <w:shd w:val="clear" w:color="auto" w:fill="auto"/>
            <w:noWrap/>
            <w:hideMark/>
          </w:tcPr>
          <w:p w:rsidR="00247DCA" w:rsidRPr="0079522F" w:rsidRDefault="00247DCA" w:rsidP="006B1956">
            <w:pPr>
              <w:pStyle w:val="Tabletext"/>
              <w:tabs>
                <w:tab w:val="decimal" w:pos="425"/>
              </w:tabs>
            </w:pPr>
          </w:p>
        </w:tc>
      </w:tr>
      <w:tr w:rsidR="00247DCA" w:rsidRPr="00C96355" w:rsidTr="006B1956">
        <w:tc>
          <w:tcPr>
            <w:tcW w:w="568" w:type="dxa"/>
            <w:tcBorders>
              <w:top w:val="nil"/>
              <w:left w:val="nil"/>
              <w:bottom w:val="nil"/>
              <w:right w:val="nil"/>
            </w:tcBorders>
            <w:shd w:val="clear" w:color="auto" w:fill="auto"/>
            <w:noWrap/>
            <w:hideMark/>
          </w:tcPr>
          <w:p w:rsidR="00247DCA" w:rsidRPr="00C96355" w:rsidRDefault="00247DCA" w:rsidP="00247DCA">
            <w:pPr>
              <w:pStyle w:val="Tabletext"/>
            </w:pPr>
          </w:p>
        </w:tc>
        <w:tc>
          <w:tcPr>
            <w:tcW w:w="3118" w:type="dxa"/>
            <w:tcBorders>
              <w:top w:val="nil"/>
              <w:left w:val="nil"/>
              <w:bottom w:val="nil"/>
              <w:right w:val="nil"/>
            </w:tcBorders>
            <w:shd w:val="clear" w:color="auto" w:fill="auto"/>
            <w:noWrap/>
            <w:hideMark/>
          </w:tcPr>
          <w:p w:rsidR="00247DCA" w:rsidRPr="00C96355" w:rsidRDefault="00247DCA" w:rsidP="00247DCA">
            <w:pPr>
              <w:pStyle w:val="Tabletext"/>
            </w:pPr>
            <w:r>
              <w:t>ACT</w:t>
            </w:r>
          </w:p>
        </w:tc>
        <w:tc>
          <w:tcPr>
            <w:tcW w:w="1418" w:type="dxa"/>
            <w:tcBorders>
              <w:top w:val="nil"/>
              <w:left w:val="nil"/>
              <w:bottom w:val="nil"/>
              <w:right w:val="nil"/>
            </w:tcBorders>
            <w:shd w:val="clear" w:color="auto" w:fill="auto"/>
            <w:noWrap/>
            <w:hideMark/>
          </w:tcPr>
          <w:p w:rsidR="00247DCA" w:rsidRPr="00E11523" w:rsidRDefault="00247DCA" w:rsidP="006B1956">
            <w:pPr>
              <w:pStyle w:val="Tabletext"/>
              <w:tabs>
                <w:tab w:val="decimal" w:pos="510"/>
              </w:tabs>
            </w:pPr>
            <w:r>
              <w:t xml:space="preserve"> </w:t>
            </w:r>
            <w:r w:rsidRPr="00E11523">
              <w:t>0.06</w:t>
            </w:r>
          </w:p>
        </w:tc>
        <w:tc>
          <w:tcPr>
            <w:tcW w:w="1133" w:type="dxa"/>
            <w:tcBorders>
              <w:top w:val="nil"/>
              <w:left w:val="nil"/>
              <w:bottom w:val="nil"/>
              <w:right w:val="nil"/>
            </w:tcBorders>
            <w:shd w:val="clear" w:color="auto" w:fill="auto"/>
            <w:noWrap/>
            <w:hideMark/>
          </w:tcPr>
          <w:p w:rsidR="00247DCA" w:rsidRPr="00E11523" w:rsidRDefault="00247DCA" w:rsidP="006B1956">
            <w:pPr>
              <w:pStyle w:val="Tabletext"/>
              <w:tabs>
                <w:tab w:val="decimal" w:pos="425"/>
              </w:tabs>
            </w:pPr>
            <w:r w:rsidRPr="00E11523">
              <w:t>0.10</w:t>
            </w:r>
          </w:p>
        </w:tc>
        <w:tc>
          <w:tcPr>
            <w:tcW w:w="1418" w:type="dxa"/>
            <w:tcBorders>
              <w:top w:val="nil"/>
              <w:left w:val="nil"/>
              <w:bottom w:val="nil"/>
              <w:right w:val="nil"/>
            </w:tcBorders>
            <w:shd w:val="clear" w:color="auto" w:fill="auto"/>
            <w:noWrap/>
            <w:hideMark/>
          </w:tcPr>
          <w:p w:rsidR="00247DCA" w:rsidRPr="00B83FDF" w:rsidRDefault="00247DCA" w:rsidP="006B1956">
            <w:pPr>
              <w:pStyle w:val="Tabletext"/>
              <w:tabs>
                <w:tab w:val="decimal" w:pos="510"/>
              </w:tabs>
            </w:pPr>
            <w:r w:rsidRPr="00B83FDF">
              <w:t>-0.02</w:t>
            </w:r>
          </w:p>
        </w:tc>
        <w:tc>
          <w:tcPr>
            <w:tcW w:w="1134" w:type="dxa"/>
            <w:tcBorders>
              <w:top w:val="nil"/>
              <w:left w:val="nil"/>
              <w:bottom w:val="nil"/>
              <w:right w:val="nil"/>
            </w:tcBorders>
            <w:shd w:val="clear" w:color="auto" w:fill="auto"/>
            <w:noWrap/>
            <w:hideMark/>
          </w:tcPr>
          <w:p w:rsidR="00247DCA" w:rsidRPr="00B83FDF" w:rsidRDefault="00247DCA" w:rsidP="006B1956">
            <w:pPr>
              <w:pStyle w:val="Tabletext"/>
              <w:tabs>
                <w:tab w:val="decimal" w:pos="425"/>
              </w:tabs>
            </w:pPr>
            <w:r w:rsidRPr="00B83FDF">
              <w:t>0.15</w:t>
            </w:r>
          </w:p>
        </w:tc>
      </w:tr>
      <w:tr w:rsidR="00247DCA" w:rsidRPr="00C96355" w:rsidTr="006B1956">
        <w:tc>
          <w:tcPr>
            <w:tcW w:w="568" w:type="dxa"/>
            <w:tcBorders>
              <w:top w:val="nil"/>
              <w:left w:val="nil"/>
              <w:bottom w:val="nil"/>
              <w:right w:val="nil"/>
            </w:tcBorders>
            <w:shd w:val="clear" w:color="auto" w:fill="auto"/>
            <w:noWrap/>
            <w:hideMark/>
          </w:tcPr>
          <w:p w:rsidR="00247DCA" w:rsidRPr="00C96355" w:rsidRDefault="00247DCA" w:rsidP="00247DCA">
            <w:pPr>
              <w:pStyle w:val="Tabletext"/>
            </w:pPr>
          </w:p>
        </w:tc>
        <w:tc>
          <w:tcPr>
            <w:tcW w:w="3118" w:type="dxa"/>
            <w:tcBorders>
              <w:top w:val="nil"/>
              <w:left w:val="nil"/>
              <w:bottom w:val="nil"/>
              <w:right w:val="nil"/>
            </w:tcBorders>
            <w:shd w:val="clear" w:color="auto" w:fill="auto"/>
            <w:noWrap/>
            <w:hideMark/>
          </w:tcPr>
          <w:p w:rsidR="00247DCA" w:rsidRDefault="00247DCA" w:rsidP="00247DCA">
            <w:pPr>
              <w:pStyle w:val="Tabletext"/>
            </w:pPr>
            <w:r>
              <w:t>Victoria</w:t>
            </w:r>
          </w:p>
        </w:tc>
        <w:tc>
          <w:tcPr>
            <w:tcW w:w="1418" w:type="dxa"/>
            <w:tcBorders>
              <w:top w:val="nil"/>
              <w:left w:val="nil"/>
              <w:bottom w:val="nil"/>
              <w:right w:val="nil"/>
            </w:tcBorders>
            <w:shd w:val="clear" w:color="auto" w:fill="auto"/>
            <w:noWrap/>
            <w:hideMark/>
          </w:tcPr>
          <w:p w:rsidR="00247DCA" w:rsidRPr="00E11523" w:rsidRDefault="00247DCA" w:rsidP="006B1956">
            <w:pPr>
              <w:pStyle w:val="Tabletext"/>
              <w:tabs>
                <w:tab w:val="decimal" w:pos="510"/>
              </w:tabs>
            </w:pPr>
            <w:r>
              <w:t xml:space="preserve"> </w:t>
            </w:r>
            <w:r w:rsidRPr="00E11523">
              <w:t>0.29</w:t>
            </w:r>
            <w:r>
              <w:t>**</w:t>
            </w:r>
          </w:p>
        </w:tc>
        <w:tc>
          <w:tcPr>
            <w:tcW w:w="1133" w:type="dxa"/>
            <w:tcBorders>
              <w:top w:val="nil"/>
              <w:left w:val="nil"/>
              <w:bottom w:val="nil"/>
              <w:right w:val="nil"/>
            </w:tcBorders>
            <w:shd w:val="clear" w:color="auto" w:fill="auto"/>
            <w:noWrap/>
            <w:hideMark/>
          </w:tcPr>
          <w:p w:rsidR="00247DCA" w:rsidRPr="00E11523" w:rsidRDefault="00247DCA" w:rsidP="006B1956">
            <w:pPr>
              <w:pStyle w:val="Tabletext"/>
              <w:tabs>
                <w:tab w:val="decimal" w:pos="425"/>
              </w:tabs>
            </w:pPr>
            <w:r w:rsidRPr="00E11523">
              <w:t>0.07</w:t>
            </w:r>
          </w:p>
        </w:tc>
        <w:tc>
          <w:tcPr>
            <w:tcW w:w="1418" w:type="dxa"/>
            <w:tcBorders>
              <w:top w:val="nil"/>
              <w:left w:val="nil"/>
              <w:bottom w:val="nil"/>
              <w:right w:val="nil"/>
            </w:tcBorders>
            <w:shd w:val="clear" w:color="auto" w:fill="auto"/>
            <w:noWrap/>
            <w:hideMark/>
          </w:tcPr>
          <w:p w:rsidR="00247DCA" w:rsidRPr="00B83FDF" w:rsidRDefault="00247DCA" w:rsidP="006B1956">
            <w:pPr>
              <w:pStyle w:val="Tabletext"/>
              <w:tabs>
                <w:tab w:val="decimal" w:pos="510"/>
              </w:tabs>
            </w:pPr>
            <w:r>
              <w:t xml:space="preserve"> 0.</w:t>
            </w:r>
            <w:r w:rsidRPr="00B83FDF">
              <w:t>25</w:t>
            </w:r>
            <w:r>
              <w:t>**</w:t>
            </w:r>
          </w:p>
        </w:tc>
        <w:tc>
          <w:tcPr>
            <w:tcW w:w="1134" w:type="dxa"/>
            <w:tcBorders>
              <w:top w:val="nil"/>
              <w:left w:val="nil"/>
              <w:bottom w:val="nil"/>
              <w:right w:val="nil"/>
            </w:tcBorders>
            <w:shd w:val="clear" w:color="auto" w:fill="auto"/>
            <w:noWrap/>
            <w:hideMark/>
          </w:tcPr>
          <w:p w:rsidR="00247DCA" w:rsidRPr="00B83FDF" w:rsidRDefault="00247DCA" w:rsidP="006B1956">
            <w:pPr>
              <w:pStyle w:val="Tabletext"/>
              <w:tabs>
                <w:tab w:val="decimal" w:pos="425"/>
              </w:tabs>
            </w:pPr>
            <w:r w:rsidRPr="00B83FDF">
              <w:t>0.09</w:t>
            </w:r>
          </w:p>
        </w:tc>
      </w:tr>
      <w:tr w:rsidR="00247DCA" w:rsidRPr="00C96355" w:rsidTr="006B1956">
        <w:tc>
          <w:tcPr>
            <w:tcW w:w="568" w:type="dxa"/>
            <w:tcBorders>
              <w:top w:val="nil"/>
              <w:left w:val="nil"/>
              <w:bottom w:val="nil"/>
              <w:right w:val="nil"/>
            </w:tcBorders>
            <w:shd w:val="clear" w:color="auto" w:fill="auto"/>
            <w:noWrap/>
            <w:hideMark/>
          </w:tcPr>
          <w:p w:rsidR="00247DCA" w:rsidRPr="00C96355" w:rsidRDefault="00247DCA" w:rsidP="00247DCA">
            <w:pPr>
              <w:pStyle w:val="Tabletext"/>
            </w:pPr>
          </w:p>
        </w:tc>
        <w:tc>
          <w:tcPr>
            <w:tcW w:w="3118" w:type="dxa"/>
            <w:tcBorders>
              <w:top w:val="nil"/>
              <w:left w:val="nil"/>
              <w:bottom w:val="nil"/>
              <w:right w:val="nil"/>
            </w:tcBorders>
            <w:shd w:val="clear" w:color="auto" w:fill="auto"/>
            <w:noWrap/>
            <w:hideMark/>
          </w:tcPr>
          <w:p w:rsidR="00247DCA" w:rsidRDefault="00247DCA" w:rsidP="00247DCA">
            <w:pPr>
              <w:pStyle w:val="Tabletext"/>
            </w:pPr>
            <w:r>
              <w:t>Queensland</w:t>
            </w:r>
          </w:p>
        </w:tc>
        <w:tc>
          <w:tcPr>
            <w:tcW w:w="1418" w:type="dxa"/>
            <w:tcBorders>
              <w:top w:val="nil"/>
              <w:left w:val="nil"/>
              <w:bottom w:val="nil"/>
              <w:right w:val="nil"/>
            </w:tcBorders>
            <w:shd w:val="clear" w:color="auto" w:fill="auto"/>
            <w:noWrap/>
            <w:hideMark/>
          </w:tcPr>
          <w:p w:rsidR="00247DCA" w:rsidRPr="00E11523" w:rsidRDefault="00247DCA" w:rsidP="006B1956">
            <w:pPr>
              <w:pStyle w:val="Tabletext"/>
              <w:tabs>
                <w:tab w:val="decimal" w:pos="510"/>
              </w:tabs>
            </w:pPr>
            <w:r>
              <w:t xml:space="preserve"> </w:t>
            </w:r>
            <w:r w:rsidRPr="00E11523">
              <w:t>0.08</w:t>
            </w:r>
          </w:p>
        </w:tc>
        <w:tc>
          <w:tcPr>
            <w:tcW w:w="1133" w:type="dxa"/>
            <w:tcBorders>
              <w:top w:val="nil"/>
              <w:left w:val="nil"/>
              <w:bottom w:val="nil"/>
              <w:right w:val="nil"/>
            </w:tcBorders>
            <w:shd w:val="clear" w:color="auto" w:fill="auto"/>
            <w:noWrap/>
            <w:hideMark/>
          </w:tcPr>
          <w:p w:rsidR="00247DCA" w:rsidRPr="00E11523" w:rsidRDefault="00247DCA" w:rsidP="006B1956">
            <w:pPr>
              <w:pStyle w:val="Tabletext"/>
              <w:tabs>
                <w:tab w:val="decimal" w:pos="425"/>
              </w:tabs>
            </w:pPr>
            <w:r w:rsidRPr="00E11523">
              <w:t>0.08</w:t>
            </w:r>
          </w:p>
        </w:tc>
        <w:tc>
          <w:tcPr>
            <w:tcW w:w="1418" w:type="dxa"/>
            <w:tcBorders>
              <w:top w:val="nil"/>
              <w:left w:val="nil"/>
              <w:bottom w:val="nil"/>
              <w:right w:val="nil"/>
            </w:tcBorders>
            <w:shd w:val="clear" w:color="auto" w:fill="auto"/>
            <w:noWrap/>
            <w:hideMark/>
          </w:tcPr>
          <w:p w:rsidR="00247DCA" w:rsidRPr="00B83FDF" w:rsidRDefault="00247DCA" w:rsidP="006B1956">
            <w:pPr>
              <w:pStyle w:val="Tabletext"/>
              <w:tabs>
                <w:tab w:val="decimal" w:pos="510"/>
              </w:tabs>
            </w:pPr>
            <w:r>
              <w:t xml:space="preserve"> 0.</w:t>
            </w:r>
            <w:r w:rsidRPr="00B83FDF">
              <w:t>33</w:t>
            </w:r>
            <w:r>
              <w:t>**</w:t>
            </w:r>
          </w:p>
        </w:tc>
        <w:tc>
          <w:tcPr>
            <w:tcW w:w="1134" w:type="dxa"/>
            <w:tcBorders>
              <w:top w:val="nil"/>
              <w:left w:val="nil"/>
              <w:bottom w:val="nil"/>
              <w:right w:val="nil"/>
            </w:tcBorders>
            <w:shd w:val="clear" w:color="auto" w:fill="auto"/>
            <w:noWrap/>
            <w:hideMark/>
          </w:tcPr>
          <w:p w:rsidR="00247DCA" w:rsidRPr="00B83FDF" w:rsidRDefault="00247DCA" w:rsidP="006B1956">
            <w:pPr>
              <w:pStyle w:val="Tabletext"/>
              <w:tabs>
                <w:tab w:val="decimal" w:pos="425"/>
              </w:tabs>
            </w:pPr>
            <w:r w:rsidRPr="00B83FDF">
              <w:t>0.08</w:t>
            </w:r>
          </w:p>
        </w:tc>
      </w:tr>
      <w:tr w:rsidR="00247DCA" w:rsidRPr="00C96355" w:rsidTr="006B1956">
        <w:tc>
          <w:tcPr>
            <w:tcW w:w="568" w:type="dxa"/>
            <w:tcBorders>
              <w:top w:val="nil"/>
              <w:left w:val="nil"/>
              <w:bottom w:val="nil"/>
              <w:right w:val="nil"/>
            </w:tcBorders>
            <w:shd w:val="clear" w:color="auto" w:fill="auto"/>
            <w:noWrap/>
            <w:hideMark/>
          </w:tcPr>
          <w:p w:rsidR="00247DCA" w:rsidRPr="00C96355" w:rsidRDefault="00247DCA" w:rsidP="00247DCA">
            <w:pPr>
              <w:pStyle w:val="Tabletext"/>
            </w:pPr>
          </w:p>
        </w:tc>
        <w:tc>
          <w:tcPr>
            <w:tcW w:w="3118" w:type="dxa"/>
            <w:tcBorders>
              <w:top w:val="nil"/>
              <w:left w:val="nil"/>
              <w:bottom w:val="nil"/>
              <w:right w:val="nil"/>
            </w:tcBorders>
            <w:shd w:val="clear" w:color="auto" w:fill="auto"/>
            <w:noWrap/>
            <w:hideMark/>
          </w:tcPr>
          <w:p w:rsidR="00247DCA" w:rsidRDefault="00247DCA" w:rsidP="00247DCA">
            <w:pPr>
              <w:pStyle w:val="Tabletext"/>
            </w:pPr>
            <w:r>
              <w:t>South Australia</w:t>
            </w:r>
          </w:p>
        </w:tc>
        <w:tc>
          <w:tcPr>
            <w:tcW w:w="1418" w:type="dxa"/>
            <w:tcBorders>
              <w:top w:val="nil"/>
              <w:left w:val="nil"/>
              <w:bottom w:val="nil"/>
              <w:right w:val="nil"/>
            </w:tcBorders>
            <w:shd w:val="clear" w:color="auto" w:fill="auto"/>
            <w:noWrap/>
            <w:hideMark/>
          </w:tcPr>
          <w:p w:rsidR="00247DCA" w:rsidRPr="00E11523" w:rsidRDefault="00247DCA" w:rsidP="006B1956">
            <w:pPr>
              <w:pStyle w:val="Tabletext"/>
              <w:tabs>
                <w:tab w:val="decimal" w:pos="510"/>
              </w:tabs>
            </w:pPr>
            <w:r>
              <w:t xml:space="preserve"> </w:t>
            </w:r>
            <w:r w:rsidRPr="00E11523">
              <w:t>0.22</w:t>
            </w:r>
            <w:r>
              <w:t>**</w:t>
            </w:r>
          </w:p>
        </w:tc>
        <w:tc>
          <w:tcPr>
            <w:tcW w:w="1133" w:type="dxa"/>
            <w:tcBorders>
              <w:top w:val="nil"/>
              <w:left w:val="nil"/>
              <w:bottom w:val="nil"/>
              <w:right w:val="nil"/>
            </w:tcBorders>
            <w:shd w:val="clear" w:color="auto" w:fill="auto"/>
            <w:noWrap/>
            <w:hideMark/>
          </w:tcPr>
          <w:p w:rsidR="00247DCA" w:rsidRPr="00E11523" w:rsidRDefault="00247DCA" w:rsidP="006B1956">
            <w:pPr>
              <w:pStyle w:val="Tabletext"/>
              <w:tabs>
                <w:tab w:val="decimal" w:pos="425"/>
              </w:tabs>
            </w:pPr>
            <w:r w:rsidRPr="00E11523">
              <w:t>0.08</w:t>
            </w:r>
          </w:p>
        </w:tc>
        <w:tc>
          <w:tcPr>
            <w:tcW w:w="1418" w:type="dxa"/>
            <w:tcBorders>
              <w:top w:val="nil"/>
              <w:left w:val="nil"/>
              <w:bottom w:val="nil"/>
              <w:right w:val="nil"/>
            </w:tcBorders>
            <w:shd w:val="clear" w:color="auto" w:fill="auto"/>
            <w:noWrap/>
            <w:hideMark/>
          </w:tcPr>
          <w:p w:rsidR="00247DCA" w:rsidRPr="00B83FDF" w:rsidRDefault="00247DCA" w:rsidP="006B1956">
            <w:pPr>
              <w:pStyle w:val="Tabletext"/>
              <w:tabs>
                <w:tab w:val="decimal" w:pos="510"/>
              </w:tabs>
            </w:pPr>
            <w:r w:rsidRPr="00B83FDF">
              <w:t>-0.04</w:t>
            </w:r>
          </w:p>
        </w:tc>
        <w:tc>
          <w:tcPr>
            <w:tcW w:w="1134" w:type="dxa"/>
            <w:tcBorders>
              <w:top w:val="nil"/>
              <w:left w:val="nil"/>
              <w:bottom w:val="nil"/>
              <w:right w:val="nil"/>
            </w:tcBorders>
            <w:shd w:val="clear" w:color="auto" w:fill="auto"/>
            <w:noWrap/>
            <w:hideMark/>
          </w:tcPr>
          <w:p w:rsidR="00247DCA" w:rsidRPr="00B83FDF" w:rsidRDefault="00247DCA" w:rsidP="006B1956">
            <w:pPr>
              <w:pStyle w:val="Tabletext"/>
              <w:tabs>
                <w:tab w:val="decimal" w:pos="425"/>
              </w:tabs>
            </w:pPr>
            <w:r w:rsidRPr="00B83FDF">
              <w:t>0.11</w:t>
            </w:r>
          </w:p>
        </w:tc>
      </w:tr>
      <w:tr w:rsidR="00247DCA" w:rsidRPr="00C96355" w:rsidTr="006B1956">
        <w:tc>
          <w:tcPr>
            <w:tcW w:w="568" w:type="dxa"/>
            <w:tcBorders>
              <w:top w:val="nil"/>
              <w:left w:val="nil"/>
              <w:bottom w:val="nil"/>
              <w:right w:val="nil"/>
            </w:tcBorders>
            <w:shd w:val="clear" w:color="auto" w:fill="auto"/>
            <w:noWrap/>
            <w:hideMark/>
          </w:tcPr>
          <w:p w:rsidR="00247DCA" w:rsidRPr="00C96355" w:rsidRDefault="00247DCA" w:rsidP="00247DCA">
            <w:pPr>
              <w:pStyle w:val="Tabletext"/>
            </w:pPr>
          </w:p>
        </w:tc>
        <w:tc>
          <w:tcPr>
            <w:tcW w:w="3118" w:type="dxa"/>
            <w:tcBorders>
              <w:top w:val="nil"/>
              <w:left w:val="nil"/>
              <w:bottom w:val="nil"/>
              <w:right w:val="nil"/>
            </w:tcBorders>
            <w:shd w:val="clear" w:color="auto" w:fill="auto"/>
            <w:noWrap/>
            <w:hideMark/>
          </w:tcPr>
          <w:p w:rsidR="00247DCA" w:rsidRDefault="00247DCA" w:rsidP="00247DCA">
            <w:pPr>
              <w:pStyle w:val="Tabletext"/>
            </w:pPr>
            <w:r>
              <w:t>Western Australia</w:t>
            </w:r>
          </w:p>
        </w:tc>
        <w:tc>
          <w:tcPr>
            <w:tcW w:w="1418" w:type="dxa"/>
            <w:tcBorders>
              <w:top w:val="nil"/>
              <w:left w:val="nil"/>
              <w:bottom w:val="nil"/>
              <w:right w:val="nil"/>
            </w:tcBorders>
            <w:shd w:val="clear" w:color="auto" w:fill="auto"/>
            <w:noWrap/>
            <w:hideMark/>
          </w:tcPr>
          <w:p w:rsidR="00247DCA" w:rsidRPr="00E11523" w:rsidRDefault="00247DCA" w:rsidP="006B1956">
            <w:pPr>
              <w:pStyle w:val="Tabletext"/>
              <w:tabs>
                <w:tab w:val="decimal" w:pos="510"/>
              </w:tabs>
            </w:pPr>
            <w:r>
              <w:t xml:space="preserve"> </w:t>
            </w:r>
            <w:r w:rsidRPr="00E11523">
              <w:t>0.24</w:t>
            </w:r>
            <w:r>
              <w:t>**</w:t>
            </w:r>
          </w:p>
        </w:tc>
        <w:tc>
          <w:tcPr>
            <w:tcW w:w="1133" w:type="dxa"/>
            <w:tcBorders>
              <w:top w:val="nil"/>
              <w:left w:val="nil"/>
              <w:bottom w:val="nil"/>
              <w:right w:val="nil"/>
            </w:tcBorders>
            <w:shd w:val="clear" w:color="auto" w:fill="auto"/>
            <w:noWrap/>
            <w:hideMark/>
          </w:tcPr>
          <w:p w:rsidR="00247DCA" w:rsidRPr="00E11523" w:rsidRDefault="00247DCA" w:rsidP="006B1956">
            <w:pPr>
              <w:pStyle w:val="Tabletext"/>
              <w:tabs>
                <w:tab w:val="decimal" w:pos="425"/>
              </w:tabs>
            </w:pPr>
            <w:r w:rsidRPr="00E11523">
              <w:t>0.09</w:t>
            </w:r>
          </w:p>
        </w:tc>
        <w:tc>
          <w:tcPr>
            <w:tcW w:w="1418" w:type="dxa"/>
            <w:tcBorders>
              <w:top w:val="nil"/>
              <w:left w:val="nil"/>
              <w:bottom w:val="nil"/>
              <w:right w:val="nil"/>
            </w:tcBorders>
            <w:shd w:val="clear" w:color="auto" w:fill="auto"/>
            <w:noWrap/>
            <w:hideMark/>
          </w:tcPr>
          <w:p w:rsidR="00247DCA" w:rsidRPr="00B83FDF" w:rsidRDefault="00247DCA" w:rsidP="006B1956">
            <w:pPr>
              <w:pStyle w:val="Tabletext"/>
              <w:tabs>
                <w:tab w:val="decimal" w:pos="510"/>
              </w:tabs>
            </w:pPr>
            <w:r>
              <w:t xml:space="preserve"> </w:t>
            </w:r>
            <w:r w:rsidRPr="00B83FDF">
              <w:t>0.22</w:t>
            </w:r>
          </w:p>
        </w:tc>
        <w:tc>
          <w:tcPr>
            <w:tcW w:w="1134" w:type="dxa"/>
            <w:tcBorders>
              <w:top w:val="nil"/>
              <w:left w:val="nil"/>
              <w:bottom w:val="nil"/>
              <w:right w:val="nil"/>
            </w:tcBorders>
            <w:shd w:val="clear" w:color="auto" w:fill="auto"/>
            <w:noWrap/>
            <w:hideMark/>
          </w:tcPr>
          <w:p w:rsidR="00247DCA" w:rsidRPr="00B83FDF" w:rsidRDefault="00247DCA" w:rsidP="006B1956">
            <w:pPr>
              <w:pStyle w:val="Tabletext"/>
              <w:tabs>
                <w:tab w:val="decimal" w:pos="425"/>
              </w:tabs>
            </w:pPr>
            <w:r w:rsidRPr="00B83FDF">
              <w:t>0.11</w:t>
            </w:r>
          </w:p>
        </w:tc>
      </w:tr>
      <w:tr w:rsidR="00247DCA" w:rsidRPr="00C96355" w:rsidTr="006B1956">
        <w:tc>
          <w:tcPr>
            <w:tcW w:w="568" w:type="dxa"/>
            <w:tcBorders>
              <w:top w:val="nil"/>
              <w:left w:val="nil"/>
              <w:bottom w:val="nil"/>
              <w:right w:val="nil"/>
            </w:tcBorders>
            <w:shd w:val="clear" w:color="auto" w:fill="auto"/>
            <w:noWrap/>
            <w:hideMark/>
          </w:tcPr>
          <w:p w:rsidR="00247DCA" w:rsidRPr="00C96355" w:rsidRDefault="00247DCA" w:rsidP="00247DCA">
            <w:pPr>
              <w:pStyle w:val="Tabletext"/>
            </w:pPr>
          </w:p>
        </w:tc>
        <w:tc>
          <w:tcPr>
            <w:tcW w:w="3118" w:type="dxa"/>
            <w:tcBorders>
              <w:top w:val="nil"/>
              <w:left w:val="nil"/>
              <w:bottom w:val="nil"/>
              <w:right w:val="nil"/>
            </w:tcBorders>
            <w:shd w:val="clear" w:color="auto" w:fill="auto"/>
            <w:noWrap/>
            <w:hideMark/>
          </w:tcPr>
          <w:p w:rsidR="00247DCA" w:rsidRDefault="00247DCA" w:rsidP="00247DCA">
            <w:pPr>
              <w:pStyle w:val="Tabletext"/>
            </w:pPr>
            <w:r>
              <w:t>Tasmania</w:t>
            </w:r>
          </w:p>
        </w:tc>
        <w:tc>
          <w:tcPr>
            <w:tcW w:w="1418" w:type="dxa"/>
            <w:tcBorders>
              <w:top w:val="nil"/>
              <w:left w:val="nil"/>
              <w:bottom w:val="nil"/>
              <w:right w:val="nil"/>
            </w:tcBorders>
            <w:shd w:val="clear" w:color="auto" w:fill="auto"/>
            <w:noWrap/>
            <w:hideMark/>
          </w:tcPr>
          <w:p w:rsidR="00247DCA" w:rsidRPr="00E11523" w:rsidRDefault="00247DCA" w:rsidP="006B1956">
            <w:pPr>
              <w:pStyle w:val="Tabletext"/>
              <w:tabs>
                <w:tab w:val="decimal" w:pos="510"/>
              </w:tabs>
            </w:pPr>
            <w:r>
              <w:t xml:space="preserve"> </w:t>
            </w:r>
            <w:r w:rsidRPr="00E11523">
              <w:t>0.20</w:t>
            </w:r>
          </w:p>
        </w:tc>
        <w:tc>
          <w:tcPr>
            <w:tcW w:w="1133" w:type="dxa"/>
            <w:tcBorders>
              <w:top w:val="nil"/>
              <w:left w:val="nil"/>
              <w:bottom w:val="nil"/>
              <w:right w:val="nil"/>
            </w:tcBorders>
            <w:shd w:val="clear" w:color="auto" w:fill="auto"/>
            <w:noWrap/>
            <w:hideMark/>
          </w:tcPr>
          <w:p w:rsidR="00247DCA" w:rsidRPr="00E11523" w:rsidRDefault="00247DCA" w:rsidP="006B1956">
            <w:pPr>
              <w:pStyle w:val="Tabletext"/>
              <w:tabs>
                <w:tab w:val="decimal" w:pos="425"/>
              </w:tabs>
            </w:pPr>
            <w:r w:rsidRPr="00E11523">
              <w:t>0.11</w:t>
            </w:r>
          </w:p>
        </w:tc>
        <w:tc>
          <w:tcPr>
            <w:tcW w:w="1418" w:type="dxa"/>
            <w:tcBorders>
              <w:top w:val="nil"/>
              <w:left w:val="nil"/>
              <w:bottom w:val="nil"/>
              <w:right w:val="nil"/>
            </w:tcBorders>
            <w:shd w:val="clear" w:color="auto" w:fill="auto"/>
            <w:noWrap/>
            <w:hideMark/>
          </w:tcPr>
          <w:p w:rsidR="00247DCA" w:rsidRPr="00B83FDF" w:rsidRDefault="00247DCA" w:rsidP="006B1956">
            <w:pPr>
              <w:pStyle w:val="Tabletext"/>
              <w:tabs>
                <w:tab w:val="decimal" w:pos="510"/>
              </w:tabs>
            </w:pPr>
            <w:r w:rsidRPr="00B83FDF">
              <w:t>-0.04</w:t>
            </w:r>
          </w:p>
        </w:tc>
        <w:tc>
          <w:tcPr>
            <w:tcW w:w="1134" w:type="dxa"/>
            <w:tcBorders>
              <w:top w:val="nil"/>
              <w:left w:val="nil"/>
              <w:bottom w:val="nil"/>
              <w:right w:val="nil"/>
            </w:tcBorders>
            <w:shd w:val="clear" w:color="auto" w:fill="auto"/>
            <w:noWrap/>
            <w:hideMark/>
          </w:tcPr>
          <w:p w:rsidR="00247DCA" w:rsidRPr="00B83FDF" w:rsidRDefault="00247DCA" w:rsidP="006B1956">
            <w:pPr>
              <w:pStyle w:val="Tabletext"/>
              <w:tabs>
                <w:tab w:val="decimal" w:pos="425"/>
              </w:tabs>
            </w:pPr>
            <w:r w:rsidRPr="00B83FDF">
              <w:t>0.13</w:t>
            </w:r>
          </w:p>
        </w:tc>
      </w:tr>
      <w:tr w:rsidR="00247DCA" w:rsidRPr="00C96355" w:rsidTr="006B1956">
        <w:tc>
          <w:tcPr>
            <w:tcW w:w="568" w:type="dxa"/>
            <w:tcBorders>
              <w:top w:val="nil"/>
              <w:left w:val="nil"/>
              <w:bottom w:val="nil"/>
              <w:right w:val="nil"/>
            </w:tcBorders>
            <w:shd w:val="clear" w:color="auto" w:fill="auto"/>
            <w:noWrap/>
            <w:hideMark/>
          </w:tcPr>
          <w:p w:rsidR="00247DCA" w:rsidRPr="00C96355" w:rsidRDefault="00247DCA" w:rsidP="00247DCA">
            <w:pPr>
              <w:pStyle w:val="Tabletext"/>
            </w:pPr>
          </w:p>
        </w:tc>
        <w:tc>
          <w:tcPr>
            <w:tcW w:w="3118" w:type="dxa"/>
            <w:tcBorders>
              <w:top w:val="nil"/>
              <w:left w:val="nil"/>
              <w:bottom w:val="nil"/>
              <w:right w:val="nil"/>
            </w:tcBorders>
            <w:shd w:val="clear" w:color="auto" w:fill="auto"/>
            <w:noWrap/>
            <w:hideMark/>
          </w:tcPr>
          <w:p w:rsidR="00247DCA" w:rsidRDefault="00247DCA" w:rsidP="00247DCA">
            <w:pPr>
              <w:pStyle w:val="Tabletext"/>
            </w:pPr>
            <w:r>
              <w:t>Northern Territory</w:t>
            </w:r>
          </w:p>
        </w:tc>
        <w:tc>
          <w:tcPr>
            <w:tcW w:w="1418" w:type="dxa"/>
            <w:tcBorders>
              <w:top w:val="nil"/>
              <w:left w:val="nil"/>
              <w:bottom w:val="nil"/>
              <w:right w:val="nil"/>
            </w:tcBorders>
            <w:shd w:val="clear" w:color="auto" w:fill="auto"/>
            <w:noWrap/>
            <w:hideMark/>
          </w:tcPr>
          <w:p w:rsidR="00247DCA" w:rsidRPr="00E11523" w:rsidRDefault="00247DCA" w:rsidP="006B1956">
            <w:pPr>
              <w:pStyle w:val="Tabletext"/>
              <w:tabs>
                <w:tab w:val="decimal" w:pos="510"/>
              </w:tabs>
            </w:pPr>
            <w:r>
              <w:t xml:space="preserve"> </w:t>
            </w:r>
            <w:r w:rsidRPr="00E11523">
              <w:t>0.23</w:t>
            </w:r>
          </w:p>
        </w:tc>
        <w:tc>
          <w:tcPr>
            <w:tcW w:w="1133" w:type="dxa"/>
            <w:tcBorders>
              <w:top w:val="nil"/>
              <w:left w:val="nil"/>
              <w:bottom w:val="nil"/>
              <w:right w:val="nil"/>
            </w:tcBorders>
            <w:shd w:val="clear" w:color="auto" w:fill="auto"/>
            <w:noWrap/>
            <w:hideMark/>
          </w:tcPr>
          <w:p w:rsidR="00247DCA" w:rsidRPr="00E11523" w:rsidRDefault="00247DCA" w:rsidP="006B1956">
            <w:pPr>
              <w:pStyle w:val="Tabletext"/>
              <w:tabs>
                <w:tab w:val="decimal" w:pos="425"/>
              </w:tabs>
            </w:pPr>
            <w:r w:rsidRPr="00E11523">
              <w:t>0.13</w:t>
            </w:r>
          </w:p>
        </w:tc>
        <w:tc>
          <w:tcPr>
            <w:tcW w:w="1418" w:type="dxa"/>
            <w:tcBorders>
              <w:top w:val="nil"/>
              <w:left w:val="nil"/>
              <w:bottom w:val="nil"/>
              <w:right w:val="nil"/>
            </w:tcBorders>
            <w:shd w:val="clear" w:color="auto" w:fill="auto"/>
            <w:noWrap/>
            <w:hideMark/>
          </w:tcPr>
          <w:p w:rsidR="00247DCA" w:rsidRPr="00B83FDF" w:rsidRDefault="00247DCA" w:rsidP="006B1956">
            <w:pPr>
              <w:pStyle w:val="Tabletext"/>
              <w:tabs>
                <w:tab w:val="decimal" w:pos="510"/>
              </w:tabs>
            </w:pPr>
            <w:r>
              <w:t xml:space="preserve"> 0.</w:t>
            </w:r>
            <w:r w:rsidRPr="00B83FDF">
              <w:t>23</w:t>
            </w:r>
          </w:p>
        </w:tc>
        <w:tc>
          <w:tcPr>
            <w:tcW w:w="1134" w:type="dxa"/>
            <w:tcBorders>
              <w:top w:val="nil"/>
              <w:left w:val="nil"/>
              <w:bottom w:val="nil"/>
              <w:right w:val="nil"/>
            </w:tcBorders>
            <w:shd w:val="clear" w:color="auto" w:fill="auto"/>
            <w:noWrap/>
            <w:hideMark/>
          </w:tcPr>
          <w:p w:rsidR="00247DCA" w:rsidRPr="00B83FDF" w:rsidRDefault="00247DCA" w:rsidP="006B1956">
            <w:pPr>
              <w:pStyle w:val="Tabletext"/>
              <w:tabs>
                <w:tab w:val="decimal" w:pos="425"/>
              </w:tabs>
            </w:pPr>
            <w:r w:rsidRPr="00B83FDF">
              <w:t>0.14</w:t>
            </w:r>
          </w:p>
        </w:tc>
      </w:tr>
      <w:tr w:rsidR="00247DCA" w:rsidRPr="00C96355" w:rsidTr="006B1956">
        <w:tc>
          <w:tcPr>
            <w:tcW w:w="568" w:type="dxa"/>
            <w:tcBorders>
              <w:top w:val="nil"/>
              <w:left w:val="nil"/>
              <w:bottom w:val="nil"/>
              <w:right w:val="nil"/>
            </w:tcBorders>
            <w:shd w:val="clear" w:color="auto" w:fill="auto"/>
            <w:noWrap/>
            <w:hideMark/>
          </w:tcPr>
          <w:p w:rsidR="00247DCA" w:rsidRPr="00C96355" w:rsidRDefault="00247DCA" w:rsidP="00247DCA">
            <w:pPr>
              <w:pStyle w:val="Tabletext"/>
            </w:pPr>
          </w:p>
        </w:tc>
        <w:tc>
          <w:tcPr>
            <w:tcW w:w="3118" w:type="dxa"/>
            <w:tcBorders>
              <w:top w:val="nil"/>
              <w:left w:val="nil"/>
              <w:bottom w:val="nil"/>
              <w:right w:val="nil"/>
            </w:tcBorders>
            <w:shd w:val="clear" w:color="auto" w:fill="auto"/>
            <w:noWrap/>
            <w:hideMark/>
          </w:tcPr>
          <w:p w:rsidR="00247DCA" w:rsidRDefault="00247DCA" w:rsidP="00247DCA">
            <w:pPr>
              <w:pStyle w:val="Tabletext"/>
            </w:pPr>
            <w:r>
              <w:t>Metropolitan area</w:t>
            </w:r>
          </w:p>
        </w:tc>
        <w:tc>
          <w:tcPr>
            <w:tcW w:w="1418" w:type="dxa"/>
            <w:tcBorders>
              <w:top w:val="nil"/>
              <w:left w:val="nil"/>
              <w:bottom w:val="nil"/>
              <w:right w:val="nil"/>
            </w:tcBorders>
            <w:shd w:val="clear" w:color="auto" w:fill="auto"/>
            <w:noWrap/>
            <w:hideMark/>
          </w:tcPr>
          <w:p w:rsidR="00247DCA" w:rsidRPr="00AA75C7" w:rsidRDefault="00247DCA" w:rsidP="006B1956">
            <w:pPr>
              <w:pStyle w:val="Tabletext"/>
              <w:tabs>
                <w:tab w:val="decimal" w:pos="510"/>
              </w:tabs>
            </w:pPr>
            <w:r>
              <w:t>- -</w:t>
            </w:r>
          </w:p>
        </w:tc>
        <w:tc>
          <w:tcPr>
            <w:tcW w:w="1133" w:type="dxa"/>
            <w:tcBorders>
              <w:top w:val="nil"/>
              <w:left w:val="nil"/>
              <w:bottom w:val="nil"/>
              <w:right w:val="nil"/>
            </w:tcBorders>
            <w:shd w:val="clear" w:color="auto" w:fill="auto"/>
            <w:noWrap/>
            <w:hideMark/>
          </w:tcPr>
          <w:p w:rsidR="00247DCA" w:rsidRPr="00AA75C7" w:rsidRDefault="00247DCA" w:rsidP="006B1956">
            <w:pPr>
              <w:pStyle w:val="Tabletext"/>
              <w:tabs>
                <w:tab w:val="decimal" w:pos="425"/>
              </w:tabs>
            </w:pPr>
          </w:p>
        </w:tc>
        <w:tc>
          <w:tcPr>
            <w:tcW w:w="1418" w:type="dxa"/>
            <w:tcBorders>
              <w:top w:val="nil"/>
              <w:left w:val="nil"/>
              <w:bottom w:val="nil"/>
              <w:right w:val="nil"/>
            </w:tcBorders>
            <w:shd w:val="clear" w:color="auto" w:fill="auto"/>
            <w:noWrap/>
            <w:hideMark/>
          </w:tcPr>
          <w:p w:rsidR="00247DCA" w:rsidRPr="0079522F" w:rsidRDefault="00247DCA" w:rsidP="006B1956">
            <w:pPr>
              <w:pStyle w:val="Tabletext"/>
              <w:tabs>
                <w:tab w:val="decimal" w:pos="510"/>
              </w:tabs>
            </w:pPr>
            <w:r>
              <w:t>- -</w:t>
            </w:r>
          </w:p>
        </w:tc>
        <w:tc>
          <w:tcPr>
            <w:tcW w:w="1134" w:type="dxa"/>
            <w:tcBorders>
              <w:top w:val="nil"/>
              <w:left w:val="nil"/>
              <w:bottom w:val="nil"/>
              <w:right w:val="nil"/>
            </w:tcBorders>
            <w:shd w:val="clear" w:color="auto" w:fill="auto"/>
            <w:noWrap/>
            <w:hideMark/>
          </w:tcPr>
          <w:p w:rsidR="00247DCA" w:rsidRPr="0079522F" w:rsidRDefault="00247DCA" w:rsidP="006B1956">
            <w:pPr>
              <w:pStyle w:val="Tabletext"/>
              <w:tabs>
                <w:tab w:val="decimal" w:pos="425"/>
              </w:tabs>
            </w:pPr>
          </w:p>
        </w:tc>
      </w:tr>
      <w:tr w:rsidR="00247DCA" w:rsidRPr="00C96355" w:rsidTr="006B1956">
        <w:tc>
          <w:tcPr>
            <w:tcW w:w="568" w:type="dxa"/>
            <w:tcBorders>
              <w:top w:val="nil"/>
              <w:left w:val="nil"/>
              <w:bottom w:val="nil"/>
              <w:right w:val="nil"/>
            </w:tcBorders>
            <w:shd w:val="clear" w:color="auto" w:fill="auto"/>
            <w:noWrap/>
            <w:hideMark/>
          </w:tcPr>
          <w:p w:rsidR="00247DCA" w:rsidRPr="00C96355" w:rsidRDefault="00247DCA" w:rsidP="00247DCA">
            <w:pPr>
              <w:pStyle w:val="Tabletext"/>
            </w:pPr>
          </w:p>
        </w:tc>
        <w:tc>
          <w:tcPr>
            <w:tcW w:w="3118" w:type="dxa"/>
            <w:tcBorders>
              <w:top w:val="nil"/>
              <w:left w:val="nil"/>
              <w:bottom w:val="nil"/>
              <w:right w:val="nil"/>
            </w:tcBorders>
            <w:shd w:val="clear" w:color="auto" w:fill="auto"/>
            <w:noWrap/>
            <w:hideMark/>
          </w:tcPr>
          <w:p w:rsidR="00247DCA" w:rsidRDefault="00247DCA" w:rsidP="00247DCA">
            <w:pPr>
              <w:pStyle w:val="Tabletext"/>
            </w:pPr>
            <w:r>
              <w:t>Provincial town</w:t>
            </w:r>
          </w:p>
        </w:tc>
        <w:tc>
          <w:tcPr>
            <w:tcW w:w="1418" w:type="dxa"/>
            <w:tcBorders>
              <w:top w:val="nil"/>
              <w:left w:val="nil"/>
              <w:bottom w:val="nil"/>
              <w:right w:val="nil"/>
            </w:tcBorders>
            <w:shd w:val="clear" w:color="auto" w:fill="auto"/>
            <w:noWrap/>
            <w:hideMark/>
          </w:tcPr>
          <w:p w:rsidR="00247DCA" w:rsidRPr="00E11523" w:rsidRDefault="00247DCA" w:rsidP="006B1956">
            <w:pPr>
              <w:pStyle w:val="Tabletext"/>
              <w:tabs>
                <w:tab w:val="decimal" w:pos="510"/>
              </w:tabs>
            </w:pPr>
            <w:r>
              <w:t xml:space="preserve"> 0.</w:t>
            </w:r>
            <w:r w:rsidRPr="00E11523">
              <w:t>11</w:t>
            </w:r>
          </w:p>
        </w:tc>
        <w:tc>
          <w:tcPr>
            <w:tcW w:w="1133" w:type="dxa"/>
            <w:tcBorders>
              <w:top w:val="nil"/>
              <w:left w:val="nil"/>
              <w:bottom w:val="nil"/>
              <w:right w:val="nil"/>
            </w:tcBorders>
            <w:shd w:val="clear" w:color="auto" w:fill="auto"/>
            <w:noWrap/>
            <w:hideMark/>
          </w:tcPr>
          <w:p w:rsidR="00247DCA" w:rsidRPr="00E11523" w:rsidRDefault="00247DCA" w:rsidP="006B1956">
            <w:pPr>
              <w:pStyle w:val="Tabletext"/>
              <w:tabs>
                <w:tab w:val="decimal" w:pos="425"/>
              </w:tabs>
            </w:pPr>
            <w:r w:rsidRPr="00E11523">
              <w:t>0.06</w:t>
            </w:r>
          </w:p>
        </w:tc>
        <w:tc>
          <w:tcPr>
            <w:tcW w:w="1418" w:type="dxa"/>
            <w:tcBorders>
              <w:top w:val="nil"/>
              <w:left w:val="nil"/>
              <w:bottom w:val="nil"/>
              <w:right w:val="nil"/>
            </w:tcBorders>
            <w:shd w:val="clear" w:color="auto" w:fill="auto"/>
            <w:noWrap/>
            <w:hideMark/>
          </w:tcPr>
          <w:p w:rsidR="00247DCA" w:rsidRPr="00B83FDF" w:rsidRDefault="00247DCA" w:rsidP="006B1956">
            <w:pPr>
              <w:pStyle w:val="Tabletext"/>
              <w:tabs>
                <w:tab w:val="decimal" w:pos="510"/>
              </w:tabs>
            </w:pPr>
            <w:r>
              <w:t xml:space="preserve"> 0.</w:t>
            </w:r>
            <w:r w:rsidRPr="00B83FDF">
              <w:t>01</w:t>
            </w:r>
          </w:p>
        </w:tc>
        <w:tc>
          <w:tcPr>
            <w:tcW w:w="1134" w:type="dxa"/>
            <w:tcBorders>
              <w:top w:val="nil"/>
              <w:left w:val="nil"/>
              <w:bottom w:val="nil"/>
              <w:right w:val="nil"/>
            </w:tcBorders>
            <w:shd w:val="clear" w:color="auto" w:fill="auto"/>
            <w:noWrap/>
            <w:hideMark/>
          </w:tcPr>
          <w:p w:rsidR="00247DCA" w:rsidRPr="00B83FDF" w:rsidRDefault="00247DCA" w:rsidP="006B1956">
            <w:pPr>
              <w:pStyle w:val="Tabletext"/>
              <w:tabs>
                <w:tab w:val="decimal" w:pos="425"/>
              </w:tabs>
            </w:pPr>
            <w:r w:rsidRPr="00B83FDF">
              <w:t>0.07</w:t>
            </w:r>
          </w:p>
        </w:tc>
      </w:tr>
      <w:tr w:rsidR="00247DCA" w:rsidRPr="00C96355" w:rsidTr="006B1956">
        <w:tc>
          <w:tcPr>
            <w:tcW w:w="568" w:type="dxa"/>
            <w:tcBorders>
              <w:top w:val="nil"/>
              <w:left w:val="nil"/>
              <w:bottom w:val="nil"/>
              <w:right w:val="nil"/>
            </w:tcBorders>
            <w:shd w:val="clear" w:color="auto" w:fill="auto"/>
            <w:noWrap/>
            <w:hideMark/>
          </w:tcPr>
          <w:p w:rsidR="00247DCA" w:rsidRPr="00C96355" w:rsidRDefault="00247DCA" w:rsidP="00247DCA">
            <w:pPr>
              <w:pStyle w:val="Tabletext"/>
            </w:pPr>
          </w:p>
        </w:tc>
        <w:tc>
          <w:tcPr>
            <w:tcW w:w="3118" w:type="dxa"/>
            <w:tcBorders>
              <w:top w:val="nil"/>
              <w:left w:val="nil"/>
              <w:bottom w:val="nil"/>
              <w:right w:val="nil"/>
            </w:tcBorders>
            <w:shd w:val="clear" w:color="auto" w:fill="auto"/>
            <w:noWrap/>
            <w:hideMark/>
          </w:tcPr>
          <w:p w:rsidR="00247DCA" w:rsidRDefault="00247DCA" w:rsidP="00247DCA">
            <w:pPr>
              <w:pStyle w:val="Tabletext"/>
            </w:pPr>
            <w:r>
              <w:t>Remote location</w:t>
            </w:r>
          </w:p>
        </w:tc>
        <w:tc>
          <w:tcPr>
            <w:tcW w:w="1418" w:type="dxa"/>
            <w:tcBorders>
              <w:top w:val="nil"/>
              <w:left w:val="nil"/>
              <w:bottom w:val="nil"/>
              <w:right w:val="nil"/>
            </w:tcBorders>
            <w:shd w:val="clear" w:color="auto" w:fill="auto"/>
            <w:noWrap/>
            <w:hideMark/>
          </w:tcPr>
          <w:p w:rsidR="00247DCA" w:rsidRPr="00E11523" w:rsidRDefault="00247DCA" w:rsidP="006B1956">
            <w:pPr>
              <w:pStyle w:val="Tabletext"/>
              <w:tabs>
                <w:tab w:val="decimal" w:pos="510"/>
              </w:tabs>
            </w:pPr>
            <w:r>
              <w:t xml:space="preserve"> 0.</w:t>
            </w:r>
            <w:r w:rsidRPr="00E11523">
              <w:t>28</w:t>
            </w:r>
          </w:p>
        </w:tc>
        <w:tc>
          <w:tcPr>
            <w:tcW w:w="1133" w:type="dxa"/>
            <w:tcBorders>
              <w:top w:val="nil"/>
              <w:left w:val="nil"/>
              <w:bottom w:val="nil"/>
              <w:right w:val="nil"/>
            </w:tcBorders>
            <w:shd w:val="clear" w:color="auto" w:fill="auto"/>
            <w:noWrap/>
            <w:hideMark/>
          </w:tcPr>
          <w:p w:rsidR="00247DCA" w:rsidRPr="00E11523" w:rsidRDefault="00247DCA" w:rsidP="006B1956">
            <w:pPr>
              <w:pStyle w:val="Tabletext"/>
              <w:tabs>
                <w:tab w:val="decimal" w:pos="425"/>
              </w:tabs>
            </w:pPr>
            <w:r w:rsidRPr="00E11523">
              <w:t>0.15</w:t>
            </w:r>
          </w:p>
        </w:tc>
        <w:tc>
          <w:tcPr>
            <w:tcW w:w="1418" w:type="dxa"/>
            <w:tcBorders>
              <w:top w:val="nil"/>
              <w:left w:val="nil"/>
              <w:bottom w:val="nil"/>
              <w:right w:val="nil"/>
            </w:tcBorders>
            <w:shd w:val="clear" w:color="auto" w:fill="auto"/>
            <w:noWrap/>
            <w:hideMark/>
          </w:tcPr>
          <w:p w:rsidR="00247DCA" w:rsidRPr="00B83FDF" w:rsidRDefault="00247DCA" w:rsidP="006B1956">
            <w:pPr>
              <w:pStyle w:val="Tabletext"/>
              <w:tabs>
                <w:tab w:val="decimal" w:pos="510"/>
              </w:tabs>
            </w:pPr>
            <w:r w:rsidRPr="00B83FDF">
              <w:t>-0.37</w:t>
            </w:r>
          </w:p>
        </w:tc>
        <w:tc>
          <w:tcPr>
            <w:tcW w:w="1134" w:type="dxa"/>
            <w:tcBorders>
              <w:top w:val="nil"/>
              <w:left w:val="nil"/>
              <w:bottom w:val="nil"/>
              <w:right w:val="nil"/>
            </w:tcBorders>
            <w:shd w:val="clear" w:color="auto" w:fill="auto"/>
            <w:noWrap/>
            <w:hideMark/>
          </w:tcPr>
          <w:p w:rsidR="00247DCA" w:rsidRPr="00B83FDF" w:rsidRDefault="00247DCA" w:rsidP="006B1956">
            <w:pPr>
              <w:pStyle w:val="Tabletext"/>
              <w:tabs>
                <w:tab w:val="decimal" w:pos="425"/>
              </w:tabs>
            </w:pPr>
            <w:r w:rsidRPr="00B83FDF">
              <w:t>0.22</w:t>
            </w:r>
          </w:p>
        </w:tc>
      </w:tr>
      <w:tr w:rsidR="00247DCA" w:rsidRPr="00C96355" w:rsidTr="006B1956">
        <w:tc>
          <w:tcPr>
            <w:tcW w:w="568" w:type="dxa"/>
            <w:tcBorders>
              <w:top w:val="nil"/>
              <w:left w:val="nil"/>
              <w:bottom w:val="nil"/>
              <w:right w:val="nil"/>
            </w:tcBorders>
            <w:shd w:val="clear" w:color="auto" w:fill="auto"/>
            <w:noWrap/>
            <w:hideMark/>
          </w:tcPr>
          <w:p w:rsidR="00247DCA" w:rsidRPr="00C96355" w:rsidRDefault="00247DCA" w:rsidP="00247DCA">
            <w:pPr>
              <w:pStyle w:val="Tabletext"/>
            </w:pPr>
          </w:p>
        </w:tc>
        <w:tc>
          <w:tcPr>
            <w:tcW w:w="3118" w:type="dxa"/>
            <w:tcBorders>
              <w:top w:val="nil"/>
              <w:left w:val="nil"/>
              <w:bottom w:val="nil"/>
              <w:right w:val="nil"/>
            </w:tcBorders>
            <w:shd w:val="clear" w:color="auto" w:fill="auto"/>
            <w:noWrap/>
            <w:hideMark/>
          </w:tcPr>
          <w:p w:rsidR="00247DCA" w:rsidRDefault="00247DCA" w:rsidP="00247DCA">
            <w:pPr>
              <w:pStyle w:val="Tabletext"/>
            </w:pPr>
            <w:r>
              <w:t>Indigenous</w:t>
            </w:r>
          </w:p>
        </w:tc>
        <w:tc>
          <w:tcPr>
            <w:tcW w:w="1418" w:type="dxa"/>
            <w:tcBorders>
              <w:top w:val="nil"/>
              <w:left w:val="nil"/>
              <w:bottom w:val="nil"/>
              <w:right w:val="nil"/>
            </w:tcBorders>
            <w:shd w:val="clear" w:color="auto" w:fill="auto"/>
            <w:noWrap/>
            <w:hideMark/>
          </w:tcPr>
          <w:p w:rsidR="00247DCA" w:rsidRPr="00E11523" w:rsidRDefault="00247DCA" w:rsidP="006B1956">
            <w:pPr>
              <w:pStyle w:val="Tabletext"/>
              <w:tabs>
                <w:tab w:val="decimal" w:pos="510"/>
              </w:tabs>
            </w:pPr>
            <w:r>
              <w:t xml:space="preserve"> 0.</w:t>
            </w:r>
            <w:r w:rsidRPr="00E11523">
              <w:t>09</w:t>
            </w:r>
          </w:p>
        </w:tc>
        <w:tc>
          <w:tcPr>
            <w:tcW w:w="1133" w:type="dxa"/>
            <w:tcBorders>
              <w:top w:val="nil"/>
              <w:left w:val="nil"/>
              <w:bottom w:val="nil"/>
              <w:right w:val="nil"/>
            </w:tcBorders>
            <w:shd w:val="clear" w:color="auto" w:fill="auto"/>
            <w:noWrap/>
            <w:hideMark/>
          </w:tcPr>
          <w:p w:rsidR="00247DCA" w:rsidRPr="00E11523" w:rsidRDefault="00247DCA" w:rsidP="006B1956">
            <w:pPr>
              <w:pStyle w:val="Tabletext"/>
              <w:tabs>
                <w:tab w:val="decimal" w:pos="425"/>
              </w:tabs>
            </w:pPr>
            <w:r w:rsidRPr="00E11523">
              <w:t>0.11</w:t>
            </w:r>
          </w:p>
        </w:tc>
        <w:tc>
          <w:tcPr>
            <w:tcW w:w="1418" w:type="dxa"/>
            <w:tcBorders>
              <w:top w:val="nil"/>
              <w:left w:val="nil"/>
              <w:bottom w:val="nil"/>
              <w:right w:val="nil"/>
            </w:tcBorders>
            <w:shd w:val="clear" w:color="auto" w:fill="auto"/>
            <w:noWrap/>
            <w:hideMark/>
          </w:tcPr>
          <w:p w:rsidR="00247DCA" w:rsidRPr="00B83FDF" w:rsidRDefault="00247DCA" w:rsidP="006B1956">
            <w:pPr>
              <w:pStyle w:val="Tabletext"/>
              <w:tabs>
                <w:tab w:val="decimal" w:pos="510"/>
              </w:tabs>
            </w:pPr>
            <w:r w:rsidRPr="00B83FDF">
              <w:t>-0.08</w:t>
            </w:r>
          </w:p>
        </w:tc>
        <w:tc>
          <w:tcPr>
            <w:tcW w:w="1134" w:type="dxa"/>
            <w:tcBorders>
              <w:top w:val="nil"/>
              <w:left w:val="nil"/>
              <w:bottom w:val="nil"/>
              <w:right w:val="nil"/>
            </w:tcBorders>
            <w:shd w:val="clear" w:color="auto" w:fill="auto"/>
            <w:noWrap/>
            <w:hideMark/>
          </w:tcPr>
          <w:p w:rsidR="00247DCA" w:rsidRPr="00B83FDF" w:rsidRDefault="00247DCA" w:rsidP="006B1956">
            <w:pPr>
              <w:pStyle w:val="Tabletext"/>
              <w:tabs>
                <w:tab w:val="decimal" w:pos="425"/>
              </w:tabs>
            </w:pPr>
            <w:r w:rsidRPr="00B83FDF">
              <w:t>0.14</w:t>
            </w:r>
          </w:p>
        </w:tc>
      </w:tr>
      <w:tr w:rsidR="00247DCA" w:rsidRPr="00C96355" w:rsidTr="006B1956">
        <w:tc>
          <w:tcPr>
            <w:tcW w:w="568" w:type="dxa"/>
            <w:tcBorders>
              <w:top w:val="nil"/>
              <w:left w:val="nil"/>
              <w:bottom w:val="nil"/>
              <w:right w:val="nil"/>
            </w:tcBorders>
            <w:shd w:val="clear" w:color="auto" w:fill="auto"/>
            <w:noWrap/>
            <w:hideMark/>
          </w:tcPr>
          <w:p w:rsidR="00247DCA" w:rsidRPr="00C96355" w:rsidRDefault="00247DCA" w:rsidP="00247DCA">
            <w:pPr>
              <w:pStyle w:val="Tabletext"/>
            </w:pPr>
          </w:p>
        </w:tc>
        <w:tc>
          <w:tcPr>
            <w:tcW w:w="3118" w:type="dxa"/>
            <w:tcBorders>
              <w:top w:val="nil"/>
              <w:left w:val="nil"/>
              <w:bottom w:val="nil"/>
              <w:right w:val="nil"/>
            </w:tcBorders>
            <w:shd w:val="clear" w:color="auto" w:fill="auto"/>
            <w:noWrap/>
            <w:hideMark/>
          </w:tcPr>
          <w:p w:rsidR="00247DCA" w:rsidRDefault="00247DCA" w:rsidP="00247DCA">
            <w:pPr>
              <w:pStyle w:val="Tabletext"/>
            </w:pPr>
            <w:r>
              <w:t>Economic and cultural status of family</w:t>
            </w:r>
          </w:p>
        </w:tc>
        <w:tc>
          <w:tcPr>
            <w:tcW w:w="1418" w:type="dxa"/>
            <w:tcBorders>
              <w:top w:val="nil"/>
              <w:left w:val="nil"/>
              <w:bottom w:val="nil"/>
              <w:right w:val="nil"/>
            </w:tcBorders>
            <w:shd w:val="clear" w:color="auto" w:fill="auto"/>
            <w:noWrap/>
            <w:hideMark/>
          </w:tcPr>
          <w:p w:rsidR="00247DCA" w:rsidRPr="00E11523" w:rsidRDefault="00247DCA" w:rsidP="006B1956">
            <w:pPr>
              <w:pStyle w:val="Tabletext"/>
              <w:tabs>
                <w:tab w:val="decimal" w:pos="510"/>
              </w:tabs>
            </w:pPr>
            <w:r>
              <w:t xml:space="preserve"> 0.</w:t>
            </w:r>
            <w:r w:rsidRPr="00E11523">
              <w:t>13</w:t>
            </w:r>
            <w:r>
              <w:t>**</w:t>
            </w:r>
          </w:p>
        </w:tc>
        <w:tc>
          <w:tcPr>
            <w:tcW w:w="1133" w:type="dxa"/>
            <w:tcBorders>
              <w:top w:val="nil"/>
              <w:left w:val="nil"/>
              <w:bottom w:val="nil"/>
              <w:right w:val="nil"/>
            </w:tcBorders>
            <w:shd w:val="clear" w:color="auto" w:fill="auto"/>
            <w:noWrap/>
            <w:hideMark/>
          </w:tcPr>
          <w:p w:rsidR="00247DCA" w:rsidRPr="00E11523" w:rsidRDefault="00247DCA" w:rsidP="006B1956">
            <w:pPr>
              <w:pStyle w:val="Tabletext"/>
              <w:tabs>
                <w:tab w:val="decimal" w:pos="425"/>
              </w:tabs>
            </w:pPr>
            <w:r w:rsidRPr="00E11523">
              <w:t>0.04</w:t>
            </w:r>
          </w:p>
        </w:tc>
        <w:tc>
          <w:tcPr>
            <w:tcW w:w="1418" w:type="dxa"/>
            <w:tcBorders>
              <w:top w:val="nil"/>
              <w:left w:val="nil"/>
              <w:bottom w:val="nil"/>
              <w:right w:val="nil"/>
            </w:tcBorders>
            <w:shd w:val="clear" w:color="auto" w:fill="auto"/>
            <w:noWrap/>
            <w:hideMark/>
          </w:tcPr>
          <w:p w:rsidR="00247DCA" w:rsidRPr="00B83FDF" w:rsidRDefault="00247DCA" w:rsidP="006B1956">
            <w:pPr>
              <w:pStyle w:val="Tabletext"/>
              <w:tabs>
                <w:tab w:val="decimal" w:pos="510"/>
              </w:tabs>
            </w:pPr>
            <w:r>
              <w:t xml:space="preserve"> 0.</w:t>
            </w:r>
            <w:r w:rsidRPr="00B83FDF">
              <w:t>04</w:t>
            </w:r>
          </w:p>
        </w:tc>
        <w:tc>
          <w:tcPr>
            <w:tcW w:w="1134" w:type="dxa"/>
            <w:tcBorders>
              <w:top w:val="nil"/>
              <w:left w:val="nil"/>
              <w:bottom w:val="nil"/>
              <w:right w:val="nil"/>
            </w:tcBorders>
            <w:shd w:val="clear" w:color="auto" w:fill="auto"/>
            <w:noWrap/>
            <w:hideMark/>
          </w:tcPr>
          <w:p w:rsidR="00247DCA" w:rsidRPr="00B83FDF" w:rsidRDefault="00247DCA" w:rsidP="006B1956">
            <w:pPr>
              <w:pStyle w:val="Tabletext"/>
              <w:tabs>
                <w:tab w:val="decimal" w:pos="425"/>
              </w:tabs>
            </w:pPr>
            <w:r w:rsidRPr="00B83FDF">
              <w:t>0.04</w:t>
            </w:r>
          </w:p>
        </w:tc>
      </w:tr>
      <w:tr w:rsidR="00247DCA" w:rsidRPr="00C96355" w:rsidTr="006B1956">
        <w:tc>
          <w:tcPr>
            <w:tcW w:w="568" w:type="dxa"/>
            <w:tcBorders>
              <w:top w:val="nil"/>
              <w:left w:val="nil"/>
              <w:bottom w:val="nil"/>
              <w:right w:val="nil"/>
            </w:tcBorders>
            <w:shd w:val="clear" w:color="auto" w:fill="auto"/>
            <w:noWrap/>
            <w:hideMark/>
          </w:tcPr>
          <w:p w:rsidR="00247DCA" w:rsidRPr="00C96355" w:rsidRDefault="00247DCA" w:rsidP="00247DCA">
            <w:pPr>
              <w:pStyle w:val="Tabletext"/>
            </w:pPr>
          </w:p>
        </w:tc>
        <w:tc>
          <w:tcPr>
            <w:tcW w:w="3118" w:type="dxa"/>
            <w:tcBorders>
              <w:top w:val="nil"/>
              <w:left w:val="nil"/>
              <w:bottom w:val="nil"/>
              <w:right w:val="nil"/>
            </w:tcBorders>
            <w:shd w:val="clear" w:color="auto" w:fill="auto"/>
            <w:noWrap/>
            <w:hideMark/>
          </w:tcPr>
          <w:p w:rsidR="00247DCA" w:rsidRDefault="00247DCA" w:rsidP="00247DCA">
            <w:pPr>
              <w:pStyle w:val="Tabletext"/>
            </w:pPr>
            <w:r>
              <w:t>Academic performance in science</w:t>
            </w:r>
          </w:p>
        </w:tc>
        <w:tc>
          <w:tcPr>
            <w:tcW w:w="1418" w:type="dxa"/>
            <w:tcBorders>
              <w:top w:val="nil"/>
              <w:left w:val="nil"/>
              <w:bottom w:val="nil"/>
              <w:right w:val="nil"/>
            </w:tcBorders>
            <w:shd w:val="clear" w:color="auto" w:fill="auto"/>
            <w:noWrap/>
            <w:hideMark/>
          </w:tcPr>
          <w:p w:rsidR="00247DCA" w:rsidRPr="00E11523" w:rsidRDefault="00247DCA" w:rsidP="006B1956">
            <w:pPr>
              <w:pStyle w:val="Tabletext"/>
              <w:tabs>
                <w:tab w:val="decimal" w:pos="510"/>
              </w:tabs>
            </w:pPr>
            <w:r>
              <w:t xml:space="preserve"> 0.</w:t>
            </w:r>
            <w:r w:rsidRPr="00E11523">
              <w:t>25</w:t>
            </w:r>
            <w:r>
              <w:t>**</w:t>
            </w:r>
          </w:p>
        </w:tc>
        <w:tc>
          <w:tcPr>
            <w:tcW w:w="1133" w:type="dxa"/>
            <w:tcBorders>
              <w:top w:val="nil"/>
              <w:left w:val="nil"/>
              <w:bottom w:val="nil"/>
              <w:right w:val="nil"/>
            </w:tcBorders>
            <w:shd w:val="clear" w:color="auto" w:fill="auto"/>
            <w:noWrap/>
            <w:hideMark/>
          </w:tcPr>
          <w:p w:rsidR="00247DCA" w:rsidRPr="00E11523" w:rsidRDefault="00247DCA" w:rsidP="006B1956">
            <w:pPr>
              <w:pStyle w:val="Tabletext"/>
              <w:tabs>
                <w:tab w:val="decimal" w:pos="425"/>
              </w:tabs>
            </w:pPr>
            <w:r w:rsidRPr="00E11523">
              <w:t>0.03</w:t>
            </w:r>
          </w:p>
        </w:tc>
        <w:tc>
          <w:tcPr>
            <w:tcW w:w="1418" w:type="dxa"/>
            <w:tcBorders>
              <w:top w:val="nil"/>
              <w:left w:val="nil"/>
              <w:bottom w:val="nil"/>
              <w:right w:val="nil"/>
            </w:tcBorders>
            <w:shd w:val="clear" w:color="auto" w:fill="auto"/>
            <w:noWrap/>
            <w:hideMark/>
          </w:tcPr>
          <w:p w:rsidR="00247DCA" w:rsidRPr="00B83FDF" w:rsidRDefault="00247DCA" w:rsidP="006B1956">
            <w:pPr>
              <w:pStyle w:val="Tabletext"/>
              <w:tabs>
                <w:tab w:val="decimal" w:pos="510"/>
              </w:tabs>
            </w:pPr>
            <w:r>
              <w:t xml:space="preserve"> 0.</w:t>
            </w:r>
            <w:r w:rsidRPr="00B83FDF">
              <w:t>41</w:t>
            </w:r>
            <w:r>
              <w:t>**</w:t>
            </w:r>
          </w:p>
        </w:tc>
        <w:tc>
          <w:tcPr>
            <w:tcW w:w="1134" w:type="dxa"/>
            <w:tcBorders>
              <w:top w:val="nil"/>
              <w:left w:val="nil"/>
              <w:bottom w:val="nil"/>
              <w:right w:val="nil"/>
            </w:tcBorders>
            <w:shd w:val="clear" w:color="auto" w:fill="auto"/>
            <w:noWrap/>
            <w:hideMark/>
          </w:tcPr>
          <w:p w:rsidR="00247DCA" w:rsidRPr="00B83FDF" w:rsidRDefault="00247DCA" w:rsidP="006B1956">
            <w:pPr>
              <w:pStyle w:val="Tabletext"/>
              <w:tabs>
                <w:tab w:val="decimal" w:pos="425"/>
              </w:tabs>
            </w:pPr>
            <w:r w:rsidRPr="00B83FDF">
              <w:t>0.03</w:t>
            </w:r>
          </w:p>
        </w:tc>
      </w:tr>
      <w:tr w:rsidR="00247DCA" w:rsidRPr="00C96355" w:rsidTr="006B1956">
        <w:tc>
          <w:tcPr>
            <w:tcW w:w="568" w:type="dxa"/>
            <w:tcBorders>
              <w:top w:val="nil"/>
              <w:left w:val="nil"/>
              <w:bottom w:val="nil"/>
              <w:right w:val="nil"/>
            </w:tcBorders>
            <w:shd w:val="clear" w:color="auto" w:fill="auto"/>
            <w:noWrap/>
            <w:hideMark/>
          </w:tcPr>
          <w:p w:rsidR="00247DCA" w:rsidRPr="00C96355" w:rsidRDefault="00247DCA" w:rsidP="00247DCA">
            <w:pPr>
              <w:pStyle w:val="Tabletext"/>
            </w:pPr>
          </w:p>
        </w:tc>
        <w:tc>
          <w:tcPr>
            <w:tcW w:w="3118" w:type="dxa"/>
            <w:tcBorders>
              <w:top w:val="nil"/>
              <w:left w:val="nil"/>
              <w:bottom w:val="nil"/>
              <w:right w:val="nil"/>
            </w:tcBorders>
            <w:shd w:val="clear" w:color="auto" w:fill="auto"/>
            <w:noWrap/>
            <w:hideMark/>
          </w:tcPr>
          <w:p w:rsidR="00247DCA" w:rsidRDefault="00247DCA" w:rsidP="00247DCA">
            <w:pPr>
              <w:pStyle w:val="Tabletext"/>
            </w:pPr>
            <w:r>
              <w:t>Minutes per week study science</w:t>
            </w:r>
          </w:p>
        </w:tc>
        <w:tc>
          <w:tcPr>
            <w:tcW w:w="1418" w:type="dxa"/>
            <w:tcBorders>
              <w:top w:val="nil"/>
              <w:left w:val="nil"/>
              <w:bottom w:val="nil"/>
              <w:right w:val="nil"/>
            </w:tcBorders>
            <w:shd w:val="clear" w:color="auto" w:fill="auto"/>
            <w:noWrap/>
            <w:hideMark/>
          </w:tcPr>
          <w:p w:rsidR="00247DCA" w:rsidRPr="00E11523" w:rsidRDefault="00247DCA" w:rsidP="006B1956">
            <w:pPr>
              <w:pStyle w:val="Tabletext"/>
              <w:tabs>
                <w:tab w:val="decimal" w:pos="510"/>
              </w:tabs>
            </w:pPr>
            <w:r>
              <w:t xml:space="preserve"> 0.</w:t>
            </w:r>
            <w:r w:rsidRPr="00E11523">
              <w:t>15</w:t>
            </w:r>
            <w:r>
              <w:t>**</w:t>
            </w:r>
          </w:p>
        </w:tc>
        <w:tc>
          <w:tcPr>
            <w:tcW w:w="1133" w:type="dxa"/>
            <w:tcBorders>
              <w:top w:val="nil"/>
              <w:left w:val="nil"/>
              <w:bottom w:val="nil"/>
              <w:right w:val="nil"/>
            </w:tcBorders>
            <w:shd w:val="clear" w:color="auto" w:fill="auto"/>
            <w:noWrap/>
            <w:hideMark/>
          </w:tcPr>
          <w:p w:rsidR="00247DCA" w:rsidRPr="00E11523" w:rsidRDefault="00247DCA" w:rsidP="006B1956">
            <w:pPr>
              <w:pStyle w:val="Tabletext"/>
              <w:tabs>
                <w:tab w:val="decimal" w:pos="425"/>
              </w:tabs>
            </w:pPr>
            <w:r w:rsidRPr="00E11523">
              <w:t>0.02</w:t>
            </w:r>
          </w:p>
        </w:tc>
        <w:tc>
          <w:tcPr>
            <w:tcW w:w="1418" w:type="dxa"/>
            <w:tcBorders>
              <w:top w:val="nil"/>
              <w:left w:val="nil"/>
              <w:bottom w:val="nil"/>
              <w:right w:val="nil"/>
            </w:tcBorders>
            <w:shd w:val="clear" w:color="auto" w:fill="auto"/>
            <w:noWrap/>
            <w:hideMark/>
          </w:tcPr>
          <w:p w:rsidR="00247DCA" w:rsidRPr="00B83FDF" w:rsidRDefault="00247DCA" w:rsidP="006B1956">
            <w:pPr>
              <w:pStyle w:val="Tabletext"/>
              <w:tabs>
                <w:tab w:val="decimal" w:pos="510"/>
              </w:tabs>
            </w:pPr>
            <w:r>
              <w:t xml:space="preserve"> 0.</w:t>
            </w:r>
            <w:r w:rsidRPr="00B83FDF">
              <w:t>05</w:t>
            </w:r>
            <w:r>
              <w:t>*</w:t>
            </w:r>
          </w:p>
        </w:tc>
        <w:tc>
          <w:tcPr>
            <w:tcW w:w="1134" w:type="dxa"/>
            <w:tcBorders>
              <w:top w:val="nil"/>
              <w:left w:val="nil"/>
              <w:bottom w:val="nil"/>
              <w:right w:val="nil"/>
            </w:tcBorders>
            <w:shd w:val="clear" w:color="auto" w:fill="auto"/>
            <w:noWrap/>
            <w:hideMark/>
          </w:tcPr>
          <w:p w:rsidR="00247DCA" w:rsidRPr="00B83FDF" w:rsidRDefault="00247DCA" w:rsidP="006B1956">
            <w:pPr>
              <w:pStyle w:val="Tabletext"/>
              <w:tabs>
                <w:tab w:val="decimal" w:pos="425"/>
              </w:tabs>
            </w:pPr>
            <w:r w:rsidRPr="00B83FDF">
              <w:t>0.02</w:t>
            </w:r>
          </w:p>
        </w:tc>
      </w:tr>
      <w:tr w:rsidR="00247DCA" w:rsidRPr="00C96355" w:rsidTr="006B1956">
        <w:tc>
          <w:tcPr>
            <w:tcW w:w="568" w:type="dxa"/>
            <w:tcBorders>
              <w:top w:val="nil"/>
              <w:left w:val="nil"/>
              <w:bottom w:val="nil"/>
              <w:right w:val="nil"/>
            </w:tcBorders>
            <w:shd w:val="clear" w:color="auto" w:fill="auto"/>
            <w:noWrap/>
            <w:hideMark/>
          </w:tcPr>
          <w:p w:rsidR="00247DCA" w:rsidRPr="00C96355" w:rsidRDefault="00247DCA" w:rsidP="00247DCA">
            <w:pPr>
              <w:pStyle w:val="Tabletext"/>
            </w:pPr>
          </w:p>
        </w:tc>
        <w:tc>
          <w:tcPr>
            <w:tcW w:w="3118" w:type="dxa"/>
            <w:tcBorders>
              <w:top w:val="nil"/>
              <w:left w:val="nil"/>
              <w:bottom w:val="nil"/>
              <w:right w:val="nil"/>
            </w:tcBorders>
            <w:shd w:val="clear" w:color="auto" w:fill="auto"/>
            <w:noWrap/>
            <w:hideMark/>
          </w:tcPr>
          <w:p w:rsidR="00247DCA" w:rsidRDefault="00247DCA" w:rsidP="00247DCA">
            <w:pPr>
              <w:pStyle w:val="Tabletext"/>
            </w:pPr>
            <w:r>
              <w:t>Self-confidence in science skills</w:t>
            </w:r>
          </w:p>
        </w:tc>
        <w:tc>
          <w:tcPr>
            <w:tcW w:w="1418" w:type="dxa"/>
            <w:tcBorders>
              <w:top w:val="nil"/>
              <w:left w:val="nil"/>
              <w:bottom w:val="nil"/>
              <w:right w:val="nil"/>
            </w:tcBorders>
            <w:shd w:val="clear" w:color="auto" w:fill="auto"/>
            <w:noWrap/>
            <w:hideMark/>
          </w:tcPr>
          <w:p w:rsidR="00247DCA" w:rsidRPr="00E11523" w:rsidRDefault="00247DCA" w:rsidP="006B1956">
            <w:pPr>
              <w:pStyle w:val="Tabletext"/>
              <w:tabs>
                <w:tab w:val="decimal" w:pos="510"/>
              </w:tabs>
            </w:pPr>
            <w:r>
              <w:t xml:space="preserve"> 0.</w:t>
            </w:r>
            <w:r w:rsidRPr="00E11523">
              <w:t>01</w:t>
            </w:r>
            <w:r>
              <w:t>**</w:t>
            </w:r>
          </w:p>
        </w:tc>
        <w:tc>
          <w:tcPr>
            <w:tcW w:w="1133" w:type="dxa"/>
            <w:tcBorders>
              <w:top w:val="nil"/>
              <w:left w:val="nil"/>
              <w:bottom w:val="nil"/>
              <w:right w:val="nil"/>
            </w:tcBorders>
            <w:shd w:val="clear" w:color="auto" w:fill="auto"/>
            <w:noWrap/>
            <w:hideMark/>
          </w:tcPr>
          <w:p w:rsidR="00247DCA" w:rsidRDefault="00247DCA" w:rsidP="006B1956">
            <w:pPr>
              <w:pStyle w:val="Tabletext"/>
              <w:tabs>
                <w:tab w:val="decimal" w:pos="425"/>
              </w:tabs>
            </w:pPr>
            <w:r w:rsidRPr="00E11523">
              <w:t>0.00</w:t>
            </w:r>
          </w:p>
        </w:tc>
        <w:tc>
          <w:tcPr>
            <w:tcW w:w="1418" w:type="dxa"/>
            <w:tcBorders>
              <w:top w:val="nil"/>
              <w:left w:val="nil"/>
              <w:bottom w:val="nil"/>
              <w:right w:val="nil"/>
            </w:tcBorders>
            <w:shd w:val="clear" w:color="auto" w:fill="auto"/>
            <w:noWrap/>
            <w:hideMark/>
          </w:tcPr>
          <w:p w:rsidR="00247DCA" w:rsidRPr="00B83FDF" w:rsidRDefault="00247DCA" w:rsidP="006B1956">
            <w:pPr>
              <w:pStyle w:val="Tabletext"/>
              <w:tabs>
                <w:tab w:val="decimal" w:pos="510"/>
              </w:tabs>
            </w:pPr>
            <w:r>
              <w:t xml:space="preserve"> 0.</w:t>
            </w:r>
            <w:r w:rsidRPr="00B83FDF">
              <w:t>01</w:t>
            </w:r>
            <w:r>
              <w:t>**</w:t>
            </w:r>
          </w:p>
        </w:tc>
        <w:tc>
          <w:tcPr>
            <w:tcW w:w="1134" w:type="dxa"/>
            <w:tcBorders>
              <w:top w:val="nil"/>
              <w:left w:val="nil"/>
              <w:bottom w:val="nil"/>
              <w:right w:val="nil"/>
            </w:tcBorders>
            <w:shd w:val="clear" w:color="auto" w:fill="auto"/>
            <w:noWrap/>
            <w:hideMark/>
          </w:tcPr>
          <w:p w:rsidR="00247DCA" w:rsidRDefault="00247DCA" w:rsidP="006B1956">
            <w:pPr>
              <w:pStyle w:val="Tabletext"/>
              <w:tabs>
                <w:tab w:val="decimal" w:pos="425"/>
              </w:tabs>
            </w:pPr>
            <w:r w:rsidRPr="00B83FDF">
              <w:t>0.00</w:t>
            </w:r>
          </w:p>
        </w:tc>
      </w:tr>
      <w:tr w:rsidR="00247DCA" w:rsidRPr="00C96355" w:rsidTr="006B1956">
        <w:tc>
          <w:tcPr>
            <w:tcW w:w="3686" w:type="dxa"/>
            <w:gridSpan w:val="2"/>
            <w:tcBorders>
              <w:top w:val="nil"/>
              <w:left w:val="nil"/>
              <w:bottom w:val="nil"/>
              <w:right w:val="nil"/>
            </w:tcBorders>
            <w:shd w:val="clear" w:color="auto" w:fill="auto"/>
            <w:noWrap/>
            <w:hideMark/>
          </w:tcPr>
          <w:p w:rsidR="00247DCA" w:rsidRPr="006B1956" w:rsidRDefault="00247DCA" w:rsidP="00247DCA">
            <w:pPr>
              <w:pStyle w:val="Tabletext"/>
              <w:rPr>
                <w:i/>
              </w:rPr>
            </w:pPr>
            <w:r w:rsidRPr="006B1956">
              <w:rPr>
                <w:i/>
              </w:rPr>
              <w:t>School characteristics</w:t>
            </w:r>
          </w:p>
        </w:tc>
        <w:tc>
          <w:tcPr>
            <w:tcW w:w="1418" w:type="dxa"/>
            <w:tcBorders>
              <w:top w:val="nil"/>
              <w:left w:val="nil"/>
              <w:bottom w:val="nil"/>
              <w:right w:val="nil"/>
            </w:tcBorders>
            <w:shd w:val="clear" w:color="auto" w:fill="auto"/>
            <w:noWrap/>
            <w:hideMark/>
          </w:tcPr>
          <w:p w:rsidR="00247DCA" w:rsidRPr="00C96355" w:rsidRDefault="00247DCA" w:rsidP="006B1956">
            <w:pPr>
              <w:pStyle w:val="Tabletext"/>
              <w:tabs>
                <w:tab w:val="decimal" w:pos="510"/>
              </w:tabs>
            </w:pPr>
          </w:p>
        </w:tc>
        <w:tc>
          <w:tcPr>
            <w:tcW w:w="1133" w:type="dxa"/>
            <w:tcBorders>
              <w:top w:val="nil"/>
              <w:left w:val="nil"/>
              <w:bottom w:val="nil"/>
              <w:right w:val="nil"/>
            </w:tcBorders>
            <w:shd w:val="clear" w:color="auto" w:fill="auto"/>
            <w:noWrap/>
            <w:hideMark/>
          </w:tcPr>
          <w:p w:rsidR="00247DCA" w:rsidRPr="00C96355" w:rsidRDefault="00247DCA" w:rsidP="006B1956">
            <w:pPr>
              <w:pStyle w:val="Tabletext"/>
              <w:tabs>
                <w:tab w:val="decimal" w:pos="425"/>
              </w:tabs>
            </w:pPr>
          </w:p>
        </w:tc>
        <w:tc>
          <w:tcPr>
            <w:tcW w:w="1418" w:type="dxa"/>
            <w:tcBorders>
              <w:top w:val="nil"/>
              <w:left w:val="nil"/>
              <w:bottom w:val="nil"/>
              <w:right w:val="nil"/>
            </w:tcBorders>
            <w:shd w:val="clear" w:color="auto" w:fill="auto"/>
            <w:noWrap/>
            <w:hideMark/>
          </w:tcPr>
          <w:p w:rsidR="00247DCA" w:rsidRPr="00C96355" w:rsidRDefault="00247DCA" w:rsidP="006B1956">
            <w:pPr>
              <w:pStyle w:val="Tabletext"/>
              <w:tabs>
                <w:tab w:val="decimal" w:pos="510"/>
              </w:tabs>
            </w:pPr>
          </w:p>
        </w:tc>
        <w:tc>
          <w:tcPr>
            <w:tcW w:w="1134" w:type="dxa"/>
            <w:tcBorders>
              <w:top w:val="nil"/>
              <w:left w:val="nil"/>
              <w:bottom w:val="nil"/>
              <w:right w:val="nil"/>
            </w:tcBorders>
            <w:shd w:val="clear" w:color="auto" w:fill="auto"/>
            <w:noWrap/>
            <w:hideMark/>
          </w:tcPr>
          <w:p w:rsidR="00247DCA" w:rsidRPr="00C96355" w:rsidRDefault="00247DCA" w:rsidP="006B1956">
            <w:pPr>
              <w:pStyle w:val="Tabletext"/>
              <w:tabs>
                <w:tab w:val="decimal" w:pos="425"/>
              </w:tabs>
            </w:pPr>
          </w:p>
        </w:tc>
      </w:tr>
      <w:tr w:rsidR="00247DCA" w:rsidRPr="00C96355" w:rsidTr="006B1956">
        <w:tc>
          <w:tcPr>
            <w:tcW w:w="568" w:type="dxa"/>
            <w:tcBorders>
              <w:top w:val="nil"/>
              <w:left w:val="nil"/>
              <w:bottom w:val="nil"/>
              <w:right w:val="nil"/>
            </w:tcBorders>
            <w:shd w:val="clear" w:color="auto" w:fill="auto"/>
            <w:noWrap/>
            <w:hideMark/>
          </w:tcPr>
          <w:p w:rsidR="00247DCA" w:rsidRPr="00C96355" w:rsidRDefault="00247DCA" w:rsidP="00247DCA">
            <w:pPr>
              <w:pStyle w:val="Tabletext"/>
              <w:rPr>
                <w:rFonts w:ascii="Arial Narrow" w:hAnsi="Arial Narrow"/>
                <w:sz w:val="18"/>
                <w:szCs w:val="18"/>
              </w:rPr>
            </w:pPr>
          </w:p>
        </w:tc>
        <w:tc>
          <w:tcPr>
            <w:tcW w:w="3118" w:type="dxa"/>
            <w:tcBorders>
              <w:top w:val="nil"/>
              <w:left w:val="nil"/>
              <w:bottom w:val="nil"/>
              <w:right w:val="nil"/>
            </w:tcBorders>
            <w:shd w:val="clear" w:color="auto" w:fill="auto"/>
            <w:noWrap/>
            <w:hideMark/>
          </w:tcPr>
          <w:p w:rsidR="00247DCA" w:rsidRDefault="00247DCA" w:rsidP="00247DCA">
            <w:pPr>
              <w:pStyle w:val="Tabletext"/>
            </w:pPr>
            <w:r>
              <w:t>Coeducational school</w:t>
            </w:r>
          </w:p>
        </w:tc>
        <w:tc>
          <w:tcPr>
            <w:tcW w:w="1418" w:type="dxa"/>
            <w:tcBorders>
              <w:top w:val="nil"/>
              <w:left w:val="nil"/>
              <w:bottom w:val="nil"/>
              <w:right w:val="nil"/>
            </w:tcBorders>
            <w:shd w:val="clear" w:color="auto" w:fill="auto"/>
            <w:noWrap/>
            <w:hideMark/>
          </w:tcPr>
          <w:p w:rsidR="00247DCA" w:rsidRDefault="00247DCA" w:rsidP="006B1956">
            <w:pPr>
              <w:pStyle w:val="Tabletext"/>
              <w:tabs>
                <w:tab w:val="decimal" w:pos="510"/>
              </w:tabs>
            </w:pPr>
            <w:r>
              <w:t xml:space="preserve">- - </w:t>
            </w:r>
          </w:p>
        </w:tc>
        <w:tc>
          <w:tcPr>
            <w:tcW w:w="1133" w:type="dxa"/>
            <w:tcBorders>
              <w:top w:val="nil"/>
              <w:left w:val="nil"/>
              <w:bottom w:val="nil"/>
              <w:right w:val="nil"/>
            </w:tcBorders>
            <w:shd w:val="clear" w:color="auto" w:fill="auto"/>
            <w:noWrap/>
            <w:hideMark/>
          </w:tcPr>
          <w:p w:rsidR="00247DCA" w:rsidRPr="00687C5B" w:rsidRDefault="00247DCA" w:rsidP="006B1956">
            <w:pPr>
              <w:pStyle w:val="Tabletext"/>
              <w:tabs>
                <w:tab w:val="decimal" w:pos="425"/>
              </w:tabs>
            </w:pPr>
          </w:p>
        </w:tc>
        <w:tc>
          <w:tcPr>
            <w:tcW w:w="1418" w:type="dxa"/>
            <w:tcBorders>
              <w:top w:val="nil"/>
              <w:left w:val="nil"/>
              <w:bottom w:val="nil"/>
              <w:right w:val="nil"/>
            </w:tcBorders>
            <w:shd w:val="clear" w:color="auto" w:fill="auto"/>
            <w:noWrap/>
            <w:hideMark/>
          </w:tcPr>
          <w:p w:rsidR="00247DCA" w:rsidRPr="00897D0B" w:rsidRDefault="00247DCA" w:rsidP="006B1956">
            <w:pPr>
              <w:pStyle w:val="Tabletext"/>
              <w:tabs>
                <w:tab w:val="decimal" w:pos="510"/>
              </w:tabs>
            </w:pPr>
            <w:r>
              <w:t>- -</w:t>
            </w:r>
          </w:p>
        </w:tc>
        <w:tc>
          <w:tcPr>
            <w:tcW w:w="1134" w:type="dxa"/>
            <w:tcBorders>
              <w:top w:val="nil"/>
              <w:left w:val="nil"/>
              <w:bottom w:val="nil"/>
              <w:right w:val="nil"/>
            </w:tcBorders>
            <w:shd w:val="clear" w:color="auto" w:fill="auto"/>
            <w:noWrap/>
            <w:hideMark/>
          </w:tcPr>
          <w:p w:rsidR="00247DCA" w:rsidRPr="00897D0B" w:rsidRDefault="00247DCA" w:rsidP="006B1956">
            <w:pPr>
              <w:pStyle w:val="Tabletext"/>
              <w:tabs>
                <w:tab w:val="decimal" w:pos="425"/>
              </w:tabs>
            </w:pPr>
          </w:p>
        </w:tc>
      </w:tr>
      <w:tr w:rsidR="00247DCA" w:rsidRPr="00C96355" w:rsidTr="006B1956">
        <w:tc>
          <w:tcPr>
            <w:tcW w:w="568" w:type="dxa"/>
            <w:tcBorders>
              <w:top w:val="nil"/>
              <w:left w:val="nil"/>
              <w:bottom w:val="nil"/>
              <w:right w:val="nil"/>
            </w:tcBorders>
            <w:shd w:val="clear" w:color="auto" w:fill="auto"/>
            <w:noWrap/>
            <w:hideMark/>
          </w:tcPr>
          <w:p w:rsidR="00247DCA" w:rsidRPr="00C96355" w:rsidRDefault="00247DCA" w:rsidP="00247DCA">
            <w:pPr>
              <w:pStyle w:val="Tabletext"/>
              <w:rPr>
                <w:rFonts w:ascii="Arial Narrow" w:hAnsi="Arial Narrow"/>
                <w:sz w:val="18"/>
                <w:szCs w:val="18"/>
              </w:rPr>
            </w:pPr>
          </w:p>
        </w:tc>
        <w:tc>
          <w:tcPr>
            <w:tcW w:w="3118" w:type="dxa"/>
            <w:tcBorders>
              <w:top w:val="nil"/>
              <w:left w:val="nil"/>
              <w:bottom w:val="nil"/>
              <w:right w:val="nil"/>
            </w:tcBorders>
            <w:shd w:val="clear" w:color="auto" w:fill="auto"/>
            <w:noWrap/>
            <w:hideMark/>
          </w:tcPr>
          <w:p w:rsidR="00247DCA" w:rsidRPr="00C96355" w:rsidRDefault="00247DCA" w:rsidP="00247DCA">
            <w:pPr>
              <w:pStyle w:val="Tabletext"/>
            </w:pPr>
            <w:r>
              <w:t>Boys-only school</w:t>
            </w:r>
          </w:p>
        </w:tc>
        <w:tc>
          <w:tcPr>
            <w:tcW w:w="1418" w:type="dxa"/>
            <w:tcBorders>
              <w:top w:val="nil"/>
              <w:left w:val="nil"/>
              <w:bottom w:val="nil"/>
              <w:right w:val="nil"/>
            </w:tcBorders>
            <w:shd w:val="clear" w:color="auto" w:fill="auto"/>
            <w:noWrap/>
            <w:hideMark/>
          </w:tcPr>
          <w:p w:rsidR="00247DCA" w:rsidRPr="00F45992" w:rsidRDefault="00247DCA" w:rsidP="006B1956">
            <w:pPr>
              <w:pStyle w:val="Tabletext"/>
              <w:tabs>
                <w:tab w:val="decimal" w:pos="510"/>
              </w:tabs>
              <w:rPr>
                <w:b/>
              </w:rPr>
            </w:pPr>
            <w:r>
              <w:t xml:space="preserve"> </w:t>
            </w:r>
            <w:r w:rsidRPr="00F45992">
              <w:rPr>
                <w:b/>
              </w:rPr>
              <w:t>0.55</w:t>
            </w:r>
            <w:r>
              <w:rPr>
                <w:b/>
              </w:rPr>
              <w:t>**</w:t>
            </w:r>
          </w:p>
        </w:tc>
        <w:tc>
          <w:tcPr>
            <w:tcW w:w="1133" w:type="dxa"/>
            <w:tcBorders>
              <w:top w:val="nil"/>
              <w:left w:val="nil"/>
              <w:bottom w:val="nil"/>
              <w:right w:val="nil"/>
            </w:tcBorders>
            <w:shd w:val="clear" w:color="auto" w:fill="auto"/>
            <w:noWrap/>
            <w:hideMark/>
          </w:tcPr>
          <w:p w:rsidR="00247DCA" w:rsidRPr="005A6444" w:rsidRDefault="00247DCA" w:rsidP="006B1956">
            <w:pPr>
              <w:pStyle w:val="Tabletext"/>
              <w:tabs>
                <w:tab w:val="decimal" w:pos="425"/>
              </w:tabs>
            </w:pPr>
            <w:r w:rsidRPr="005A6444">
              <w:t>0.11</w:t>
            </w:r>
          </w:p>
        </w:tc>
        <w:tc>
          <w:tcPr>
            <w:tcW w:w="1418" w:type="dxa"/>
            <w:tcBorders>
              <w:top w:val="nil"/>
              <w:left w:val="nil"/>
              <w:bottom w:val="nil"/>
              <w:right w:val="nil"/>
            </w:tcBorders>
            <w:shd w:val="clear" w:color="auto" w:fill="auto"/>
            <w:noWrap/>
            <w:hideMark/>
          </w:tcPr>
          <w:p w:rsidR="00247DCA" w:rsidRPr="00965A7E" w:rsidRDefault="00247DCA" w:rsidP="006B1956">
            <w:pPr>
              <w:pStyle w:val="Tabletext"/>
              <w:tabs>
                <w:tab w:val="decimal" w:pos="510"/>
              </w:tabs>
            </w:pPr>
            <w:r>
              <w:t xml:space="preserve"> 0.</w:t>
            </w:r>
            <w:r w:rsidRPr="00965A7E">
              <w:t>02</w:t>
            </w:r>
          </w:p>
        </w:tc>
        <w:tc>
          <w:tcPr>
            <w:tcW w:w="1134" w:type="dxa"/>
            <w:tcBorders>
              <w:top w:val="nil"/>
              <w:left w:val="nil"/>
              <w:bottom w:val="nil"/>
              <w:right w:val="nil"/>
            </w:tcBorders>
            <w:shd w:val="clear" w:color="auto" w:fill="auto"/>
            <w:noWrap/>
            <w:hideMark/>
          </w:tcPr>
          <w:p w:rsidR="00247DCA" w:rsidRPr="00965A7E" w:rsidRDefault="00247DCA" w:rsidP="006B1956">
            <w:pPr>
              <w:pStyle w:val="Tabletext"/>
              <w:tabs>
                <w:tab w:val="decimal" w:pos="425"/>
              </w:tabs>
            </w:pPr>
            <w:r w:rsidRPr="00965A7E">
              <w:t>0.09</w:t>
            </w:r>
          </w:p>
        </w:tc>
      </w:tr>
      <w:tr w:rsidR="00247DCA" w:rsidRPr="00C96355" w:rsidTr="006B1956">
        <w:tc>
          <w:tcPr>
            <w:tcW w:w="568" w:type="dxa"/>
            <w:tcBorders>
              <w:top w:val="nil"/>
              <w:left w:val="nil"/>
              <w:bottom w:val="nil"/>
              <w:right w:val="nil"/>
            </w:tcBorders>
            <w:shd w:val="clear" w:color="auto" w:fill="auto"/>
            <w:noWrap/>
            <w:hideMark/>
          </w:tcPr>
          <w:p w:rsidR="00247DCA" w:rsidRPr="00C96355" w:rsidRDefault="00247DCA" w:rsidP="00247DCA">
            <w:pPr>
              <w:pStyle w:val="Tabletext"/>
              <w:rPr>
                <w:rFonts w:ascii="Arial Narrow" w:hAnsi="Arial Narrow"/>
                <w:sz w:val="18"/>
                <w:szCs w:val="18"/>
              </w:rPr>
            </w:pPr>
          </w:p>
        </w:tc>
        <w:tc>
          <w:tcPr>
            <w:tcW w:w="3118" w:type="dxa"/>
            <w:tcBorders>
              <w:top w:val="nil"/>
              <w:left w:val="nil"/>
              <w:bottom w:val="nil"/>
              <w:right w:val="nil"/>
            </w:tcBorders>
            <w:shd w:val="clear" w:color="auto" w:fill="auto"/>
            <w:noWrap/>
            <w:hideMark/>
          </w:tcPr>
          <w:p w:rsidR="00247DCA" w:rsidRPr="00C96355" w:rsidRDefault="00247DCA" w:rsidP="00247DCA">
            <w:pPr>
              <w:pStyle w:val="Tabletext"/>
            </w:pPr>
            <w:r>
              <w:t>Girls-only school</w:t>
            </w:r>
          </w:p>
        </w:tc>
        <w:tc>
          <w:tcPr>
            <w:tcW w:w="1418" w:type="dxa"/>
            <w:tcBorders>
              <w:top w:val="nil"/>
              <w:left w:val="nil"/>
              <w:bottom w:val="nil"/>
              <w:right w:val="nil"/>
            </w:tcBorders>
            <w:shd w:val="clear" w:color="auto" w:fill="auto"/>
            <w:noWrap/>
            <w:hideMark/>
          </w:tcPr>
          <w:p w:rsidR="00247DCA" w:rsidRPr="005A6444" w:rsidRDefault="00247DCA" w:rsidP="006B1956">
            <w:pPr>
              <w:pStyle w:val="Tabletext"/>
              <w:tabs>
                <w:tab w:val="decimal" w:pos="510"/>
              </w:tabs>
            </w:pPr>
            <w:r>
              <w:t xml:space="preserve"> 0.</w:t>
            </w:r>
            <w:r w:rsidRPr="005A6444">
              <w:t>02</w:t>
            </w:r>
          </w:p>
        </w:tc>
        <w:tc>
          <w:tcPr>
            <w:tcW w:w="1133" w:type="dxa"/>
            <w:tcBorders>
              <w:top w:val="nil"/>
              <w:left w:val="nil"/>
              <w:bottom w:val="nil"/>
              <w:right w:val="nil"/>
            </w:tcBorders>
            <w:shd w:val="clear" w:color="auto" w:fill="auto"/>
            <w:noWrap/>
            <w:hideMark/>
          </w:tcPr>
          <w:p w:rsidR="00247DCA" w:rsidRPr="005A6444" w:rsidRDefault="00247DCA" w:rsidP="006B1956">
            <w:pPr>
              <w:pStyle w:val="Tabletext"/>
              <w:tabs>
                <w:tab w:val="decimal" w:pos="425"/>
              </w:tabs>
            </w:pPr>
            <w:r w:rsidRPr="005A6444">
              <w:t>0.08</w:t>
            </w:r>
          </w:p>
        </w:tc>
        <w:tc>
          <w:tcPr>
            <w:tcW w:w="1418" w:type="dxa"/>
            <w:tcBorders>
              <w:top w:val="nil"/>
              <w:left w:val="nil"/>
              <w:bottom w:val="nil"/>
              <w:right w:val="nil"/>
            </w:tcBorders>
            <w:shd w:val="clear" w:color="auto" w:fill="auto"/>
            <w:noWrap/>
            <w:hideMark/>
          </w:tcPr>
          <w:p w:rsidR="00247DCA" w:rsidRPr="00965A7E" w:rsidRDefault="00247DCA" w:rsidP="006B1956">
            <w:pPr>
              <w:pStyle w:val="Tabletext"/>
              <w:tabs>
                <w:tab w:val="decimal" w:pos="510"/>
              </w:tabs>
            </w:pPr>
            <w:r>
              <w:t xml:space="preserve"> 0.</w:t>
            </w:r>
            <w:r w:rsidRPr="00965A7E">
              <w:t>03</w:t>
            </w:r>
          </w:p>
        </w:tc>
        <w:tc>
          <w:tcPr>
            <w:tcW w:w="1134" w:type="dxa"/>
            <w:tcBorders>
              <w:top w:val="nil"/>
              <w:left w:val="nil"/>
              <w:bottom w:val="nil"/>
              <w:right w:val="nil"/>
            </w:tcBorders>
            <w:shd w:val="clear" w:color="auto" w:fill="auto"/>
            <w:noWrap/>
            <w:hideMark/>
          </w:tcPr>
          <w:p w:rsidR="00247DCA" w:rsidRPr="00965A7E" w:rsidRDefault="00247DCA" w:rsidP="006B1956">
            <w:pPr>
              <w:pStyle w:val="Tabletext"/>
              <w:tabs>
                <w:tab w:val="decimal" w:pos="425"/>
              </w:tabs>
            </w:pPr>
            <w:r w:rsidRPr="00965A7E">
              <w:t>0.08</w:t>
            </w:r>
          </w:p>
        </w:tc>
      </w:tr>
      <w:tr w:rsidR="00247DCA" w:rsidRPr="00C96355" w:rsidTr="006B1956">
        <w:tc>
          <w:tcPr>
            <w:tcW w:w="568" w:type="dxa"/>
            <w:tcBorders>
              <w:top w:val="nil"/>
              <w:left w:val="nil"/>
              <w:bottom w:val="nil"/>
              <w:right w:val="nil"/>
            </w:tcBorders>
            <w:shd w:val="clear" w:color="auto" w:fill="auto"/>
            <w:noWrap/>
            <w:hideMark/>
          </w:tcPr>
          <w:p w:rsidR="00247DCA" w:rsidRPr="00C96355" w:rsidRDefault="00247DCA" w:rsidP="00247DCA">
            <w:pPr>
              <w:pStyle w:val="Tabletext"/>
              <w:rPr>
                <w:rFonts w:ascii="Arial Narrow" w:hAnsi="Arial Narrow"/>
                <w:sz w:val="18"/>
                <w:szCs w:val="18"/>
              </w:rPr>
            </w:pPr>
          </w:p>
        </w:tc>
        <w:tc>
          <w:tcPr>
            <w:tcW w:w="3118" w:type="dxa"/>
            <w:tcBorders>
              <w:top w:val="nil"/>
              <w:left w:val="nil"/>
              <w:bottom w:val="nil"/>
              <w:right w:val="nil"/>
            </w:tcBorders>
            <w:shd w:val="clear" w:color="auto" w:fill="auto"/>
            <w:noWrap/>
            <w:hideMark/>
          </w:tcPr>
          <w:p w:rsidR="00247DCA" w:rsidRDefault="00247DCA" w:rsidP="00247DCA">
            <w:pPr>
              <w:pStyle w:val="Tabletext"/>
            </w:pPr>
            <w:r>
              <w:t>Government school</w:t>
            </w:r>
          </w:p>
        </w:tc>
        <w:tc>
          <w:tcPr>
            <w:tcW w:w="1418" w:type="dxa"/>
            <w:tcBorders>
              <w:top w:val="nil"/>
              <w:left w:val="nil"/>
              <w:bottom w:val="nil"/>
              <w:right w:val="nil"/>
            </w:tcBorders>
            <w:shd w:val="clear" w:color="auto" w:fill="auto"/>
            <w:noWrap/>
            <w:hideMark/>
          </w:tcPr>
          <w:p w:rsidR="00247DCA" w:rsidRDefault="00247DCA" w:rsidP="006B1956">
            <w:pPr>
              <w:pStyle w:val="Tabletext"/>
              <w:tabs>
                <w:tab w:val="decimal" w:pos="510"/>
              </w:tabs>
            </w:pPr>
            <w:r>
              <w:t xml:space="preserve">- - </w:t>
            </w:r>
          </w:p>
        </w:tc>
        <w:tc>
          <w:tcPr>
            <w:tcW w:w="1133" w:type="dxa"/>
            <w:tcBorders>
              <w:top w:val="nil"/>
              <w:left w:val="nil"/>
              <w:bottom w:val="nil"/>
              <w:right w:val="nil"/>
            </w:tcBorders>
            <w:shd w:val="clear" w:color="auto" w:fill="auto"/>
            <w:noWrap/>
            <w:hideMark/>
          </w:tcPr>
          <w:p w:rsidR="00247DCA" w:rsidRPr="00687C5B" w:rsidRDefault="00247DCA" w:rsidP="006B1956">
            <w:pPr>
              <w:pStyle w:val="Tabletext"/>
              <w:tabs>
                <w:tab w:val="decimal" w:pos="425"/>
              </w:tabs>
            </w:pPr>
          </w:p>
        </w:tc>
        <w:tc>
          <w:tcPr>
            <w:tcW w:w="1418" w:type="dxa"/>
            <w:tcBorders>
              <w:top w:val="nil"/>
              <w:left w:val="nil"/>
              <w:bottom w:val="nil"/>
              <w:right w:val="nil"/>
            </w:tcBorders>
            <w:shd w:val="clear" w:color="auto" w:fill="auto"/>
            <w:noWrap/>
            <w:hideMark/>
          </w:tcPr>
          <w:p w:rsidR="00247DCA" w:rsidRDefault="00247DCA" w:rsidP="006B1956">
            <w:pPr>
              <w:pStyle w:val="Tabletext"/>
              <w:tabs>
                <w:tab w:val="decimal" w:pos="510"/>
              </w:tabs>
            </w:pPr>
            <w:r>
              <w:t>- -</w:t>
            </w:r>
          </w:p>
        </w:tc>
        <w:tc>
          <w:tcPr>
            <w:tcW w:w="1134" w:type="dxa"/>
            <w:tcBorders>
              <w:top w:val="nil"/>
              <w:left w:val="nil"/>
              <w:bottom w:val="nil"/>
              <w:right w:val="nil"/>
            </w:tcBorders>
            <w:shd w:val="clear" w:color="auto" w:fill="auto"/>
            <w:noWrap/>
            <w:hideMark/>
          </w:tcPr>
          <w:p w:rsidR="00247DCA" w:rsidRPr="00897D0B" w:rsidRDefault="00247DCA" w:rsidP="006B1956">
            <w:pPr>
              <w:pStyle w:val="Tabletext"/>
              <w:tabs>
                <w:tab w:val="decimal" w:pos="425"/>
              </w:tabs>
            </w:pPr>
          </w:p>
        </w:tc>
      </w:tr>
      <w:tr w:rsidR="00247DCA" w:rsidRPr="00C96355" w:rsidTr="006B1956">
        <w:tc>
          <w:tcPr>
            <w:tcW w:w="568" w:type="dxa"/>
            <w:tcBorders>
              <w:top w:val="nil"/>
              <w:left w:val="nil"/>
              <w:bottom w:val="nil"/>
              <w:right w:val="nil"/>
            </w:tcBorders>
            <w:shd w:val="clear" w:color="auto" w:fill="auto"/>
            <w:noWrap/>
            <w:hideMark/>
          </w:tcPr>
          <w:p w:rsidR="00247DCA" w:rsidRPr="00C96355" w:rsidRDefault="00247DCA" w:rsidP="00247DCA">
            <w:pPr>
              <w:pStyle w:val="Tabletext"/>
              <w:rPr>
                <w:rFonts w:ascii="Arial Narrow" w:hAnsi="Arial Narrow"/>
                <w:sz w:val="18"/>
                <w:szCs w:val="18"/>
              </w:rPr>
            </w:pPr>
            <w:r>
              <w:rPr>
                <w:rFonts w:ascii="Arial Narrow" w:hAnsi="Arial Narrow"/>
                <w:sz w:val="18"/>
                <w:szCs w:val="18"/>
              </w:rPr>
              <w:t xml:space="preserve"> </w:t>
            </w:r>
          </w:p>
        </w:tc>
        <w:tc>
          <w:tcPr>
            <w:tcW w:w="3118" w:type="dxa"/>
            <w:tcBorders>
              <w:top w:val="nil"/>
              <w:left w:val="nil"/>
              <w:bottom w:val="nil"/>
              <w:right w:val="nil"/>
            </w:tcBorders>
            <w:shd w:val="clear" w:color="auto" w:fill="auto"/>
            <w:noWrap/>
            <w:hideMark/>
          </w:tcPr>
          <w:p w:rsidR="00247DCA" w:rsidRDefault="00247DCA" w:rsidP="00247DCA">
            <w:pPr>
              <w:pStyle w:val="Tabletext"/>
            </w:pPr>
            <w:r>
              <w:t>Independent</w:t>
            </w:r>
          </w:p>
        </w:tc>
        <w:tc>
          <w:tcPr>
            <w:tcW w:w="1418" w:type="dxa"/>
            <w:tcBorders>
              <w:top w:val="nil"/>
              <w:left w:val="nil"/>
              <w:bottom w:val="nil"/>
              <w:right w:val="nil"/>
            </w:tcBorders>
            <w:shd w:val="clear" w:color="auto" w:fill="auto"/>
            <w:noWrap/>
            <w:hideMark/>
          </w:tcPr>
          <w:p w:rsidR="00247DCA" w:rsidRPr="005A6444" w:rsidRDefault="00247DCA" w:rsidP="006B1956">
            <w:pPr>
              <w:pStyle w:val="Tabletext"/>
              <w:tabs>
                <w:tab w:val="decimal" w:pos="510"/>
              </w:tabs>
            </w:pPr>
            <w:r>
              <w:t xml:space="preserve"> 0.</w:t>
            </w:r>
            <w:r w:rsidRPr="005A6444">
              <w:t>31</w:t>
            </w:r>
            <w:r>
              <w:t>**</w:t>
            </w:r>
          </w:p>
        </w:tc>
        <w:tc>
          <w:tcPr>
            <w:tcW w:w="1133" w:type="dxa"/>
            <w:tcBorders>
              <w:top w:val="nil"/>
              <w:left w:val="nil"/>
              <w:bottom w:val="nil"/>
              <w:right w:val="nil"/>
            </w:tcBorders>
            <w:shd w:val="clear" w:color="auto" w:fill="auto"/>
            <w:noWrap/>
            <w:hideMark/>
          </w:tcPr>
          <w:p w:rsidR="00247DCA" w:rsidRPr="005A6444" w:rsidRDefault="00247DCA" w:rsidP="006B1956">
            <w:pPr>
              <w:pStyle w:val="Tabletext"/>
              <w:tabs>
                <w:tab w:val="decimal" w:pos="425"/>
              </w:tabs>
            </w:pPr>
            <w:r w:rsidRPr="005A6444">
              <w:t>0.07</w:t>
            </w:r>
          </w:p>
        </w:tc>
        <w:tc>
          <w:tcPr>
            <w:tcW w:w="1418" w:type="dxa"/>
            <w:tcBorders>
              <w:top w:val="nil"/>
              <w:left w:val="nil"/>
              <w:bottom w:val="nil"/>
              <w:right w:val="nil"/>
            </w:tcBorders>
            <w:shd w:val="clear" w:color="auto" w:fill="auto"/>
            <w:noWrap/>
            <w:hideMark/>
          </w:tcPr>
          <w:p w:rsidR="00247DCA" w:rsidRPr="00965A7E" w:rsidRDefault="00247DCA" w:rsidP="006B1956">
            <w:pPr>
              <w:pStyle w:val="Tabletext"/>
              <w:tabs>
                <w:tab w:val="decimal" w:pos="510"/>
              </w:tabs>
            </w:pPr>
            <w:r w:rsidRPr="00965A7E">
              <w:t>-0.03</w:t>
            </w:r>
          </w:p>
        </w:tc>
        <w:tc>
          <w:tcPr>
            <w:tcW w:w="1134" w:type="dxa"/>
            <w:tcBorders>
              <w:top w:val="nil"/>
              <w:left w:val="nil"/>
              <w:bottom w:val="nil"/>
              <w:right w:val="nil"/>
            </w:tcBorders>
            <w:shd w:val="clear" w:color="auto" w:fill="auto"/>
            <w:noWrap/>
            <w:hideMark/>
          </w:tcPr>
          <w:p w:rsidR="00247DCA" w:rsidRPr="00965A7E" w:rsidRDefault="00247DCA" w:rsidP="006B1956">
            <w:pPr>
              <w:pStyle w:val="Tabletext"/>
              <w:tabs>
                <w:tab w:val="decimal" w:pos="425"/>
              </w:tabs>
            </w:pPr>
            <w:r w:rsidRPr="00965A7E">
              <w:t>0.04</w:t>
            </w:r>
          </w:p>
        </w:tc>
      </w:tr>
      <w:tr w:rsidR="00247DCA" w:rsidRPr="00C96355" w:rsidTr="006B1956">
        <w:tc>
          <w:tcPr>
            <w:tcW w:w="568" w:type="dxa"/>
            <w:tcBorders>
              <w:top w:val="nil"/>
              <w:left w:val="nil"/>
              <w:bottom w:val="nil"/>
              <w:right w:val="nil"/>
            </w:tcBorders>
            <w:shd w:val="clear" w:color="auto" w:fill="auto"/>
            <w:noWrap/>
            <w:hideMark/>
          </w:tcPr>
          <w:p w:rsidR="00247DCA" w:rsidRPr="00C96355" w:rsidRDefault="00247DCA" w:rsidP="00247DCA">
            <w:pPr>
              <w:pStyle w:val="Tabletext"/>
              <w:rPr>
                <w:rFonts w:ascii="Arial Narrow" w:hAnsi="Arial Narrow"/>
                <w:sz w:val="18"/>
                <w:szCs w:val="18"/>
              </w:rPr>
            </w:pPr>
          </w:p>
        </w:tc>
        <w:tc>
          <w:tcPr>
            <w:tcW w:w="3118" w:type="dxa"/>
            <w:tcBorders>
              <w:top w:val="nil"/>
              <w:left w:val="nil"/>
              <w:bottom w:val="nil"/>
              <w:right w:val="nil"/>
            </w:tcBorders>
            <w:shd w:val="clear" w:color="auto" w:fill="auto"/>
            <w:noWrap/>
            <w:hideMark/>
          </w:tcPr>
          <w:p w:rsidR="00247DCA" w:rsidRDefault="00247DCA" w:rsidP="00247DCA">
            <w:pPr>
              <w:pStyle w:val="Tabletext"/>
            </w:pPr>
            <w:r>
              <w:t>Catholic</w:t>
            </w:r>
          </w:p>
        </w:tc>
        <w:tc>
          <w:tcPr>
            <w:tcW w:w="1418" w:type="dxa"/>
            <w:tcBorders>
              <w:top w:val="nil"/>
              <w:left w:val="nil"/>
              <w:bottom w:val="nil"/>
              <w:right w:val="nil"/>
            </w:tcBorders>
            <w:shd w:val="clear" w:color="auto" w:fill="auto"/>
            <w:noWrap/>
            <w:hideMark/>
          </w:tcPr>
          <w:p w:rsidR="00247DCA" w:rsidRPr="005A6444" w:rsidRDefault="00247DCA" w:rsidP="006B1956">
            <w:pPr>
              <w:pStyle w:val="Tabletext"/>
              <w:tabs>
                <w:tab w:val="decimal" w:pos="510"/>
              </w:tabs>
            </w:pPr>
            <w:r>
              <w:t xml:space="preserve"> 0.</w:t>
            </w:r>
            <w:r w:rsidRPr="005A6444">
              <w:t>19</w:t>
            </w:r>
            <w:r>
              <w:t>**</w:t>
            </w:r>
          </w:p>
        </w:tc>
        <w:tc>
          <w:tcPr>
            <w:tcW w:w="1133" w:type="dxa"/>
            <w:tcBorders>
              <w:top w:val="nil"/>
              <w:left w:val="nil"/>
              <w:bottom w:val="nil"/>
              <w:right w:val="nil"/>
            </w:tcBorders>
            <w:shd w:val="clear" w:color="auto" w:fill="auto"/>
            <w:noWrap/>
            <w:hideMark/>
          </w:tcPr>
          <w:p w:rsidR="00247DCA" w:rsidRPr="005A6444" w:rsidRDefault="00247DCA" w:rsidP="006B1956">
            <w:pPr>
              <w:pStyle w:val="Tabletext"/>
              <w:tabs>
                <w:tab w:val="decimal" w:pos="425"/>
              </w:tabs>
            </w:pPr>
            <w:r w:rsidRPr="005A6444">
              <w:t>0.07</w:t>
            </w:r>
          </w:p>
        </w:tc>
        <w:tc>
          <w:tcPr>
            <w:tcW w:w="1418" w:type="dxa"/>
            <w:tcBorders>
              <w:top w:val="nil"/>
              <w:left w:val="nil"/>
              <w:bottom w:val="nil"/>
              <w:right w:val="nil"/>
            </w:tcBorders>
            <w:shd w:val="clear" w:color="auto" w:fill="auto"/>
            <w:noWrap/>
            <w:hideMark/>
          </w:tcPr>
          <w:p w:rsidR="00247DCA" w:rsidRPr="00965A7E" w:rsidRDefault="00247DCA" w:rsidP="006B1956">
            <w:pPr>
              <w:pStyle w:val="Tabletext"/>
              <w:tabs>
                <w:tab w:val="decimal" w:pos="510"/>
              </w:tabs>
            </w:pPr>
            <w:r>
              <w:t xml:space="preserve"> </w:t>
            </w:r>
            <w:r w:rsidRPr="00965A7E">
              <w:t>4.24</w:t>
            </w:r>
          </w:p>
        </w:tc>
        <w:tc>
          <w:tcPr>
            <w:tcW w:w="1134" w:type="dxa"/>
            <w:tcBorders>
              <w:top w:val="nil"/>
              <w:left w:val="nil"/>
              <w:bottom w:val="nil"/>
              <w:right w:val="nil"/>
            </w:tcBorders>
            <w:shd w:val="clear" w:color="auto" w:fill="auto"/>
            <w:noWrap/>
            <w:hideMark/>
          </w:tcPr>
          <w:p w:rsidR="00247DCA" w:rsidRDefault="00247DCA" w:rsidP="006B1956">
            <w:pPr>
              <w:pStyle w:val="Tabletext"/>
              <w:tabs>
                <w:tab w:val="decimal" w:pos="425"/>
              </w:tabs>
            </w:pPr>
            <w:r w:rsidRPr="00965A7E">
              <w:t>0.25</w:t>
            </w:r>
          </w:p>
        </w:tc>
      </w:tr>
      <w:tr w:rsidR="00247DCA" w:rsidRPr="00C96355" w:rsidTr="006B1956">
        <w:tc>
          <w:tcPr>
            <w:tcW w:w="568" w:type="dxa"/>
            <w:tcBorders>
              <w:top w:val="nil"/>
              <w:left w:val="nil"/>
              <w:right w:val="nil"/>
            </w:tcBorders>
            <w:shd w:val="clear" w:color="auto" w:fill="auto"/>
            <w:noWrap/>
            <w:hideMark/>
          </w:tcPr>
          <w:p w:rsidR="00247DCA" w:rsidRPr="00C96355" w:rsidRDefault="00247DCA" w:rsidP="00247DCA">
            <w:pPr>
              <w:pStyle w:val="Tabletext"/>
              <w:rPr>
                <w:rFonts w:ascii="Arial Narrow" w:hAnsi="Arial Narrow"/>
                <w:sz w:val="18"/>
                <w:szCs w:val="18"/>
              </w:rPr>
            </w:pPr>
          </w:p>
        </w:tc>
        <w:tc>
          <w:tcPr>
            <w:tcW w:w="3118" w:type="dxa"/>
            <w:tcBorders>
              <w:top w:val="nil"/>
              <w:left w:val="nil"/>
              <w:right w:val="nil"/>
            </w:tcBorders>
            <w:shd w:val="clear" w:color="auto" w:fill="auto"/>
            <w:noWrap/>
            <w:hideMark/>
          </w:tcPr>
          <w:p w:rsidR="00247DCA" w:rsidRDefault="00247DCA" w:rsidP="00247DCA">
            <w:pPr>
              <w:pStyle w:val="Tabletext"/>
            </w:pPr>
            <w:r>
              <w:t>Selective admission to school</w:t>
            </w:r>
          </w:p>
        </w:tc>
        <w:tc>
          <w:tcPr>
            <w:tcW w:w="1418" w:type="dxa"/>
            <w:tcBorders>
              <w:top w:val="nil"/>
              <w:left w:val="nil"/>
              <w:right w:val="nil"/>
            </w:tcBorders>
            <w:shd w:val="clear" w:color="auto" w:fill="auto"/>
            <w:noWrap/>
            <w:hideMark/>
          </w:tcPr>
          <w:p w:rsidR="00247DCA" w:rsidRPr="005A6444" w:rsidRDefault="00247DCA" w:rsidP="006B1956">
            <w:pPr>
              <w:pStyle w:val="Tabletext"/>
              <w:tabs>
                <w:tab w:val="decimal" w:pos="510"/>
              </w:tabs>
            </w:pPr>
            <w:r>
              <w:t xml:space="preserve"> 0.</w:t>
            </w:r>
            <w:r w:rsidRPr="005A6444">
              <w:t>06</w:t>
            </w:r>
          </w:p>
        </w:tc>
        <w:tc>
          <w:tcPr>
            <w:tcW w:w="1133" w:type="dxa"/>
            <w:tcBorders>
              <w:top w:val="nil"/>
              <w:left w:val="nil"/>
              <w:right w:val="nil"/>
            </w:tcBorders>
            <w:shd w:val="clear" w:color="auto" w:fill="auto"/>
            <w:noWrap/>
            <w:hideMark/>
          </w:tcPr>
          <w:p w:rsidR="00247DCA" w:rsidRPr="005A6444" w:rsidRDefault="00247DCA" w:rsidP="006B1956">
            <w:pPr>
              <w:pStyle w:val="Tabletext"/>
              <w:tabs>
                <w:tab w:val="decimal" w:pos="425"/>
              </w:tabs>
            </w:pPr>
            <w:r w:rsidRPr="005A6444">
              <w:t>0.04</w:t>
            </w:r>
          </w:p>
        </w:tc>
        <w:tc>
          <w:tcPr>
            <w:tcW w:w="1418" w:type="dxa"/>
            <w:tcBorders>
              <w:top w:val="nil"/>
              <w:left w:val="nil"/>
              <w:right w:val="nil"/>
            </w:tcBorders>
            <w:shd w:val="clear" w:color="auto" w:fill="auto"/>
            <w:noWrap/>
            <w:hideMark/>
          </w:tcPr>
          <w:p w:rsidR="00247DCA" w:rsidRPr="00965A7E" w:rsidRDefault="00247DCA" w:rsidP="006B1956">
            <w:pPr>
              <w:pStyle w:val="Tabletext"/>
              <w:tabs>
                <w:tab w:val="decimal" w:pos="510"/>
              </w:tabs>
            </w:pPr>
            <w:r>
              <w:t xml:space="preserve"> 0.</w:t>
            </w:r>
            <w:r w:rsidRPr="00965A7E">
              <w:t>02</w:t>
            </w:r>
          </w:p>
        </w:tc>
        <w:tc>
          <w:tcPr>
            <w:tcW w:w="1134" w:type="dxa"/>
            <w:tcBorders>
              <w:top w:val="nil"/>
              <w:left w:val="nil"/>
              <w:right w:val="nil"/>
            </w:tcBorders>
            <w:shd w:val="clear" w:color="auto" w:fill="auto"/>
            <w:noWrap/>
            <w:hideMark/>
          </w:tcPr>
          <w:p w:rsidR="00247DCA" w:rsidRPr="00965A7E" w:rsidRDefault="00247DCA" w:rsidP="006B1956">
            <w:pPr>
              <w:pStyle w:val="Tabletext"/>
              <w:tabs>
                <w:tab w:val="decimal" w:pos="425"/>
              </w:tabs>
            </w:pPr>
            <w:r w:rsidRPr="00965A7E">
              <w:t>0.09</w:t>
            </w:r>
          </w:p>
        </w:tc>
      </w:tr>
      <w:tr w:rsidR="00247DCA" w:rsidRPr="00C96355" w:rsidTr="006B1956">
        <w:tc>
          <w:tcPr>
            <w:tcW w:w="568" w:type="dxa"/>
            <w:tcBorders>
              <w:top w:val="nil"/>
              <w:left w:val="nil"/>
              <w:bottom w:val="dashed" w:sz="4" w:space="0" w:color="auto"/>
              <w:right w:val="nil"/>
            </w:tcBorders>
            <w:shd w:val="clear" w:color="auto" w:fill="auto"/>
            <w:noWrap/>
            <w:hideMark/>
          </w:tcPr>
          <w:p w:rsidR="00247DCA" w:rsidRPr="00C96355" w:rsidRDefault="00247DCA" w:rsidP="00247DCA">
            <w:pPr>
              <w:pStyle w:val="Tabletext"/>
            </w:pPr>
          </w:p>
        </w:tc>
        <w:tc>
          <w:tcPr>
            <w:tcW w:w="3118" w:type="dxa"/>
            <w:tcBorders>
              <w:top w:val="nil"/>
              <w:left w:val="nil"/>
              <w:bottom w:val="dashed" w:sz="4" w:space="0" w:color="auto"/>
              <w:right w:val="nil"/>
            </w:tcBorders>
            <w:shd w:val="clear" w:color="auto" w:fill="auto"/>
            <w:noWrap/>
            <w:hideMark/>
          </w:tcPr>
          <w:p w:rsidR="00247DCA" w:rsidRPr="00C96355" w:rsidRDefault="00247DCA" w:rsidP="00247DCA">
            <w:pPr>
              <w:pStyle w:val="Tabletext"/>
            </w:pPr>
            <w:r w:rsidRPr="00C96355">
              <w:t>(constant)</w:t>
            </w:r>
          </w:p>
        </w:tc>
        <w:tc>
          <w:tcPr>
            <w:tcW w:w="1418" w:type="dxa"/>
            <w:tcBorders>
              <w:top w:val="nil"/>
              <w:left w:val="nil"/>
              <w:bottom w:val="dashed" w:sz="4" w:space="0" w:color="auto"/>
              <w:right w:val="nil"/>
            </w:tcBorders>
            <w:shd w:val="clear" w:color="auto" w:fill="auto"/>
            <w:noWrap/>
            <w:hideMark/>
          </w:tcPr>
          <w:p w:rsidR="00247DCA" w:rsidRPr="005A6444" w:rsidRDefault="00247DCA" w:rsidP="006B1956">
            <w:pPr>
              <w:pStyle w:val="Tabletext"/>
              <w:tabs>
                <w:tab w:val="decimal" w:pos="510"/>
              </w:tabs>
            </w:pPr>
            <w:r w:rsidRPr="005A6444">
              <w:t>4.73</w:t>
            </w:r>
            <w:r>
              <w:t>**</w:t>
            </w:r>
          </w:p>
        </w:tc>
        <w:tc>
          <w:tcPr>
            <w:tcW w:w="1133" w:type="dxa"/>
            <w:tcBorders>
              <w:top w:val="nil"/>
              <w:left w:val="nil"/>
              <w:bottom w:val="dashed" w:sz="4" w:space="0" w:color="auto"/>
              <w:right w:val="nil"/>
            </w:tcBorders>
            <w:shd w:val="clear" w:color="auto" w:fill="auto"/>
            <w:noWrap/>
            <w:hideMark/>
          </w:tcPr>
          <w:p w:rsidR="00247DCA" w:rsidRDefault="00247DCA" w:rsidP="006B1956">
            <w:pPr>
              <w:pStyle w:val="Tabletext"/>
              <w:tabs>
                <w:tab w:val="decimal" w:pos="425"/>
              </w:tabs>
            </w:pPr>
            <w:r w:rsidRPr="005A6444">
              <w:t>0.20</w:t>
            </w:r>
          </w:p>
        </w:tc>
        <w:tc>
          <w:tcPr>
            <w:tcW w:w="1418" w:type="dxa"/>
            <w:tcBorders>
              <w:top w:val="nil"/>
              <w:left w:val="nil"/>
              <w:bottom w:val="dashed" w:sz="4" w:space="0" w:color="auto"/>
              <w:right w:val="nil"/>
            </w:tcBorders>
            <w:shd w:val="clear" w:color="auto" w:fill="auto"/>
            <w:noWrap/>
            <w:hideMark/>
          </w:tcPr>
          <w:p w:rsidR="00247DCA" w:rsidRPr="0067604F" w:rsidRDefault="00247DCA" w:rsidP="006B1956">
            <w:pPr>
              <w:pStyle w:val="Tabletext"/>
              <w:tabs>
                <w:tab w:val="decimal" w:pos="510"/>
              </w:tabs>
            </w:pPr>
            <w:r>
              <w:t xml:space="preserve"> </w:t>
            </w:r>
            <w:r w:rsidRPr="0067604F">
              <w:t>4.24</w:t>
            </w:r>
            <w:r>
              <w:t>**</w:t>
            </w:r>
          </w:p>
        </w:tc>
        <w:tc>
          <w:tcPr>
            <w:tcW w:w="1134" w:type="dxa"/>
            <w:tcBorders>
              <w:top w:val="nil"/>
              <w:left w:val="nil"/>
              <w:bottom w:val="dashed" w:sz="4" w:space="0" w:color="auto"/>
              <w:right w:val="nil"/>
            </w:tcBorders>
            <w:shd w:val="clear" w:color="auto" w:fill="auto"/>
            <w:noWrap/>
            <w:hideMark/>
          </w:tcPr>
          <w:p w:rsidR="00247DCA" w:rsidRDefault="00247DCA" w:rsidP="006B1956">
            <w:pPr>
              <w:pStyle w:val="Tabletext"/>
              <w:tabs>
                <w:tab w:val="decimal" w:pos="425"/>
              </w:tabs>
            </w:pPr>
            <w:r w:rsidRPr="0067604F">
              <w:t>0.25</w:t>
            </w:r>
          </w:p>
        </w:tc>
      </w:tr>
      <w:tr w:rsidR="00247DCA" w:rsidRPr="00C96355" w:rsidTr="006B1956">
        <w:tc>
          <w:tcPr>
            <w:tcW w:w="3686" w:type="dxa"/>
            <w:gridSpan w:val="2"/>
            <w:tcBorders>
              <w:top w:val="dashed" w:sz="4" w:space="0" w:color="auto"/>
              <w:left w:val="nil"/>
              <w:bottom w:val="nil"/>
              <w:right w:val="nil"/>
            </w:tcBorders>
            <w:shd w:val="clear" w:color="auto" w:fill="auto"/>
            <w:noWrap/>
            <w:hideMark/>
          </w:tcPr>
          <w:p w:rsidR="00247DCA" w:rsidRPr="00C96355" w:rsidRDefault="00247DCA" w:rsidP="00247DCA">
            <w:pPr>
              <w:pStyle w:val="Tablehead1"/>
            </w:pPr>
            <w:r w:rsidRPr="00C96355">
              <w:t>Random effects</w:t>
            </w:r>
          </w:p>
        </w:tc>
        <w:tc>
          <w:tcPr>
            <w:tcW w:w="1418" w:type="dxa"/>
            <w:tcBorders>
              <w:top w:val="dashed" w:sz="4" w:space="0" w:color="auto"/>
              <w:left w:val="nil"/>
              <w:bottom w:val="nil"/>
              <w:right w:val="nil"/>
            </w:tcBorders>
            <w:shd w:val="clear" w:color="auto" w:fill="auto"/>
            <w:noWrap/>
            <w:hideMark/>
          </w:tcPr>
          <w:p w:rsidR="00247DCA" w:rsidRPr="00C96355" w:rsidRDefault="00247DCA" w:rsidP="00247DCA">
            <w:pPr>
              <w:pStyle w:val="Tablehead1"/>
            </w:pPr>
          </w:p>
        </w:tc>
        <w:tc>
          <w:tcPr>
            <w:tcW w:w="1133" w:type="dxa"/>
            <w:tcBorders>
              <w:top w:val="dashed" w:sz="4" w:space="0" w:color="auto"/>
              <w:left w:val="nil"/>
              <w:bottom w:val="nil"/>
              <w:right w:val="nil"/>
            </w:tcBorders>
            <w:shd w:val="clear" w:color="auto" w:fill="auto"/>
            <w:noWrap/>
            <w:hideMark/>
          </w:tcPr>
          <w:p w:rsidR="00247DCA" w:rsidRPr="00C96355" w:rsidRDefault="00247DCA" w:rsidP="00247DCA">
            <w:pPr>
              <w:pStyle w:val="Tablehead1"/>
            </w:pPr>
          </w:p>
        </w:tc>
        <w:tc>
          <w:tcPr>
            <w:tcW w:w="1418" w:type="dxa"/>
            <w:tcBorders>
              <w:top w:val="dashed" w:sz="4" w:space="0" w:color="auto"/>
              <w:left w:val="nil"/>
              <w:bottom w:val="nil"/>
              <w:right w:val="nil"/>
            </w:tcBorders>
            <w:shd w:val="clear" w:color="auto" w:fill="auto"/>
            <w:noWrap/>
            <w:hideMark/>
          </w:tcPr>
          <w:p w:rsidR="00247DCA" w:rsidRPr="00C96355" w:rsidRDefault="00247DCA" w:rsidP="00247DCA">
            <w:pPr>
              <w:pStyle w:val="Tablehead1"/>
            </w:pPr>
          </w:p>
        </w:tc>
        <w:tc>
          <w:tcPr>
            <w:tcW w:w="1134" w:type="dxa"/>
            <w:tcBorders>
              <w:top w:val="dashed" w:sz="4" w:space="0" w:color="auto"/>
              <w:left w:val="nil"/>
              <w:bottom w:val="nil"/>
              <w:right w:val="nil"/>
            </w:tcBorders>
            <w:shd w:val="clear" w:color="auto" w:fill="auto"/>
            <w:noWrap/>
            <w:hideMark/>
          </w:tcPr>
          <w:p w:rsidR="00247DCA" w:rsidRPr="00C96355" w:rsidRDefault="00247DCA" w:rsidP="00247DCA">
            <w:pPr>
              <w:pStyle w:val="Tablehead1"/>
            </w:pPr>
          </w:p>
        </w:tc>
      </w:tr>
      <w:tr w:rsidR="00247DCA" w:rsidRPr="00C96355" w:rsidTr="006B1956">
        <w:tc>
          <w:tcPr>
            <w:tcW w:w="568" w:type="dxa"/>
            <w:tcBorders>
              <w:top w:val="nil"/>
              <w:left w:val="nil"/>
              <w:bottom w:val="nil"/>
              <w:right w:val="nil"/>
            </w:tcBorders>
            <w:shd w:val="clear" w:color="auto" w:fill="auto"/>
            <w:noWrap/>
            <w:hideMark/>
          </w:tcPr>
          <w:p w:rsidR="00247DCA" w:rsidRPr="00C96355" w:rsidRDefault="00247DCA" w:rsidP="00247DCA">
            <w:pPr>
              <w:pStyle w:val="Tabletext"/>
            </w:pPr>
          </w:p>
        </w:tc>
        <w:tc>
          <w:tcPr>
            <w:tcW w:w="3118" w:type="dxa"/>
            <w:tcBorders>
              <w:top w:val="nil"/>
              <w:left w:val="nil"/>
              <w:bottom w:val="nil"/>
              <w:right w:val="nil"/>
            </w:tcBorders>
            <w:shd w:val="clear" w:color="auto" w:fill="auto"/>
            <w:noWrap/>
            <w:hideMark/>
          </w:tcPr>
          <w:p w:rsidR="00247DCA" w:rsidRPr="00C96355" w:rsidRDefault="00247DCA" w:rsidP="00247DCA">
            <w:pPr>
              <w:pStyle w:val="Tabletext"/>
            </w:pPr>
            <w:r w:rsidRPr="00C96355">
              <w:t xml:space="preserve">Variance between </w:t>
            </w:r>
            <w:r>
              <w:t>schools</w:t>
            </w:r>
          </w:p>
        </w:tc>
        <w:tc>
          <w:tcPr>
            <w:tcW w:w="1418" w:type="dxa"/>
            <w:tcBorders>
              <w:top w:val="nil"/>
              <w:left w:val="nil"/>
              <w:bottom w:val="nil"/>
              <w:right w:val="nil"/>
            </w:tcBorders>
            <w:shd w:val="clear" w:color="auto" w:fill="auto"/>
            <w:noWrap/>
            <w:hideMark/>
          </w:tcPr>
          <w:p w:rsidR="00247DCA" w:rsidRPr="00C96355" w:rsidRDefault="00247DCA" w:rsidP="006B1956">
            <w:pPr>
              <w:pStyle w:val="Tabletext"/>
              <w:jc w:val="center"/>
            </w:pPr>
            <w:r>
              <w:t>0.01</w:t>
            </w:r>
          </w:p>
        </w:tc>
        <w:tc>
          <w:tcPr>
            <w:tcW w:w="1133" w:type="dxa"/>
            <w:tcBorders>
              <w:top w:val="nil"/>
              <w:left w:val="nil"/>
              <w:bottom w:val="nil"/>
              <w:right w:val="nil"/>
            </w:tcBorders>
            <w:shd w:val="clear" w:color="auto" w:fill="auto"/>
            <w:noWrap/>
            <w:hideMark/>
          </w:tcPr>
          <w:p w:rsidR="00247DCA" w:rsidRPr="00C96355" w:rsidRDefault="00247DCA" w:rsidP="006B1956">
            <w:pPr>
              <w:pStyle w:val="Tabletext"/>
              <w:jc w:val="center"/>
            </w:pPr>
            <w:r>
              <w:t>0.02</w:t>
            </w:r>
          </w:p>
        </w:tc>
        <w:tc>
          <w:tcPr>
            <w:tcW w:w="1418" w:type="dxa"/>
            <w:tcBorders>
              <w:top w:val="nil"/>
              <w:left w:val="nil"/>
              <w:bottom w:val="nil"/>
              <w:right w:val="nil"/>
            </w:tcBorders>
            <w:shd w:val="clear" w:color="auto" w:fill="auto"/>
            <w:noWrap/>
            <w:hideMark/>
          </w:tcPr>
          <w:p w:rsidR="00247DCA" w:rsidRPr="00C96355" w:rsidRDefault="00247DCA" w:rsidP="006B1956">
            <w:pPr>
              <w:pStyle w:val="Tabletext"/>
              <w:jc w:val="center"/>
            </w:pPr>
            <w:r>
              <w:t>0.03</w:t>
            </w:r>
          </w:p>
        </w:tc>
        <w:tc>
          <w:tcPr>
            <w:tcW w:w="1134" w:type="dxa"/>
            <w:tcBorders>
              <w:top w:val="nil"/>
              <w:left w:val="nil"/>
              <w:bottom w:val="nil"/>
              <w:right w:val="nil"/>
            </w:tcBorders>
            <w:shd w:val="clear" w:color="auto" w:fill="auto"/>
            <w:noWrap/>
            <w:hideMark/>
          </w:tcPr>
          <w:p w:rsidR="00247DCA" w:rsidRPr="00C96355" w:rsidRDefault="00247DCA" w:rsidP="006B1956">
            <w:pPr>
              <w:pStyle w:val="Tabletext"/>
              <w:jc w:val="center"/>
            </w:pPr>
            <w:r>
              <w:t>0.02</w:t>
            </w:r>
          </w:p>
        </w:tc>
      </w:tr>
      <w:tr w:rsidR="00247DCA" w:rsidRPr="00C96355" w:rsidTr="006B1956">
        <w:tc>
          <w:tcPr>
            <w:tcW w:w="568" w:type="dxa"/>
            <w:tcBorders>
              <w:top w:val="nil"/>
              <w:left w:val="nil"/>
              <w:bottom w:val="nil"/>
              <w:right w:val="nil"/>
            </w:tcBorders>
            <w:shd w:val="clear" w:color="auto" w:fill="auto"/>
            <w:noWrap/>
            <w:hideMark/>
          </w:tcPr>
          <w:p w:rsidR="00247DCA" w:rsidRPr="00C96355" w:rsidRDefault="00247DCA" w:rsidP="00247DCA">
            <w:pPr>
              <w:pStyle w:val="Tabletext"/>
            </w:pPr>
          </w:p>
        </w:tc>
        <w:tc>
          <w:tcPr>
            <w:tcW w:w="3118" w:type="dxa"/>
            <w:tcBorders>
              <w:top w:val="nil"/>
              <w:left w:val="nil"/>
              <w:bottom w:val="nil"/>
              <w:right w:val="nil"/>
            </w:tcBorders>
            <w:shd w:val="clear" w:color="auto" w:fill="auto"/>
            <w:noWrap/>
            <w:hideMark/>
          </w:tcPr>
          <w:p w:rsidR="00247DCA" w:rsidRPr="00C96355" w:rsidRDefault="00247DCA" w:rsidP="00247DCA">
            <w:pPr>
              <w:pStyle w:val="Tabletext"/>
            </w:pPr>
            <w:r w:rsidRPr="00C96355">
              <w:t>Number of students</w:t>
            </w:r>
          </w:p>
        </w:tc>
        <w:tc>
          <w:tcPr>
            <w:tcW w:w="1418" w:type="dxa"/>
            <w:tcBorders>
              <w:top w:val="nil"/>
              <w:left w:val="nil"/>
              <w:bottom w:val="nil"/>
              <w:right w:val="nil"/>
            </w:tcBorders>
            <w:shd w:val="clear" w:color="auto" w:fill="auto"/>
            <w:noWrap/>
            <w:hideMark/>
          </w:tcPr>
          <w:p w:rsidR="00247DCA" w:rsidRPr="00C96355" w:rsidRDefault="003C5BA8" w:rsidP="003C5BA8">
            <w:pPr>
              <w:pStyle w:val="Tabletext"/>
              <w:tabs>
                <w:tab w:val="left" w:pos="340"/>
              </w:tabs>
              <w:ind w:right="85"/>
            </w:pPr>
            <w:r>
              <w:tab/>
            </w:r>
            <w:r w:rsidR="00247DCA">
              <w:t>14 251</w:t>
            </w:r>
          </w:p>
        </w:tc>
        <w:tc>
          <w:tcPr>
            <w:tcW w:w="1133" w:type="dxa"/>
            <w:tcBorders>
              <w:top w:val="nil"/>
              <w:left w:val="nil"/>
              <w:bottom w:val="nil"/>
              <w:right w:val="nil"/>
            </w:tcBorders>
            <w:shd w:val="clear" w:color="auto" w:fill="auto"/>
            <w:noWrap/>
            <w:hideMark/>
          </w:tcPr>
          <w:p w:rsidR="00247DCA" w:rsidRPr="00C96355" w:rsidRDefault="00247DCA" w:rsidP="006B1956">
            <w:pPr>
              <w:pStyle w:val="Tabletext"/>
              <w:jc w:val="center"/>
              <w:rPr>
                <w:rFonts w:ascii="Arial Narrow" w:hAnsi="Arial Narrow"/>
                <w:sz w:val="18"/>
                <w:szCs w:val="18"/>
              </w:rPr>
            </w:pPr>
          </w:p>
        </w:tc>
        <w:tc>
          <w:tcPr>
            <w:tcW w:w="1418" w:type="dxa"/>
            <w:tcBorders>
              <w:top w:val="nil"/>
              <w:left w:val="nil"/>
              <w:bottom w:val="nil"/>
              <w:right w:val="nil"/>
            </w:tcBorders>
            <w:shd w:val="clear" w:color="auto" w:fill="auto"/>
            <w:noWrap/>
            <w:hideMark/>
          </w:tcPr>
          <w:p w:rsidR="00247DCA" w:rsidRPr="00C96355" w:rsidRDefault="003C5BA8" w:rsidP="003C5BA8">
            <w:pPr>
              <w:pStyle w:val="Tabletext"/>
              <w:tabs>
                <w:tab w:val="left" w:pos="340"/>
              </w:tabs>
            </w:pPr>
            <w:r>
              <w:tab/>
            </w:r>
            <w:r w:rsidR="00247DCA">
              <w:t>14 251</w:t>
            </w:r>
          </w:p>
        </w:tc>
        <w:tc>
          <w:tcPr>
            <w:tcW w:w="1134" w:type="dxa"/>
            <w:tcBorders>
              <w:top w:val="nil"/>
              <w:left w:val="nil"/>
              <w:bottom w:val="nil"/>
              <w:right w:val="nil"/>
            </w:tcBorders>
            <w:shd w:val="clear" w:color="auto" w:fill="auto"/>
            <w:noWrap/>
            <w:hideMark/>
          </w:tcPr>
          <w:p w:rsidR="00247DCA" w:rsidRPr="00C96355" w:rsidRDefault="00247DCA" w:rsidP="006B1956">
            <w:pPr>
              <w:pStyle w:val="Tabletext"/>
              <w:jc w:val="center"/>
            </w:pPr>
          </w:p>
        </w:tc>
      </w:tr>
      <w:tr w:rsidR="00247DCA" w:rsidRPr="00C96355" w:rsidTr="006B1956">
        <w:tc>
          <w:tcPr>
            <w:tcW w:w="568" w:type="dxa"/>
            <w:tcBorders>
              <w:top w:val="nil"/>
              <w:left w:val="nil"/>
              <w:bottom w:val="single" w:sz="4" w:space="0" w:color="auto"/>
              <w:right w:val="nil"/>
            </w:tcBorders>
            <w:shd w:val="clear" w:color="auto" w:fill="auto"/>
            <w:noWrap/>
            <w:hideMark/>
          </w:tcPr>
          <w:p w:rsidR="00247DCA" w:rsidRPr="00C96355" w:rsidRDefault="00247DCA" w:rsidP="00247DCA">
            <w:pPr>
              <w:pStyle w:val="Tabletext"/>
            </w:pPr>
            <w:r w:rsidRPr="00C96355">
              <w:t> </w:t>
            </w:r>
          </w:p>
        </w:tc>
        <w:tc>
          <w:tcPr>
            <w:tcW w:w="3118" w:type="dxa"/>
            <w:tcBorders>
              <w:top w:val="nil"/>
              <w:left w:val="nil"/>
              <w:bottom w:val="single" w:sz="4" w:space="0" w:color="auto"/>
              <w:right w:val="nil"/>
            </w:tcBorders>
            <w:shd w:val="clear" w:color="auto" w:fill="auto"/>
            <w:noWrap/>
            <w:hideMark/>
          </w:tcPr>
          <w:p w:rsidR="00247DCA" w:rsidRPr="00C96355" w:rsidRDefault="00247DCA" w:rsidP="00247DCA">
            <w:pPr>
              <w:pStyle w:val="Tabletext"/>
            </w:pPr>
            <w:r w:rsidRPr="00C96355">
              <w:t xml:space="preserve">Number of </w:t>
            </w:r>
            <w:r>
              <w:t>schools</w:t>
            </w:r>
          </w:p>
        </w:tc>
        <w:tc>
          <w:tcPr>
            <w:tcW w:w="1418" w:type="dxa"/>
            <w:tcBorders>
              <w:top w:val="nil"/>
              <w:left w:val="nil"/>
              <w:bottom w:val="single" w:sz="4" w:space="0" w:color="auto"/>
              <w:right w:val="nil"/>
            </w:tcBorders>
            <w:shd w:val="clear" w:color="auto" w:fill="auto"/>
            <w:noWrap/>
            <w:hideMark/>
          </w:tcPr>
          <w:p w:rsidR="00247DCA" w:rsidRPr="00C96355" w:rsidRDefault="003C5BA8" w:rsidP="003C5BA8">
            <w:pPr>
              <w:pStyle w:val="Tabletext"/>
              <w:tabs>
                <w:tab w:val="left" w:pos="539"/>
              </w:tabs>
            </w:pPr>
            <w:r>
              <w:tab/>
            </w:r>
            <w:r w:rsidR="00247DCA">
              <w:t>353</w:t>
            </w:r>
          </w:p>
        </w:tc>
        <w:tc>
          <w:tcPr>
            <w:tcW w:w="1133" w:type="dxa"/>
            <w:tcBorders>
              <w:top w:val="nil"/>
              <w:left w:val="nil"/>
              <w:bottom w:val="single" w:sz="4" w:space="0" w:color="auto"/>
              <w:right w:val="nil"/>
            </w:tcBorders>
            <w:shd w:val="clear" w:color="auto" w:fill="auto"/>
            <w:noWrap/>
            <w:hideMark/>
          </w:tcPr>
          <w:p w:rsidR="00247DCA" w:rsidRPr="00C96355" w:rsidRDefault="00247DCA" w:rsidP="006B1956">
            <w:pPr>
              <w:pStyle w:val="Tabletext"/>
              <w:jc w:val="center"/>
              <w:rPr>
                <w:rFonts w:ascii="Arial Narrow" w:hAnsi="Arial Narrow"/>
                <w:sz w:val="18"/>
                <w:szCs w:val="18"/>
              </w:rPr>
            </w:pPr>
          </w:p>
        </w:tc>
        <w:tc>
          <w:tcPr>
            <w:tcW w:w="1418" w:type="dxa"/>
            <w:tcBorders>
              <w:top w:val="nil"/>
              <w:left w:val="nil"/>
              <w:bottom w:val="single" w:sz="4" w:space="0" w:color="auto"/>
              <w:right w:val="nil"/>
            </w:tcBorders>
            <w:shd w:val="clear" w:color="auto" w:fill="auto"/>
            <w:noWrap/>
            <w:hideMark/>
          </w:tcPr>
          <w:p w:rsidR="00247DCA" w:rsidRPr="00C96355" w:rsidRDefault="003C5BA8" w:rsidP="003C5BA8">
            <w:pPr>
              <w:pStyle w:val="Tabletext"/>
              <w:tabs>
                <w:tab w:val="left" w:pos="539"/>
              </w:tabs>
            </w:pPr>
            <w:r>
              <w:tab/>
            </w:r>
            <w:r w:rsidR="00247DCA">
              <w:t>353</w:t>
            </w:r>
          </w:p>
        </w:tc>
        <w:tc>
          <w:tcPr>
            <w:tcW w:w="1134" w:type="dxa"/>
            <w:tcBorders>
              <w:top w:val="nil"/>
              <w:left w:val="nil"/>
              <w:bottom w:val="single" w:sz="4" w:space="0" w:color="auto"/>
              <w:right w:val="nil"/>
            </w:tcBorders>
            <w:shd w:val="clear" w:color="auto" w:fill="auto"/>
            <w:noWrap/>
            <w:hideMark/>
          </w:tcPr>
          <w:p w:rsidR="00247DCA" w:rsidRPr="00C96355" w:rsidRDefault="00247DCA" w:rsidP="006B1956">
            <w:pPr>
              <w:pStyle w:val="Tabletext"/>
              <w:jc w:val="center"/>
              <w:rPr>
                <w:color w:val="FF0000"/>
              </w:rPr>
            </w:pPr>
          </w:p>
        </w:tc>
      </w:tr>
    </w:tbl>
    <w:p w:rsidR="00F87F00" w:rsidRPr="00A30E8F" w:rsidRDefault="00642965" w:rsidP="00502974">
      <w:pPr>
        <w:pStyle w:val="Source"/>
      </w:pPr>
      <w:r>
        <w:t>Notes:</w:t>
      </w:r>
      <w:r>
        <w:tab/>
      </w:r>
      <w:r w:rsidR="00F87F00" w:rsidRPr="00A30E8F">
        <w:t>* Statistically different from zero at p</w:t>
      </w:r>
      <w:r w:rsidR="0084401E">
        <w:t xml:space="preserve"> </w:t>
      </w:r>
      <w:r w:rsidR="00F87F00" w:rsidRPr="00A30E8F">
        <w:t>=</w:t>
      </w:r>
      <w:r w:rsidR="0084401E">
        <w:t xml:space="preserve"> </w:t>
      </w:r>
      <w:r w:rsidR="00F87F00" w:rsidRPr="00A30E8F">
        <w:t>0.05</w:t>
      </w:r>
      <w:r w:rsidR="0084401E">
        <w:t>.</w:t>
      </w:r>
      <w:r>
        <w:br/>
      </w:r>
      <w:r w:rsidR="00F87F00" w:rsidRPr="00A30E8F">
        <w:t>*</w:t>
      </w:r>
      <w:r w:rsidR="00F87F00">
        <w:t>*</w:t>
      </w:r>
      <w:r w:rsidR="00F87F00" w:rsidRPr="00A30E8F">
        <w:t xml:space="preserve"> Statistically different from zero at p</w:t>
      </w:r>
      <w:r w:rsidR="0084401E">
        <w:t xml:space="preserve"> </w:t>
      </w:r>
      <w:r w:rsidR="00F87F00" w:rsidRPr="00A30E8F">
        <w:t>=</w:t>
      </w:r>
      <w:r w:rsidR="0084401E">
        <w:t xml:space="preserve"> </w:t>
      </w:r>
      <w:r w:rsidR="00F87F00" w:rsidRPr="00A30E8F">
        <w:t>0.0</w:t>
      </w:r>
      <w:r w:rsidR="00F87F00">
        <w:t>1</w:t>
      </w:r>
      <w:r w:rsidR="0084401E">
        <w:t>.</w:t>
      </w:r>
      <w:r>
        <w:br/>
      </w:r>
      <w:r w:rsidR="00F87F00">
        <w:t>- - reference category</w:t>
      </w:r>
      <w:r w:rsidR="0084401E">
        <w:t>.</w:t>
      </w:r>
    </w:p>
    <w:p w:rsidR="00F87F00" w:rsidRDefault="00F87F00" w:rsidP="00502974">
      <w:pPr>
        <w:pStyle w:val="Text"/>
      </w:pPr>
      <w:r>
        <w:rPr>
          <w:rFonts w:ascii="Tahoma" w:hAnsi="Tahoma" w:cs="Tahoma"/>
          <w:color w:val="000000"/>
          <w:kern w:val="28"/>
          <w:sz w:val="56"/>
          <w:szCs w:val="56"/>
        </w:rPr>
        <w:br w:type="page"/>
      </w:r>
      <w:r>
        <w:lastRenderedPageBreak/>
        <w:t>Another important aspect of this finding and one which is not evident in the examination o</w:t>
      </w:r>
      <w:r w:rsidR="00545BFF">
        <w:t>f logit coefficients</w:t>
      </w:r>
      <w:r>
        <w:t xml:space="preserve"> is that the benefit of single-sex schooling for girls</w:t>
      </w:r>
      <w:r w:rsidR="00C33F0A">
        <w:t>’</w:t>
      </w:r>
      <w:r>
        <w:t xml:space="preserve"> uptake of physical science is moderate. In predictions informed by a model</w:t>
      </w:r>
      <w:r w:rsidR="008E24D6">
        <w:t xml:space="preserve"> analogous to the one found in t</w:t>
      </w:r>
      <w:r>
        <w:t xml:space="preserve">able </w:t>
      </w:r>
      <w:r w:rsidR="00A02143">
        <w:t>4</w:t>
      </w:r>
      <w:r>
        <w:t xml:space="preserve"> but run only for female students it was ascertained that</w:t>
      </w:r>
      <w:r w:rsidR="008E24D6">
        <w:t>,</w:t>
      </w:r>
      <w:r>
        <w:t xml:space="preserve"> if all the girls in LSAY09 switched schools to girls-only institutions</w:t>
      </w:r>
      <w:r w:rsidR="008E24D6">
        <w:t>,</w:t>
      </w:r>
      <w:r>
        <w:t xml:space="preserve"> their average level of physical science uptake in Year 11 would rise from 28% to 34.5%, all else being equal. While this is not a negligible difference</w:t>
      </w:r>
      <w:r w:rsidR="00C019C4">
        <w:t>,</w:t>
      </w:r>
      <w:r>
        <w:t xml:space="preserve"> it is by no means staggering.</w:t>
      </w:r>
    </w:p>
    <w:p w:rsidR="00F87F00" w:rsidRDefault="00F87F00" w:rsidP="00502974">
      <w:pPr>
        <w:pStyle w:val="Text"/>
      </w:pPr>
      <w:r>
        <w:t xml:space="preserve">With respect to boys, single-sex schooling makes no difference in the uptake of science subjects in Year 11, once a range of school and student characteristics is taken into </w:t>
      </w:r>
      <w:r w:rsidR="008E24D6">
        <w:t>account. However, boys in boys-</w:t>
      </w:r>
      <w:r>
        <w:t>only schools are more likely, all else being equal, to target caree</w:t>
      </w:r>
      <w:r w:rsidR="004E609C">
        <w:t>rs in physiotherapy or medicine</w:t>
      </w:r>
      <w:r>
        <w:t xml:space="preserve"> than boys in coeducational schools. </w:t>
      </w:r>
    </w:p>
    <w:p w:rsidR="00F87F00" w:rsidRDefault="00F87F00" w:rsidP="00502974">
      <w:pPr>
        <w:pStyle w:val="Text"/>
      </w:pPr>
      <w:r>
        <w:t xml:space="preserve">While not all effects of single-sex schooling are explained away by control variables, single-sex schools are not particularly powerful factors in encouraging enrolments in science courses or science-oriented career plans. </w:t>
      </w:r>
    </w:p>
    <w:p w:rsidR="00F87F00" w:rsidRDefault="00F87F00" w:rsidP="00502974">
      <w:pPr>
        <w:pStyle w:val="Text"/>
      </w:pPr>
      <w:r>
        <w:t>With respect to science subjects, students</w:t>
      </w:r>
      <w:r w:rsidR="00C33F0A">
        <w:t>’</w:t>
      </w:r>
      <w:r>
        <w:t xml:space="preserve"> gender, science performance and science self-confidence levels have </w:t>
      </w:r>
      <w:r w:rsidR="00F24E86">
        <w:t xml:space="preserve">a </w:t>
      </w:r>
      <w:r>
        <w:t>consistent positive influence on both life an</w:t>
      </w:r>
      <w:r w:rsidR="008E24D6">
        <w:t>d physical science engagement (t</w:t>
      </w:r>
      <w:r>
        <w:t xml:space="preserve">able </w:t>
      </w:r>
      <w:r w:rsidR="00A02143">
        <w:t>4)</w:t>
      </w:r>
      <w:r>
        <w:t>. These latter two variables are more salient for taking up physical science subjects. There is also some indication that science subjects are taken more frequently by studen</w:t>
      </w:r>
      <w:r w:rsidR="008E24D6">
        <w:t>ts from higher socioeconomic backgrounds. The s</w:t>
      </w:r>
      <w:r>
        <w:t>ocio-cultural status of a student</w:t>
      </w:r>
      <w:r w:rsidR="00C33F0A">
        <w:t>’</w:t>
      </w:r>
      <w:r>
        <w:t xml:space="preserve">s family in this analysis includes </w:t>
      </w:r>
      <w:r w:rsidR="004E609C">
        <w:t>both</w:t>
      </w:r>
      <w:r>
        <w:t xml:space="preserve"> material </w:t>
      </w:r>
      <w:r w:rsidR="004E609C">
        <w:t>and</w:t>
      </w:r>
      <w:r>
        <w:t xml:space="preserve"> cultural resources, including parental education and cultural possessions </w:t>
      </w:r>
      <w:r>
        <w:rPr>
          <w:noProof/>
        </w:rPr>
        <w:t>(OECD 2007b)</w:t>
      </w:r>
      <w:r>
        <w:t>. Furthermore, physical sciences appeal more to ethnic minority students</w:t>
      </w:r>
      <w:r w:rsidR="008E24D6">
        <w:t>,</w:t>
      </w:r>
      <w:r>
        <w:t xml:space="preserve"> as shown by </w:t>
      </w:r>
      <w:r w:rsidR="008E24D6">
        <w:t xml:space="preserve">the </w:t>
      </w:r>
      <w:r>
        <w:t>positive coefficients associated with students</w:t>
      </w:r>
      <w:r w:rsidR="00C33F0A">
        <w:t>’</w:t>
      </w:r>
      <w:r>
        <w:t xml:space="preserve"> place of birth and a negative one for English spoken at home. </w:t>
      </w:r>
    </w:p>
    <w:p w:rsidR="00F87F00" w:rsidRDefault="00F87F00" w:rsidP="00502974">
      <w:pPr>
        <w:pStyle w:val="Text"/>
      </w:pPr>
      <w:r>
        <w:t>The controls for the school sector and state or student residence, while essential, are less informative in this analysis. As these variables were used as sampling</w:t>
      </w:r>
      <w:r w:rsidRPr="00BC336F">
        <w:t xml:space="preserve"> </w:t>
      </w:r>
      <w:r>
        <w:t>strata and because science subject titles vary between particular states and territories</w:t>
      </w:r>
      <w:r w:rsidR="008E24D6">
        <w:t>,</w:t>
      </w:r>
      <w:r>
        <w:t xml:space="preserve"> these controls are necessary. It is interesting to note the apparent higher uptake of science subjects in Victoria than in New South Wales, but </w:t>
      </w:r>
      <w:r w:rsidR="008E24D6">
        <w:t>this</w:t>
      </w:r>
      <w:r>
        <w:t xml:space="preserve"> may be partially an artefact of subject coding, even though this difference appears also in students</w:t>
      </w:r>
      <w:r w:rsidR="00C33F0A">
        <w:t>’</w:t>
      </w:r>
      <w:r w:rsidR="006A2D6E">
        <w:t xml:space="preserve"> career expectations in table 5. Multilevel models in t</w:t>
      </w:r>
      <w:r>
        <w:t>ables 4 and 5 control for a wide range of indicators of students</w:t>
      </w:r>
      <w:r w:rsidR="00C33F0A">
        <w:t>’</w:t>
      </w:r>
      <w:r>
        <w:t xml:space="preserve"> abilities, background and opportunities </w:t>
      </w:r>
      <w:r>
        <w:rPr>
          <w:noProof/>
        </w:rPr>
        <w:t>(Ainley &amp; Daly 2002)</w:t>
      </w:r>
      <w:r>
        <w:t xml:space="preserve">. As was the case in previous studies, it is impossible to control for </w:t>
      </w:r>
      <w:r w:rsidR="00C33F0A">
        <w:t>‘</w:t>
      </w:r>
      <w:r>
        <w:t>constrained curriculum</w:t>
      </w:r>
      <w:r w:rsidR="00C33F0A">
        <w:t>’</w:t>
      </w:r>
      <w:r>
        <w:t xml:space="preserve"> effects</w:t>
      </w:r>
      <w:r w:rsidR="004E609C">
        <w:t>,</w:t>
      </w:r>
      <w:r>
        <w:t xml:space="preserve"> which denote </w:t>
      </w:r>
      <w:r w:rsidR="004E609C">
        <w:t xml:space="preserve">the </w:t>
      </w:r>
      <w:r>
        <w:t>availability of subjects, but a number of variables, including school location (metropolitan versus other), students</w:t>
      </w:r>
      <w:r w:rsidR="00C33F0A">
        <w:t>’</w:t>
      </w:r>
      <w:r>
        <w:t xml:space="preserve"> prior academ</w:t>
      </w:r>
      <w:r w:rsidR="00A431E5">
        <w:t xml:space="preserve">ic </w:t>
      </w:r>
      <w:r w:rsidR="00F76F68">
        <w:t>achievement and school sector</w:t>
      </w:r>
      <w:r w:rsidR="00C019C4">
        <w:t>,</w:t>
      </w:r>
      <w:r>
        <w:t xml:space="preserve"> are used as proxy variables to address this issue </w:t>
      </w:r>
      <w:r>
        <w:rPr>
          <w:noProof/>
        </w:rPr>
        <w:t>(Ainley &amp; Daly 2002)</w:t>
      </w:r>
      <w:r w:rsidR="006A2D6E">
        <w:t>. At the school level (t</w:t>
      </w:r>
      <w:r>
        <w:t xml:space="preserve">able 4) students in both independent and Catholic schools are more likely to take life science subjects, although only independent schools foster </w:t>
      </w:r>
      <w:r w:rsidR="004E609C">
        <w:t xml:space="preserve">a </w:t>
      </w:r>
      <w:r>
        <w:t>higher likelihood of enrolment into physical science in Year 11.</w:t>
      </w:r>
    </w:p>
    <w:p w:rsidR="00F87F00" w:rsidRDefault="00F87F00" w:rsidP="00502974">
      <w:pPr>
        <w:pStyle w:val="Text"/>
      </w:pPr>
      <w:r>
        <w:t>Arguably</w:t>
      </w:r>
      <w:r w:rsidR="006A2D6E">
        <w:t>,</w:t>
      </w:r>
      <w:r>
        <w:t xml:space="preserve"> the benefits of science engagement in high school may be short-lived if students do not plan further study or careers in science-related fields. This is why, in assessing the potential benefits of single</w:t>
      </w:r>
      <w:r w:rsidR="007D52C9">
        <w:t>-sex schooling, it is worth</w:t>
      </w:r>
      <w:r>
        <w:t xml:space="preserve"> consider</w:t>
      </w:r>
      <w:r w:rsidR="006A2D6E">
        <w:t>ing the</w:t>
      </w:r>
      <w:r>
        <w:t xml:space="preserve"> career expectations of students in both types of schools. Plans for careers in physical science are not significantly related to sector or </w:t>
      </w:r>
      <w:r w:rsidR="00117260">
        <w:t xml:space="preserve">the </w:t>
      </w:r>
      <w:r>
        <w:t>gender composition of schools. The only effect at school level is the propensity of boys in sex-segregated schools to opt a little more frequently for life science profes</w:t>
      </w:r>
      <w:r w:rsidR="006A2D6E">
        <w:t>sions (0.55**, in bold type in t</w:t>
      </w:r>
      <w:r>
        <w:t xml:space="preserve">able </w:t>
      </w:r>
      <w:r w:rsidR="00A02143">
        <w:t>5</w:t>
      </w:r>
      <w:r>
        <w:t xml:space="preserve">). Students in Catholic and independent schools </w:t>
      </w:r>
      <w:r w:rsidR="00C019C4">
        <w:t>are more likely than government-</w:t>
      </w:r>
      <w:r>
        <w:t>sector students to plan life science careers, but overall it is more individual tha</w:t>
      </w:r>
      <w:r w:rsidR="00117260">
        <w:t>n school-</w:t>
      </w:r>
      <w:r>
        <w:t xml:space="preserve">level factors that make a significant difference to </w:t>
      </w:r>
      <w:r w:rsidR="00117260">
        <w:t xml:space="preserve">the </w:t>
      </w:r>
      <w:r>
        <w:t>vocational plans of students. Ethnic minority students are not only more likely to take physical science courses in Year 11 (-0.78**</w:t>
      </w:r>
      <w:r w:rsidR="006A2D6E">
        <w:t xml:space="preserve"> for English spoken at home in t</w:t>
      </w:r>
      <w:r>
        <w:t xml:space="preserve">able 4) but also to </w:t>
      </w:r>
      <w:r>
        <w:lastRenderedPageBreak/>
        <w:t xml:space="preserve">plan a career in science-related </w:t>
      </w:r>
      <w:r w:rsidR="006A2D6E">
        <w:t>fields (-0.44** and -0.31** in table 5). Foreign-</w:t>
      </w:r>
      <w:r>
        <w:t xml:space="preserve">born students are more interested in physical science compared </w:t>
      </w:r>
      <w:r w:rsidR="006A2D6E">
        <w:t>with their Australian-</w:t>
      </w:r>
      <w:r>
        <w:t xml:space="preserve">born peers. There are a number of state differences, of which Victorian students, who were also more likely than students in New South Wales to take science courses in Year 11, stand out as more keen on science-related employment. Academic success in science is conducive to science subject uptake and </w:t>
      </w:r>
      <w:r w:rsidR="006A2D6E">
        <w:t xml:space="preserve">the </w:t>
      </w:r>
      <w:r>
        <w:t>forming of science-oriented vocational plans, although m</w:t>
      </w:r>
      <w:r w:rsidR="006A2D6E">
        <w:t>ore so for physical (0.87** in table 4 and 0.41** in t</w:t>
      </w:r>
      <w:r>
        <w:t xml:space="preserve">able 5) than life </w:t>
      </w:r>
      <w:r w:rsidR="006A2D6E">
        <w:t xml:space="preserve">science occupations (0.11** in table 4 and 0.25** in table 5). Higher </w:t>
      </w:r>
      <w:r>
        <w:t>levels of science confidence boost all for</w:t>
      </w:r>
      <w:r w:rsidR="006A2D6E">
        <w:t>ms of science engagement, while</w:t>
      </w:r>
      <w:r>
        <w:t xml:space="preserve"> the time devoted to studying science is a significant predictor of science-related occupational expectations. The latter demonstrates an extra commitment to science study on the part of those students who are intent on future careers in this area.</w:t>
      </w:r>
    </w:p>
    <w:p w:rsidR="00F87F00" w:rsidRDefault="00F87F00">
      <w:pPr>
        <w:spacing w:before="0" w:line="240" w:lineRule="auto"/>
      </w:pPr>
    </w:p>
    <w:p w:rsidR="00877A61" w:rsidRDefault="00877A61">
      <w:pPr>
        <w:spacing w:before="0" w:after="200" w:line="276" w:lineRule="auto"/>
        <w:rPr>
          <w:rFonts w:ascii="Tahoma" w:hAnsi="Tahoma" w:cs="Tahoma"/>
          <w:color w:val="000000"/>
          <w:kern w:val="28"/>
          <w:sz w:val="56"/>
          <w:szCs w:val="56"/>
        </w:rPr>
      </w:pPr>
      <w:r>
        <w:br w:type="page"/>
      </w:r>
    </w:p>
    <w:p w:rsidR="00F87F00" w:rsidRDefault="00F87F00" w:rsidP="00877A61">
      <w:pPr>
        <w:pStyle w:val="Heading1"/>
      </w:pPr>
      <w:bookmarkStart w:id="65" w:name="_Toc367713383"/>
      <w:r>
        <w:lastRenderedPageBreak/>
        <w:t>Conclusions</w:t>
      </w:r>
      <w:bookmarkEnd w:id="65"/>
    </w:p>
    <w:p w:rsidR="00F87F00" w:rsidRDefault="00F87F00" w:rsidP="00502974">
      <w:pPr>
        <w:pStyle w:val="Text"/>
      </w:pPr>
      <w:r>
        <w:t>I</w:t>
      </w:r>
      <w:r w:rsidRPr="00D21E38">
        <w:t xml:space="preserve">n contrast to </w:t>
      </w:r>
      <w:r>
        <w:t>an earlier study conducted on the LSAY95 data, this paper concludes</w:t>
      </w:r>
      <w:r w:rsidRPr="00D21E38">
        <w:t xml:space="preserve"> that single-sex schooling moderately benefit</w:t>
      </w:r>
      <w:r>
        <w:t>s</w:t>
      </w:r>
      <w:r w:rsidRPr="00D21E38">
        <w:t xml:space="preserve"> girls </w:t>
      </w:r>
      <w:r>
        <w:t>by</w:t>
      </w:r>
      <w:r w:rsidRPr="00D21E38">
        <w:t xml:space="preserve"> fostering </w:t>
      </w:r>
      <w:r>
        <w:t>higher rates of engagement in</w:t>
      </w:r>
      <w:r w:rsidRPr="00D21E38">
        <w:t xml:space="preserve"> </w:t>
      </w:r>
      <w:r>
        <w:t>physical</w:t>
      </w:r>
      <w:r w:rsidRPr="00D21E38">
        <w:t xml:space="preserve"> science courses </w:t>
      </w:r>
      <w:r>
        <w:t>in Year 11. However, while girls study physical science more frequently in these schools</w:t>
      </w:r>
      <w:r w:rsidR="00117260">
        <w:t>,</w:t>
      </w:r>
      <w:r>
        <w:t xml:space="preserve"> they are no more likely than girls elsewhere to aspire to careers related to these subjects. Conversely, for boys in LSAY09 the attendance of single-sex schools made no difference in the uptake of life and physical science courses, but these boys were more likely than boys in coeducational schools to plan life science careers.</w:t>
      </w:r>
    </w:p>
    <w:p w:rsidR="00F87F00" w:rsidRDefault="00F87F00" w:rsidP="00502974">
      <w:pPr>
        <w:pStyle w:val="Text"/>
      </w:pPr>
      <w:r>
        <w:t>These results need to be considered in the broader context of the Australian education system. First, it seems that sex-segregated education is on the decline, after a long period of accounting for about 20% of student enrolments. Therefore, the analyses performed in this paper are necessarily based on low numbers of students in girls-only and boys-only schools.</w:t>
      </w:r>
      <w:r w:rsidRPr="0073008A">
        <w:t xml:space="preserve"> </w:t>
      </w:r>
      <w:r>
        <w:t xml:space="preserve">Furthermore, the benefits of single-sex schooling for science engagement identified in this paper are moderate in size. Finally, the question that arises is to what extent is </w:t>
      </w:r>
      <w:r w:rsidR="006A2D6E">
        <w:t xml:space="preserve">the </w:t>
      </w:r>
      <w:r>
        <w:t xml:space="preserve">greater involvement in physical science of girls in Year 11 of lasting benefit, if this form of science engagement is not accompanied by plans to enter the associated careers? Likewise, while the tendency for boys in single-sex schools to nominate </w:t>
      </w:r>
      <w:r w:rsidR="00F24E86">
        <w:t xml:space="preserve">a </w:t>
      </w:r>
      <w:r>
        <w:t xml:space="preserve">future life science career as their ambition might be construed as a proof of more gender-integrated school cultures, alternative explanations are equally plausible. For instance, </w:t>
      </w:r>
      <w:r w:rsidR="006A2D6E">
        <w:t xml:space="preserve">the </w:t>
      </w:r>
      <w:r>
        <w:t>cultural capital of parents related to their field of employment is likely to influence youth career aspirations. A recent international study confirms that</w:t>
      </w:r>
      <w:r w:rsidR="00117260">
        <w:t xml:space="preserve"> the</w:t>
      </w:r>
      <w:r>
        <w:t xml:space="preserve"> sons of fathers who work in life science occupations are more likely than other students, all else being equal, to plan a similar career for themselves </w:t>
      </w:r>
      <w:r>
        <w:rPr>
          <w:noProof/>
        </w:rPr>
        <w:t>(Sikora &amp; Pokropek 2012b)</w:t>
      </w:r>
      <w:r>
        <w:t>.</w:t>
      </w:r>
    </w:p>
    <w:p w:rsidR="00F87F00" w:rsidRDefault="00F87F00" w:rsidP="00A147DD">
      <w:pPr>
        <w:pStyle w:val="Text"/>
        <w:ind w:right="-144"/>
      </w:pPr>
      <w:r>
        <w:t>While it is impossible in this analysis to dismiss a positive impact of single-sex schooling, it must be born</w:t>
      </w:r>
      <w:r w:rsidR="006A2D6E">
        <w:t>e</w:t>
      </w:r>
      <w:r>
        <w:t xml:space="preserve"> in mind that the numbers of students likely to attend single-sex schools are declining, that the benefits are not equal for life and physical sciences, </w:t>
      </w:r>
      <w:r w:rsidR="00F24E86">
        <w:t xml:space="preserve">and </w:t>
      </w:r>
      <w:r>
        <w:t xml:space="preserve">that factors which encourage girls in girls-only schools to study physical science do not foster hopes for careers in these fields. Thus, it is doubtful </w:t>
      </w:r>
      <w:r w:rsidR="00117260">
        <w:t>whether</w:t>
      </w:r>
      <w:r>
        <w:t xml:space="preserve"> these </w:t>
      </w:r>
      <w:r w:rsidR="006A2D6E">
        <w:t>moderate benefits are of a long-</w:t>
      </w:r>
      <w:r>
        <w:t xml:space="preserve">lasting nature and could justify a serious consideration of programs designed to extend single-sex education into the government sector. In response to </w:t>
      </w:r>
      <w:r w:rsidR="00C33F0A">
        <w:t>‘</w:t>
      </w:r>
      <w:r>
        <w:t>What if we had girls</w:t>
      </w:r>
      <w:r w:rsidR="00C33F0A">
        <w:t>’</w:t>
      </w:r>
      <w:r>
        <w:t xml:space="preserve"> or boys</w:t>
      </w:r>
      <w:r w:rsidR="00C33F0A">
        <w:t>’</w:t>
      </w:r>
      <w:r>
        <w:t xml:space="preserve"> schools, or some schools offering single-sex classes?</w:t>
      </w:r>
      <w:r w:rsidR="00C33F0A">
        <w:t>’</w:t>
      </w:r>
      <w:r>
        <w:t xml:space="preserve"> asked by the </w:t>
      </w:r>
      <w:r w:rsidR="007C3DD7">
        <w:t xml:space="preserve">ACT Government, Education and Training </w:t>
      </w:r>
      <w:r>
        <w:rPr>
          <w:noProof/>
        </w:rPr>
        <w:t>(2010)</w:t>
      </w:r>
      <w:r>
        <w:t xml:space="preserve"> in the context of brainstorming about future reforms </w:t>
      </w:r>
      <w:r w:rsidR="00117260">
        <w:t>to</w:t>
      </w:r>
      <w:r>
        <w:t xml:space="preserve"> local government schools, this paper suggests, if only in terms of science engagement, that such changes would have very moderate effects. </w:t>
      </w:r>
      <w:r w:rsidRPr="00AA736E">
        <w:t>Far more likely is</w:t>
      </w:r>
      <w:r w:rsidR="004D7801" w:rsidRPr="00AA736E">
        <w:t xml:space="preserve"> that</w:t>
      </w:r>
      <w:r w:rsidRPr="00AA736E">
        <w:t xml:space="preserve"> the gender segregation enforced and perpetuated by powerful factors outside the school environments w</w:t>
      </w:r>
      <w:r w:rsidR="004D7801" w:rsidRPr="00AA736E">
        <w:t>ill be</w:t>
      </w:r>
      <w:r w:rsidRPr="00AA736E">
        <w:t xml:space="preserve"> reflected in students</w:t>
      </w:r>
      <w:r w:rsidR="00C33F0A" w:rsidRPr="00AA736E">
        <w:t>’</w:t>
      </w:r>
      <w:r w:rsidRPr="00AA736E">
        <w:t xml:space="preserve"> choices of science courses and </w:t>
      </w:r>
      <w:r w:rsidR="004D7801" w:rsidRPr="00AA736E">
        <w:t>science careers</w:t>
      </w:r>
      <w:r w:rsidR="00C019C4">
        <w:t>,</w:t>
      </w:r>
      <w:r w:rsidR="004D7801" w:rsidRPr="00AA736E">
        <w:t xml:space="preserve"> regardless of the type of school they attend</w:t>
      </w:r>
      <w:r w:rsidRPr="00AA736E">
        <w:t>.</w:t>
      </w:r>
      <w:r>
        <w:t xml:space="preserve"> Most Australian schools will remain coeducational. If they were all to be converted into single-sex schools, the potential benefits would be negligible</w:t>
      </w:r>
      <w:r w:rsidR="00C019C4">
        <w:t>,</w:t>
      </w:r>
      <w:r>
        <w:t xml:space="preserve"> as it is highly unlikely that single-sex schooling is an effective </w:t>
      </w:r>
      <w:r w:rsidR="00F95435">
        <w:t>remedy</w:t>
      </w:r>
      <w:r>
        <w:t xml:space="preserve"> for reducing gender segregation in all forms of school activities, including science engagement. Furthermore, sex-segregated schooling is even less likely to ameliorate </w:t>
      </w:r>
      <w:r w:rsidR="00D73B31">
        <w:t xml:space="preserve">the </w:t>
      </w:r>
      <w:r>
        <w:t xml:space="preserve">gender segregation which affects </w:t>
      </w:r>
      <w:r w:rsidR="00117260">
        <w:t xml:space="preserve">the </w:t>
      </w:r>
      <w:r>
        <w:t xml:space="preserve">later life outcomes of young people </w:t>
      </w:r>
      <w:r w:rsidR="00D73B31">
        <w:rPr>
          <w:noProof/>
        </w:rPr>
        <w:t>(Sullivan, Joshi</w:t>
      </w:r>
      <w:r>
        <w:rPr>
          <w:noProof/>
        </w:rPr>
        <w:t xml:space="preserve"> &amp; Leonard </w:t>
      </w:r>
      <w:r w:rsidR="00D73B31">
        <w:rPr>
          <w:noProof/>
        </w:rPr>
        <w:t>2010,</w:t>
      </w:r>
      <w:r>
        <w:rPr>
          <w:noProof/>
        </w:rPr>
        <w:t xml:space="preserve"> 2011)</w:t>
      </w:r>
      <w:r>
        <w:t>.</w:t>
      </w:r>
    </w:p>
    <w:p w:rsidR="00F87F00" w:rsidRDefault="00F87F00">
      <w:pPr>
        <w:spacing w:before="0" w:line="240" w:lineRule="auto"/>
        <w:rPr>
          <w:rFonts w:ascii="Tahoma" w:hAnsi="Tahoma" w:cs="Tahoma"/>
          <w:color w:val="000000"/>
          <w:kern w:val="28"/>
          <w:sz w:val="56"/>
          <w:szCs w:val="56"/>
        </w:rPr>
      </w:pPr>
      <w:r>
        <w:rPr>
          <w:rFonts w:ascii="Tahoma" w:hAnsi="Tahoma" w:cs="Tahoma"/>
          <w:color w:val="000000"/>
          <w:kern w:val="28"/>
          <w:sz w:val="56"/>
          <w:szCs w:val="56"/>
        </w:rPr>
        <w:br w:type="page"/>
      </w:r>
    </w:p>
    <w:p w:rsidR="00F87F00" w:rsidRDefault="00F87F00" w:rsidP="00502974">
      <w:pPr>
        <w:pStyle w:val="Heading1"/>
      </w:pPr>
      <w:bookmarkStart w:id="66" w:name="_Toc367713384"/>
      <w:r>
        <w:lastRenderedPageBreak/>
        <w:t>References</w:t>
      </w:r>
      <w:bookmarkEnd w:id="61"/>
      <w:bookmarkEnd w:id="62"/>
      <w:bookmarkEnd w:id="63"/>
      <w:bookmarkEnd w:id="66"/>
    </w:p>
    <w:p w:rsidR="00237162" w:rsidRDefault="0091032D" w:rsidP="00237162">
      <w:pPr>
        <w:pStyle w:val="References"/>
        <w:ind w:left="720" w:hanging="720"/>
        <w:rPr>
          <w:noProof/>
        </w:rPr>
      </w:pPr>
      <w:r>
        <w:fldChar w:fldCharType="begin"/>
      </w:r>
      <w:r w:rsidR="00237162">
        <w:instrText xml:space="preserve"> ADDIN EN.REFLIST </w:instrText>
      </w:r>
      <w:r>
        <w:fldChar w:fldCharType="separate"/>
      </w:r>
      <w:bookmarkStart w:id="67" w:name="_ENREF_2"/>
      <w:r w:rsidR="00D73B31">
        <w:rPr>
          <w:noProof/>
        </w:rPr>
        <w:t>ABS (</w:t>
      </w:r>
      <w:r w:rsidR="00237162">
        <w:rPr>
          <w:noProof/>
        </w:rPr>
        <w:t>Australian Bureau of Statistics</w:t>
      </w:r>
      <w:r w:rsidR="00D73B31">
        <w:rPr>
          <w:noProof/>
        </w:rPr>
        <w:t>)</w:t>
      </w:r>
      <w:r w:rsidR="00237162">
        <w:rPr>
          <w:noProof/>
        </w:rPr>
        <w:t xml:space="preserve"> 1997, </w:t>
      </w:r>
      <w:r w:rsidR="00237162" w:rsidRPr="00EE4C1D">
        <w:rPr>
          <w:i/>
          <w:noProof/>
        </w:rPr>
        <w:t>Australian</w:t>
      </w:r>
      <w:r w:rsidR="00D73B31" w:rsidRPr="00EE4C1D">
        <w:rPr>
          <w:i/>
          <w:noProof/>
        </w:rPr>
        <w:t xml:space="preserve"> social trend</w:t>
      </w:r>
      <w:r w:rsidR="00237162" w:rsidRPr="00EE4C1D">
        <w:rPr>
          <w:i/>
          <w:noProof/>
        </w:rPr>
        <w:t>s</w:t>
      </w:r>
      <w:r w:rsidR="00237162">
        <w:rPr>
          <w:noProof/>
        </w:rPr>
        <w:t xml:space="preserve">, </w:t>
      </w:r>
      <w:r w:rsidR="00D73B31" w:rsidRPr="00EE4C1D">
        <w:rPr>
          <w:i/>
          <w:noProof/>
        </w:rPr>
        <w:t xml:space="preserve">participation in education: government and </w:t>
      </w:r>
      <w:r w:rsidR="00237162" w:rsidRPr="00EE4C1D">
        <w:rPr>
          <w:i/>
          <w:noProof/>
        </w:rPr>
        <w:t>non-government schools</w:t>
      </w:r>
      <w:r w:rsidR="00237162">
        <w:rPr>
          <w:i/>
          <w:noProof/>
        </w:rPr>
        <w:t>,</w:t>
      </w:r>
      <w:r w:rsidR="00237162">
        <w:rPr>
          <w:noProof/>
        </w:rPr>
        <w:t xml:space="preserve"> </w:t>
      </w:r>
      <w:r w:rsidR="00D73B31">
        <w:rPr>
          <w:noProof/>
        </w:rPr>
        <w:t>cat</w:t>
      </w:r>
      <w:r w:rsidR="00D73B31">
        <w:rPr>
          <w:i/>
          <w:noProof/>
        </w:rPr>
        <w:t>.</w:t>
      </w:r>
      <w:r w:rsidR="00D73B31">
        <w:rPr>
          <w:noProof/>
        </w:rPr>
        <w:t>no.</w:t>
      </w:r>
      <w:r w:rsidR="00D73B31" w:rsidRPr="00BD02EA">
        <w:rPr>
          <w:noProof/>
        </w:rPr>
        <w:t>4102</w:t>
      </w:r>
      <w:r w:rsidR="00D73B31">
        <w:rPr>
          <w:noProof/>
        </w:rPr>
        <w:t>,</w:t>
      </w:r>
      <w:r w:rsidR="00C019C4">
        <w:rPr>
          <w:noProof/>
        </w:rPr>
        <w:t xml:space="preserve"> </w:t>
      </w:r>
      <w:r w:rsidR="00237162">
        <w:rPr>
          <w:noProof/>
        </w:rPr>
        <w:t>ABS, Canberra.</w:t>
      </w:r>
      <w:bookmarkEnd w:id="67"/>
    </w:p>
    <w:p w:rsidR="00237162" w:rsidRDefault="00BE03BB" w:rsidP="00237162">
      <w:pPr>
        <w:pStyle w:val="References"/>
        <w:ind w:left="720" w:hanging="720"/>
        <w:rPr>
          <w:noProof/>
        </w:rPr>
      </w:pPr>
      <w:bookmarkStart w:id="68" w:name="_ENREF_3"/>
      <w:r>
        <w:rPr>
          <w:noProof/>
          <w:w w:val="200"/>
          <w:szCs w:val="18"/>
        </w:rPr>
        <w:t>——</w:t>
      </w:r>
      <w:r w:rsidR="00237162" w:rsidRPr="002D73A8">
        <w:rPr>
          <w:noProof/>
        </w:rPr>
        <w:t>2006,</w:t>
      </w:r>
      <w:r w:rsidR="00237162">
        <w:rPr>
          <w:noProof/>
        </w:rPr>
        <w:t xml:space="preserve"> </w:t>
      </w:r>
      <w:r w:rsidR="00237162" w:rsidRPr="00EE4C1D">
        <w:rPr>
          <w:i/>
          <w:noProof/>
        </w:rPr>
        <w:t>Australian and New Zealand Standard Classification of Occupations</w:t>
      </w:r>
      <w:r w:rsidR="00237162">
        <w:rPr>
          <w:i/>
          <w:noProof/>
        </w:rPr>
        <w:t xml:space="preserve"> </w:t>
      </w:r>
      <w:r w:rsidR="00237162">
        <w:rPr>
          <w:noProof/>
        </w:rPr>
        <w:t>(</w:t>
      </w:r>
      <w:r w:rsidR="00237162">
        <w:rPr>
          <w:i/>
          <w:noProof/>
        </w:rPr>
        <w:t>ANZSCO</w:t>
      </w:r>
      <w:r w:rsidR="00237162">
        <w:rPr>
          <w:noProof/>
        </w:rPr>
        <w:t>)</w:t>
      </w:r>
      <w:r w:rsidR="00237162" w:rsidRPr="00EE4C1D">
        <w:rPr>
          <w:i/>
          <w:noProof/>
        </w:rPr>
        <w:t xml:space="preserve">, </w:t>
      </w:r>
      <w:r w:rsidR="00D73B31" w:rsidRPr="00117260">
        <w:rPr>
          <w:noProof/>
        </w:rPr>
        <w:t>1st edn</w:t>
      </w:r>
      <w:r w:rsidR="00237162" w:rsidRPr="00117260">
        <w:rPr>
          <w:noProof/>
        </w:rPr>
        <w:t>, c</w:t>
      </w:r>
      <w:r w:rsidR="00D73B31" w:rsidRPr="00117260">
        <w:rPr>
          <w:noProof/>
        </w:rPr>
        <w:t>at.</w:t>
      </w:r>
      <w:r w:rsidR="00237162" w:rsidRPr="00117260">
        <w:rPr>
          <w:noProof/>
        </w:rPr>
        <w:t>n</w:t>
      </w:r>
      <w:r w:rsidR="00D73B31" w:rsidRPr="00117260">
        <w:rPr>
          <w:noProof/>
        </w:rPr>
        <w:t>o.</w:t>
      </w:r>
      <w:r w:rsidR="00237162" w:rsidRPr="00117260">
        <w:rPr>
          <w:noProof/>
        </w:rPr>
        <w:t>1220,</w:t>
      </w:r>
      <w:r w:rsidR="00237162">
        <w:rPr>
          <w:noProof/>
        </w:rPr>
        <w:t xml:space="preserve"> ABS, Statistics</w:t>
      </w:r>
      <w:r w:rsidR="00D73B31">
        <w:rPr>
          <w:noProof/>
        </w:rPr>
        <w:t>,</w:t>
      </w:r>
      <w:r w:rsidR="00237162">
        <w:rPr>
          <w:noProof/>
        </w:rPr>
        <w:t xml:space="preserve"> Canberra.</w:t>
      </w:r>
      <w:bookmarkEnd w:id="68"/>
    </w:p>
    <w:p w:rsidR="00237162" w:rsidRDefault="007C3DD7" w:rsidP="00237162">
      <w:pPr>
        <w:pStyle w:val="References"/>
        <w:ind w:left="720" w:hanging="720"/>
        <w:rPr>
          <w:noProof/>
        </w:rPr>
      </w:pPr>
      <w:bookmarkStart w:id="69" w:name="_ENREF_4"/>
      <w:r>
        <w:rPr>
          <w:noProof/>
        </w:rPr>
        <w:t>ACT</w:t>
      </w:r>
      <w:r w:rsidR="00237162">
        <w:rPr>
          <w:noProof/>
        </w:rPr>
        <w:t xml:space="preserve"> Government</w:t>
      </w:r>
      <w:r>
        <w:rPr>
          <w:noProof/>
        </w:rPr>
        <w:t>, Education and Training</w:t>
      </w:r>
      <w:r w:rsidR="00237162">
        <w:rPr>
          <w:noProof/>
        </w:rPr>
        <w:t xml:space="preserve"> 2010, </w:t>
      </w:r>
      <w:r w:rsidR="00C33F0A">
        <w:rPr>
          <w:noProof/>
        </w:rPr>
        <w:t>‘</w:t>
      </w:r>
      <w:r w:rsidR="00237162">
        <w:rPr>
          <w:noProof/>
        </w:rPr>
        <w:t>Improving ACT</w:t>
      </w:r>
      <w:r w:rsidR="00D73B31">
        <w:rPr>
          <w:noProof/>
        </w:rPr>
        <w:t xml:space="preserve"> public high schools and colleges: a </w:t>
      </w:r>
      <w:r w:rsidR="00237162">
        <w:rPr>
          <w:noProof/>
        </w:rPr>
        <w:t>discussion paper to generate ideas</w:t>
      </w:r>
      <w:r w:rsidR="00C33F0A">
        <w:rPr>
          <w:noProof/>
        </w:rPr>
        <w:t>’</w:t>
      </w:r>
      <w:r w:rsidR="00237162">
        <w:rPr>
          <w:noProof/>
        </w:rPr>
        <w:t>, ACT Government, Education and Training, Canberra.</w:t>
      </w:r>
      <w:bookmarkEnd w:id="69"/>
    </w:p>
    <w:p w:rsidR="00C31772" w:rsidRDefault="00C31772" w:rsidP="00C31772">
      <w:pPr>
        <w:pStyle w:val="References"/>
        <w:ind w:left="720" w:hanging="720"/>
        <w:rPr>
          <w:noProof/>
        </w:rPr>
      </w:pPr>
      <w:bookmarkStart w:id="70" w:name="_ENREF_7"/>
      <w:r>
        <w:rPr>
          <w:noProof/>
        </w:rPr>
        <w:t xml:space="preserve">Ainley, M &amp; Ainley, J 2011, </w:t>
      </w:r>
      <w:r w:rsidR="00C33F0A">
        <w:rPr>
          <w:noProof/>
        </w:rPr>
        <w:t>‘</w:t>
      </w:r>
      <w:r>
        <w:rPr>
          <w:noProof/>
        </w:rPr>
        <w:t>A cultural perspective on the structure of student interest in science</w:t>
      </w:r>
      <w:r w:rsidR="00C33F0A">
        <w:rPr>
          <w:noProof/>
        </w:rPr>
        <w:t>’</w:t>
      </w:r>
      <w:r>
        <w:rPr>
          <w:noProof/>
        </w:rPr>
        <w:t xml:space="preserve">, </w:t>
      </w:r>
      <w:r w:rsidRPr="00EE4C1D">
        <w:rPr>
          <w:i/>
          <w:noProof/>
        </w:rPr>
        <w:t xml:space="preserve">International Journal of Science Education, </w:t>
      </w:r>
      <w:r w:rsidR="00451ECD">
        <w:rPr>
          <w:noProof/>
        </w:rPr>
        <w:t>vol.</w:t>
      </w:r>
      <w:r>
        <w:rPr>
          <w:noProof/>
        </w:rPr>
        <w:t xml:space="preserve">33, </w:t>
      </w:r>
      <w:r w:rsidR="00451ECD">
        <w:rPr>
          <w:noProof/>
        </w:rPr>
        <w:t>no.</w:t>
      </w:r>
      <w:r>
        <w:rPr>
          <w:noProof/>
        </w:rPr>
        <w:t xml:space="preserve">1, </w:t>
      </w:r>
      <w:r w:rsidR="00451ECD">
        <w:rPr>
          <w:noProof/>
        </w:rPr>
        <w:t>pp.</w:t>
      </w:r>
      <w:r w:rsidR="00117260">
        <w:rPr>
          <w:noProof/>
        </w:rPr>
        <w:t>51—</w:t>
      </w:r>
      <w:r>
        <w:rPr>
          <w:noProof/>
        </w:rPr>
        <w:t>71.</w:t>
      </w:r>
      <w:bookmarkEnd w:id="70"/>
    </w:p>
    <w:p w:rsidR="00237162" w:rsidRDefault="00237162" w:rsidP="00237162">
      <w:pPr>
        <w:pStyle w:val="References"/>
        <w:ind w:left="720" w:hanging="720"/>
        <w:rPr>
          <w:noProof/>
        </w:rPr>
      </w:pPr>
      <w:bookmarkStart w:id="71" w:name="_ENREF_5"/>
      <w:r>
        <w:rPr>
          <w:noProof/>
        </w:rPr>
        <w:t xml:space="preserve">Ainley, J &amp; Daly, P 2002, </w:t>
      </w:r>
      <w:r w:rsidR="00C33F0A">
        <w:rPr>
          <w:noProof/>
        </w:rPr>
        <w:t>‘</w:t>
      </w:r>
      <w:r>
        <w:rPr>
          <w:noProof/>
        </w:rPr>
        <w:t>Participation in science courses in the final yea</w:t>
      </w:r>
      <w:r w:rsidR="00D73B31">
        <w:rPr>
          <w:noProof/>
        </w:rPr>
        <w:t>r of high school in Australia: t</w:t>
      </w:r>
      <w:r>
        <w:rPr>
          <w:noProof/>
        </w:rPr>
        <w:t>he influences of single-sex</w:t>
      </w:r>
      <w:r w:rsidR="00C31772">
        <w:rPr>
          <w:noProof/>
        </w:rPr>
        <w:t xml:space="preserve"> and coeducational schools</w:t>
      </w:r>
      <w:r w:rsidR="00C33F0A">
        <w:rPr>
          <w:noProof/>
        </w:rPr>
        <w:t>’</w:t>
      </w:r>
      <w:r w:rsidR="00C31772">
        <w:rPr>
          <w:noProof/>
        </w:rPr>
        <w:t>, in</w:t>
      </w:r>
      <w:r>
        <w:rPr>
          <w:noProof/>
        </w:rPr>
        <w:t xml:space="preserve"> </w:t>
      </w:r>
      <w:r w:rsidRPr="00EE4C1D">
        <w:rPr>
          <w:i/>
          <w:noProof/>
        </w:rPr>
        <w:t>Gender in policy and practice: perspectives on single-sex and coeducational schooling</w:t>
      </w:r>
      <w:r>
        <w:rPr>
          <w:noProof/>
        </w:rPr>
        <w:t xml:space="preserve">, </w:t>
      </w:r>
      <w:r w:rsidR="00C31772">
        <w:rPr>
          <w:noProof/>
        </w:rPr>
        <w:t>eds A Datnow &amp; L Hubbard</w:t>
      </w:r>
      <w:r w:rsidR="00117260">
        <w:rPr>
          <w:noProof/>
        </w:rPr>
        <w:t>,</w:t>
      </w:r>
      <w:r w:rsidR="00C31772">
        <w:rPr>
          <w:noProof/>
        </w:rPr>
        <w:t xml:space="preserve"> </w:t>
      </w:r>
      <w:r>
        <w:rPr>
          <w:noProof/>
        </w:rPr>
        <w:t xml:space="preserve">Routledge Falmer, New York &amp; London, </w:t>
      </w:r>
      <w:r w:rsidR="00451ECD">
        <w:rPr>
          <w:noProof/>
        </w:rPr>
        <w:t>pp.</w:t>
      </w:r>
      <w:bookmarkEnd w:id="71"/>
      <w:r w:rsidR="00D73B31">
        <w:rPr>
          <w:noProof/>
        </w:rPr>
        <w:t>243—</w:t>
      </w:r>
      <w:r>
        <w:rPr>
          <w:noProof/>
        </w:rPr>
        <w:t>61.</w:t>
      </w:r>
    </w:p>
    <w:p w:rsidR="00237162" w:rsidRDefault="00D73B31" w:rsidP="00237162">
      <w:pPr>
        <w:pStyle w:val="References"/>
        <w:ind w:left="720" w:hanging="720"/>
        <w:rPr>
          <w:noProof/>
        </w:rPr>
      </w:pPr>
      <w:bookmarkStart w:id="72" w:name="_ENREF_6"/>
      <w:r>
        <w:rPr>
          <w:noProof/>
        </w:rPr>
        <w:t>Ainley, J, Kos, J</w:t>
      </w:r>
      <w:r w:rsidR="00237162" w:rsidRPr="005175A0">
        <w:rPr>
          <w:noProof/>
        </w:rPr>
        <w:t xml:space="preserve"> &amp; Nicholas, M </w:t>
      </w:r>
      <w:r w:rsidR="00237162">
        <w:rPr>
          <w:noProof/>
        </w:rPr>
        <w:t xml:space="preserve">2008, </w:t>
      </w:r>
      <w:r w:rsidR="00237162" w:rsidRPr="005175A0">
        <w:rPr>
          <w:i/>
          <w:noProof/>
        </w:rPr>
        <w:t xml:space="preserve">Participation in </w:t>
      </w:r>
      <w:r w:rsidRPr="005175A0">
        <w:rPr>
          <w:i/>
          <w:noProof/>
        </w:rPr>
        <w:t xml:space="preserve">science, mathematics and technology </w:t>
      </w:r>
      <w:r w:rsidR="00237162" w:rsidRPr="005175A0">
        <w:rPr>
          <w:i/>
          <w:noProof/>
        </w:rPr>
        <w:t>in Australian</w:t>
      </w:r>
      <w:r w:rsidRPr="005175A0">
        <w:rPr>
          <w:i/>
          <w:noProof/>
        </w:rPr>
        <w:t xml:space="preserve"> ed</w:t>
      </w:r>
      <w:r w:rsidR="00237162" w:rsidRPr="005175A0">
        <w:rPr>
          <w:i/>
          <w:noProof/>
        </w:rPr>
        <w:t>ucation</w:t>
      </w:r>
      <w:r w:rsidR="00237162">
        <w:rPr>
          <w:noProof/>
        </w:rPr>
        <w:t xml:space="preserve">, </w:t>
      </w:r>
      <w:r w:rsidR="00237162" w:rsidRPr="005175A0">
        <w:rPr>
          <w:noProof/>
        </w:rPr>
        <w:t xml:space="preserve">ACER </w:t>
      </w:r>
      <w:r w:rsidRPr="005175A0">
        <w:rPr>
          <w:noProof/>
        </w:rPr>
        <w:t>research monograph no</w:t>
      </w:r>
      <w:r w:rsidR="00117260">
        <w:rPr>
          <w:noProof/>
        </w:rPr>
        <w:t>.</w:t>
      </w:r>
      <w:r w:rsidR="00237162" w:rsidRPr="005175A0">
        <w:rPr>
          <w:noProof/>
        </w:rPr>
        <w:t>63</w:t>
      </w:r>
      <w:r w:rsidR="00237162">
        <w:rPr>
          <w:noProof/>
        </w:rPr>
        <w:t xml:space="preserve">, </w:t>
      </w:r>
      <w:r>
        <w:rPr>
          <w:noProof/>
        </w:rPr>
        <w:t xml:space="preserve">Australian Council for Educational Research, </w:t>
      </w:r>
      <w:r w:rsidR="00237162">
        <w:rPr>
          <w:noProof/>
        </w:rPr>
        <w:t>Melbourne.</w:t>
      </w:r>
      <w:bookmarkEnd w:id="72"/>
    </w:p>
    <w:p w:rsidR="00D73B31" w:rsidRDefault="00D73B31" w:rsidP="00D73B31">
      <w:pPr>
        <w:pStyle w:val="References"/>
        <w:ind w:left="720" w:hanging="720"/>
        <w:rPr>
          <w:noProof/>
        </w:rPr>
      </w:pPr>
      <w:r>
        <w:rPr>
          <w:noProof/>
        </w:rPr>
        <w:t>American Association of University Women Educational Found</w:t>
      </w:r>
      <w:r w:rsidR="00C31772">
        <w:rPr>
          <w:noProof/>
        </w:rPr>
        <w:t>ation 19</w:t>
      </w:r>
      <w:r w:rsidR="00117260">
        <w:rPr>
          <w:noProof/>
        </w:rPr>
        <w:t xml:space="preserve">98, </w:t>
      </w:r>
      <w:r w:rsidR="00C31772" w:rsidRPr="00117260">
        <w:rPr>
          <w:i/>
          <w:noProof/>
        </w:rPr>
        <w:t>Separated by sex: a</w:t>
      </w:r>
      <w:r w:rsidRPr="00117260">
        <w:rPr>
          <w:i/>
          <w:noProof/>
        </w:rPr>
        <w:t xml:space="preserve"> critical look at</w:t>
      </w:r>
      <w:r w:rsidR="00117260" w:rsidRPr="00117260">
        <w:rPr>
          <w:i/>
          <w:noProof/>
        </w:rPr>
        <w:t xml:space="preserve"> single-sex education for girls</w:t>
      </w:r>
      <w:r>
        <w:rPr>
          <w:noProof/>
        </w:rPr>
        <w:t>, AAUWEF, Washington, DC.</w:t>
      </w:r>
    </w:p>
    <w:p w:rsidR="00237162" w:rsidRPr="00EE4C1D" w:rsidRDefault="00237162" w:rsidP="00237162">
      <w:pPr>
        <w:pStyle w:val="References"/>
        <w:ind w:left="720" w:hanging="720"/>
        <w:rPr>
          <w:b/>
          <w:noProof/>
        </w:rPr>
      </w:pPr>
      <w:bookmarkStart w:id="73" w:name="_ENREF_8"/>
      <w:r>
        <w:rPr>
          <w:noProof/>
        </w:rPr>
        <w:t xml:space="preserve">Anker, R 1997, </w:t>
      </w:r>
      <w:r w:rsidR="00C33F0A">
        <w:rPr>
          <w:noProof/>
        </w:rPr>
        <w:t>‘</w:t>
      </w:r>
      <w:r>
        <w:rPr>
          <w:noProof/>
        </w:rPr>
        <w:t>Theories of oc</w:t>
      </w:r>
      <w:r w:rsidR="00C31772">
        <w:rPr>
          <w:noProof/>
        </w:rPr>
        <w:t>cupational segregation by sex: a</w:t>
      </w:r>
      <w:r>
        <w:rPr>
          <w:noProof/>
        </w:rPr>
        <w:t>n overview</w:t>
      </w:r>
      <w:r w:rsidR="00C33F0A">
        <w:rPr>
          <w:noProof/>
        </w:rPr>
        <w:t>’</w:t>
      </w:r>
      <w:r>
        <w:rPr>
          <w:noProof/>
        </w:rPr>
        <w:t xml:space="preserve">, </w:t>
      </w:r>
      <w:r w:rsidRPr="00EE4C1D">
        <w:rPr>
          <w:i/>
          <w:noProof/>
        </w:rPr>
        <w:t xml:space="preserve">International Labour Review, </w:t>
      </w:r>
      <w:r w:rsidR="00C31772">
        <w:rPr>
          <w:noProof/>
        </w:rPr>
        <w:t>vol.136, no.3, pp.315—</w:t>
      </w:r>
      <w:r>
        <w:rPr>
          <w:noProof/>
        </w:rPr>
        <w:t>39.</w:t>
      </w:r>
      <w:r w:rsidRPr="00EE4C1D">
        <w:rPr>
          <w:b/>
          <w:noProof/>
        </w:rPr>
        <w:t xml:space="preserve"> </w:t>
      </w:r>
      <w:bookmarkEnd w:id="73"/>
    </w:p>
    <w:p w:rsidR="00237162" w:rsidRDefault="00237162" w:rsidP="00237162">
      <w:pPr>
        <w:pStyle w:val="References"/>
        <w:ind w:left="720" w:hanging="720"/>
        <w:rPr>
          <w:noProof/>
        </w:rPr>
      </w:pPr>
      <w:bookmarkStart w:id="74" w:name="_ENREF_9"/>
      <w:r w:rsidRPr="00BD02EA">
        <w:rPr>
          <w:noProof/>
        </w:rPr>
        <w:t xml:space="preserve">Anlezark, A, Lim, P, Semo, R &amp; Nguyen, N </w:t>
      </w:r>
      <w:r w:rsidR="00C31772">
        <w:rPr>
          <w:noProof/>
        </w:rPr>
        <w:t xml:space="preserve">2008, </w:t>
      </w:r>
      <w:r w:rsidR="00C33F0A">
        <w:rPr>
          <w:noProof/>
        </w:rPr>
        <w:t>‘</w:t>
      </w:r>
      <w:r w:rsidR="00C31772">
        <w:rPr>
          <w:noProof/>
        </w:rPr>
        <w:t>From STEM to leaf: w</w:t>
      </w:r>
      <w:r>
        <w:rPr>
          <w:noProof/>
        </w:rPr>
        <w:t>here are Australia</w:t>
      </w:r>
      <w:r w:rsidR="00C33F0A">
        <w:rPr>
          <w:noProof/>
        </w:rPr>
        <w:t>’</w:t>
      </w:r>
      <w:r>
        <w:rPr>
          <w:noProof/>
        </w:rPr>
        <w:t>s science, mathematics, engineering and technology (STEM) students heading?</w:t>
      </w:r>
      <w:r w:rsidR="00C33F0A">
        <w:rPr>
          <w:noProof/>
        </w:rPr>
        <w:t>’</w:t>
      </w:r>
      <w:r>
        <w:rPr>
          <w:noProof/>
        </w:rPr>
        <w:t xml:space="preserve">, </w:t>
      </w:r>
      <w:r w:rsidR="00C31772">
        <w:rPr>
          <w:noProof/>
        </w:rPr>
        <w:t>NCVER</w:t>
      </w:r>
      <w:r>
        <w:rPr>
          <w:noProof/>
        </w:rPr>
        <w:t>, Adelaide.</w:t>
      </w:r>
      <w:bookmarkEnd w:id="74"/>
    </w:p>
    <w:p w:rsidR="00237162" w:rsidRDefault="00237162" w:rsidP="00237162">
      <w:pPr>
        <w:pStyle w:val="References"/>
        <w:ind w:left="720" w:hanging="720"/>
        <w:rPr>
          <w:noProof/>
        </w:rPr>
      </w:pPr>
      <w:bookmarkStart w:id="75" w:name="_ENREF_10"/>
      <w:r>
        <w:rPr>
          <w:noProof/>
        </w:rPr>
        <w:t xml:space="preserve">Archer, L, DeWitt, J, Osborne, J, Dillon, J, Willis, B &amp; Wong, B 2010 </w:t>
      </w:r>
      <w:r w:rsidR="00C33F0A">
        <w:rPr>
          <w:noProof/>
        </w:rPr>
        <w:t>‘“</w:t>
      </w:r>
      <w:r>
        <w:rPr>
          <w:noProof/>
        </w:rPr>
        <w:t>Doing</w:t>
      </w:r>
      <w:r w:rsidR="00C33F0A">
        <w:rPr>
          <w:noProof/>
        </w:rPr>
        <w:t>”</w:t>
      </w:r>
      <w:r>
        <w:rPr>
          <w:noProof/>
        </w:rPr>
        <w:t xml:space="preserve"> scien</w:t>
      </w:r>
      <w:r w:rsidR="00C31772">
        <w:rPr>
          <w:noProof/>
        </w:rPr>
        <w:t xml:space="preserve">ce versus </w:t>
      </w:r>
      <w:r w:rsidR="00C33F0A">
        <w:rPr>
          <w:noProof/>
        </w:rPr>
        <w:t>“</w:t>
      </w:r>
      <w:r w:rsidR="00C31772">
        <w:rPr>
          <w:noProof/>
        </w:rPr>
        <w:t>being</w:t>
      </w:r>
      <w:r w:rsidR="00C33F0A">
        <w:rPr>
          <w:noProof/>
        </w:rPr>
        <w:t>”</w:t>
      </w:r>
      <w:r w:rsidR="00C31772">
        <w:rPr>
          <w:noProof/>
        </w:rPr>
        <w:t xml:space="preserve"> a scientist: e</w:t>
      </w:r>
      <w:r>
        <w:rPr>
          <w:noProof/>
        </w:rPr>
        <w:t>xamining 10/11-year-old schoolchildren</w:t>
      </w:r>
      <w:r w:rsidR="00C33F0A">
        <w:rPr>
          <w:noProof/>
        </w:rPr>
        <w:t>’</w:t>
      </w:r>
      <w:r>
        <w:rPr>
          <w:noProof/>
        </w:rPr>
        <w:t>s constructions of science through the lens of identity</w:t>
      </w:r>
      <w:r w:rsidR="00C33F0A">
        <w:rPr>
          <w:noProof/>
        </w:rPr>
        <w:t>’</w:t>
      </w:r>
      <w:r>
        <w:rPr>
          <w:noProof/>
        </w:rPr>
        <w:t xml:space="preserve">, </w:t>
      </w:r>
      <w:r w:rsidRPr="00EE4C1D">
        <w:rPr>
          <w:i/>
          <w:noProof/>
        </w:rPr>
        <w:t xml:space="preserve">Science Education, </w:t>
      </w:r>
      <w:r w:rsidR="00C31772">
        <w:rPr>
          <w:noProof/>
        </w:rPr>
        <w:t>vol.94, no.4, pp.617—</w:t>
      </w:r>
      <w:r>
        <w:rPr>
          <w:noProof/>
        </w:rPr>
        <w:t>39.</w:t>
      </w:r>
      <w:bookmarkEnd w:id="75"/>
    </w:p>
    <w:p w:rsidR="00237162" w:rsidRPr="007D0577" w:rsidRDefault="00C31772" w:rsidP="00237162">
      <w:pPr>
        <w:pStyle w:val="References"/>
        <w:ind w:left="720" w:hanging="720"/>
        <w:rPr>
          <w:noProof/>
        </w:rPr>
      </w:pPr>
      <w:bookmarkStart w:id="76" w:name="_ENREF_11"/>
      <w:r w:rsidRPr="007D0577">
        <w:rPr>
          <w:noProof/>
        </w:rPr>
        <w:t>Asparouhov</w:t>
      </w:r>
      <w:r w:rsidR="00237162" w:rsidRPr="007D0577">
        <w:rPr>
          <w:noProof/>
        </w:rPr>
        <w:t xml:space="preserve">, T 2004, </w:t>
      </w:r>
      <w:r w:rsidR="00C33F0A">
        <w:rPr>
          <w:noProof/>
        </w:rPr>
        <w:t>‘</w:t>
      </w:r>
      <w:r w:rsidR="00237162" w:rsidRPr="007D0577">
        <w:rPr>
          <w:noProof/>
        </w:rPr>
        <w:t>Weighting for</w:t>
      </w:r>
      <w:r w:rsidRPr="007D0577">
        <w:rPr>
          <w:noProof/>
        </w:rPr>
        <w:t xml:space="preserve"> unequal probability of selection in multilevel modelin</w:t>
      </w:r>
      <w:r w:rsidR="00237162" w:rsidRPr="007D0577">
        <w:rPr>
          <w:noProof/>
        </w:rPr>
        <w:t>g</w:t>
      </w:r>
      <w:r w:rsidR="00C33F0A">
        <w:rPr>
          <w:noProof/>
        </w:rPr>
        <w:t>’</w:t>
      </w:r>
      <w:r w:rsidR="00237162" w:rsidRPr="007D0577">
        <w:rPr>
          <w:noProof/>
        </w:rPr>
        <w:t xml:space="preserve">, in </w:t>
      </w:r>
      <w:r w:rsidR="00237162" w:rsidRPr="007D0577">
        <w:rPr>
          <w:i/>
          <w:noProof/>
        </w:rPr>
        <w:t xml:space="preserve">Mplus Web Notes </w:t>
      </w:r>
      <w:r>
        <w:rPr>
          <w:noProof/>
        </w:rPr>
        <w:t>no.</w:t>
      </w:r>
      <w:r w:rsidR="00237162" w:rsidRPr="007D0577">
        <w:rPr>
          <w:noProof/>
        </w:rPr>
        <w:t xml:space="preserve">8, viewed 15 </w:t>
      </w:r>
      <w:r w:rsidR="00C1768A">
        <w:rPr>
          <w:noProof/>
        </w:rPr>
        <w:t>February</w:t>
      </w:r>
      <w:r w:rsidR="00237162" w:rsidRPr="007D0577">
        <w:rPr>
          <w:noProof/>
        </w:rPr>
        <w:t xml:space="preserve"> 2013, &lt;</w:t>
      </w:r>
      <w:r w:rsidR="00C019C4">
        <w:rPr>
          <w:noProof/>
        </w:rPr>
        <w:t>http://</w:t>
      </w:r>
      <w:r w:rsidR="00C33F0A">
        <w:rPr>
          <w:noProof/>
        </w:rPr>
        <w:t>www.statmodel.com</w:t>
      </w:r>
      <w:r w:rsidR="00237162" w:rsidRPr="007D0577">
        <w:t>&gt;</w:t>
      </w:r>
      <w:r w:rsidR="00237162" w:rsidRPr="007D0577">
        <w:rPr>
          <w:noProof/>
        </w:rPr>
        <w:t>.</w:t>
      </w:r>
      <w:bookmarkEnd w:id="76"/>
    </w:p>
    <w:p w:rsidR="00237162" w:rsidRPr="007D0577" w:rsidRDefault="00237162" w:rsidP="00237162">
      <w:pPr>
        <w:pStyle w:val="References"/>
        <w:ind w:left="720" w:hanging="720"/>
        <w:rPr>
          <w:noProof/>
        </w:rPr>
      </w:pPr>
      <w:bookmarkStart w:id="77" w:name="_ENREF_12"/>
      <w:r w:rsidRPr="007D0577">
        <w:rPr>
          <w:noProof/>
        </w:rPr>
        <w:t xml:space="preserve">Baker, DP, Riordan, C &amp; Schaub, M 1995, </w:t>
      </w:r>
      <w:r w:rsidR="00C33F0A">
        <w:rPr>
          <w:noProof/>
        </w:rPr>
        <w:t>‘</w:t>
      </w:r>
      <w:r w:rsidRPr="007D0577">
        <w:rPr>
          <w:noProof/>
        </w:rPr>
        <w:t>The effects of sex-gro</w:t>
      </w:r>
      <w:r w:rsidR="00C31772">
        <w:rPr>
          <w:noProof/>
        </w:rPr>
        <w:t>uped schooling on achievement: t</w:t>
      </w:r>
      <w:r w:rsidRPr="007D0577">
        <w:rPr>
          <w:noProof/>
        </w:rPr>
        <w:t>he role of national context</w:t>
      </w:r>
      <w:r w:rsidR="00C33F0A">
        <w:rPr>
          <w:noProof/>
        </w:rPr>
        <w:t>’</w:t>
      </w:r>
      <w:r w:rsidRPr="007D0577">
        <w:rPr>
          <w:noProof/>
        </w:rPr>
        <w:t xml:space="preserve">, </w:t>
      </w:r>
      <w:r w:rsidRPr="007D0577">
        <w:rPr>
          <w:i/>
          <w:noProof/>
        </w:rPr>
        <w:t xml:space="preserve">Comparative Education Review, </w:t>
      </w:r>
      <w:r w:rsidR="00C31772">
        <w:rPr>
          <w:noProof/>
        </w:rPr>
        <w:t>vol.</w:t>
      </w:r>
      <w:r w:rsidRPr="007D0577">
        <w:rPr>
          <w:noProof/>
        </w:rPr>
        <w:t>39, n</w:t>
      </w:r>
      <w:r w:rsidR="00C31772">
        <w:rPr>
          <w:noProof/>
        </w:rPr>
        <w:t xml:space="preserve">o.4, </w:t>
      </w:r>
      <w:r w:rsidR="00451ECD">
        <w:rPr>
          <w:noProof/>
        </w:rPr>
        <w:t>pp.</w:t>
      </w:r>
      <w:r w:rsidR="00C31772">
        <w:rPr>
          <w:noProof/>
        </w:rPr>
        <w:t>468—</w:t>
      </w:r>
      <w:r w:rsidRPr="007D0577">
        <w:rPr>
          <w:noProof/>
        </w:rPr>
        <w:t>82.</w:t>
      </w:r>
      <w:bookmarkEnd w:id="77"/>
    </w:p>
    <w:p w:rsidR="00237162" w:rsidRPr="007D0577" w:rsidRDefault="00237162" w:rsidP="00237162">
      <w:pPr>
        <w:pStyle w:val="References"/>
        <w:ind w:left="720" w:hanging="720"/>
        <w:rPr>
          <w:noProof/>
        </w:rPr>
      </w:pPr>
      <w:bookmarkStart w:id="78" w:name="_ENREF_13"/>
      <w:r w:rsidRPr="007D0577">
        <w:rPr>
          <w:noProof/>
        </w:rPr>
        <w:t xml:space="preserve">Barone, C 2011, </w:t>
      </w:r>
      <w:r w:rsidR="00C33F0A">
        <w:rPr>
          <w:noProof/>
        </w:rPr>
        <w:t>‘</w:t>
      </w:r>
      <w:r w:rsidRPr="007D0577">
        <w:rPr>
          <w:noProof/>
        </w:rPr>
        <w:t xml:space="preserve">Some </w:t>
      </w:r>
      <w:r w:rsidR="00C31772" w:rsidRPr="007D0577">
        <w:rPr>
          <w:noProof/>
        </w:rPr>
        <w:t>things never change: gender segregation in higher education across eight nations and three decade</w:t>
      </w:r>
      <w:r w:rsidRPr="007D0577">
        <w:rPr>
          <w:noProof/>
        </w:rPr>
        <w:t>s</w:t>
      </w:r>
      <w:r w:rsidR="00C33F0A">
        <w:rPr>
          <w:noProof/>
        </w:rPr>
        <w:t>’</w:t>
      </w:r>
      <w:r w:rsidRPr="007D0577">
        <w:rPr>
          <w:noProof/>
        </w:rPr>
        <w:t xml:space="preserve">, </w:t>
      </w:r>
      <w:r w:rsidRPr="007D0577">
        <w:rPr>
          <w:i/>
          <w:noProof/>
        </w:rPr>
        <w:t xml:space="preserve">Sociology of Education, </w:t>
      </w:r>
      <w:r w:rsidR="00C31772">
        <w:rPr>
          <w:noProof/>
        </w:rPr>
        <w:t>vol.84, no.2, pp.157—</w:t>
      </w:r>
      <w:r w:rsidRPr="007D0577">
        <w:rPr>
          <w:noProof/>
        </w:rPr>
        <w:t>76.</w:t>
      </w:r>
      <w:bookmarkEnd w:id="78"/>
    </w:p>
    <w:p w:rsidR="00237162" w:rsidRPr="007D0577" w:rsidRDefault="00237162" w:rsidP="00237162">
      <w:pPr>
        <w:pStyle w:val="References"/>
        <w:ind w:left="720" w:hanging="720"/>
        <w:rPr>
          <w:noProof/>
        </w:rPr>
      </w:pPr>
      <w:bookmarkStart w:id="79" w:name="_ENREF_14"/>
      <w:r w:rsidRPr="007D0577">
        <w:rPr>
          <w:noProof/>
        </w:rPr>
        <w:t>Ce</w:t>
      </w:r>
      <w:r w:rsidR="00C31772">
        <w:rPr>
          <w:noProof/>
        </w:rPr>
        <w:t>ci, SJ, Williams, WM &amp; Barnett,</w:t>
      </w:r>
      <w:r w:rsidRPr="007D0577">
        <w:rPr>
          <w:noProof/>
        </w:rPr>
        <w:t xml:space="preserve"> SM 2009, </w:t>
      </w:r>
      <w:r w:rsidR="00C33F0A">
        <w:rPr>
          <w:noProof/>
        </w:rPr>
        <w:t>‘</w:t>
      </w:r>
      <w:r w:rsidRPr="007D0577">
        <w:rPr>
          <w:noProof/>
        </w:rPr>
        <w:t>Women</w:t>
      </w:r>
      <w:r w:rsidR="00C33F0A">
        <w:rPr>
          <w:noProof/>
        </w:rPr>
        <w:t>’</w:t>
      </w:r>
      <w:r w:rsidRPr="007D0577">
        <w:rPr>
          <w:noProof/>
        </w:rPr>
        <w:t xml:space="preserve">s </w:t>
      </w:r>
      <w:r w:rsidR="00C31772" w:rsidRPr="007D0577">
        <w:rPr>
          <w:noProof/>
        </w:rPr>
        <w:t>underrepresentation in science: sociocultural and biological considerations</w:t>
      </w:r>
      <w:r w:rsidR="00C33F0A">
        <w:rPr>
          <w:noProof/>
        </w:rPr>
        <w:t>’</w:t>
      </w:r>
      <w:r w:rsidRPr="007D0577">
        <w:rPr>
          <w:noProof/>
        </w:rPr>
        <w:t xml:space="preserve">, </w:t>
      </w:r>
      <w:r w:rsidRPr="007D0577">
        <w:rPr>
          <w:i/>
          <w:noProof/>
        </w:rPr>
        <w:t xml:space="preserve">Psychological Bulletin, </w:t>
      </w:r>
      <w:r w:rsidR="00C31772">
        <w:rPr>
          <w:noProof/>
        </w:rPr>
        <w:t>vol.135, no.2, pp.218—</w:t>
      </w:r>
      <w:r w:rsidRPr="007D0577">
        <w:rPr>
          <w:noProof/>
        </w:rPr>
        <w:t>61.</w:t>
      </w:r>
      <w:bookmarkEnd w:id="79"/>
    </w:p>
    <w:p w:rsidR="00237162" w:rsidRPr="007D0577" w:rsidRDefault="00237162" w:rsidP="00237162">
      <w:pPr>
        <w:pStyle w:val="References"/>
        <w:ind w:left="720" w:hanging="720"/>
        <w:rPr>
          <w:noProof/>
        </w:rPr>
      </w:pPr>
      <w:bookmarkStart w:id="80" w:name="_ENREF_15"/>
      <w:r w:rsidRPr="007D0577">
        <w:rPr>
          <w:noProof/>
        </w:rPr>
        <w:t xml:space="preserve">Charles, M 2011, </w:t>
      </w:r>
      <w:r w:rsidR="00C33F0A">
        <w:rPr>
          <w:noProof/>
        </w:rPr>
        <w:t>‘</w:t>
      </w:r>
      <w:r w:rsidRPr="007D0577">
        <w:rPr>
          <w:noProof/>
        </w:rPr>
        <w:t xml:space="preserve">What </w:t>
      </w:r>
      <w:r w:rsidR="00C31772" w:rsidRPr="007D0577">
        <w:rPr>
          <w:noProof/>
        </w:rPr>
        <w:t>gender is science</w:t>
      </w:r>
      <w:r w:rsidRPr="007D0577">
        <w:rPr>
          <w:noProof/>
        </w:rPr>
        <w:t>?</w:t>
      </w:r>
      <w:r w:rsidR="00C33F0A">
        <w:rPr>
          <w:noProof/>
        </w:rPr>
        <w:t>’</w:t>
      </w:r>
      <w:r w:rsidRPr="007D0577">
        <w:rPr>
          <w:noProof/>
        </w:rPr>
        <w:t xml:space="preserve">, </w:t>
      </w:r>
      <w:r w:rsidRPr="007D0577">
        <w:rPr>
          <w:i/>
          <w:noProof/>
        </w:rPr>
        <w:t xml:space="preserve">Context, </w:t>
      </w:r>
      <w:r w:rsidR="00C31772">
        <w:rPr>
          <w:noProof/>
        </w:rPr>
        <w:t>vol.</w:t>
      </w:r>
      <w:r w:rsidRPr="007D0577">
        <w:rPr>
          <w:noProof/>
        </w:rPr>
        <w:t xml:space="preserve">10, issue 2, viewed 15 </w:t>
      </w:r>
      <w:r w:rsidR="00C1768A">
        <w:rPr>
          <w:noProof/>
        </w:rPr>
        <w:t>November 2012</w:t>
      </w:r>
      <w:r w:rsidRPr="007D0577">
        <w:rPr>
          <w:noProof/>
        </w:rPr>
        <w:t>, &lt;</w:t>
      </w:r>
      <w:hyperlink r:id="rId17" w:history="1">
        <w:r w:rsidRPr="007D0577">
          <w:rPr>
            <w:rStyle w:val="Hyperlink"/>
            <w:noProof/>
            <w:sz w:val="18"/>
          </w:rPr>
          <w:t>http://contexts.org/articles/spring-2011/what-gender-is-science/</w:t>
        </w:r>
      </w:hyperlink>
      <w:r w:rsidRPr="007D0577">
        <w:t>&gt;</w:t>
      </w:r>
      <w:r w:rsidRPr="007D0577">
        <w:rPr>
          <w:noProof/>
        </w:rPr>
        <w:t>.</w:t>
      </w:r>
      <w:bookmarkEnd w:id="80"/>
    </w:p>
    <w:p w:rsidR="00237162" w:rsidRDefault="00237162" w:rsidP="00237162">
      <w:pPr>
        <w:pStyle w:val="References"/>
        <w:ind w:left="720" w:hanging="720"/>
        <w:rPr>
          <w:noProof/>
        </w:rPr>
      </w:pPr>
      <w:bookmarkStart w:id="81" w:name="_ENREF_16"/>
      <w:r w:rsidRPr="007D0577">
        <w:rPr>
          <w:noProof/>
        </w:rPr>
        <w:t xml:space="preserve">Charles, M &amp; Bradley, K 2009, </w:t>
      </w:r>
      <w:r w:rsidR="00C33F0A">
        <w:rPr>
          <w:noProof/>
        </w:rPr>
        <w:t>‘</w:t>
      </w:r>
      <w:r w:rsidRPr="007D0577">
        <w:rPr>
          <w:noProof/>
        </w:rPr>
        <w:t>Indulging our gendered selves? Sex segregation by</w:t>
      </w:r>
      <w:r>
        <w:rPr>
          <w:noProof/>
        </w:rPr>
        <w:t xml:space="preserve"> field of study in 44 countries</w:t>
      </w:r>
      <w:r w:rsidR="00C33F0A">
        <w:rPr>
          <w:noProof/>
        </w:rPr>
        <w:t>’</w:t>
      </w:r>
      <w:r>
        <w:rPr>
          <w:noProof/>
        </w:rPr>
        <w:t xml:space="preserve">, </w:t>
      </w:r>
      <w:r w:rsidRPr="00EE4C1D">
        <w:rPr>
          <w:i/>
          <w:noProof/>
        </w:rPr>
        <w:t xml:space="preserve">American Journal of Sociology, </w:t>
      </w:r>
      <w:r>
        <w:rPr>
          <w:noProof/>
        </w:rPr>
        <w:t>vol</w:t>
      </w:r>
      <w:r w:rsidR="00C31772">
        <w:rPr>
          <w:noProof/>
        </w:rPr>
        <w:t>.114, no.4, pp.924—</w:t>
      </w:r>
      <w:r>
        <w:rPr>
          <w:noProof/>
        </w:rPr>
        <w:t>76.</w:t>
      </w:r>
      <w:bookmarkEnd w:id="81"/>
    </w:p>
    <w:p w:rsidR="00237162" w:rsidRDefault="00237162" w:rsidP="00237162">
      <w:pPr>
        <w:pStyle w:val="References"/>
        <w:ind w:left="720" w:hanging="720"/>
        <w:rPr>
          <w:noProof/>
        </w:rPr>
      </w:pPr>
      <w:bookmarkStart w:id="82" w:name="_ENREF_17"/>
      <w:r>
        <w:rPr>
          <w:noProof/>
        </w:rPr>
        <w:t xml:space="preserve">Cherney, ID &amp; Campbell, KL 2011, </w:t>
      </w:r>
      <w:r w:rsidR="00C33F0A">
        <w:rPr>
          <w:noProof/>
        </w:rPr>
        <w:t>‘</w:t>
      </w:r>
      <w:r>
        <w:rPr>
          <w:noProof/>
        </w:rPr>
        <w:t xml:space="preserve">A </w:t>
      </w:r>
      <w:r w:rsidR="00451ECD">
        <w:rPr>
          <w:noProof/>
        </w:rPr>
        <w:t>league of their own: do single-sex schools increase girls</w:t>
      </w:r>
      <w:r w:rsidR="00C33F0A">
        <w:rPr>
          <w:noProof/>
        </w:rPr>
        <w:t>’</w:t>
      </w:r>
      <w:r w:rsidR="00451ECD">
        <w:rPr>
          <w:noProof/>
        </w:rPr>
        <w:t xml:space="preserve"> participation in the physical sciences</w:t>
      </w:r>
      <w:r>
        <w:rPr>
          <w:noProof/>
        </w:rPr>
        <w:t>?</w:t>
      </w:r>
      <w:r w:rsidR="00C33F0A">
        <w:rPr>
          <w:noProof/>
        </w:rPr>
        <w:t>’</w:t>
      </w:r>
      <w:r>
        <w:rPr>
          <w:noProof/>
        </w:rPr>
        <w:t xml:space="preserve">, </w:t>
      </w:r>
      <w:r w:rsidRPr="00EE4C1D">
        <w:rPr>
          <w:i/>
          <w:noProof/>
        </w:rPr>
        <w:t xml:space="preserve">Sex roles, </w:t>
      </w:r>
      <w:r w:rsidR="00451ECD">
        <w:rPr>
          <w:noProof/>
        </w:rPr>
        <w:t>vol.65, no.9, pp.712—</w:t>
      </w:r>
      <w:r>
        <w:rPr>
          <w:noProof/>
        </w:rPr>
        <w:t>24.</w:t>
      </w:r>
      <w:bookmarkEnd w:id="82"/>
    </w:p>
    <w:p w:rsidR="00237162" w:rsidRDefault="00451ECD" w:rsidP="00237162">
      <w:pPr>
        <w:pStyle w:val="References"/>
        <w:ind w:left="720" w:hanging="720"/>
        <w:rPr>
          <w:noProof/>
        </w:rPr>
      </w:pPr>
      <w:bookmarkStart w:id="83" w:name="_ENREF_19"/>
      <w:r>
        <w:rPr>
          <w:noProof/>
        </w:rPr>
        <w:t xml:space="preserve">Fullarton, S &amp; Ainley, J 2000, </w:t>
      </w:r>
      <w:r w:rsidR="00237162" w:rsidRPr="00451ECD">
        <w:rPr>
          <w:i/>
          <w:noProof/>
        </w:rPr>
        <w:t>Subject choice by students in year 12 i</w:t>
      </w:r>
      <w:r w:rsidRPr="00451ECD">
        <w:rPr>
          <w:i/>
          <w:noProof/>
        </w:rPr>
        <w:t>n Australian secondary schools</w:t>
      </w:r>
      <w:r>
        <w:rPr>
          <w:noProof/>
        </w:rPr>
        <w:t xml:space="preserve">, </w:t>
      </w:r>
      <w:r w:rsidR="00237162">
        <w:rPr>
          <w:noProof/>
        </w:rPr>
        <w:t xml:space="preserve">LSAY </w:t>
      </w:r>
      <w:r>
        <w:rPr>
          <w:noProof/>
        </w:rPr>
        <w:t>research report no.15</w:t>
      </w:r>
      <w:r w:rsidR="00237162">
        <w:rPr>
          <w:noProof/>
        </w:rPr>
        <w:t>, Australian Council for Educational Research, Melbourne.</w:t>
      </w:r>
      <w:bookmarkEnd w:id="83"/>
    </w:p>
    <w:p w:rsidR="00237162" w:rsidRPr="001847D1" w:rsidRDefault="00237162" w:rsidP="00237162">
      <w:pPr>
        <w:pStyle w:val="References"/>
        <w:ind w:left="720" w:hanging="720"/>
        <w:rPr>
          <w:noProof/>
        </w:rPr>
      </w:pPr>
      <w:bookmarkStart w:id="84" w:name="_ENREF_20"/>
      <w:r>
        <w:rPr>
          <w:noProof/>
        </w:rPr>
        <w:t xml:space="preserve">Halpern, DF, Eliot, L, Bigler, RS, Fabes, RA, Hanish, LD, Hyde, J, Liben, LS &amp; </w:t>
      </w:r>
      <w:r w:rsidRPr="001847D1">
        <w:rPr>
          <w:noProof/>
        </w:rPr>
        <w:t>Martin</w:t>
      </w:r>
      <w:r w:rsidR="00C33F0A">
        <w:rPr>
          <w:noProof/>
        </w:rPr>
        <w:t>,</w:t>
      </w:r>
      <w:r w:rsidRPr="001847D1">
        <w:rPr>
          <w:noProof/>
        </w:rPr>
        <w:t xml:space="preserve"> CL 2011, </w:t>
      </w:r>
      <w:r w:rsidR="00C33F0A">
        <w:rPr>
          <w:noProof/>
        </w:rPr>
        <w:t>‘</w:t>
      </w:r>
      <w:r w:rsidRPr="001847D1">
        <w:rPr>
          <w:noProof/>
        </w:rPr>
        <w:t>The pseudoscience of single-sex schooling</w:t>
      </w:r>
      <w:r w:rsidR="00C33F0A">
        <w:rPr>
          <w:noProof/>
        </w:rPr>
        <w:t>’</w:t>
      </w:r>
      <w:r w:rsidRPr="001847D1">
        <w:rPr>
          <w:noProof/>
        </w:rPr>
        <w:t xml:space="preserve">, </w:t>
      </w:r>
      <w:r w:rsidRPr="001847D1">
        <w:rPr>
          <w:i/>
          <w:noProof/>
        </w:rPr>
        <w:t xml:space="preserve">Science, </w:t>
      </w:r>
      <w:bookmarkEnd w:id="84"/>
      <w:r w:rsidR="00451ECD">
        <w:rPr>
          <w:noProof/>
        </w:rPr>
        <w:t>vol.</w:t>
      </w:r>
      <w:r w:rsidRPr="001847D1">
        <w:rPr>
          <w:noProof/>
        </w:rPr>
        <w:t xml:space="preserve">333, </w:t>
      </w:r>
      <w:r w:rsidR="00451ECD">
        <w:rPr>
          <w:noProof/>
        </w:rPr>
        <w:t>no.</w:t>
      </w:r>
      <w:r w:rsidRPr="001847D1">
        <w:rPr>
          <w:noProof/>
        </w:rPr>
        <w:t xml:space="preserve">6050, </w:t>
      </w:r>
      <w:r w:rsidR="00451ECD">
        <w:rPr>
          <w:noProof/>
        </w:rPr>
        <w:t>pp.1706—</w:t>
      </w:r>
      <w:r w:rsidRPr="001847D1">
        <w:rPr>
          <w:noProof/>
        </w:rPr>
        <w:t>7.</w:t>
      </w:r>
    </w:p>
    <w:p w:rsidR="00237162" w:rsidRDefault="00237162" w:rsidP="00237162">
      <w:pPr>
        <w:pStyle w:val="References"/>
        <w:ind w:left="720" w:hanging="720"/>
        <w:rPr>
          <w:noProof/>
        </w:rPr>
      </w:pPr>
      <w:bookmarkStart w:id="85" w:name="_ENREF_21"/>
      <w:r>
        <w:rPr>
          <w:noProof/>
        </w:rPr>
        <w:t>Hill, C,</w:t>
      </w:r>
      <w:r w:rsidR="00117260">
        <w:rPr>
          <w:noProof/>
        </w:rPr>
        <w:t xml:space="preserve"> Corbett, Ch &amp; Rose, AS 2010, </w:t>
      </w:r>
      <w:r w:rsidRPr="00117260">
        <w:rPr>
          <w:i/>
          <w:noProof/>
        </w:rPr>
        <w:t xml:space="preserve">Why so few? Women in </w:t>
      </w:r>
      <w:r w:rsidR="00451ECD" w:rsidRPr="00117260">
        <w:rPr>
          <w:i/>
          <w:noProof/>
        </w:rPr>
        <w:t>science, technology, engineering, and mathemati</w:t>
      </w:r>
      <w:r w:rsidR="00117260" w:rsidRPr="00117260">
        <w:rPr>
          <w:i/>
          <w:noProof/>
        </w:rPr>
        <w:t>cs</w:t>
      </w:r>
      <w:r>
        <w:rPr>
          <w:noProof/>
        </w:rPr>
        <w:t>, American Association of University Women, Washington</w:t>
      </w:r>
      <w:r w:rsidR="00451ECD">
        <w:rPr>
          <w:noProof/>
        </w:rPr>
        <w:t>, DC</w:t>
      </w:r>
      <w:r>
        <w:rPr>
          <w:noProof/>
        </w:rPr>
        <w:t>.</w:t>
      </w:r>
      <w:bookmarkEnd w:id="85"/>
    </w:p>
    <w:p w:rsidR="00237162" w:rsidRDefault="00237162" w:rsidP="00237162">
      <w:pPr>
        <w:pStyle w:val="References"/>
        <w:ind w:left="720" w:hanging="720"/>
        <w:rPr>
          <w:noProof/>
        </w:rPr>
      </w:pPr>
      <w:bookmarkStart w:id="86" w:name="_ENREF_22"/>
      <w:r>
        <w:rPr>
          <w:noProof/>
        </w:rPr>
        <w:t xml:space="preserve">Kessel, C &amp; Nelson, DJ 2011, </w:t>
      </w:r>
      <w:r w:rsidR="00C33F0A">
        <w:rPr>
          <w:noProof/>
        </w:rPr>
        <w:t>‘</w:t>
      </w:r>
      <w:r>
        <w:rPr>
          <w:noProof/>
        </w:rPr>
        <w:t xml:space="preserve">Statistical </w:t>
      </w:r>
      <w:r w:rsidR="00451ECD">
        <w:rPr>
          <w:noProof/>
        </w:rPr>
        <w:t>trends in women</w:t>
      </w:r>
      <w:r w:rsidR="00C33F0A">
        <w:rPr>
          <w:noProof/>
        </w:rPr>
        <w:t>’</w:t>
      </w:r>
      <w:r w:rsidR="00451ECD">
        <w:rPr>
          <w:noProof/>
        </w:rPr>
        <w:t>s participation in science: commentary</w:t>
      </w:r>
      <w:r>
        <w:rPr>
          <w:noProof/>
        </w:rPr>
        <w:t xml:space="preserve"> on Valla and Ceci</w:t>
      </w:r>
      <w:r w:rsidR="00C33F0A">
        <w:rPr>
          <w:noProof/>
        </w:rPr>
        <w:t>’</w:t>
      </w:r>
      <w:r>
        <w:rPr>
          <w:noProof/>
        </w:rPr>
        <w:t xml:space="preserve">, </w:t>
      </w:r>
      <w:r w:rsidRPr="00EE4C1D">
        <w:rPr>
          <w:i/>
          <w:noProof/>
        </w:rPr>
        <w:t xml:space="preserve">Perspectives on Psychological Science, </w:t>
      </w:r>
      <w:r w:rsidR="00451ECD">
        <w:rPr>
          <w:noProof/>
        </w:rPr>
        <w:t>vol.</w:t>
      </w:r>
      <w:r>
        <w:rPr>
          <w:noProof/>
        </w:rPr>
        <w:t xml:space="preserve">6, </w:t>
      </w:r>
      <w:r w:rsidR="00451ECD">
        <w:rPr>
          <w:noProof/>
        </w:rPr>
        <w:t>no.</w:t>
      </w:r>
      <w:r>
        <w:rPr>
          <w:noProof/>
        </w:rPr>
        <w:t xml:space="preserve">2, </w:t>
      </w:r>
      <w:r w:rsidR="00451ECD">
        <w:rPr>
          <w:noProof/>
        </w:rPr>
        <w:t>pp.147—</w:t>
      </w:r>
      <w:r>
        <w:rPr>
          <w:noProof/>
        </w:rPr>
        <w:t xml:space="preserve">9. </w:t>
      </w:r>
      <w:bookmarkEnd w:id="86"/>
    </w:p>
    <w:p w:rsidR="00E53022" w:rsidRDefault="00E53022" w:rsidP="00237162">
      <w:pPr>
        <w:pStyle w:val="References"/>
        <w:ind w:left="720" w:hanging="720"/>
        <w:rPr>
          <w:noProof/>
        </w:rPr>
      </w:pPr>
      <w:r>
        <w:rPr>
          <w:noProof/>
        </w:rPr>
        <w:t xml:space="preserve">Kjrnsli, M &amp; Lie, S 2011, </w:t>
      </w:r>
      <w:r w:rsidR="00C33F0A">
        <w:rPr>
          <w:noProof/>
        </w:rPr>
        <w:t>‘</w:t>
      </w:r>
      <w:r>
        <w:rPr>
          <w:noProof/>
        </w:rPr>
        <w:t>Students</w:t>
      </w:r>
      <w:r w:rsidR="00C33F0A">
        <w:rPr>
          <w:noProof/>
        </w:rPr>
        <w:t>’</w:t>
      </w:r>
      <w:r>
        <w:rPr>
          <w:noProof/>
        </w:rPr>
        <w:t xml:space="preserve"> </w:t>
      </w:r>
      <w:r w:rsidR="00C33F0A">
        <w:rPr>
          <w:noProof/>
        </w:rPr>
        <w:t>preference for science careers: inte</w:t>
      </w:r>
      <w:r>
        <w:rPr>
          <w:noProof/>
        </w:rPr>
        <w:t>rnational comparisons based on PISA 2006</w:t>
      </w:r>
      <w:r w:rsidR="00C33F0A">
        <w:rPr>
          <w:noProof/>
        </w:rPr>
        <w:t>’</w:t>
      </w:r>
      <w:r>
        <w:rPr>
          <w:noProof/>
        </w:rPr>
        <w:t xml:space="preserve">, </w:t>
      </w:r>
      <w:r w:rsidRPr="00E53022">
        <w:rPr>
          <w:i/>
          <w:noProof/>
        </w:rPr>
        <w:t>International Journal of Science Education</w:t>
      </w:r>
      <w:r w:rsidR="00C019C4">
        <w:rPr>
          <w:noProof/>
        </w:rPr>
        <w:t>, vol.</w:t>
      </w:r>
      <w:r>
        <w:rPr>
          <w:noProof/>
        </w:rPr>
        <w:t>33, pp. 121</w:t>
      </w:r>
      <w:r w:rsidR="00C33F0A">
        <w:rPr>
          <w:noProof/>
        </w:rPr>
        <w:t>—</w:t>
      </w:r>
      <w:r>
        <w:rPr>
          <w:noProof/>
        </w:rPr>
        <w:t>44.</w:t>
      </w:r>
    </w:p>
    <w:p w:rsidR="00237162" w:rsidRDefault="00237162" w:rsidP="00237162">
      <w:pPr>
        <w:pStyle w:val="References"/>
        <w:ind w:left="720" w:hanging="720"/>
        <w:rPr>
          <w:noProof/>
        </w:rPr>
      </w:pPr>
      <w:bookmarkStart w:id="87" w:name="_ENREF_23"/>
      <w:r>
        <w:rPr>
          <w:noProof/>
        </w:rPr>
        <w:t xml:space="preserve">Law, H &amp; </w:t>
      </w:r>
      <w:r w:rsidRPr="007D0577">
        <w:rPr>
          <w:noProof/>
        </w:rPr>
        <w:t>Kim,</w:t>
      </w:r>
      <w:r>
        <w:rPr>
          <w:noProof/>
        </w:rPr>
        <w:t xml:space="preserve"> DH 2011, </w:t>
      </w:r>
      <w:r w:rsidR="00C33F0A">
        <w:rPr>
          <w:noProof/>
        </w:rPr>
        <w:t>‘</w:t>
      </w:r>
      <w:r>
        <w:rPr>
          <w:noProof/>
        </w:rPr>
        <w:t>Single-</w:t>
      </w:r>
      <w:r w:rsidR="00451ECD">
        <w:rPr>
          <w:noProof/>
        </w:rPr>
        <w:t>sex schooling and mathematics performance: comparison of sixteen countrie</w:t>
      </w:r>
      <w:r>
        <w:rPr>
          <w:noProof/>
        </w:rPr>
        <w:t>s in PISA 2006</w:t>
      </w:r>
      <w:r w:rsidR="00C33F0A">
        <w:rPr>
          <w:noProof/>
        </w:rPr>
        <w:t>’</w:t>
      </w:r>
      <w:r>
        <w:rPr>
          <w:noProof/>
        </w:rPr>
        <w:t xml:space="preserve">, </w:t>
      </w:r>
      <w:r w:rsidRPr="00EE4C1D">
        <w:rPr>
          <w:i/>
          <w:noProof/>
        </w:rPr>
        <w:t xml:space="preserve">Hong Kong Journal of Sociology, </w:t>
      </w:r>
      <w:r w:rsidR="00451ECD">
        <w:rPr>
          <w:noProof/>
        </w:rPr>
        <w:t>vol.</w:t>
      </w:r>
      <w:r>
        <w:rPr>
          <w:noProof/>
        </w:rPr>
        <w:t xml:space="preserve">7, </w:t>
      </w:r>
      <w:r w:rsidR="00451ECD">
        <w:rPr>
          <w:noProof/>
        </w:rPr>
        <w:t>no.</w:t>
      </w:r>
      <w:r>
        <w:rPr>
          <w:noProof/>
        </w:rPr>
        <w:t xml:space="preserve">2, </w:t>
      </w:r>
      <w:r w:rsidR="00451ECD">
        <w:rPr>
          <w:noProof/>
        </w:rPr>
        <w:t>pp.1—</w:t>
      </w:r>
      <w:r>
        <w:rPr>
          <w:noProof/>
        </w:rPr>
        <w:t>24.</w:t>
      </w:r>
      <w:bookmarkEnd w:id="87"/>
    </w:p>
    <w:p w:rsidR="00237162" w:rsidRDefault="00117260" w:rsidP="00237162">
      <w:pPr>
        <w:pStyle w:val="References"/>
        <w:ind w:left="720" w:hanging="720"/>
        <w:rPr>
          <w:noProof/>
        </w:rPr>
      </w:pPr>
      <w:bookmarkStart w:id="88" w:name="_ENREF_24"/>
      <w:r>
        <w:rPr>
          <w:noProof/>
        </w:rPr>
        <w:t xml:space="preserve">Leonard, D 2007, </w:t>
      </w:r>
      <w:r w:rsidR="00237162" w:rsidRPr="00117260">
        <w:rPr>
          <w:i/>
          <w:noProof/>
        </w:rPr>
        <w:t>Single-</w:t>
      </w:r>
      <w:r w:rsidR="00451ECD" w:rsidRPr="00117260">
        <w:rPr>
          <w:i/>
          <w:noProof/>
        </w:rPr>
        <w:t>sex and co-educational secondary schooling: life course consequences?</w:t>
      </w:r>
      <w:r w:rsidR="00237162" w:rsidRPr="00117260">
        <w:rPr>
          <w:i/>
          <w:noProof/>
        </w:rPr>
        <w:t xml:space="preserve"> Full </w:t>
      </w:r>
      <w:r w:rsidRPr="00117260">
        <w:rPr>
          <w:i/>
          <w:noProof/>
        </w:rPr>
        <w:t>research report</w:t>
      </w:r>
      <w:r w:rsidR="00451ECD">
        <w:rPr>
          <w:noProof/>
        </w:rPr>
        <w:t>,</w:t>
      </w:r>
      <w:r w:rsidR="00237162">
        <w:rPr>
          <w:noProof/>
        </w:rPr>
        <w:t xml:space="preserve"> </w:t>
      </w:r>
      <w:r w:rsidR="00237162" w:rsidRPr="00F7535C">
        <w:rPr>
          <w:noProof/>
        </w:rPr>
        <w:t>Economic and Social Research Council</w:t>
      </w:r>
      <w:r w:rsidR="00237162">
        <w:rPr>
          <w:noProof/>
        </w:rPr>
        <w:t>, Swindon</w:t>
      </w:r>
      <w:r w:rsidR="00451ECD">
        <w:rPr>
          <w:noProof/>
        </w:rPr>
        <w:t>, England</w:t>
      </w:r>
      <w:r w:rsidR="00237162">
        <w:rPr>
          <w:noProof/>
        </w:rPr>
        <w:t>.</w:t>
      </w:r>
      <w:bookmarkEnd w:id="88"/>
    </w:p>
    <w:p w:rsidR="00237162" w:rsidRDefault="00237162" w:rsidP="00237162">
      <w:pPr>
        <w:pStyle w:val="References"/>
        <w:ind w:left="720" w:hanging="720"/>
        <w:rPr>
          <w:noProof/>
        </w:rPr>
      </w:pPr>
      <w:bookmarkStart w:id="89" w:name="_ENREF_25"/>
      <w:r>
        <w:rPr>
          <w:noProof/>
        </w:rPr>
        <w:t xml:space="preserve">Little, RJA &amp; Rubin, DB 1987, </w:t>
      </w:r>
      <w:r w:rsidRPr="00EE4C1D">
        <w:rPr>
          <w:i/>
          <w:noProof/>
        </w:rPr>
        <w:t>Statistical analysis with missing data</w:t>
      </w:r>
      <w:r w:rsidR="00B555AB">
        <w:rPr>
          <w:noProof/>
        </w:rPr>
        <w:t>,</w:t>
      </w:r>
      <w:r>
        <w:rPr>
          <w:noProof/>
        </w:rPr>
        <w:t xml:space="preserve"> Wiley, New York</w:t>
      </w:r>
      <w:bookmarkEnd w:id="89"/>
      <w:r>
        <w:rPr>
          <w:noProof/>
        </w:rPr>
        <w:t>.</w:t>
      </w:r>
    </w:p>
    <w:p w:rsidR="00237162" w:rsidRDefault="00237162" w:rsidP="00237162">
      <w:pPr>
        <w:pStyle w:val="References"/>
        <w:ind w:left="720" w:hanging="720"/>
        <w:rPr>
          <w:noProof/>
        </w:rPr>
      </w:pPr>
      <w:bookmarkStart w:id="90" w:name="_ENREF_26"/>
      <w:r>
        <w:rPr>
          <w:noProof/>
        </w:rPr>
        <w:lastRenderedPageBreak/>
        <w:t>Mislevy, RJ, Beaton, AE, Kaplan, B &amp;</w:t>
      </w:r>
      <w:r w:rsidR="00117260">
        <w:rPr>
          <w:noProof/>
        </w:rPr>
        <w:t xml:space="preserve"> Sheehan, KM 1992, </w:t>
      </w:r>
      <w:r w:rsidR="00C33F0A">
        <w:rPr>
          <w:noProof/>
        </w:rPr>
        <w:t>‘</w:t>
      </w:r>
      <w:r w:rsidR="00117260">
        <w:rPr>
          <w:noProof/>
        </w:rPr>
        <w:t>Estimating p</w:t>
      </w:r>
      <w:r w:rsidR="00B555AB">
        <w:rPr>
          <w:noProof/>
        </w:rPr>
        <w:t>opulation characteristics from sparse matrix samples of item response</w:t>
      </w:r>
      <w:r>
        <w:rPr>
          <w:noProof/>
        </w:rPr>
        <w:t>s</w:t>
      </w:r>
      <w:r w:rsidR="00C33F0A">
        <w:rPr>
          <w:noProof/>
        </w:rPr>
        <w:t>’</w:t>
      </w:r>
      <w:r>
        <w:rPr>
          <w:noProof/>
        </w:rPr>
        <w:t xml:space="preserve">, </w:t>
      </w:r>
      <w:r w:rsidRPr="00EE4C1D">
        <w:rPr>
          <w:i/>
          <w:noProof/>
        </w:rPr>
        <w:t xml:space="preserve">Journal of Educational Measurement, </w:t>
      </w:r>
      <w:r w:rsidR="00451ECD">
        <w:rPr>
          <w:noProof/>
        </w:rPr>
        <w:t>vol.</w:t>
      </w:r>
      <w:r>
        <w:rPr>
          <w:noProof/>
        </w:rPr>
        <w:t xml:space="preserve">29, </w:t>
      </w:r>
      <w:r w:rsidR="00451ECD">
        <w:rPr>
          <w:noProof/>
        </w:rPr>
        <w:t>no.</w:t>
      </w:r>
      <w:r>
        <w:rPr>
          <w:noProof/>
        </w:rPr>
        <w:t xml:space="preserve">2, </w:t>
      </w:r>
      <w:r w:rsidR="00451ECD">
        <w:rPr>
          <w:noProof/>
        </w:rPr>
        <w:t>pp.</w:t>
      </w:r>
      <w:r w:rsidR="00B555AB">
        <w:rPr>
          <w:noProof/>
        </w:rPr>
        <w:t>133—</w:t>
      </w:r>
      <w:r>
        <w:rPr>
          <w:noProof/>
        </w:rPr>
        <w:t>61.</w:t>
      </w:r>
      <w:bookmarkEnd w:id="90"/>
    </w:p>
    <w:p w:rsidR="00237162" w:rsidRDefault="00B555AB" w:rsidP="00237162">
      <w:pPr>
        <w:pStyle w:val="References"/>
        <w:ind w:left="720" w:hanging="720"/>
        <w:rPr>
          <w:noProof/>
        </w:rPr>
      </w:pPr>
      <w:bookmarkStart w:id="91" w:name="_ENREF_27"/>
      <w:r>
        <w:rPr>
          <w:noProof/>
        </w:rPr>
        <w:t>NCVER (</w:t>
      </w:r>
      <w:r w:rsidR="00237162" w:rsidRPr="00A54647">
        <w:rPr>
          <w:noProof/>
        </w:rPr>
        <w:t>National Centre for Vocational Education Research</w:t>
      </w:r>
      <w:r>
        <w:rPr>
          <w:noProof/>
        </w:rPr>
        <w:t>)</w:t>
      </w:r>
      <w:r w:rsidR="00237162" w:rsidRPr="00A54647">
        <w:rPr>
          <w:noProof/>
        </w:rPr>
        <w:t xml:space="preserve"> </w:t>
      </w:r>
      <w:r>
        <w:rPr>
          <w:noProof/>
        </w:rPr>
        <w:t xml:space="preserve">2012, </w:t>
      </w:r>
      <w:r w:rsidR="00237162" w:rsidRPr="00B555AB">
        <w:rPr>
          <w:i/>
          <w:noProof/>
        </w:rPr>
        <w:t>Longitudinal Surveys of Australian Yout</w:t>
      </w:r>
      <w:r w:rsidRPr="00B555AB">
        <w:rPr>
          <w:i/>
          <w:noProof/>
        </w:rPr>
        <w:t>h (LSAY) 2009 cohort user guide</w:t>
      </w:r>
      <w:r w:rsidR="00237162">
        <w:rPr>
          <w:noProof/>
        </w:rPr>
        <w:t>, Te</w:t>
      </w:r>
      <w:r>
        <w:rPr>
          <w:noProof/>
        </w:rPr>
        <w:t>chnical paper no.</w:t>
      </w:r>
      <w:r w:rsidR="00237162">
        <w:rPr>
          <w:noProof/>
        </w:rPr>
        <w:t>74, NCVER, Adelaide.</w:t>
      </w:r>
      <w:bookmarkEnd w:id="91"/>
    </w:p>
    <w:p w:rsidR="00237162" w:rsidRDefault="00B555AB" w:rsidP="00237162">
      <w:pPr>
        <w:pStyle w:val="References"/>
        <w:ind w:left="720" w:hanging="720"/>
        <w:rPr>
          <w:noProof/>
        </w:rPr>
      </w:pPr>
      <w:bookmarkStart w:id="92" w:name="_ENREF_28"/>
      <w:r>
        <w:rPr>
          <w:noProof/>
        </w:rPr>
        <w:t>OECD (</w:t>
      </w:r>
      <w:r w:rsidR="00237162" w:rsidRPr="00C039AE">
        <w:rPr>
          <w:noProof/>
        </w:rPr>
        <w:t>Organisation for Economic Co-operation and Development</w:t>
      </w:r>
      <w:r>
        <w:rPr>
          <w:noProof/>
        </w:rPr>
        <w:t xml:space="preserve">) 2006, </w:t>
      </w:r>
      <w:r w:rsidR="00237162">
        <w:rPr>
          <w:noProof/>
        </w:rPr>
        <w:t>W</w:t>
      </w:r>
      <w:r w:rsidR="00237162" w:rsidRPr="00B555AB">
        <w:rPr>
          <w:i/>
          <w:noProof/>
        </w:rPr>
        <w:t xml:space="preserve">omen in </w:t>
      </w:r>
      <w:r w:rsidRPr="00B555AB">
        <w:rPr>
          <w:i/>
          <w:noProof/>
        </w:rPr>
        <w:t>scientific careers: unleashing the potential</w:t>
      </w:r>
      <w:r w:rsidR="00237162">
        <w:rPr>
          <w:noProof/>
        </w:rPr>
        <w:t>, OECD, Paris.</w:t>
      </w:r>
      <w:bookmarkEnd w:id="92"/>
    </w:p>
    <w:p w:rsidR="00237162" w:rsidRPr="005D171B" w:rsidRDefault="00BE03BB" w:rsidP="00237162">
      <w:pPr>
        <w:pStyle w:val="References"/>
        <w:ind w:left="720" w:hanging="720"/>
        <w:rPr>
          <w:noProof/>
        </w:rPr>
      </w:pPr>
      <w:bookmarkStart w:id="93" w:name="_ENREF_29"/>
      <w:r>
        <w:rPr>
          <w:noProof/>
          <w:w w:val="200"/>
          <w:szCs w:val="18"/>
        </w:rPr>
        <w:t>——</w:t>
      </w:r>
      <w:r w:rsidR="00237162" w:rsidRPr="005D171B">
        <w:rPr>
          <w:noProof/>
        </w:rPr>
        <w:t xml:space="preserve">2007a, </w:t>
      </w:r>
      <w:r w:rsidR="00237162" w:rsidRPr="005D171B">
        <w:rPr>
          <w:i/>
          <w:noProof/>
        </w:rPr>
        <w:t>PISA 2006 Scienc</w:t>
      </w:r>
      <w:r w:rsidR="00B555AB" w:rsidRPr="005D171B">
        <w:rPr>
          <w:i/>
          <w:noProof/>
        </w:rPr>
        <w:t>e competencies for tomorrow</w:t>
      </w:r>
      <w:r w:rsidR="00C33F0A">
        <w:rPr>
          <w:i/>
          <w:noProof/>
        </w:rPr>
        <w:t>’</w:t>
      </w:r>
      <w:r w:rsidR="00B555AB" w:rsidRPr="005D171B">
        <w:rPr>
          <w:i/>
          <w:noProof/>
        </w:rPr>
        <w:t>s world</w:t>
      </w:r>
      <w:r w:rsidR="00B555AB" w:rsidRPr="005D171B">
        <w:rPr>
          <w:noProof/>
        </w:rPr>
        <w:t>,</w:t>
      </w:r>
      <w:r w:rsidR="00237162" w:rsidRPr="005D171B">
        <w:rPr>
          <w:noProof/>
        </w:rPr>
        <w:t xml:space="preserve"> viewed 10 </w:t>
      </w:r>
      <w:r w:rsidR="00C1768A">
        <w:rPr>
          <w:noProof/>
        </w:rPr>
        <w:t>November</w:t>
      </w:r>
      <w:r w:rsidR="00237162" w:rsidRPr="005D171B">
        <w:rPr>
          <w:noProof/>
        </w:rPr>
        <w:t xml:space="preserve"> 201</w:t>
      </w:r>
      <w:r w:rsidR="00C1768A">
        <w:rPr>
          <w:noProof/>
        </w:rPr>
        <w:t>2</w:t>
      </w:r>
      <w:r w:rsidR="00237162" w:rsidRPr="005D171B">
        <w:rPr>
          <w:noProof/>
        </w:rPr>
        <w:t>,</w:t>
      </w:r>
      <w:r w:rsidR="009A0FDB">
        <w:rPr>
          <w:noProof/>
        </w:rPr>
        <w:t xml:space="preserve"> </w:t>
      </w:r>
      <w:r w:rsidR="00237162" w:rsidRPr="005D171B">
        <w:rPr>
          <w:noProof/>
        </w:rPr>
        <w:t>&lt;</w:t>
      </w:r>
      <w:r w:rsidR="00C019C4">
        <w:rPr>
          <w:noProof/>
        </w:rPr>
        <w:t>http://</w:t>
      </w:r>
      <w:r w:rsidR="00237162" w:rsidRPr="00C33F0A">
        <w:rPr>
          <w:noProof/>
        </w:rPr>
        <w:t>www.oecd.org/dataoecd/59/32/39730315.pdf</w:t>
      </w:r>
      <w:r w:rsidR="00237162" w:rsidRPr="005D171B">
        <w:t>&gt;</w:t>
      </w:r>
      <w:r w:rsidR="00237162" w:rsidRPr="005D171B">
        <w:rPr>
          <w:noProof/>
        </w:rPr>
        <w:t>.</w:t>
      </w:r>
      <w:bookmarkEnd w:id="93"/>
    </w:p>
    <w:p w:rsidR="00237162" w:rsidRPr="005D171B" w:rsidRDefault="00BE03BB" w:rsidP="00237162">
      <w:pPr>
        <w:pStyle w:val="References"/>
        <w:ind w:left="720" w:hanging="720"/>
        <w:rPr>
          <w:noProof/>
        </w:rPr>
      </w:pPr>
      <w:bookmarkStart w:id="94" w:name="_ENREF_30"/>
      <w:r>
        <w:rPr>
          <w:noProof/>
          <w:w w:val="200"/>
          <w:szCs w:val="18"/>
        </w:rPr>
        <w:t>——</w:t>
      </w:r>
      <w:r w:rsidR="00237162" w:rsidRPr="005D171B">
        <w:rPr>
          <w:noProof/>
        </w:rPr>
        <w:t xml:space="preserve">2007b, </w:t>
      </w:r>
      <w:r w:rsidR="00237162" w:rsidRPr="005D171B">
        <w:rPr>
          <w:i/>
          <w:noProof/>
        </w:rPr>
        <w:t xml:space="preserve">PISA 2006 </w:t>
      </w:r>
      <w:r w:rsidR="00B555AB" w:rsidRPr="005D171B">
        <w:rPr>
          <w:i/>
          <w:noProof/>
        </w:rPr>
        <w:t>technical repor</w:t>
      </w:r>
      <w:r w:rsidR="00237162" w:rsidRPr="005D171B">
        <w:rPr>
          <w:i/>
          <w:noProof/>
        </w:rPr>
        <w:t>t</w:t>
      </w:r>
      <w:r w:rsidR="00237162" w:rsidRPr="005D171B">
        <w:rPr>
          <w:noProof/>
        </w:rPr>
        <w:t xml:space="preserve">, OECD, Paris, </w:t>
      </w:r>
      <w:r w:rsidR="00C1768A">
        <w:rPr>
          <w:noProof/>
        </w:rPr>
        <w:t>viewed 13 November 2012</w:t>
      </w:r>
      <w:r w:rsidR="00237162" w:rsidRPr="005D171B">
        <w:rPr>
          <w:noProof/>
        </w:rPr>
        <w:t>, &lt;</w:t>
      </w:r>
      <w:r w:rsidR="00C019C4">
        <w:rPr>
          <w:noProof/>
        </w:rPr>
        <w:t>http://</w:t>
      </w:r>
      <w:hyperlink r:id="rId18" w:history="1">
        <w:r w:rsidR="00237162" w:rsidRPr="005D171B">
          <w:rPr>
            <w:rStyle w:val="Hyperlink"/>
            <w:noProof/>
            <w:sz w:val="18"/>
          </w:rPr>
          <w:t>www.oecd.org/dataoecd/0/47/42025182.pdf</w:t>
        </w:r>
      </w:hyperlink>
      <w:r w:rsidR="00237162" w:rsidRPr="005D171B">
        <w:t>&gt;</w:t>
      </w:r>
      <w:r w:rsidR="00237162" w:rsidRPr="005D171B">
        <w:rPr>
          <w:noProof/>
        </w:rPr>
        <w:t>.</w:t>
      </w:r>
      <w:bookmarkEnd w:id="94"/>
    </w:p>
    <w:p w:rsidR="00237162" w:rsidRPr="005D171B" w:rsidRDefault="00BE03BB" w:rsidP="00237162">
      <w:pPr>
        <w:pStyle w:val="References"/>
        <w:ind w:left="720" w:hanging="720"/>
        <w:rPr>
          <w:noProof/>
        </w:rPr>
      </w:pPr>
      <w:bookmarkStart w:id="95" w:name="_ENREF_31"/>
      <w:r>
        <w:rPr>
          <w:noProof/>
          <w:w w:val="200"/>
          <w:szCs w:val="18"/>
        </w:rPr>
        <w:t>——</w:t>
      </w:r>
      <w:r w:rsidR="00237162" w:rsidRPr="005D171B">
        <w:rPr>
          <w:noProof/>
        </w:rPr>
        <w:t xml:space="preserve">2009, </w:t>
      </w:r>
      <w:r w:rsidR="00C33F0A">
        <w:rPr>
          <w:noProof/>
        </w:rPr>
        <w:t>‘</w:t>
      </w:r>
      <w:r w:rsidR="00B555AB">
        <w:rPr>
          <w:noProof/>
        </w:rPr>
        <w:t>PISA 2006 data analysis manual —</w:t>
      </w:r>
      <w:r w:rsidR="00237162" w:rsidRPr="005D171B">
        <w:rPr>
          <w:noProof/>
        </w:rPr>
        <w:t xml:space="preserve"> SPSS version</w:t>
      </w:r>
      <w:r w:rsidR="00C33F0A">
        <w:rPr>
          <w:noProof/>
        </w:rPr>
        <w:t>’</w:t>
      </w:r>
      <w:r w:rsidR="00237162" w:rsidRPr="005D171B">
        <w:rPr>
          <w:noProof/>
        </w:rPr>
        <w:t>, OECD, Paris.</w:t>
      </w:r>
      <w:bookmarkEnd w:id="95"/>
    </w:p>
    <w:p w:rsidR="00237162" w:rsidRPr="005D171B" w:rsidRDefault="00BE03BB" w:rsidP="00237162">
      <w:pPr>
        <w:pStyle w:val="References"/>
        <w:ind w:left="720" w:hanging="720"/>
        <w:rPr>
          <w:noProof/>
        </w:rPr>
      </w:pPr>
      <w:bookmarkStart w:id="96" w:name="_ENREF_32"/>
      <w:r>
        <w:rPr>
          <w:noProof/>
          <w:w w:val="200"/>
          <w:szCs w:val="18"/>
        </w:rPr>
        <w:t>——</w:t>
      </w:r>
      <w:r w:rsidR="00B555AB">
        <w:rPr>
          <w:noProof/>
        </w:rPr>
        <w:t xml:space="preserve">2012a, </w:t>
      </w:r>
      <w:r w:rsidR="00237162" w:rsidRPr="00B555AB">
        <w:rPr>
          <w:i/>
          <w:noProof/>
        </w:rPr>
        <w:t>Education at a</w:t>
      </w:r>
      <w:r w:rsidR="00B555AB" w:rsidRPr="00B555AB">
        <w:rPr>
          <w:i/>
          <w:noProof/>
        </w:rPr>
        <w:t xml:space="preserve"> glance: 2012 OECD indicators</w:t>
      </w:r>
      <w:r w:rsidR="00237162" w:rsidRPr="005D171B">
        <w:rPr>
          <w:noProof/>
        </w:rPr>
        <w:t xml:space="preserve">, OECD, Paris, </w:t>
      </w:r>
      <w:r w:rsidR="00C1768A">
        <w:rPr>
          <w:noProof/>
        </w:rPr>
        <w:t>viewed 11</w:t>
      </w:r>
      <w:r w:rsidR="00237162" w:rsidRPr="005D171B">
        <w:rPr>
          <w:noProof/>
        </w:rPr>
        <w:t xml:space="preserve"> </w:t>
      </w:r>
      <w:r w:rsidR="00C1768A">
        <w:rPr>
          <w:noProof/>
        </w:rPr>
        <w:t>November 2012</w:t>
      </w:r>
      <w:r w:rsidR="00237162" w:rsidRPr="005D171B">
        <w:rPr>
          <w:noProof/>
        </w:rPr>
        <w:t>, &lt;</w:t>
      </w:r>
      <w:r w:rsidR="00C019C4">
        <w:rPr>
          <w:noProof/>
        </w:rPr>
        <w:t>http://</w:t>
      </w:r>
      <w:r w:rsidR="00237162" w:rsidRPr="00C33F0A">
        <w:rPr>
          <w:noProof/>
        </w:rPr>
        <w:t>www.oecd.org/edu/EAG%202012_e-book_EN_200912.pdf</w:t>
      </w:r>
      <w:r w:rsidR="00237162" w:rsidRPr="005D171B">
        <w:rPr>
          <w:noProof/>
        </w:rPr>
        <w:t>&gt;.</w:t>
      </w:r>
      <w:bookmarkEnd w:id="96"/>
    </w:p>
    <w:p w:rsidR="00237162" w:rsidRDefault="00BE03BB" w:rsidP="00237162">
      <w:pPr>
        <w:pStyle w:val="References"/>
        <w:ind w:left="720" w:hanging="720"/>
        <w:rPr>
          <w:noProof/>
        </w:rPr>
      </w:pPr>
      <w:bookmarkStart w:id="97" w:name="_ENREF_33"/>
      <w:r>
        <w:rPr>
          <w:noProof/>
          <w:w w:val="200"/>
          <w:szCs w:val="18"/>
        </w:rPr>
        <w:t>——</w:t>
      </w:r>
      <w:r w:rsidR="00237162" w:rsidRPr="005D171B">
        <w:rPr>
          <w:noProof/>
        </w:rPr>
        <w:t xml:space="preserve">2012b, </w:t>
      </w:r>
      <w:r w:rsidR="00C33F0A">
        <w:rPr>
          <w:noProof/>
        </w:rPr>
        <w:t>‘</w:t>
      </w:r>
      <w:r w:rsidR="00237162" w:rsidRPr="005D171B">
        <w:rPr>
          <w:noProof/>
        </w:rPr>
        <w:t xml:space="preserve">PISA 2009 </w:t>
      </w:r>
      <w:r w:rsidR="00B555AB" w:rsidRPr="005D171B">
        <w:rPr>
          <w:noProof/>
        </w:rPr>
        <w:t>technical repo</w:t>
      </w:r>
      <w:r w:rsidR="00237162" w:rsidRPr="005D171B">
        <w:rPr>
          <w:noProof/>
        </w:rPr>
        <w:t>rt</w:t>
      </w:r>
      <w:r w:rsidR="00C33F0A">
        <w:rPr>
          <w:noProof/>
        </w:rPr>
        <w:t>’</w:t>
      </w:r>
      <w:r w:rsidR="00237162" w:rsidRPr="005D171B">
        <w:rPr>
          <w:noProof/>
        </w:rPr>
        <w:t xml:space="preserve">, OECD, Paris, viewed </w:t>
      </w:r>
      <w:r w:rsidR="00C1768A">
        <w:rPr>
          <w:noProof/>
        </w:rPr>
        <w:t>11</w:t>
      </w:r>
      <w:r w:rsidR="00C1768A" w:rsidRPr="005D171B">
        <w:rPr>
          <w:noProof/>
        </w:rPr>
        <w:t xml:space="preserve"> </w:t>
      </w:r>
      <w:r w:rsidR="00C1768A">
        <w:rPr>
          <w:noProof/>
        </w:rPr>
        <w:t>November 2012</w:t>
      </w:r>
      <w:r w:rsidR="00237162" w:rsidRPr="005D171B">
        <w:rPr>
          <w:noProof/>
        </w:rPr>
        <w:t>, &lt;</w:t>
      </w:r>
      <w:r w:rsidR="00C019C4">
        <w:rPr>
          <w:noProof/>
        </w:rPr>
        <w:t>http://</w:t>
      </w:r>
      <w:hyperlink r:id="rId19" w:history="1">
        <w:r w:rsidR="00237162" w:rsidRPr="005D171B">
          <w:rPr>
            <w:rStyle w:val="Hyperlink"/>
            <w:noProof/>
            <w:sz w:val="18"/>
          </w:rPr>
          <w:t>www.oecd.org/pisa/pisaproducts/pisa2009/50036771.pdf</w:t>
        </w:r>
      </w:hyperlink>
      <w:r w:rsidR="00237162" w:rsidRPr="005D171B">
        <w:rPr>
          <w:noProof/>
        </w:rPr>
        <w:t>&gt;.</w:t>
      </w:r>
      <w:bookmarkEnd w:id="97"/>
    </w:p>
    <w:p w:rsidR="00237162" w:rsidRDefault="00237162" w:rsidP="00237162">
      <w:pPr>
        <w:pStyle w:val="References"/>
        <w:ind w:left="720" w:hanging="720"/>
        <w:rPr>
          <w:noProof/>
        </w:rPr>
      </w:pPr>
      <w:bookmarkStart w:id="98" w:name="_ENREF_34"/>
      <w:r>
        <w:rPr>
          <w:noProof/>
        </w:rPr>
        <w:t>Osborne, J, Simon, S &amp; Collins, S 200</w:t>
      </w:r>
      <w:r w:rsidR="00B555AB">
        <w:rPr>
          <w:noProof/>
        </w:rPr>
        <w:t xml:space="preserve">3, </w:t>
      </w:r>
      <w:r w:rsidR="00C33F0A">
        <w:rPr>
          <w:noProof/>
        </w:rPr>
        <w:t>‘</w:t>
      </w:r>
      <w:r w:rsidR="00B555AB">
        <w:rPr>
          <w:noProof/>
        </w:rPr>
        <w:t>Attitudes towards science: a</w:t>
      </w:r>
      <w:r>
        <w:rPr>
          <w:noProof/>
        </w:rPr>
        <w:t xml:space="preserve"> review of the literature and its implications</w:t>
      </w:r>
      <w:r w:rsidR="00C33F0A">
        <w:rPr>
          <w:noProof/>
        </w:rPr>
        <w:t>’</w:t>
      </w:r>
      <w:r>
        <w:rPr>
          <w:noProof/>
        </w:rPr>
        <w:t xml:space="preserve">, </w:t>
      </w:r>
      <w:r w:rsidRPr="00EE4C1D">
        <w:rPr>
          <w:i/>
          <w:noProof/>
        </w:rPr>
        <w:t xml:space="preserve">International Journal of Science Education, </w:t>
      </w:r>
      <w:r w:rsidR="00451ECD">
        <w:rPr>
          <w:noProof/>
        </w:rPr>
        <w:t>vol.</w:t>
      </w:r>
      <w:r>
        <w:rPr>
          <w:noProof/>
        </w:rPr>
        <w:t xml:space="preserve">23, </w:t>
      </w:r>
      <w:r w:rsidR="00451ECD">
        <w:rPr>
          <w:noProof/>
        </w:rPr>
        <w:t>no.</w:t>
      </w:r>
      <w:r>
        <w:rPr>
          <w:noProof/>
        </w:rPr>
        <w:t xml:space="preserve">9, </w:t>
      </w:r>
      <w:r w:rsidR="00451ECD">
        <w:rPr>
          <w:noProof/>
        </w:rPr>
        <w:t>pp.</w:t>
      </w:r>
      <w:r w:rsidR="00B555AB">
        <w:rPr>
          <w:noProof/>
        </w:rPr>
        <w:t>1049—</w:t>
      </w:r>
      <w:r>
        <w:rPr>
          <w:noProof/>
        </w:rPr>
        <w:t>79.</w:t>
      </w:r>
      <w:bookmarkEnd w:id="98"/>
    </w:p>
    <w:p w:rsidR="00237162" w:rsidRDefault="00237162" w:rsidP="00237162">
      <w:pPr>
        <w:pStyle w:val="References"/>
        <w:ind w:left="720" w:hanging="720"/>
        <w:rPr>
          <w:noProof/>
        </w:rPr>
      </w:pPr>
      <w:bookmarkStart w:id="99" w:name="_ENREF_35"/>
      <w:r>
        <w:rPr>
          <w:noProof/>
        </w:rPr>
        <w:t xml:space="preserve">Raudenbush, SW &amp; Bryk, AS 2002, </w:t>
      </w:r>
      <w:r w:rsidRPr="00EE4C1D">
        <w:rPr>
          <w:i/>
          <w:noProof/>
        </w:rPr>
        <w:t>Hierarchical linear models: applications and data analysis methods</w:t>
      </w:r>
      <w:r>
        <w:rPr>
          <w:noProof/>
        </w:rPr>
        <w:t>, Sage Publications, Thousand Oaks</w:t>
      </w:r>
      <w:r w:rsidR="00B555AB">
        <w:rPr>
          <w:noProof/>
        </w:rPr>
        <w:t>, CA</w:t>
      </w:r>
      <w:r>
        <w:rPr>
          <w:noProof/>
        </w:rPr>
        <w:t>.</w:t>
      </w:r>
      <w:bookmarkEnd w:id="99"/>
    </w:p>
    <w:p w:rsidR="00237162" w:rsidRDefault="00237162" w:rsidP="00237162">
      <w:pPr>
        <w:pStyle w:val="References"/>
        <w:ind w:left="720" w:hanging="720"/>
        <w:rPr>
          <w:noProof/>
        </w:rPr>
      </w:pPr>
      <w:bookmarkStart w:id="100" w:name="_ENREF_36"/>
      <w:r>
        <w:rPr>
          <w:noProof/>
        </w:rPr>
        <w:t xml:space="preserve">Royston, P 2004, </w:t>
      </w:r>
      <w:r w:rsidR="00C33F0A">
        <w:rPr>
          <w:noProof/>
        </w:rPr>
        <w:t>‘</w:t>
      </w:r>
      <w:r>
        <w:rPr>
          <w:noProof/>
        </w:rPr>
        <w:t>Multiple imputation of missing values</w:t>
      </w:r>
      <w:r w:rsidR="00C33F0A">
        <w:rPr>
          <w:noProof/>
        </w:rPr>
        <w:t>’</w:t>
      </w:r>
      <w:r>
        <w:rPr>
          <w:noProof/>
        </w:rPr>
        <w:t xml:space="preserve">, </w:t>
      </w:r>
      <w:r w:rsidRPr="00EE4C1D">
        <w:rPr>
          <w:i/>
          <w:noProof/>
        </w:rPr>
        <w:t xml:space="preserve">Stata Journal, </w:t>
      </w:r>
      <w:r w:rsidR="00451ECD">
        <w:rPr>
          <w:noProof/>
        </w:rPr>
        <w:t>vol.</w:t>
      </w:r>
      <w:r>
        <w:rPr>
          <w:noProof/>
        </w:rPr>
        <w:t xml:space="preserve">4, </w:t>
      </w:r>
      <w:r w:rsidR="00451ECD">
        <w:rPr>
          <w:noProof/>
        </w:rPr>
        <w:t>no.</w:t>
      </w:r>
      <w:r>
        <w:rPr>
          <w:noProof/>
        </w:rPr>
        <w:t xml:space="preserve">3, </w:t>
      </w:r>
      <w:r w:rsidR="00451ECD">
        <w:rPr>
          <w:noProof/>
        </w:rPr>
        <w:t>pp.</w:t>
      </w:r>
      <w:r w:rsidR="00B555AB">
        <w:rPr>
          <w:noProof/>
        </w:rPr>
        <w:t>227—</w:t>
      </w:r>
      <w:r>
        <w:rPr>
          <w:noProof/>
        </w:rPr>
        <w:t>41.</w:t>
      </w:r>
      <w:bookmarkEnd w:id="100"/>
    </w:p>
    <w:p w:rsidR="00237162" w:rsidRDefault="00237162" w:rsidP="00237162">
      <w:pPr>
        <w:pStyle w:val="References"/>
        <w:ind w:left="720" w:hanging="720"/>
        <w:rPr>
          <w:noProof/>
        </w:rPr>
      </w:pPr>
      <w:bookmarkStart w:id="101" w:name="_ENREF_37"/>
      <w:r>
        <w:rPr>
          <w:noProof/>
        </w:rPr>
        <w:t xml:space="preserve">Salomone, R 2003, </w:t>
      </w:r>
      <w:r w:rsidRPr="00EE4C1D">
        <w:rPr>
          <w:i/>
          <w:noProof/>
        </w:rPr>
        <w:t xml:space="preserve">Same, </w:t>
      </w:r>
      <w:r w:rsidR="00B555AB" w:rsidRPr="00EE4C1D">
        <w:rPr>
          <w:i/>
          <w:noProof/>
        </w:rPr>
        <w:t>different, equal: rethinking single-sex schooli</w:t>
      </w:r>
      <w:r w:rsidRPr="00EE4C1D">
        <w:rPr>
          <w:i/>
          <w:noProof/>
        </w:rPr>
        <w:t>ng</w:t>
      </w:r>
      <w:r>
        <w:rPr>
          <w:noProof/>
        </w:rPr>
        <w:t>, Yale University Press, New Haven</w:t>
      </w:r>
      <w:bookmarkEnd w:id="101"/>
      <w:r w:rsidR="00B555AB">
        <w:rPr>
          <w:noProof/>
        </w:rPr>
        <w:t>, CT</w:t>
      </w:r>
      <w:r>
        <w:rPr>
          <w:noProof/>
        </w:rPr>
        <w:t>.</w:t>
      </w:r>
    </w:p>
    <w:p w:rsidR="00237162" w:rsidRPr="000E30ED" w:rsidRDefault="00237162" w:rsidP="000F5884">
      <w:pPr>
        <w:pStyle w:val="References"/>
        <w:ind w:left="720" w:right="-144" w:hanging="720"/>
        <w:rPr>
          <w:noProof/>
        </w:rPr>
      </w:pPr>
      <w:bookmarkStart w:id="102" w:name="_ENREF_38"/>
      <w:r>
        <w:rPr>
          <w:noProof/>
        </w:rPr>
        <w:t xml:space="preserve">Sikora, J &amp; Pokropek, A </w:t>
      </w:r>
      <w:r w:rsidR="00B555AB">
        <w:rPr>
          <w:noProof/>
        </w:rPr>
        <w:t xml:space="preserve">2011, </w:t>
      </w:r>
      <w:r w:rsidRPr="00B555AB">
        <w:rPr>
          <w:i/>
          <w:noProof/>
        </w:rPr>
        <w:t>Gendered</w:t>
      </w:r>
      <w:r w:rsidR="00B555AB" w:rsidRPr="00B555AB">
        <w:rPr>
          <w:i/>
          <w:noProof/>
        </w:rPr>
        <w:t xml:space="preserve"> career expectations of students: perspectives from PISA 2006</w:t>
      </w:r>
      <w:r w:rsidRPr="00B555AB">
        <w:rPr>
          <w:i/>
          <w:noProof/>
        </w:rPr>
        <w:t>,</w:t>
      </w:r>
      <w:r w:rsidRPr="000E30ED">
        <w:rPr>
          <w:noProof/>
        </w:rPr>
        <w:t xml:space="preserve"> OE</w:t>
      </w:r>
      <w:r w:rsidR="00C019C4">
        <w:rPr>
          <w:noProof/>
        </w:rPr>
        <w:t>CD education working p</w:t>
      </w:r>
      <w:r w:rsidR="00B555AB">
        <w:rPr>
          <w:noProof/>
        </w:rPr>
        <w:t>apers, no.</w:t>
      </w:r>
      <w:r w:rsidRPr="000E30ED">
        <w:rPr>
          <w:noProof/>
        </w:rPr>
        <w:t>57, OECD, Paris,</w:t>
      </w:r>
      <w:r w:rsidR="00C019C4">
        <w:rPr>
          <w:noProof/>
        </w:rPr>
        <w:t xml:space="preserve"> viewed 3 October 2013,</w:t>
      </w:r>
      <w:r w:rsidRPr="000E30ED">
        <w:rPr>
          <w:noProof/>
        </w:rPr>
        <w:t xml:space="preserve"> &lt;http://dx.doi.org/10.1787/5kghw6891gms-en&gt;.</w:t>
      </w:r>
      <w:bookmarkEnd w:id="102"/>
    </w:p>
    <w:p w:rsidR="00237162" w:rsidRDefault="00BE03BB" w:rsidP="00237162">
      <w:pPr>
        <w:pStyle w:val="References"/>
        <w:ind w:left="720" w:hanging="720"/>
        <w:rPr>
          <w:noProof/>
        </w:rPr>
      </w:pPr>
      <w:bookmarkStart w:id="103" w:name="_ENREF_39"/>
      <w:r>
        <w:rPr>
          <w:noProof/>
          <w:w w:val="200"/>
          <w:szCs w:val="18"/>
        </w:rPr>
        <w:t>——</w:t>
      </w:r>
      <w:r w:rsidR="00117260">
        <w:rPr>
          <w:noProof/>
        </w:rPr>
        <w:t xml:space="preserve">2012a, </w:t>
      </w:r>
      <w:r w:rsidR="00C33F0A">
        <w:rPr>
          <w:noProof/>
        </w:rPr>
        <w:t>‘</w:t>
      </w:r>
      <w:r w:rsidR="00117260">
        <w:rPr>
          <w:noProof/>
        </w:rPr>
        <w:t>Gender s</w:t>
      </w:r>
      <w:r w:rsidR="00B555AB" w:rsidRPr="000E30ED">
        <w:rPr>
          <w:noProof/>
        </w:rPr>
        <w:t>egregation of ad</w:t>
      </w:r>
      <w:r w:rsidR="00B555AB">
        <w:rPr>
          <w:noProof/>
        </w:rPr>
        <w:t>olescent science career plans in 50 countri</w:t>
      </w:r>
      <w:r w:rsidR="00237162">
        <w:rPr>
          <w:noProof/>
        </w:rPr>
        <w:t>es</w:t>
      </w:r>
      <w:r w:rsidR="00C33F0A">
        <w:rPr>
          <w:noProof/>
        </w:rPr>
        <w:t>’</w:t>
      </w:r>
      <w:r w:rsidR="00237162">
        <w:rPr>
          <w:noProof/>
        </w:rPr>
        <w:t xml:space="preserve">, </w:t>
      </w:r>
      <w:r w:rsidR="00237162" w:rsidRPr="00EE4C1D">
        <w:rPr>
          <w:i/>
          <w:noProof/>
        </w:rPr>
        <w:t xml:space="preserve">Science Education, </w:t>
      </w:r>
      <w:r w:rsidR="00451ECD">
        <w:rPr>
          <w:noProof/>
        </w:rPr>
        <w:t>vol.</w:t>
      </w:r>
      <w:r w:rsidR="00237162">
        <w:rPr>
          <w:noProof/>
        </w:rPr>
        <w:t xml:space="preserve">96, </w:t>
      </w:r>
      <w:r w:rsidR="00451ECD">
        <w:rPr>
          <w:noProof/>
        </w:rPr>
        <w:t>no.</w:t>
      </w:r>
      <w:r w:rsidR="00237162">
        <w:rPr>
          <w:noProof/>
        </w:rPr>
        <w:t xml:space="preserve">2, </w:t>
      </w:r>
      <w:r w:rsidR="00451ECD">
        <w:rPr>
          <w:noProof/>
        </w:rPr>
        <w:t>pp.</w:t>
      </w:r>
      <w:r w:rsidR="00B555AB">
        <w:rPr>
          <w:noProof/>
        </w:rPr>
        <w:t>234—</w:t>
      </w:r>
      <w:r w:rsidR="00237162">
        <w:rPr>
          <w:noProof/>
        </w:rPr>
        <w:t>64.</w:t>
      </w:r>
      <w:bookmarkEnd w:id="103"/>
    </w:p>
    <w:p w:rsidR="00237162" w:rsidRDefault="00BE03BB" w:rsidP="00237162">
      <w:pPr>
        <w:pStyle w:val="References"/>
        <w:ind w:left="720" w:hanging="720"/>
        <w:rPr>
          <w:noProof/>
        </w:rPr>
      </w:pPr>
      <w:bookmarkStart w:id="104" w:name="_ENREF_40"/>
      <w:r>
        <w:rPr>
          <w:noProof/>
          <w:w w:val="200"/>
          <w:szCs w:val="18"/>
        </w:rPr>
        <w:t>——</w:t>
      </w:r>
      <w:r w:rsidR="00237162">
        <w:rPr>
          <w:noProof/>
        </w:rPr>
        <w:t xml:space="preserve">2012b, </w:t>
      </w:r>
      <w:r w:rsidR="00C33F0A">
        <w:rPr>
          <w:noProof/>
        </w:rPr>
        <w:t>‘</w:t>
      </w:r>
      <w:r w:rsidR="00237162">
        <w:rPr>
          <w:noProof/>
        </w:rPr>
        <w:t>Intergenerational</w:t>
      </w:r>
      <w:r w:rsidR="00B555AB">
        <w:rPr>
          <w:noProof/>
        </w:rPr>
        <w:t xml:space="preserve"> transfers of preferences for science careers in comparative perspect</w:t>
      </w:r>
      <w:r w:rsidR="00237162">
        <w:rPr>
          <w:noProof/>
        </w:rPr>
        <w:t>ive</w:t>
      </w:r>
      <w:r w:rsidR="00C33F0A">
        <w:rPr>
          <w:noProof/>
        </w:rPr>
        <w:t>’</w:t>
      </w:r>
      <w:r w:rsidR="00237162">
        <w:rPr>
          <w:noProof/>
        </w:rPr>
        <w:t xml:space="preserve">, </w:t>
      </w:r>
      <w:r w:rsidR="00237162" w:rsidRPr="00EE4C1D">
        <w:rPr>
          <w:i/>
          <w:noProof/>
        </w:rPr>
        <w:t xml:space="preserve">International Journal of Science Education, </w:t>
      </w:r>
      <w:r w:rsidR="00451ECD">
        <w:rPr>
          <w:noProof/>
        </w:rPr>
        <w:t>vol.</w:t>
      </w:r>
      <w:r w:rsidR="00237162">
        <w:rPr>
          <w:noProof/>
        </w:rPr>
        <w:t xml:space="preserve">34, </w:t>
      </w:r>
      <w:r w:rsidR="00451ECD">
        <w:rPr>
          <w:noProof/>
        </w:rPr>
        <w:t>no.</w:t>
      </w:r>
      <w:r w:rsidR="00237162">
        <w:rPr>
          <w:noProof/>
        </w:rPr>
        <w:t xml:space="preserve">16, </w:t>
      </w:r>
      <w:r w:rsidR="00451ECD">
        <w:rPr>
          <w:noProof/>
        </w:rPr>
        <w:t>pp.</w:t>
      </w:r>
      <w:r w:rsidR="00237162">
        <w:rPr>
          <w:noProof/>
        </w:rPr>
        <w:t>2501</w:t>
      </w:r>
      <w:r w:rsidR="000F5884">
        <w:rPr>
          <w:noProof/>
        </w:rPr>
        <w:t>—</w:t>
      </w:r>
      <w:r w:rsidR="00237162">
        <w:rPr>
          <w:noProof/>
        </w:rPr>
        <w:t>27.</w:t>
      </w:r>
      <w:bookmarkEnd w:id="104"/>
    </w:p>
    <w:p w:rsidR="00237162" w:rsidRDefault="00237162" w:rsidP="00237162">
      <w:pPr>
        <w:pStyle w:val="References"/>
        <w:ind w:left="720" w:hanging="720"/>
        <w:rPr>
          <w:noProof/>
        </w:rPr>
      </w:pPr>
      <w:bookmarkStart w:id="105" w:name="_ENREF_41"/>
      <w:r>
        <w:rPr>
          <w:noProof/>
        </w:rPr>
        <w:t xml:space="preserve">Smyth, E 2010, </w:t>
      </w:r>
      <w:r w:rsidR="00C33F0A">
        <w:rPr>
          <w:noProof/>
        </w:rPr>
        <w:t>‘</w:t>
      </w:r>
      <w:r>
        <w:rPr>
          <w:noProof/>
        </w:rPr>
        <w:t xml:space="preserve">Single-sex </w:t>
      </w:r>
      <w:r w:rsidR="00B555AB">
        <w:rPr>
          <w:noProof/>
        </w:rPr>
        <w:t>education: what does research tell us</w:t>
      </w:r>
      <w:r>
        <w:rPr>
          <w:noProof/>
        </w:rPr>
        <w:t>?</w:t>
      </w:r>
      <w:r w:rsidR="00C33F0A">
        <w:rPr>
          <w:noProof/>
        </w:rPr>
        <w:t>’</w:t>
      </w:r>
      <w:r>
        <w:rPr>
          <w:noProof/>
        </w:rPr>
        <w:t xml:space="preserve">, </w:t>
      </w:r>
      <w:r w:rsidRPr="00EE4C1D">
        <w:rPr>
          <w:i/>
          <w:noProof/>
        </w:rPr>
        <w:t xml:space="preserve">Revue Française de Pédagogie, </w:t>
      </w:r>
      <w:r w:rsidR="00451ECD">
        <w:rPr>
          <w:noProof/>
        </w:rPr>
        <w:t>vol.</w:t>
      </w:r>
      <w:r>
        <w:rPr>
          <w:noProof/>
        </w:rPr>
        <w:t xml:space="preserve">171, </w:t>
      </w:r>
      <w:r w:rsidR="00451ECD">
        <w:rPr>
          <w:noProof/>
        </w:rPr>
        <w:t>pp.</w:t>
      </w:r>
      <w:r w:rsidR="00B555AB">
        <w:rPr>
          <w:noProof/>
        </w:rPr>
        <w:t>47—</w:t>
      </w:r>
      <w:r>
        <w:rPr>
          <w:noProof/>
        </w:rPr>
        <w:t>55.</w:t>
      </w:r>
      <w:bookmarkEnd w:id="105"/>
    </w:p>
    <w:p w:rsidR="00237162" w:rsidRDefault="00237162" w:rsidP="00C019C4">
      <w:pPr>
        <w:pStyle w:val="References"/>
        <w:ind w:left="720" w:hanging="720"/>
        <w:rPr>
          <w:noProof/>
        </w:rPr>
      </w:pPr>
      <w:bookmarkStart w:id="106" w:name="_ENREF_42"/>
      <w:r>
        <w:rPr>
          <w:noProof/>
        </w:rPr>
        <w:t xml:space="preserve">Streitmatter, J 2002, </w:t>
      </w:r>
      <w:r w:rsidR="00C33F0A">
        <w:rPr>
          <w:noProof/>
        </w:rPr>
        <w:t>‘</w:t>
      </w:r>
      <w:r>
        <w:rPr>
          <w:noProof/>
        </w:rPr>
        <w:t>Perceptions o</w:t>
      </w:r>
      <w:r w:rsidR="00B555AB">
        <w:rPr>
          <w:noProof/>
        </w:rPr>
        <w:t>f a single-sex class experience: females and males see it differentl</w:t>
      </w:r>
      <w:r>
        <w:rPr>
          <w:noProof/>
        </w:rPr>
        <w:t>y</w:t>
      </w:r>
      <w:r w:rsidR="00C33F0A">
        <w:rPr>
          <w:noProof/>
        </w:rPr>
        <w:t>’</w:t>
      </w:r>
      <w:r>
        <w:rPr>
          <w:noProof/>
        </w:rPr>
        <w:t xml:space="preserve">, </w:t>
      </w:r>
      <w:r w:rsidR="00BE03BB">
        <w:rPr>
          <w:noProof/>
        </w:rPr>
        <w:t xml:space="preserve">in </w:t>
      </w:r>
      <w:r w:rsidRPr="00EE4C1D">
        <w:rPr>
          <w:i/>
          <w:noProof/>
        </w:rPr>
        <w:t xml:space="preserve">Gender in </w:t>
      </w:r>
      <w:r w:rsidR="00BE03BB" w:rsidRPr="00EE4C1D">
        <w:rPr>
          <w:i/>
          <w:noProof/>
        </w:rPr>
        <w:t>policy and practice: perspectives on single-sex and coeducational schoolin</w:t>
      </w:r>
      <w:r w:rsidRPr="00EE4C1D">
        <w:rPr>
          <w:i/>
          <w:noProof/>
        </w:rPr>
        <w:t>g</w:t>
      </w:r>
      <w:r>
        <w:rPr>
          <w:noProof/>
        </w:rPr>
        <w:t xml:space="preserve">, </w:t>
      </w:r>
      <w:r w:rsidR="00BE03BB">
        <w:rPr>
          <w:noProof/>
        </w:rPr>
        <w:t>eds A</w:t>
      </w:r>
      <w:r w:rsidR="000F5884">
        <w:rPr>
          <w:noProof/>
        </w:rPr>
        <w:t> </w:t>
      </w:r>
      <w:r w:rsidR="00BE03BB" w:rsidRPr="00674B17">
        <w:rPr>
          <w:noProof/>
        </w:rPr>
        <w:t>Datnow &amp; L Hubbard</w:t>
      </w:r>
      <w:r w:rsidR="00C019C4">
        <w:rPr>
          <w:noProof/>
        </w:rPr>
        <w:t>,</w:t>
      </w:r>
      <w:r w:rsidR="00BE03BB">
        <w:rPr>
          <w:noProof/>
        </w:rPr>
        <w:t xml:space="preserve"> </w:t>
      </w:r>
      <w:r>
        <w:rPr>
          <w:noProof/>
        </w:rPr>
        <w:t xml:space="preserve">Routledge Falmer, New York, </w:t>
      </w:r>
      <w:r w:rsidR="00451ECD">
        <w:rPr>
          <w:noProof/>
        </w:rPr>
        <w:t>pp.</w:t>
      </w:r>
      <w:r w:rsidR="00BE03BB">
        <w:rPr>
          <w:noProof/>
        </w:rPr>
        <w:t>212—</w:t>
      </w:r>
      <w:r>
        <w:rPr>
          <w:noProof/>
        </w:rPr>
        <w:t>26.</w:t>
      </w:r>
      <w:bookmarkEnd w:id="106"/>
    </w:p>
    <w:p w:rsidR="00237162" w:rsidRDefault="00237162" w:rsidP="00237162">
      <w:pPr>
        <w:pStyle w:val="References"/>
        <w:ind w:left="720" w:hanging="720"/>
        <w:rPr>
          <w:noProof/>
        </w:rPr>
      </w:pPr>
      <w:bookmarkStart w:id="107" w:name="_ENREF_43"/>
      <w:r>
        <w:rPr>
          <w:noProof/>
        </w:rPr>
        <w:t xml:space="preserve">Sullivan, A, Joshi, H &amp; Leonard, D 2010, </w:t>
      </w:r>
      <w:r w:rsidR="00C33F0A">
        <w:rPr>
          <w:noProof/>
        </w:rPr>
        <w:t>‘</w:t>
      </w:r>
      <w:r>
        <w:rPr>
          <w:noProof/>
        </w:rPr>
        <w:t>Single-sex schooling and academic attainment at school and through the lifecourse</w:t>
      </w:r>
      <w:r w:rsidR="00C33F0A">
        <w:rPr>
          <w:noProof/>
        </w:rPr>
        <w:t>’</w:t>
      </w:r>
      <w:r>
        <w:rPr>
          <w:noProof/>
        </w:rPr>
        <w:t xml:space="preserve">, </w:t>
      </w:r>
      <w:r w:rsidRPr="00EE4C1D">
        <w:rPr>
          <w:i/>
          <w:noProof/>
        </w:rPr>
        <w:t xml:space="preserve">American Educational Research Journal, </w:t>
      </w:r>
      <w:r w:rsidR="00451ECD">
        <w:rPr>
          <w:noProof/>
        </w:rPr>
        <w:t>vol.</w:t>
      </w:r>
      <w:r>
        <w:rPr>
          <w:noProof/>
        </w:rPr>
        <w:t xml:space="preserve">47, </w:t>
      </w:r>
      <w:r w:rsidR="00451ECD">
        <w:rPr>
          <w:noProof/>
        </w:rPr>
        <w:t>no.</w:t>
      </w:r>
      <w:r>
        <w:rPr>
          <w:noProof/>
        </w:rPr>
        <w:t xml:space="preserve">1, </w:t>
      </w:r>
      <w:r w:rsidR="00451ECD">
        <w:rPr>
          <w:noProof/>
        </w:rPr>
        <w:t>pp.</w:t>
      </w:r>
      <w:r w:rsidR="00BE03BB">
        <w:rPr>
          <w:noProof/>
        </w:rPr>
        <w:t>6—</w:t>
      </w:r>
      <w:r>
        <w:rPr>
          <w:noProof/>
        </w:rPr>
        <w:t>36.</w:t>
      </w:r>
      <w:bookmarkEnd w:id="107"/>
    </w:p>
    <w:p w:rsidR="00237162" w:rsidRDefault="00BE03BB" w:rsidP="00237162">
      <w:pPr>
        <w:pStyle w:val="References"/>
        <w:ind w:left="720" w:hanging="720"/>
        <w:rPr>
          <w:noProof/>
        </w:rPr>
      </w:pPr>
      <w:bookmarkStart w:id="108" w:name="_ENREF_44"/>
      <w:r>
        <w:rPr>
          <w:noProof/>
          <w:w w:val="200"/>
          <w:szCs w:val="18"/>
        </w:rPr>
        <w:t>——</w:t>
      </w:r>
      <w:r w:rsidR="00237162">
        <w:rPr>
          <w:noProof/>
        </w:rPr>
        <w:t xml:space="preserve">2011, </w:t>
      </w:r>
      <w:r w:rsidR="00C33F0A">
        <w:rPr>
          <w:noProof/>
        </w:rPr>
        <w:t>‘</w:t>
      </w:r>
      <w:r w:rsidR="00237162">
        <w:rPr>
          <w:noProof/>
        </w:rPr>
        <w:t>Single‐sex schooling and labour market outcomes</w:t>
      </w:r>
      <w:r w:rsidR="00C33F0A">
        <w:rPr>
          <w:noProof/>
        </w:rPr>
        <w:t>’</w:t>
      </w:r>
      <w:r w:rsidR="00237162">
        <w:rPr>
          <w:noProof/>
        </w:rPr>
        <w:t xml:space="preserve">, </w:t>
      </w:r>
      <w:r w:rsidR="00237162" w:rsidRPr="00EE4C1D">
        <w:rPr>
          <w:i/>
          <w:noProof/>
        </w:rPr>
        <w:t xml:space="preserve">Oxford Review of Education, </w:t>
      </w:r>
      <w:r w:rsidR="00451ECD">
        <w:rPr>
          <w:noProof/>
        </w:rPr>
        <w:t>vol.</w:t>
      </w:r>
      <w:r w:rsidR="00237162">
        <w:rPr>
          <w:noProof/>
        </w:rPr>
        <w:t xml:space="preserve">37, </w:t>
      </w:r>
      <w:r w:rsidR="00451ECD">
        <w:rPr>
          <w:noProof/>
        </w:rPr>
        <w:t>no.</w:t>
      </w:r>
      <w:r w:rsidR="00237162">
        <w:rPr>
          <w:noProof/>
        </w:rPr>
        <w:t xml:space="preserve">3, </w:t>
      </w:r>
      <w:r w:rsidR="00451ECD">
        <w:rPr>
          <w:noProof/>
        </w:rPr>
        <w:t>pp.</w:t>
      </w:r>
      <w:r>
        <w:rPr>
          <w:noProof/>
        </w:rPr>
        <w:t>311—</w:t>
      </w:r>
      <w:r w:rsidR="00237162">
        <w:rPr>
          <w:noProof/>
        </w:rPr>
        <w:t>32.</w:t>
      </w:r>
      <w:bookmarkEnd w:id="108"/>
    </w:p>
    <w:p w:rsidR="00237162" w:rsidRDefault="00237162" w:rsidP="00237162">
      <w:pPr>
        <w:pStyle w:val="References"/>
        <w:ind w:left="720" w:hanging="720"/>
        <w:rPr>
          <w:noProof/>
        </w:rPr>
      </w:pPr>
      <w:bookmarkStart w:id="109" w:name="_ENREF_45"/>
      <w:r>
        <w:rPr>
          <w:noProof/>
        </w:rPr>
        <w:t xml:space="preserve">Wiseman, AW 2008, </w:t>
      </w:r>
      <w:r w:rsidR="00C33F0A">
        <w:rPr>
          <w:noProof/>
        </w:rPr>
        <w:t>‘</w:t>
      </w:r>
      <w:r>
        <w:rPr>
          <w:noProof/>
        </w:rPr>
        <w:t>A</w:t>
      </w:r>
      <w:r w:rsidR="00BE03BB">
        <w:rPr>
          <w:noProof/>
        </w:rPr>
        <w:t xml:space="preserve"> culture of (in)equal</w:t>
      </w:r>
      <w:r w:rsidR="009A0FDB">
        <w:rPr>
          <w:noProof/>
        </w:rPr>
        <w:t>ity?</w:t>
      </w:r>
      <w:r>
        <w:rPr>
          <w:noProof/>
        </w:rPr>
        <w:t xml:space="preserve"> </w:t>
      </w:r>
      <w:r w:rsidR="009A0FDB">
        <w:rPr>
          <w:noProof/>
        </w:rPr>
        <w:t>A</w:t>
      </w:r>
      <w:r>
        <w:rPr>
          <w:noProof/>
        </w:rPr>
        <w:t xml:space="preserve"> cross-national study of gender parity and gender segregation in national school systems</w:t>
      </w:r>
      <w:r w:rsidR="00C33F0A">
        <w:rPr>
          <w:noProof/>
        </w:rPr>
        <w:t>’</w:t>
      </w:r>
      <w:r>
        <w:rPr>
          <w:noProof/>
        </w:rPr>
        <w:t xml:space="preserve">, </w:t>
      </w:r>
      <w:r w:rsidRPr="00EE4C1D">
        <w:rPr>
          <w:i/>
          <w:noProof/>
        </w:rPr>
        <w:t xml:space="preserve">Research in Comparative and International Education, </w:t>
      </w:r>
      <w:r w:rsidR="00451ECD">
        <w:rPr>
          <w:noProof/>
        </w:rPr>
        <w:t>vol.</w:t>
      </w:r>
      <w:r>
        <w:rPr>
          <w:noProof/>
        </w:rPr>
        <w:t xml:space="preserve">3, </w:t>
      </w:r>
      <w:r w:rsidR="00451ECD">
        <w:rPr>
          <w:noProof/>
        </w:rPr>
        <w:t>no.</w:t>
      </w:r>
      <w:r>
        <w:rPr>
          <w:noProof/>
        </w:rPr>
        <w:t xml:space="preserve">2, </w:t>
      </w:r>
      <w:r w:rsidR="00451ECD">
        <w:rPr>
          <w:noProof/>
        </w:rPr>
        <w:t>pp.</w:t>
      </w:r>
      <w:r w:rsidR="00BE03BB">
        <w:rPr>
          <w:noProof/>
        </w:rPr>
        <w:t>179—</w:t>
      </w:r>
      <w:r>
        <w:rPr>
          <w:noProof/>
        </w:rPr>
        <w:t>201.</w:t>
      </w:r>
      <w:bookmarkEnd w:id="109"/>
    </w:p>
    <w:p w:rsidR="00237162" w:rsidRDefault="00237162" w:rsidP="00237162">
      <w:pPr>
        <w:pStyle w:val="References"/>
        <w:ind w:left="720" w:hanging="720"/>
        <w:rPr>
          <w:noProof/>
        </w:rPr>
      </w:pPr>
      <w:bookmarkStart w:id="110" w:name="_ENREF_46"/>
      <w:r>
        <w:rPr>
          <w:noProof/>
        </w:rPr>
        <w:t xml:space="preserve">Wu, M 2005, </w:t>
      </w:r>
      <w:r w:rsidR="00C33F0A">
        <w:rPr>
          <w:noProof/>
        </w:rPr>
        <w:t>‘</w:t>
      </w:r>
      <w:r>
        <w:rPr>
          <w:noProof/>
        </w:rPr>
        <w:t xml:space="preserve">The </w:t>
      </w:r>
      <w:r w:rsidR="00BE03BB">
        <w:rPr>
          <w:noProof/>
        </w:rPr>
        <w:t>role of plausible values in large-scale surv</w:t>
      </w:r>
      <w:r>
        <w:rPr>
          <w:noProof/>
        </w:rPr>
        <w:t>eys</w:t>
      </w:r>
      <w:r w:rsidR="00C33F0A">
        <w:rPr>
          <w:noProof/>
        </w:rPr>
        <w:t>’</w:t>
      </w:r>
      <w:r>
        <w:rPr>
          <w:noProof/>
        </w:rPr>
        <w:t xml:space="preserve">, </w:t>
      </w:r>
      <w:r w:rsidRPr="00EE4C1D">
        <w:rPr>
          <w:i/>
          <w:noProof/>
        </w:rPr>
        <w:t xml:space="preserve">Studies in Educational Evaluation, </w:t>
      </w:r>
      <w:r w:rsidR="00451ECD">
        <w:rPr>
          <w:noProof/>
        </w:rPr>
        <w:t>vol.</w:t>
      </w:r>
      <w:r>
        <w:rPr>
          <w:noProof/>
        </w:rPr>
        <w:t xml:space="preserve">31, </w:t>
      </w:r>
      <w:r w:rsidR="00451ECD">
        <w:rPr>
          <w:noProof/>
        </w:rPr>
        <w:t>no.</w:t>
      </w:r>
      <w:r w:rsidR="00BE03BB">
        <w:rPr>
          <w:noProof/>
        </w:rPr>
        <w:t>2—</w:t>
      </w:r>
      <w:r>
        <w:rPr>
          <w:noProof/>
        </w:rPr>
        <w:t xml:space="preserve">3, </w:t>
      </w:r>
      <w:r w:rsidR="00451ECD">
        <w:rPr>
          <w:noProof/>
        </w:rPr>
        <w:t>pp.</w:t>
      </w:r>
      <w:r w:rsidR="00BE03BB">
        <w:rPr>
          <w:noProof/>
        </w:rPr>
        <w:t>114—</w:t>
      </w:r>
      <w:r>
        <w:rPr>
          <w:noProof/>
        </w:rPr>
        <w:t>28.</w:t>
      </w:r>
      <w:bookmarkEnd w:id="110"/>
    </w:p>
    <w:p w:rsidR="00F87F00" w:rsidRDefault="0091032D" w:rsidP="000F5884">
      <w:pPr>
        <w:pStyle w:val="References"/>
        <w:ind w:left="720" w:hanging="720"/>
      </w:pPr>
      <w:r>
        <w:fldChar w:fldCharType="end"/>
      </w:r>
    </w:p>
    <w:p w:rsidR="00807D0E" w:rsidRPr="00427E11" w:rsidRDefault="00F87F00" w:rsidP="00807D0E">
      <w:pPr>
        <w:pStyle w:val="Text"/>
        <w:rPr>
          <w:rFonts w:ascii="Tahoma" w:hAnsi="Tahoma" w:cs="Tahoma"/>
          <w:sz w:val="28"/>
        </w:rPr>
      </w:pPr>
      <w:r>
        <w:br w:type="page"/>
      </w:r>
    </w:p>
    <w:p w:rsidR="00F87F00" w:rsidRDefault="00F87F00" w:rsidP="00502974">
      <w:pPr>
        <w:pStyle w:val="Heading1"/>
      </w:pPr>
      <w:bookmarkStart w:id="111" w:name="_Toc367713385"/>
      <w:r>
        <w:lastRenderedPageBreak/>
        <w:t>Appendices</w:t>
      </w:r>
      <w:bookmarkEnd w:id="111"/>
    </w:p>
    <w:p w:rsidR="00F87F00" w:rsidRDefault="00F87F00" w:rsidP="00502974">
      <w:pPr>
        <w:pStyle w:val="Heading2"/>
      </w:pPr>
      <w:bookmarkStart w:id="112" w:name="_Toc367713386"/>
      <w:r>
        <w:t xml:space="preserve">Appendix </w:t>
      </w:r>
      <w:r w:rsidR="00C019C4">
        <w:t>A</w:t>
      </w:r>
      <w:r>
        <w:t xml:space="preserve"> </w:t>
      </w:r>
      <w:r w:rsidRPr="00CE48A4">
        <w:t>Details of methodology and measurement</w:t>
      </w:r>
      <w:bookmarkEnd w:id="112"/>
      <w:r w:rsidRPr="00CE48A4">
        <w:t xml:space="preserve"> </w:t>
      </w:r>
    </w:p>
    <w:p w:rsidR="00F87F00" w:rsidRDefault="00F87F00" w:rsidP="00877A61">
      <w:pPr>
        <w:pStyle w:val="Heading3"/>
      </w:pPr>
      <w:r>
        <w:t>Methods of estimation</w:t>
      </w:r>
    </w:p>
    <w:p w:rsidR="00F87F00" w:rsidRDefault="00F87F00" w:rsidP="00502974">
      <w:pPr>
        <w:pStyle w:val="Text"/>
      </w:pPr>
      <w:r>
        <w:t>PISA 2009, which is the first wave of LSAY09, uses plausible value methodologies to measure student achievement. It also</w:t>
      </w:r>
      <w:r w:rsidRPr="00E168E6">
        <w:t xml:space="preserve"> uses an incomplete balanced matrix design, which means that students answer a sample of, </w:t>
      </w:r>
      <w:r>
        <w:t>rather than all</w:t>
      </w:r>
      <w:r w:rsidR="00BE03BB">
        <w:t>,</w:t>
      </w:r>
      <w:r>
        <w:t xml:space="preserve"> test questions. This is why descriptive estimates of student achievement in science in this paper are based on</w:t>
      </w:r>
      <w:r w:rsidRPr="00E168E6">
        <w:t xml:space="preserve"> five plausible v</w:t>
      </w:r>
      <w:r>
        <w:t>alues for each student and computed with</w:t>
      </w:r>
      <w:r w:rsidRPr="00E168E6">
        <w:t xml:space="preserve"> the OECD-recommended analytical techniques</w:t>
      </w:r>
      <w:r>
        <w:t xml:space="preserve">, including </w:t>
      </w:r>
      <w:r w:rsidR="00BE03BB">
        <w:t>b</w:t>
      </w:r>
      <w:r w:rsidR="00BE03BB" w:rsidRPr="00E168E6">
        <w:t>alanced-</w:t>
      </w:r>
      <w:r w:rsidR="00BE03BB">
        <w:t>r</w:t>
      </w:r>
      <w:r w:rsidR="00BE03BB" w:rsidRPr="00E168E6">
        <w:t xml:space="preserve">epeated </w:t>
      </w:r>
      <w:r w:rsidR="00BE03BB">
        <w:t>r</w:t>
      </w:r>
      <w:r w:rsidR="00BE03BB" w:rsidRPr="00E168E6">
        <w:t xml:space="preserve">eplicate </w:t>
      </w:r>
      <w:r w:rsidR="008A02D8">
        <w:t xml:space="preserve">(BRR) </w:t>
      </w:r>
      <w:r w:rsidRPr="00E168E6">
        <w:t xml:space="preserve">weights </w:t>
      </w:r>
      <w:r>
        <w:t>with Fay adjustments</w:t>
      </w:r>
      <w:r w:rsidRPr="00E168E6">
        <w:t xml:space="preserve"> (OECD 2009).</w:t>
      </w:r>
      <w:r>
        <w:t xml:space="preserve"> All analyses have been performed on the data in which missing values had been replaced </w:t>
      </w:r>
      <w:r w:rsidR="00BE03BB">
        <w:t>by</w:t>
      </w:r>
      <w:r>
        <w:t xml:space="preserve"> the estimates from a multiple chained imputation procedure available in Stata 12 (Royston 2004). The imputation model included</w:t>
      </w:r>
      <w:r w:rsidR="008A02D8">
        <w:t>, as predictors,</w:t>
      </w:r>
      <w:r>
        <w:t xml:space="preserve"> all the variables from the analyses in this paper, except for </w:t>
      </w:r>
      <w:r w:rsidR="009A0FDB">
        <w:t xml:space="preserve">the </w:t>
      </w:r>
      <w:r>
        <w:t>dependent variables.</w:t>
      </w:r>
    </w:p>
    <w:p w:rsidR="00F87F00" w:rsidRDefault="00F87F00" w:rsidP="00502974">
      <w:pPr>
        <w:pStyle w:val="Text"/>
      </w:pPr>
      <w:r>
        <w:t>Because of the use of im</w:t>
      </w:r>
      <w:r w:rsidR="00F24E86">
        <w:t xml:space="preserve">putations and plausible values </w:t>
      </w:r>
      <w:r>
        <w:rPr>
          <w:noProof/>
        </w:rPr>
        <w:t>(Mislevy et al. 1992)</w:t>
      </w:r>
      <w:r>
        <w:t xml:space="preserve">, all estimates in </w:t>
      </w:r>
      <w:r w:rsidR="009A0FDB">
        <w:t xml:space="preserve">the </w:t>
      </w:r>
      <w:r>
        <w:t xml:space="preserve">multivariate analyses have been obtained using multiple imputation methodology. This involves fitting five sets of models, each with one plausible value, and then combining these values using the Rubin rule </w:t>
      </w:r>
      <w:r>
        <w:rPr>
          <w:noProof/>
        </w:rPr>
        <w:t>(Little &amp; Rubin 1987)</w:t>
      </w:r>
      <w:r w:rsidR="00BE03BB">
        <w:rPr>
          <w:noProof/>
        </w:rPr>
        <w:t>,</w:t>
      </w:r>
      <w:r>
        <w:t xml:space="preserve"> as per OECD recommendations </w:t>
      </w:r>
      <w:r>
        <w:rPr>
          <w:noProof/>
        </w:rPr>
        <w:t>(OECD 2007b)</w:t>
      </w:r>
      <w:r>
        <w:t xml:space="preserve">. For </w:t>
      </w:r>
      <w:r w:rsidR="009A0FDB">
        <w:t xml:space="preserve">the </w:t>
      </w:r>
      <w:r>
        <w:t>estimations of multilevel models</w:t>
      </w:r>
      <w:r w:rsidR="00BE03BB">
        <w:t>,</w:t>
      </w:r>
      <w:r>
        <w:t xml:space="preserve"> MPlus version 6 was used because of its ability to handle complex weights in hierarchical estimations.</w:t>
      </w:r>
    </w:p>
    <w:p w:rsidR="00F87F00" w:rsidRDefault="00F87F00" w:rsidP="00502974">
      <w:pPr>
        <w:pStyle w:val="Text"/>
      </w:pPr>
      <w:r>
        <w:t>The PISA 2009</w:t>
      </w:r>
      <w:r w:rsidR="00BE03BB">
        <w:t xml:space="preserve"> sample is representative of 15-year-</w:t>
      </w:r>
      <w:r>
        <w:t>olds, not of students in any particular grade. All analyses of career plans in this paper have been weighted back to the original PISA population, while all analyses of subject choices have been weighted to such</w:t>
      </w:r>
      <w:r w:rsidR="00AF0825">
        <w:t xml:space="preserve"> subpopulation of PISA students</w:t>
      </w:r>
      <w:r>
        <w:t xml:space="preserve"> as remained after 1) those who failed to participate in the survey</w:t>
      </w:r>
      <w:r w:rsidR="00C33F0A">
        <w:t>’</w:t>
      </w:r>
      <w:r>
        <w:t xml:space="preserve">s subsequent waves and 2) who changed schools after Wave 1, or 3) who did not answer the question about remaining in the original PISA school, were excluded </w:t>
      </w:r>
      <w:r w:rsidR="00AF0825">
        <w:t>from the analysis. Only student-</w:t>
      </w:r>
      <w:r>
        <w:t xml:space="preserve">level weights were used, as per OECD recommendations </w:t>
      </w:r>
      <w:r>
        <w:rPr>
          <w:noProof/>
        </w:rPr>
        <w:t>(OECD 2012b)</w:t>
      </w:r>
      <w:r>
        <w:t>, as PISA data have been</w:t>
      </w:r>
      <w:r w:rsidRPr="00EE4C1D">
        <w:t xml:space="preserve"> collected with a sampling mechani</w:t>
      </w:r>
      <w:r w:rsidR="00694B16">
        <w:t xml:space="preserve">sm that is invariant across </w:t>
      </w:r>
      <w:r>
        <w:t xml:space="preserve">sample </w:t>
      </w:r>
      <w:r w:rsidRPr="00EE4C1D">
        <w:t>clusters</w:t>
      </w:r>
      <w:r w:rsidR="00C019C4">
        <w:t>, so school-</w:t>
      </w:r>
      <w:r>
        <w:t xml:space="preserve">level weights are not necessary </w:t>
      </w:r>
      <w:r>
        <w:rPr>
          <w:noProof/>
        </w:rPr>
        <w:t>(Asparouhov 2004)</w:t>
      </w:r>
      <w:r>
        <w:t>.</w:t>
      </w:r>
    </w:p>
    <w:p w:rsidR="00F87F00" w:rsidRDefault="00F87F00" w:rsidP="00502974">
      <w:pPr>
        <w:pStyle w:val="Text"/>
      </w:pPr>
      <w:r>
        <w:t xml:space="preserve">Multivariate analyses in this paper are two-level hierarchical logit models with school-level and student-level covariates </w:t>
      </w:r>
      <w:r>
        <w:rPr>
          <w:noProof/>
        </w:rPr>
        <w:t>(OECD 2012b; Raudenbush &amp; Bryk 2002)</w:t>
      </w:r>
      <w:r>
        <w:t>. Logit models are suitable for predictions regarding binary variables. Here dependent variables d</w:t>
      </w:r>
      <w:r w:rsidR="00AF0825">
        <w:t>enote the chances of studying</w:t>
      </w:r>
      <w:r>
        <w:t xml:space="preserve"> at least one lif</w:t>
      </w:r>
      <w:r w:rsidR="00AF0825">
        <w:t>e science subject in Year 11</w:t>
      </w:r>
      <w:r w:rsidR="009A0FDB">
        <w:t xml:space="preserve"> and</w:t>
      </w:r>
      <w:r>
        <w:t xml:space="preserve"> at least one physica</w:t>
      </w:r>
      <w:r w:rsidR="00C019C4">
        <w:t xml:space="preserve">l science subject in Year 11 </w:t>
      </w:r>
      <w:r w:rsidR="009A0FDB">
        <w:t>as well as</w:t>
      </w:r>
      <w:r>
        <w:t xml:space="preserve"> expectations of a ca</w:t>
      </w:r>
      <w:r w:rsidR="00BA2F89">
        <w:t>reer related to life science and</w:t>
      </w:r>
      <w:r>
        <w:t xml:space="preserve"> expectations of a career related to hard science. The two-level logit model has the following functional form:</w:t>
      </w:r>
    </w:p>
    <w:p w:rsidR="002D409E" w:rsidRDefault="002D409E" w:rsidP="002D409E">
      <w:pPr>
        <w:pStyle w:val="Text"/>
        <w:rPr>
          <w:rFonts w:eastAsia="SimSun"/>
        </w:rPr>
      </w:pPr>
      <m:oMathPara>
        <m:oMathParaPr>
          <m:jc m:val="left"/>
        </m:oMathParaPr>
        <m:oMath>
          <m:r>
            <w:rPr>
              <w:rFonts w:ascii="Cambria Math" w:eastAsia="SimSun" w:hAnsi="Cambria Math"/>
              <w:sz w:val="24"/>
              <w:szCs w:val="24"/>
            </w:rPr>
            <m:t>logit</m:t>
          </m:r>
          <m:d>
            <m:dPr>
              <m:ctrlPr>
                <w:rPr>
                  <w:rFonts w:ascii="Cambria Math" w:eastAsia="SimSun" w:hAnsi="Cambria Math"/>
                  <w:i/>
                  <w:sz w:val="24"/>
                  <w:szCs w:val="24"/>
                </w:rPr>
              </m:ctrlPr>
            </m:dPr>
            <m:e>
              <m:sSub>
                <m:sSubPr>
                  <m:ctrlPr>
                    <w:rPr>
                      <w:rFonts w:ascii="Cambria Math" w:eastAsia="SimSun" w:hAnsi="Cambria Math"/>
                      <w:i/>
                      <w:sz w:val="24"/>
                      <w:szCs w:val="24"/>
                    </w:rPr>
                  </m:ctrlPr>
                </m:sSubPr>
                <m:e>
                  <m:r>
                    <w:rPr>
                      <w:rFonts w:ascii="Cambria Math" w:eastAsia="SimSun" w:hAnsi="Cambria Math"/>
                      <w:sz w:val="24"/>
                      <w:szCs w:val="24"/>
                    </w:rPr>
                    <m:t>Y</m:t>
                  </m:r>
                </m:e>
                <m:sub>
                  <m:r>
                    <w:rPr>
                      <w:rFonts w:ascii="Cambria Math" w:eastAsia="SimSun" w:hAnsi="Cambria Math"/>
                      <w:sz w:val="24"/>
                      <w:szCs w:val="24"/>
                    </w:rPr>
                    <m:t>ij</m:t>
                  </m:r>
                </m:sub>
              </m:sSub>
            </m:e>
          </m:d>
          <m:r>
            <w:rPr>
              <w:rFonts w:ascii="Cambria Math" w:eastAsia="SimSun" w:hAnsi="Cambria Math"/>
              <w:sz w:val="24"/>
              <w:szCs w:val="24"/>
            </w:rPr>
            <m:t>=</m:t>
          </m:r>
          <m:sSub>
            <m:sSubPr>
              <m:ctrlPr>
                <w:rPr>
                  <w:rFonts w:ascii="Cambria Math" w:eastAsia="SimSun" w:hAnsi="Cambria Math"/>
                  <w:i/>
                  <w:sz w:val="24"/>
                  <w:szCs w:val="24"/>
                </w:rPr>
              </m:ctrlPr>
            </m:sSubPr>
            <m:e>
              <m:r>
                <w:rPr>
                  <w:rFonts w:ascii="Cambria Math" w:eastAsia="SimSun" w:hAnsi="Cambria Math"/>
                  <w:sz w:val="24"/>
                  <w:szCs w:val="24"/>
                </w:rPr>
                <m:t>γ</m:t>
              </m:r>
            </m:e>
            <m:sub>
              <m:r>
                <w:rPr>
                  <w:rFonts w:ascii="Cambria Math" w:eastAsia="SimSun" w:hAnsi="Cambria Math"/>
                  <w:sz w:val="24"/>
                  <w:szCs w:val="24"/>
                </w:rPr>
                <m:t>00</m:t>
              </m:r>
            </m:sub>
          </m:sSub>
          <m:r>
            <w:rPr>
              <w:rFonts w:ascii="Cambria Math" w:eastAsia="SimSun" w:hAnsi="Cambria Math"/>
              <w:sz w:val="24"/>
              <w:szCs w:val="24"/>
            </w:rPr>
            <m:t>+</m:t>
          </m:r>
          <m:r>
            <m:rPr>
              <m:sty m:val="bi"/>
            </m:rPr>
            <w:rPr>
              <w:rFonts w:ascii="Cambria Math" w:eastAsia="SimSun" w:hAnsi="Cambria Math"/>
              <w:sz w:val="24"/>
              <w:szCs w:val="24"/>
            </w:rPr>
            <m:t>Xβ</m:t>
          </m:r>
          <m:r>
            <w:rPr>
              <w:rFonts w:ascii="Cambria Math" w:eastAsia="SimSun" w:hAnsi="Cambria Math"/>
              <w:sz w:val="24"/>
              <w:szCs w:val="24"/>
            </w:rPr>
            <m:t>+</m:t>
          </m:r>
          <m:r>
            <m:rPr>
              <m:sty m:val="bi"/>
            </m:rPr>
            <w:rPr>
              <w:rFonts w:ascii="Cambria Math" w:eastAsia="SimSun" w:hAnsi="Cambria Math"/>
              <w:sz w:val="24"/>
              <w:szCs w:val="24"/>
            </w:rPr>
            <m:t>Zγ</m:t>
          </m:r>
          <m:r>
            <w:rPr>
              <w:rFonts w:ascii="Cambria Math" w:eastAsia="SimSun" w:hAnsi="Cambria Math"/>
              <w:sz w:val="24"/>
              <w:szCs w:val="24"/>
            </w:rPr>
            <m:t>+</m:t>
          </m:r>
          <m:sSub>
            <m:sSubPr>
              <m:ctrlPr>
                <w:rPr>
                  <w:rFonts w:ascii="Cambria Math" w:eastAsia="SimSun" w:hAnsi="Cambria Math"/>
                  <w:i/>
                  <w:sz w:val="24"/>
                  <w:szCs w:val="24"/>
                </w:rPr>
              </m:ctrlPr>
            </m:sSubPr>
            <m:e>
              <m:r>
                <w:rPr>
                  <w:rFonts w:ascii="Cambria Math" w:eastAsia="SimSun" w:hAnsi="Cambria Math"/>
                  <w:sz w:val="24"/>
                  <w:szCs w:val="24"/>
                </w:rPr>
                <m:t>u</m:t>
              </m:r>
            </m:e>
            <m:sub>
              <m:r>
                <w:rPr>
                  <w:rFonts w:ascii="Cambria Math" w:eastAsia="SimSun" w:hAnsi="Cambria Math"/>
                  <w:sz w:val="24"/>
                  <w:szCs w:val="24"/>
                </w:rPr>
                <m:t>0j</m:t>
              </m:r>
            </m:sub>
          </m:sSub>
        </m:oMath>
      </m:oMathPara>
    </w:p>
    <w:p w:rsidR="00E36796" w:rsidRPr="00E470A7" w:rsidRDefault="00E36796" w:rsidP="00E36796">
      <w:pPr>
        <w:pStyle w:val="Text"/>
        <w:rPr>
          <w:rFonts w:eastAsia="SimSun"/>
        </w:rPr>
      </w:pPr>
      <w:r w:rsidRPr="00E470A7">
        <w:t>where Y</w:t>
      </w:r>
      <w:r w:rsidRPr="00E470A7">
        <w:rPr>
          <w:vertAlign w:val="subscript"/>
        </w:rPr>
        <w:t>ij</w:t>
      </w:r>
      <w:r w:rsidRPr="00E470A7">
        <w:t xml:space="preserve"> denotes the dependent variable for an observation for student </w:t>
      </w:r>
      <w:r w:rsidRPr="00E470A7">
        <w:rPr>
          <w:i/>
        </w:rPr>
        <w:t>i</w:t>
      </w:r>
      <w:r w:rsidRPr="00E470A7">
        <w:t xml:space="preserve"> in school </w:t>
      </w:r>
      <w:r w:rsidRPr="00E470A7">
        <w:rPr>
          <w:i/>
        </w:rPr>
        <w:t>j</w:t>
      </w:r>
      <w:r w:rsidRPr="00E470A7">
        <w:t>,</w:t>
      </w:r>
      <w:r w:rsidRPr="00E470A7">
        <w:rPr>
          <w:position w:val="-12"/>
        </w:rPr>
        <w:object w:dxaOrig="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8.75pt" o:ole="">
            <v:imagedata r:id="rId20" o:title=""/>
          </v:shape>
          <o:OLEObject Type="Embed" ProgID="Equation.DSMT4" ShapeID="_x0000_i1025" DrawAspect="Content" ObjectID="_1446374874" r:id="rId21"/>
        </w:object>
      </w:r>
      <w:r w:rsidRPr="00E470A7">
        <w:t xml:space="preserve"> is the average intercept across schools. </w:t>
      </w:r>
      <w:r w:rsidRPr="00E470A7">
        <w:rPr>
          <w:b/>
        </w:rPr>
        <w:t>X</w:t>
      </w:r>
      <w:r w:rsidRPr="00E470A7">
        <w:t xml:space="preserve"> is a vector of student-level explanatory variables and </w:t>
      </w:r>
      <w:r>
        <w:rPr>
          <w:b/>
        </w:rPr>
        <w:t>β</w:t>
      </w:r>
      <w:r w:rsidRPr="00E470A7">
        <w:t xml:space="preserve"> is a vector of regression coefficients corresponding to variables from vector </w:t>
      </w:r>
      <w:r w:rsidRPr="00E470A7">
        <w:rPr>
          <w:b/>
        </w:rPr>
        <w:t>X</w:t>
      </w:r>
      <w:r w:rsidRPr="00E470A7">
        <w:t>.</w:t>
      </w:r>
      <w:r w:rsidRPr="00E470A7">
        <w:rPr>
          <w:vertAlign w:val="subscript"/>
        </w:rPr>
        <w:t xml:space="preserve"> </w:t>
      </w:r>
      <w:r w:rsidRPr="00E470A7">
        <w:rPr>
          <w:b/>
        </w:rPr>
        <w:t>Z</w:t>
      </w:r>
      <w:r w:rsidRPr="00E470A7">
        <w:rPr>
          <w:vertAlign w:val="subscript"/>
        </w:rPr>
        <w:t xml:space="preserve"> </w:t>
      </w:r>
      <w:r w:rsidRPr="00E470A7">
        <w:t xml:space="preserve">is a vector of </w:t>
      </w:r>
      <w:r>
        <w:t>school</w:t>
      </w:r>
      <w:r w:rsidRPr="00E470A7">
        <w:t xml:space="preserve">-level explanatory variables and </w:t>
      </w:r>
      <w:r>
        <w:rPr>
          <w:b/>
        </w:rPr>
        <w:t>γ</w:t>
      </w:r>
      <w:r w:rsidRPr="00E470A7">
        <w:t xml:space="preserve"> is a vector of regression coefficients corresponding to variables from vector </w:t>
      </w:r>
      <w:r>
        <w:rPr>
          <w:b/>
        </w:rPr>
        <w:t>Z</w:t>
      </w:r>
      <w:r w:rsidRPr="00E470A7">
        <w:t>.</w:t>
      </w:r>
      <w:r w:rsidRPr="00E470A7">
        <w:rPr>
          <w:vertAlign w:val="subscript"/>
        </w:rPr>
        <w:t xml:space="preserve"> </w:t>
      </w:r>
      <w:r w:rsidRPr="00E470A7">
        <w:t xml:space="preserve">The error component </w:t>
      </w:r>
      <w:r w:rsidRPr="00E470A7">
        <w:rPr>
          <w:rFonts w:eastAsia="SimSun"/>
        </w:rPr>
        <w:t>u</w:t>
      </w:r>
      <w:r w:rsidRPr="00E470A7">
        <w:rPr>
          <w:rFonts w:eastAsia="SimSun"/>
          <w:vertAlign w:val="subscript"/>
        </w:rPr>
        <w:t>0j</w:t>
      </w:r>
      <w:r w:rsidRPr="00E470A7">
        <w:rPr>
          <w:rFonts w:eastAsia="SimSun"/>
        </w:rPr>
        <w:t xml:space="preserve"> varies between schools. In multilevel logit models, the individual error term, denoted by e</w:t>
      </w:r>
      <w:r w:rsidRPr="00E470A7">
        <w:rPr>
          <w:rFonts w:eastAsia="SimSun"/>
          <w:vertAlign w:val="subscript"/>
        </w:rPr>
        <w:t>ij</w:t>
      </w:r>
      <w:r w:rsidRPr="00E470A7">
        <w:rPr>
          <w:rFonts w:eastAsia="SimSun"/>
        </w:rPr>
        <w:t>, is omitted due to identification problems (Raudenbush &amp; Bryk 2002).</w:t>
      </w:r>
    </w:p>
    <w:p w:rsidR="002C62BD" w:rsidRDefault="002C62BD">
      <w:pPr>
        <w:spacing w:before="0" w:after="200" w:line="276" w:lineRule="auto"/>
        <w:rPr>
          <w:rFonts w:ascii="Tahoma" w:eastAsia="SimSun" w:hAnsi="Tahoma" w:cs="Tahoma"/>
          <w:color w:val="000000"/>
          <w:sz w:val="24"/>
        </w:rPr>
      </w:pPr>
      <w:r>
        <w:rPr>
          <w:rFonts w:eastAsia="SimSun"/>
        </w:rPr>
        <w:br w:type="page"/>
      </w:r>
    </w:p>
    <w:p w:rsidR="00F87F00" w:rsidRDefault="00F87F00" w:rsidP="002C62BD">
      <w:pPr>
        <w:pStyle w:val="Heading3"/>
        <w:rPr>
          <w:rFonts w:eastAsia="SimSun"/>
        </w:rPr>
      </w:pPr>
      <w:r w:rsidRPr="002C62BD">
        <w:rPr>
          <w:rFonts w:eastAsia="SimSun"/>
        </w:rPr>
        <w:lastRenderedPageBreak/>
        <w:t>Measurement</w:t>
      </w:r>
    </w:p>
    <w:p w:rsidR="00F87F00" w:rsidRDefault="00F87F00" w:rsidP="00502974">
      <w:pPr>
        <w:pStyle w:val="Text"/>
        <w:rPr>
          <w:rFonts w:eastAsia="SimSun"/>
        </w:rPr>
      </w:pPr>
      <w:r>
        <w:rPr>
          <w:rFonts w:eastAsia="SimSun"/>
        </w:rPr>
        <w:t>Student characteristics</w:t>
      </w:r>
    </w:p>
    <w:p w:rsidR="00F87F00" w:rsidRPr="00801496" w:rsidRDefault="00F87F00" w:rsidP="00502974">
      <w:pPr>
        <w:pStyle w:val="Text"/>
        <w:ind w:left="720"/>
        <w:rPr>
          <w:rFonts w:eastAsia="SimSun"/>
        </w:rPr>
      </w:pPr>
      <w:r>
        <w:rPr>
          <w:rFonts w:eastAsia="SimSun"/>
        </w:rPr>
        <w:t>Dummy (zero-one) variables</w:t>
      </w:r>
    </w:p>
    <w:p w:rsidR="00F87F00" w:rsidRPr="00D25565" w:rsidRDefault="00BA2F89" w:rsidP="00F87F00">
      <w:pPr>
        <w:pStyle w:val="Text"/>
        <w:numPr>
          <w:ilvl w:val="0"/>
          <w:numId w:val="42"/>
        </w:numPr>
        <w:rPr>
          <w:rFonts w:eastAsia="SimSun"/>
        </w:rPr>
      </w:pPr>
      <w:r>
        <w:rPr>
          <w:rFonts w:eastAsia="SimSun"/>
        </w:rPr>
        <w:t>Female:</w:t>
      </w:r>
      <w:r w:rsidR="00F87F00" w:rsidRPr="00D25565">
        <w:rPr>
          <w:rFonts w:eastAsia="SimSun"/>
        </w:rPr>
        <w:t xml:space="preserve"> coded 1 for females and 0 for males</w:t>
      </w:r>
    </w:p>
    <w:p w:rsidR="00F87F00" w:rsidRPr="00D25565" w:rsidRDefault="00BA2F89" w:rsidP="00F87F00">
      <w:pPr>
        <w:pStyle w:val="Text"/>
        <w:numPr>
          <w:ilvl w:val="0"/>
          <w:numId w:val="42"/>
        </w:numPr>
        <w:rPr>
          <w:rFonts w:eastAsia="SimSun"/>
        </w:rPr>
      </w:pPr>
      <w:r>
        <w:rPr>
          <w:rFonts w:eastAsia="SimSun"/>
        </w:rPr>
        <w:t>English spoken at home:</w:t>
      </w:r>
      <w:r w:rsidR="00F87F00" w:rsidRPr="00D25565">
        <w:rPr>
          <w:rFonts w:eastAsia="SimSun"/>
        </w:rPr>
        <w:t xml:space="preserve"> coded 1 for students who spoke English at home and 0 for everyone else</w:t>
      </w:r>
    </w:p>
    <w:p w:rsidR="00F87F00" w:rsidRPr="00D25565" w:rsidRDefault="00F87F00" w:rsidP="00F87F00">
      <w:pPr>
        <w:pStyle w:val="Text"/>
        <w:numPr>
          <w:ilvl w:val="0"/>
          <w:numId w:val="42"/>
        </w:numPr>
        <w:rPr>
          <w:rFonts w:eastAsia="SimSun"/>
        </w:rPr>
      </w:pPr>
      <w:r w:rsidRPr="00D25565">
        <w:rPr>
          <w:rFonts w:eastAsia="SimSun"/>
        </w:rPr>
        <w:t>Austral</w:t>
      </w:r>
      <w:r w:rsidR="00C019C4">
        <w:rPr>
          <w:rFonts w:eastAsia="SimSun"/>
        </w:rPr>
        <w:t>ian-</w:t>
      </w:r>
      <w:r w:rsidR="00BA2F89">
        <w:rPr>
          <w:rFonts w:eastAsia="SimSun"/>
        </w:rPr>
        <w:t>born to Australian parents:</w:t>
      </w:r>
      <w:r w:rsidRPr="00D25565">
        <w:rPr>
          <w:rFonts w:eastAsia="SimSun"/>
        </w:rPr>
        <w:t xml:space="preserve"> coded 1 for students who were born in Australia and whose both par</w:t>
      </w:r>
      <w:r w:rsidR="00BA2F89">
        <w:rPr>
          <w:rFonts w:eastAsia="SimSun"/>
        </w:rPr>
        <w:t>ents were Australian-</w:t>
      </w:r>
      <w:r w:rsidRPr="00D25565">
        <w:rPr>
          <w:rFonts w:eastAsia="SimSun"/>
        </w:rPr>
        <w:t>born.</w:t>
      </w:r>
    </w:p>
    <w:p w:rsidR="00F87F00" w:rsidRPr="00D25565" w:rsidRDefault="00BA2F89" w:rsidP="00F87F00">
      <w:pPr>
        <w:pStyle w:val="Text"/>
        <w:numPr>
          <w:ilvl w:val="0"/>
          <w:numId w:val="42"/>
        </w:numPr>
        <w:rPr>
          <w:rFonts w:eastAsia="SimSun"/>
        </w:rPr>
      </w:pPr>
      <w:r>
        <w:rPr>
          <w:rFonts w:eastAsia="SimSun"/>
        </w:rPr>
        <w:t>Foreign-born student:</w:t>
      </w:r>
      <w:r w:rsidR="00F87F00" w:rsidRPr="00D25565">
        <w:rPr>
          <w:rFonts w:eastAsia="SimSun"/>
        </w:rPr>
        <w:t xml:space="preserve"> coded 1 for students born overseas with both parents also born overseas </w:t>
      </w:r>
    </w:p>
    <w:p w:rsidR="00F87F00" w:rsidRPr="00D25565" w:rsidRDefault="00C019C4" w:rsidP="00F87F00">
      <w:pPr>
        <w:pStyle w:val="Text"/>
        <w:numPr>
          <w:ilvl w:val="0"/>
          <w:numId w:val="42"/>
        </w:numPr>
        <w:rPr>
          <w:rFonts w:eastAsia="SimSun"/>
        </w:rPr>
      </w:pPr>
      <w:r>
        <w:t>Parent foreign-</w:t>
      </w:r>
      <w:r w:rsidR="00F87F00" w:rsidRPr="00D25565">
        <w:t>born</w:t>
      </w:r>
      <w:r w:rsidR="00BA2F89">
        <w:rPr>
          <w:rFonts w:eastAsia="SimSun"/>
        </w:rPr>
        <w:t>:</w:t>
      </w:r>
      <w:r w:rsidR="00F87F00" w:rsidRPr="00D25565">
        <w:rPr>
          <w:rFonts w:eastAsia="SimSun"/>
        </w:rPr>
        <w:t xml:space="preserve"> coded 1 for students born in Australia with at least one parent born overseas </w:t>
      </w:r>
    </w:p>
    <w:p w:rsidR="00F87F00" w:rsidRPr="00D25565" w:rsidRDefault="00F87F00" w:rsidP="00F87F00">
      <w:pPr>
        <w:pStyle w:val="Text"/>
        <w:numPr>
          <w:ilvl w:val="0"/>
          <w:numId w:val="42"/>
        </w:numPr>
        <w:rPr>
          <w:rFonts w:eastAsia="SimSun"/>
        </w:rPr>
      </w:pPr>
      <w:r w:rsidRPr="00D25565">
        <w:rPr>
          <w:rFonts w:eastAsia="SimSun"/>
        </w:rPr>
        <w:t>NSW, ACT, Victoria, Queensland, South Australia, Western Australia, Tasmania, Northern Territory</w:t>
      </w:r>
    </w:p>
    <w:p w:rsidR="00F87F00" w:rsidRPr="00D25565" w:rsidRDefault="00F87F00" w:rsidP="00F87F00">
      <w:pPr>
        <w:pStyle w:val="Text"/>
        <w:numPr>
          <w:ilvl w:val="0"/>
          <w:numId w:val="42"/>
        </w:numPr>
        <w:rPr>
          <w:rFonts w:eastAsia="SimSun"/>
        </w:rPr>
      </w:pPr>
      <w:r w:rsidRPr="00D25565">
        <w:rPr>
          <w:rFonts w:eastAsia="SimSun"/>
        </w:rPr>
        <w:t xml:space="preserve">Metropolitan </w:t>
      </w:r>
      <w:r w:rsidR="00BA2F89" w:rsidRPr="00D25565">
        <w:rPr>
          <w:rFonts w:eastAsia="SimSun"/>
        </w:rPr>
        <w:t>area, provincial town, remote location</w:t>
      </w:r>
    </w:p>
    <w:p w:rsidR="00F87F00" w:rsidRPr="00D25565" w:rsidRDefault="00F87F00" w:rsidP="00F87F00">
      <w:pPr>
        <w:pStyle w:val="Text"/>
        <w:numPr>
          <w:ilvl w:val="0"/>
          <w:numId w:val="42"/>
        </w:numPr>
        <w:rPr>
          <w:rFonts w:eastAsia="SimSun"/>
        </w:rPr>
      </w:pPr>
      <w:r>
        <w:rPr>
          <w:rFonts w:eastAsia="SimSun"/>
        </w:rPr>
        <w:t>Aboriginal</w:t>
      </w:r>
      <w:r w:rsidRPr="00D25565">
        <w:rPr>
          <w:rFonts w:eastAsia="SimSun"/>
        </w:rPr>
        <w:t xml:space="preserve"> student</w:t>
      </w:r>
    </w:p>
    <w:p w:rsidR="00F87F00" w:rsidRPr="00D25565" w:rsidRDefault="00F87F00" w:rsidP="00502974">
      <w:pPr>
        <w:pStyle w:val="Text"/>
        <w:ind w:left="720"/>
        <w:rPr>
          <w:rFonts w:eastAsia="SimSun"/>
        </w:rPr>
      </w:pPr>
      <w:r>
        <w:rPr>
          <w:rFonts w:eastAsia="SimSun"/>
        </w:rPr>
        <w:t xml:space="preserve">Other </w:t>
      </w:r>
      <w:r w:rsidRPr="00D25565">
        <w:rPr>
          <w:rFonts w:eastAsia="SimSun"/>
        </w:rPr>
        <w:t>variables</w:t>
      </w:r>
    </w:p>
    <w:p w:rsidR="00F87F00" w:rsidRPr="0024650C" w:rsidRDefault="00F87F00" w:rsidP="00F87F00">
      <w:pPr>
        <w:pStyle w:val="Text"/>
        <w:numPr>
          <w:ilvl w:val="0"/>
          <w:numId w:val="43"/>
        </w:numPr>
        <w:rPr>
          <w:rFonts w:eastAsia="SimSun"/>
        </w:rPr>
      </w:pPr>
      <w:r w:rsidRPr="0024650C">
        <w:rPr>
          <w:rFonts w:eastAsia="SimSun"/>
        </w:rPr>
        <w:t xml:space="preserve">Economic </w:t>
      </w:r>
      <w:r w:rsidR="00C019C4">
        <w:rPr>
          <w:rFonts w:eastAsia="SimSun"/>
        </w:rPr>
        <w:t xml:space="preserve">and </w:t>
      </w:r>
      <w:r w:rsidRPr="0024650C">
        <w:rPr>
          <w:rFonts w:eastAsia="SimSun"/>
        </w:rPr>
        <w:t>cultural status of family</w:t>
      </w:r>
      <w:r w:rsidR="00BA2F89">
        <w:rPr>
          <w:rFonts w:eastAsia="SimSun"/>
        </w:rPr>
        <w:t>:</w:t>
      </w:r>
      <w:r w:rsidRPr="00D25565">
        <w:rPr>
          <w:rFonts w:eastAsia="SimSun"/>
        </w:rPr>
        <w:t xml:space="preserve"> the PISA variable known as students</w:t>
      </w:r>
      <w:r w:rsidR="00C33F0A">
        <w:rPr>
          <w:rFonts w:eastAsia="SimSun"/>
        </w:rPr>
        <w:t>’</w:t>
      </w:r>
      <w:r w:rsidRPr="00D25565">
        <w:rPr>
          <w:rFonts w:eastAsia="SimSun"/>
        </w:rPr>
        <w:t xml:space="preserve"> economic, social and cultural status (ESCS). This composite </w:t>
      </w:r>
      <w:r>
        <w:rPr>
          <w:rFonts w:eastAsia="SimSun"/>
        </w:rPr>
        <w:t>construct</w:t>
      </w:r>
      <w:r w:rsidRPr="00D25565">
        <w:rPr>
          <w:rFonts w:eastAsia="SimSun"/>
        </w:rPr>
        <w:t xml:space="preserve"> comprises the International Socio-Economic Index of Occupational Status (ISEI); the highest level of education of the student</w:t>
      </w:r>
      <w:r w:rsidR="00C33F0A">
        <w:rPr>
          <w:rFonts w:eastAsia="SimSun"/>
        </w:rPr>
        <w:t>’</w:t>
      </w:r>
      <w:r w:rsidRPr="00D25565">
        <w:rPr>
          <w:rFonts w:eastAsia="SimSun"/>
        </w:rPr>
        <w:t>s parents, converted into years of schooling; the PISA index of family wealth; the PISA index of home educational resources; and the PISA index of possessions</w:t>
      </w:r>
      <w:r w:rsidR="00BA2F89">
        <w:rPr>
          <w:rFonts w:eastAsia="SimSun"/>
        </w:rPr>
        <w:t>,</w:t>
      </w:r>
      <w:r w:rsidRPr="00D25565">
        <w:rPr>
          <w:rFonts w:eastAsia="SimSun"/>
        </w:rPr>
        <w:t xml:space="preserve"> including cultural assets such as books of poetry or works of art in the family home</w:t>
      </w:r>
      <w:r>
        <w:rPr>
          <w:rFonts w:eastAsia="SimSun"/>
        </w:rPr>
        <w:t xml:space="preserve"> </w:t>
      </w:r>
      <w:r>
        <w:rPr>
          <w:rFonts w:eastAsia="SimSun"/>
          <w:noProof/>
        </w:rPr>
        <w:t>(OECD 2007b)</w:t>
      </w:r>
      <w:r w:rsidRPr="00D25565">
        <w:rPr>
          <w:rFonts w:eastAsia="SimSun"/>
        </w:rPr>
        <w:t xml:space="preserve">. This index is standardised to the mean of 0 </w:t>
      </w:r>
      <w:r w:rsidR="00BA2F89">
        <w:rPr>
          <w:rFonts w:eastAsia="SimSun"/>
        </w:rPr>
        <w:t>and the standard deviation of 1</w:t>
      </w:r>
      <w:r w:rsidRPr="00D25565">
        <w:rPr>
          <w:rFonts w:eastAsia="SimSun"/>
        </w:rPr>
        <w:t xml:space="preserve"> across the OECD countries.</w:t>
      </w:r>
    </w:p>
    <w:p w:rsidR="00F87F00" w:rsidRPr="0024650C" w:rsidRDefault="00F87F00" w:rsidP="00F87F00">
      <w:pPr>
        <w:pStyle w:val="Text"/>
        <w:numPr>
          <w:ilvl w:val="0"/>
          <w:numId w:val="43"/>
        </w:numPr>
        <w:rPr>
          <w:rFonts w:eastAsia="SimSun"/>
        </w:rPr>
      </w:pPr>
      <w:r w:rsidRPr="0024650C">
        <w:rPr>
          <w:rFonts w:eastAsia="SimSun"/>
        </w:rPr>
        <w:t>Academic performance in science</w:t>
      </w:r>
      <w:r w:rsidR="00BA2F89">
        <w:t>:</w:t>
      </w:r>
      <w:r>
        <w:t xml:space="preserve"> measured by </w:t>
      </w:r>
      <w:r w:rsidRPr="00D25985">
        <w:t>PISA</w:t>
      </w:r>
      <w:r w:rsidR="00C33F0A">
        <w:t>’</w:t>
      </w:r>
      <w:r>
        <w:t>s five plausible values</w:t>
      </w:r>
      <w:r w:rsidRPr="00D25985">
        <w:t xml:space="preserve"> </w:t>
      </w:r>
      <w:r>
        <w:rPr>
          <w:noProof/>
        </w:rPr>
        <w:t>(OECD 2009; Wu 2005)</w:t>
      </w:r>
      <w:r w:rsidR="00BA2F89">
        <w:rPr>
          <w:noProof/>
        </w:rPr>
        <w:t>,</w:t>
      </w:r>
      <w:r w:rsidRPr="00D25985">
        <w:t xml:space="preserve"> which </w:t>
      </w:r>
      <w:r>
        <w:t>indicate</w:t>
      </w:r>
      <w:r w:rsidRPr="00D25985">
        <w:t xml:space="preserve"> ability to use science-related concepts in adult life. </w:t>
      </w:r>
      <w:r>
        <w:t>Plausible value methodologies</w:t>
      </w:r>
      <w:r w:rsidR="00C019C4">
        <w:t>,</w:t>
      </w:r>
      <w:r>
        <w:t xml:space="preserve"> including the use</w:t>
      </w:r>
      <w:r w:rsidRPr="00D25985">
        <w:t xml:space="preserve"> </w:t>
      </w:r>
      <w:r>
        <w:t>of</w:t>
      </w:r>
      <w:r w:rsidRPr="00D25985">
        <w:t xml:space="preserve"> </w:t>
      </w:r>
      <w:r w:rsidR="00BA2F89" w:rsidRPr="00D25985">
        <w:t xml:space="preserve">balanced repeated replication </w:t>
      </w:r>
      <w:r w:rsidRPr="00D25985">
        <w:t>(BRR) weights with Fay</w:t>
      </w:r>
      <w:r w:rsidR="00C33F0A">
        <w:t>’</w:t>
      </w:r>
      <w:r w:rsidRPr="00D25985">
        <w:t xml:space="preserve">s adjustment </w:t>
      </w:r>
      <w:r>
        <w:rPr>
          <w:noProof/>
        </w:rPr>
        <w:t>(OECD 2007b, p.55, and Chapter 4)</w:t>
      </w:r>
      <w:r w:rsidR="00C019C4">
        <w:rPr>
          <w:noProof/>
        </w:rPr>
        <w:t>,</w:t>
      </w:r>
      <w:r w:rsidRPr="00D25985">
        <w:t xml:space="preserve"> </w:t>
      </w:r>
      <w:r>
        <w:t>have been used in this paper</w:t>
      </w:r>
      <w:r w:rsidRPr="00D25985">
        <w:t>.</w:t>
      </w:r>
    </w:p>
    <w:p w:rsidR="00F87F00" w:rsidRPr="0024650C" w:rsidRDefault="00F87F00" w:rsidP="00F87F00">
      <w:pPr>
        <w:pStyle w:val="Text"/>
        <w:numPr>
          <w:ilvl w:val="0"/>
          <w:numId w:val="43"/>
        </w:numPr>
        <w:rPr>
          <w:rFonts w:eastAsia="SimSun"/>
        </w:rPr>
      </w:pPr>
      <w:r w:rsidRPr="00D25565">
        <w:rPr>
          <w:rFonts w:eastAsia="SimSun"/>
        </w:rPr>
        <w:t>M</w:t>
      </w:r>
      <w:r w:rsidR="00BA2F89">
        <w:rPr>
          <w:rFonts w:eastAsia="SimSun"/>
        </w:rPr>
        <w:t>inutes per week study science:</w:t>
      </w:r>
      <w:r w:rsidRPr="00D25565">
        <w:rPr>
          <w:rFonts w:eastAsia="SimSun"/>
        </w:rPr>
        <w:t xml:space="preserve"> the</w:t>
      </w:r>
      <w:r>
        <w:rPr>
          <w:rFonts w:eastAsia="SimSun"/>
        </w:rPr>
        <w:t xml:space="preserve"> number of minutes devoted to studying science each week reported in Wave 1. Divided by 100 to facilitate presentation of coefficients.</w:t>
      </w:r>
    </w:p>
    <w:p w:rsidR="00F87F00" w:rsidRDefault="00F87F00" w:rsidP="00F87F00">
      <w:pPr>
        <w:pStyle w:val="Text"/>
        <w:numPr>
          <w:ilvl w:val="0"/>
          <w:numId w:val="43"/>
        </w:numPr>
        <w:rPr>
          <w:rFonts w:eastAsia="SimSun"/>
        </w:rPr>
      </w:pPr>
      <w:r w:rsidRPr="0024650C">
        <w:rPr>
          <w:rFonts w:eastAsia="SimSun"/>
        </w:rPr>
        <w:t>Self-confidence in science skills</w:t>
      </w:r>
      <w:r>
        <w:rPr>
          <w:rFonts w:eastAsia="SimSun"/>
        </w:rPr>
        <w:t xml:space="preserve"> is a single question indicator of how well the student thought they did in science. Five answer categories range from </w:t>
      </w:r>
      <w:r w:rsidR="00C33F0A">
        <w:rPr>
          <w:rFonts w:eastAsia="SimSun"/>
        </w:rPr>
        <w:t>‘</w:t>
      </w:r>
      <w:r>
        <w:rPr>
          <w:rFonts w:eastAsia="SimSun"/>
        </w:rPr>
        <w:t>very well</w:t>
      </w:r>
      <w:r w:rsidR="00C33F0A">
        <w:rPr>
          <w:rFonts w:eastAsia="SimSun"/>
        </w:rPr>
        <w:t>’</w:t>
      </w:r>
      <w:r>
        <w:rPr>
          <w:rFonts w:eastAsia="SimSun"/>
        </w:rPr>
        <w:t xml:space="preserve"> to </w:t>
      </w:r>
      <w:r w:rsidR="00C33F0A">
        <w:rPr>
          <w:rFonts w:eastAsia="SimSun"/>
        </w:rPr>
        <w:t>‘</w:t>
      </w:r>
      <w:r>
        <w:rPr>
          <w:rFonts w:eastAsia="SimSun"/>
        </w:rPr>
        <w:t>very poorly</w:t>
      </w:r>
      <w:r w:rsidR="00C33F0A">
        <w:rPr>
          <w:rFonts w:eastAsia="SimSun"/>
        </w:rPr>
        <w:t>’</w:t>
      </w:r>
      <w:r>
        <w:rPr>
          <w:rFonts w:eastAsia="SimSun"/>
        </w:rPr>
        <w:t>.</w:t>
      </w:r>
    </w:p>
    <w:p w:rsidR="002C62BD" w:rsidRDefault="002C62BD">
      <w:pPr>
        <w:spacing w:before="0" w:after="200" w:line="276" w:lineRule="auto"/>
        <w:rPr>
          <w:rFonts w:eastAsia="SimSun"/>
        </w:rPr>
      </w:pPr>
      <w:r>
        <w:rPr>
          <w:rFonts w:eastAsia="SimSun"/>
        </w:rPr>
        <w:br w:type="page"/>
      </w:r>
    </w:p>
    <w:p w:rsidR="00F87F00" w:rsidRDefault="00F87F00" w:rsidP="00502974">
      <w:pPr>
        <w:pStyle w:val="Text"/>
        <w:rPr>
          <w:rFonts w:eastAsia="SimSun"/>
        </w:rPr>
      </w:pPr>
      <w:r>
        <w:rPr>
          <w:rFonts w:eastAsia="SimSun"/>
        </w:rPr>
        <w:lastRenderedPageBreak/>
        <w:t>School characteristics</w:t>
      </w:r>
    </w:p>
    <w:p w:rsidR="00F87F00" w:rsidRPr="00801496" w:rsidRDefault="00F87F00" w:rsidP="00502974">
      <w:pPr>
        <w:pStyle w:val="Text"/>
        <w:ind w:left="720"/>
        <w:rPr>
          <w:rFonts w:eastAsia="SimSun"/>
        </w:rPr>
      </w:pPr>
      <w:r>
        <w:rPr>
          <w:rFonts w:eastAsia="SimSun"/>
        </w:rPr>
        <w:t>Dummy (zero-one) variables</w:t>
      </w:r>
    </w:p>
    <w:p w:rsidR="00F87F00" w:rsidRDefault="004B183D" w:rsidP="00F87F00">
      <w:pPr>
        <w:pStyle w:val="Text"/>
        <w:numPr>
          <w:ilvl w:val="0"/>
          <w:numId w:val="44"/>
        </w:numPr>
      </w:pPr>
      <w:r>
        <w:t>Boys-only school and g</w:t>
      </w:r>
      <w:r w:rsidR="00F87F00">
        <w:t>irls-only school are indicators identifying schools with 0% and 100% of female students</w:t>
      </w:r>
    </w:p>
    <w:p w:rsidR="00F87F00" w:rsidRDefault="00DA0CE0" w:rsidP="00F87F00">
      <w:pPr>
        <w:pStyle w:val="Text"/>
        <w:numPr>
          <w:ilvl w:val="0"/>
          <w:numId w:val="44"/>
        </w:numPr>
      </w:pPr>
      <w:r>
        <w:t>Government school, i</w:t>
      </w:r>
      <w:r w:rsidR="00F87F00">
        <w:t>ndependent school, Catholic school</w:t>
      </w:r>
    </w:p>
    <w:p w:rsidR="00F87F00" w:rsidRDefault="00F87F00" w:rsidP="00502974">
      <w:pPr>
        <w:pStyle w:val="Text"/>
        <w:ind w:left="720"/>
      </w:pPr>
      <w:r>
        <w:t>Other variables</w:t>
      </w:r>
    </w:p>
    <w:p w:rsidR="00F87F00" w:rsidRDefault="00F87F00" w:rsidP="00F87F00">
      <w:pPr>
        <w:pStyle w:val="Text"/>
        <w:numPr>
          <w:ilvl w:val="0"/>
          <w:numId w:val="45"/>
        </w:numPr>
      </w:pPr>
      <w:r>
        <w:t>Selective</w:t>
      </w:r>
      <w:r w:rsidR="00DA0CE0">
        <w:t xml:space="preserve"> admission to school is a three-</w:t>
      </w:r>
      <w:r>
        <w:t xml:space="preserve">category question </w:t>
      </w:r>
      <w:r w:rsidR="00C33F0A">
        <w:t>‘</w:t>
      </w:r>
      <w:r>
        <w:t>How often student</w:t>
      </w:r>
      <w:r w:rsidR="00C33F0A">
        <w:t>’</w:t>
      </w:r>
      <w:r>
        <w:t>s record of academic performance (including placement tests) is considered when students</w:t>
      </w:r>
      <w:r w:rsidR="00DA0CE0">
        <w:t xml:space="preserve"> are admitted to your school?</w:t>
      </w:r>
      <w:r w:rsidR="00C33F0A">
        <w:t>’</w:t>
      </w:r>
      <w:r w:rsidR="00DA0CE0">
        <w:t>:</w:t>
      </w:r>
      <w:r>
        <w:t xml:space="preserve"> 0 Never, 0.5 Sometimes, 1 Always.</w:t>
      </w:r>
    </w:p>
    <w:p w:rsidR="00F87F00" w:rsidRPr="00D34EF0" w:rsidRDefault="00F87F00" w:rsidP="00F87F00">
      <w:pPr>
        <w:pStyle w:val="ListParagraph"/>
        <w:numPr>
          <w:ilvl w:val="0"/>
          <w:numId w:val="45"/>
        </w:numPr>
        <w:spacing w:before="0" w:line="240" w:lineRule="auto"/>
        <w:rPr>
          <w:rFonts w:ascii="Tahoma" w:hAnsi="Tahoma"/>
          <w:b/>
          <w:sz w:val="17"/>
        </w:rPr>
      </w:pPr>
      <w:r>
        <w:br w:type="page"/>
      </w:r>
    </w:p>
    <w:p w:rsidR="00F87F00" w:rsidRDefault="00F87F00" w:rsidP="00502974">
      <w:pPr>
        <w:pStyle w:val="Heading2"/>
      </w:pPr>
      <w:bookmarkStart w:id="113" w:name="_Toc367713387"/>
      <w:r>
        <w:lastRenderedPageBreak/>
        <w:t xml:space="preserve">Appendix </w:t>
      </w:r>
      <w:r w:rsidR="00C019C4">
        <w:t>B</w:t>
      </w:r>
      <w:r>
        <w:t xml:space="preserve"> </w:t>
      </w:r>
      <w:r w:rsidRPr="005D3A95">
        <w:t xml:space="preserve">Details of coding </w:t>
      </w:r>
      <w:r>
        <w:t xml:space="preserve">of </w:t>
      </w:r>
      <w:r w:rsidRPr="005D3A95">
        <w:t xml:space="preserve">occupations and </w:t>
      </w:r>
      <w:r>
        <w:t>subjects</w:t>
      </w:r>
      <w:bookmarkEnd w:id="113"/>
    </w:p>
    <w:p w:rsidR="00F87F00" w:rsidRDefault="00F87F00" w:rsidP="00502974">
      <w:pPr>
        <w:pStyle w:val="Heading4"/>
      </w:pPr>
      <w:r>
        <w:t>Physical science subjects</w:t>
      </w:r>
      <w:r>
        <w:tab/>
      </w:r>
      <w:r>
        <w:tab/>
      </w:r>
      <w:r>
        <w:tab/>
        <w:t>Life science subjects</w:t>
      </w:r>
      <w:r>
        <w:tab/>
        <w:t xml:space="preserve"> </w:t>
      </w:r>
    </w:p>
    <w:p w:rsidR="00F87F00" w:rsidRDefault="00F87F00" w:rsidP="00502974">
      <w:pPr>
        <w:pStyle w:val="Source"/>
      </w:pPr>
      <w:r>
        <w:t xml:space="preserve">   </w:t>
      </w:r>
      <w:r w:rsidRPr="00617BC5">
        <w:t>6 Chemistry</w:t>
      </w:r>
      <w:r>
        <w:tab/>
      </w:r>
      <w:r>
        <w:tab/>
      </w:r>
      <w:r>
        <w:tab/>
      </w:r>
      <w:r>
        <w:tab/>
      </w:r>
      <w:r>
        <w:tab/>
      </w:r>
      <w:r w:rsidR="00DA0CE0">
        <w:t>1 Agricultural s</w:t>
      </w:r>
      <w:r w:rsidRPr="00617BC5">
        <w:t xml:space="preserve">cience   </w:t>
      </w:r>
      <w:r>
        <w:tab/>
      </w:r>
      <w:r>
        <w:tab/>
      </w:r>
      <w:r>
        <w:tab/>
      </w:r>
      <w:r>
        <w:tab/>
      </w:r>
    </w:p>
    <w:p w:rsidR="00F87F00" w:rsidRDefault="00DA0CE0" w:rsidP="00502974">
      <w:pPr>
        <w:pStyle w:val="Source"/>
      </w:pPr>
      <w:r>
        <w:t xml:space="preserve">   8 Earth and environmental s</w:t>
      </w:r>
      <w:r w:rsidR="00F87F00">
        <w:t xml:space="preserve">cience                                           </w:t>
      </w:r>
      <w:r>
        <w:tab/>
        <w:t>2 Agriculture and h</w:t>
      </w:r>
      <w:r w:rsidR="00F87F00">
        <w:t xml:space="preserve">orticulture (VET)              </w:t>
      </w:r>
    </w:p>
    <w:p w:rsidR="00F87F00" w:rsidRDefault="00DA0CE0" w:rsidP="00502974">
      <w:pPr>
        <w:pStyle w:val="Source"/>
      </w:pPr>
      <w:r>
        <w:t xml:space="preserve">   9 Earth s</w:t>
      </w:r>
      <w:r w:rsidR="00F87F00">
        <w:t xml:space="preserve">cience                                                 </w:t>
      </w:r>
      <w:r>
        <w:t xml:space="preserve">                    </w:t>
      </w:r>
      <w:r>
        <w:tab/>
        <w:t>3 Applied s</w:t>
      </w:r>
      <w:r w:rsidR="00F87F00">
        <w:t xml:space="preserve">cience                                                                                 </w:t>
      </w:r>
    </w:p>
    <w:p w:rsidR="00F87F00" w:rsidRDefault="00F87F00" w:rsidP="00502974">
      <w:pPr>
        <w:pStyle w:val="Source"/>
      </w:pPr>
      <w:r>
        <w:t xml:space="preserve"> 14 Geology                                                           </w:t>
      </w:r>
      <w:r w:rsidR="00DA0CE0">
        <w:t xml:space="preserve">                 </w:t>
      </w:r>
      <w:r w:rsidR="00DA0CE0">
        <w:tab/>
        <w:t>4 Biological s</w:t>
      </w:r>
      <w:r>
        <w:t xml:space="preserve">ciences                                                                   </w:t>
      </w:r>
    </w:p>
    <w:p w:rsidR="00F87F00" w:rsidRDefault="00DA0CE0" w:rsidP="00502974">
      <w:pPr>
        <w:pStyle w:val="Source"/>
      </w:pPr>
      <w:r>
        <w:t xml:space="preserve"> 21 Physical s</w:t>
      </w:r>
      <w:r w:rsidR="00F87F00">
        <w:t xml:space="preserve">ciences                                                                  </w:t>
      </w:r>
      <w:r w:rsidR="00F87F00">
        <w:tab/>
        <w:t xml:space="preserve">5 Biology                                                                                       </w:t>
      </w:r>
    </w:p>
    <w:p w:rsidR="00F87F00" w:rsidRDefault="00F87F00" w:rsidP="00502974">
      <w:pPr>
        <w:pStyle w:val="Source"/>
      </w:pPr>
      <w:r>
        <w:t xml:space="preserve"> 22 Physics                                                                                     </w:t>
      </w:r>
      <w:r w:rsidR="00DA0CE0">
        <w:tab/>
      </w:r>
      <w:r>
        <w:t xml:space="preserve">7 Contemporary </w:t>
      </w:r>
      <w:r w:rsidR="00DA0CE0">
        <w:t xml:space="preserve">issues and science                                     </w:t>
      </w:r>
    </w:p>
    <w:p w:rsidR="00F87F00" w:rsidRDefault="00DA0CE0" w:rsidP="00502974">
      <w:pPr>
        <w:pStyle w:val="Source"/>
      </w:pPr>
      <w:r>
        <w:tab/>
      </w:r>
      <w:r>
        <w:tab/>
      </w:r>
      <w:r>
        <w:tab/>
      </w:r>
      <w:r>
        <w:tab/>
      </w:r>
      <w:r>
        <w:tab/>
      </w:r>
      <w:r>
        <w:tab/>
      </w:r>
      <w:r>
        <w:tab/>
        <w:t>10 Environmental s</w:t>
      </w:r>
      <w:r w:rsidR="00F87F00">
        <w:t xml:space="preserve">cience                                                                         </w:t>
      </w:r>
    </w:p>
    <w:p w:rsidR="00F87F00" w:rsidRDefault="00F87F00" w:rsidP="00502974">
      <w:pPr>
        <w:pStyle w:val="Source"/>
      </w:pPr>
      <w:r>
        <w:tab/>
        <w:t xml:space="preserve">                                                                           </w:t>
      </w:r>
      <w:r>
        <w:tab/>
        <w:t xml:space="preserve">13 Geography                                                                                  </w:t>
      </w:r>
    </w:p>
    <w:p w:rsidR="00F87F00" w:rsidRDefault="00DA0CE0" w:rsidP="00502974">
      <w:pPr>
        <w:pStyle w:val="Source"/>
      </w:pPr>
      <w:r>
        <w:tab/>
      </w:r>
      <w:r>
        <w:tab/>
      </w:r>
      <w:r>
        <w:tab/>
      </w:r>
      <w:r>
        <w:tab/>
      </w:r>
      <w:r>
        <w:tab/>
      </w:r>
      <w:r>
        <w:tab/>
      </w:r>
      <w:r>
        <w:tab/>
        <w:t>15 Human biological s</w:t>
      </w:r>
      <w:r w:rsidR="00F87F00">
        <w:t xml:space="preserve">cience                                                   </w:t>
      </w:r>
    </w:p>
    <w:p w:rsidR="00F87F00" w:rsidRDefault="00DA0CE0" w:rsidP="00502974">
      <w:pPr>
        <w:pStyle w:val="Source"/>
      </w:pPr>
      <w:r>
        <w:tab/>
      </w:r>
      <w:r>
        <w:tab/>
      </w:r>
      <w:r>
        <w:tab/>
      </w:r>
      <w:r>
        <w:tab/>
      </w:r>
      <w:r>
        <w:tab/>
      </w:r>
      <w:r>
        <w:tab/>
      </w:r>
      <w:r>
        <w:tab/>
        <w:t>17 Life s</w:t>
      </w:r>
      <w:r w:rsidR="00F87F00">
        <w:t xml:space="preserve">cience                                                                                  </w:t>
      </w:r>
    </w:p>
    <w:p w:rsidR="00F87F00" w:rsidRDefault="00F87F00" w:rsidP="00502974">
      <w:pPr>
        <w:pStyle w:val="Source"/>
      </w:pPr>
      <w:r>
        <w:tab/>
      </w:r>
      <w:r>
        <w:tab/>
      </w:r>
      <w:r>
        <w:tab/>
      </w:r>
      <w:r>
        <w:tab/>
      </w:r>
      <w:r>
        <w:tab/>
      </w:r>
      <w:r>
        <w:tab/>
      </w:r>
      <w:r>
        <w:tab/>
        <w:t xml:space="preserve">18 Marine and </w:t>
      </w:r>
      <w:r w:rsidR="00DA0CE0">
        <w:t xml:space="preserve">aquatic practices </w:t>
      </w:r>
      <w:r>
        <w:t xml:space="preserve">(VET)                                  </w:t>
      </w:r>
    </w:p>
    <w:p w:rsidR="00F87F00" w:rsidRDefault="00DA0CE0" w:rsidP="00502974">
      <w:pPr>
        <w:pStyle w:val="Source"/>
      </w:pPr>
      <w:r>
        <w:tab/>
      </w:r>
      <w:r>
        <w:tab/>
      </w:r>
      <w:r>
        <w:tab/>
      </w:r>
      <w:r>
        <w:tab/>
      </w:r>
      <w:r>
        <w:tab/>
      </w:r>
      <w:r>
        <w:tab/>
      </w:r>
      <w:r>
        <w:tab/>
        <w:t>19 Marine s</w:t>
      </w:r>
      <w:r w:rsidR="00F87F00">
        <w:t xml:space="preserve">tudies                                                                                    </w:t>
      </w:r>
    </w:p>
    <w:p w:rsidR="00F87F00" w:rsidRDefault="00DA0CE0" w:rsidP="00502974">
      <w:pPr>
        <w:pStyle w:val="Source"/>
      </w:pPr>
      <w:r>
        <w:tab/>
      </w:r>
      <w:r>
        <w:tab/>
      </w:r>
      <w:r>
        <w:tab/>
      </w:r>
      <w:r>
        <w:tab/>
      </w:r>
      <w:r>
        <w:tab/>
      </w:r>
      <w:r>
        <w:tab/>
      </w:r>
      <w:r>
        <w:tab/>
        <w:t>20 Multi-strand s</w:t>
      </w:r>
      <w:r w:rsidR="00F87F00">
        <w:t xml:space="preserve">cience                                                            </w:t>
      </w:r>
    </w:p>
    <w:p w:rsidR="00F87F00" w:rsidRDefault="00F87F00" w:rsidP="00502974">
      <w:pPr>
        <w:pStyle w:val="Source"/>
      </w:pPr>
      <w:r>
        <w:tab/>
      </w:r>
      <w:r>
        <w:tab/>
      </w:r>
      <w:r>
        <w:tab/>
      </w:r>
      <w:r>
        <w:tab/>
      </w:r>
      <w:r>
        <w:tab/>
      </w:r>
      <w:r>
        <w:tab/>
      </w:r>
      <w:r>
        <w:tab/>
        <w:t xml:space="preserve">23 Psychology                                                                               </w:t>
      </w:r>
    </w:p>
    <w:p w:rsidR="00F87F00" w:rsidRDefault="00F87F00" w:rsidP="00502974">
      <w:pPr>
        <w:pStyle w:val="Source"/>
      </w:pPr>
      <w:r>
        <w:tab/>
      </w:r>
      <w:r>
        <w:tab/>
      </w:r>
      <w:r>
        <w:tab/>
      </w:r>
      <w:r>
        <w:tab/>
      </w:r>
      <w:r>
        <w:tab/>
      </w:r>
      <w:r>
        <w:tab/>
      </w:r>
      <w:r>
        <w:tab/>
        <w:t xml:space="preserve">25 Science </w:t>
      </w:r>
      <w:r w:rsidR="00DA0CE0">
        <w:t xml:space="preserve">life skills                                                                </w:t>
      </w:r>
    </w:p>
    <w:p w:rsidR="00F87F00" w:rsidRDefault="00F87F00" w:rsidP="00502974">
      <w:pPr>
        <w:pStyle w:val="Source"/>
      </w:pPr>
      <w:r>
        <w:tab/>
      </w:r>
      <w:r>
        <w:tab/>
      </w:r>
      <w:r>
        <w:tab/>
      </w:r>
      <w:r>
        <w:tab/>
      </w:r>
      <w:r>
        <w:tab/>
      </w:r>
      <w:r>
        <w:tab/>
      </w:r>
      <w:r>
        <w:tab/>
        <w:t xml:space="preserve">27 Science 21                                                                            </w:t>
      </w:r>
    </w:p>
    <w:p w:rsidR="00F87F00" w:rsidRDefault="00DA0CE0" w:rsidP="00502974">
      <w:pPr>
        <w:pStyle w:val="Source"/>
      </w:pPr>
      <w:r>
        <w:tab/>
      </w:r>
      <w:r>
        <w:tab/>
      </w:r>
      <w:r>
        <w:tab/>
      </w:r>
      <w:r>
        <w:tab/>
      </w:r>
      <w:r>
        <w:tab/>
      </w:r>
      <w:r>
        <w:tab/>
      </w:r>
      <w:r>
        <w:tab/>
        <w:t>28 Scientific s</w:t>
      </w:r>
      <w:r w:rsidR="00F87F00">
        <w:t xml:space="preserve">tudies                                                                 </w:t>
      </w:r>
    </w:p>
    <w:p w:rsidR="00F87F00" w:rsidRDefault="00DA0CE0" w:rsidP="00502974">
      <w:pPr>
        <w:pStyle w:val="Source"/>
      </w:pPr>
      <w:r>
        <w:tab/>
      </w:r>
      <w:r>
        <w:tab/>
      </w:r>
      <w:r>
        <w:tab/>
      </w:r>
      <w:r>
        <w:tab/>
      </w:r>
      <w:r>
        <w:tab/>
      </w:r>
      <w:r>
        <w:tab/>
      </w:r>
      <w:r>
        <w:tab/>
        <w:t>29 Senior s</w:t>
      </w:r>
      <w:r w:rsidR="00F87F00">
        <w:t xml:space="preserve">cience                                                                     </w:t>
      </w:r>
    </w:p>
    <w:p w:rsidR="00F87F00" w:rsidRDefault="00F87F00" w:rsidP="00502974">
      <w:pPr>
        <w:pStyle w:val="Source"/>
      </w:pPr>
      <w:r>
        <w:tab/>
      </w:r>
      <w:r>
        <w:tab/>
      </w:r>
      <w:r>
        <w:tab/>
      </w:r>
      <w:r>
        <w:tab/>
      </w:r>
      <w:r>
        <w:tab/>
      </w:r>
      <w:r>
        <w:tab/>
      </w:r>
      <w:r>
        <w:tab/>
        <w:t xml:space="preserve">30 Tasmanian </w:t>
      </w:r>
      <w:r w:rsidR="00DA0CE0">
        <w:t xml:space="preserve">natural resources                                              </w:t>
      </w:r>
    </w:p>
    <w:p w:rsidR="00F87F00" w:rsidRDefault="00F87F00" w:rsidP="00502974">
      <w:pPr>
        <w:pStyle w:val="Source"/>
      </w:pPr>
      <w:r>
        <w:tab/>
      </w:r>
      <w:r>
        <w:tab/>
      </w:r>
      <w:r>
        <w:tab/>
      </w:r>
      <w:r>
        <w:tab/>
      </w:r>
      <w:r>
        <w:tab/>
      </w:r>
      <w:r>
        <w:tab/>
      </w:r>
      <w:r>
        <w:tab/>
        <w:t xml:space="preserve">                                         </w:t>
      </w:r>
    </w:p>
    <w:p w:rsidR="00F87F00" w:rsidRDefault="00F87F00" w:rsidP="00502974">
      <w:pPr>
        <w:pStyle w:val="Source"/>
      </w:pPr>
    </w:p>
    <w:p w:rsidR="00F87F00" w:rsidRDefault="00DA0CE0" w:rsidP="00502974">
      <w:pPr>
        <w:pStyle w:val="Source"/>
      </w:pPr>
      <w:r>
        <w:t>Note:</w:t>
      </w:r>
      <w:r w:rsidR="002C62BD">
        <w:tab/>
      </w:r>
      <w:r>
        <w:t>General s</w:t>
      </w:r>
      <w:r w:rsidR="00F87F00">
        <w:t>cience, Inte</w:t>
      </w:r>
      <w:r>
        <w:t>grated science and Other s</w:t>
      </w:r>
      <w:r w:rsidR="00F87F00">
        <w:t>cience are not classified as either life or physical science and a small number of students were left out of analysis when this distinction is made.</w:t>
      </w:r>
      <w:r w:rsidR="00F87F00">
        <w:tab/>
      </w:r>
    </w:p>
    <w:p w:rsidR="00F87F00" w:rsidRDefault="00F87F00" w:rsidP="00502974">
      <w:pPr>
        <w:pStyle w:val="Heading4"/>
      </w:pPr>
      <w:r>
        <w:t>Physical science</w:t>
      </w:r>
      <w:r w:rsidRPr="005D3A95">
        <w:t xml:space="preserve"> </w:t>
      </w:r>
      <w:r>
        <w:t xml:space="preserve">occupations </w:t>
      </w:r>
      <w:r w:rsidRPr="005D3A95">
        <w:t xml:space="preserve">ANZSCO </w:t>
      </w:r>
      <w:r>
        <w:rPr>
          <w:noProof/>
        </w:rPr>
        <w:t>(ABS 2006)</w:t>
      </w:r>
      <w:r w:rsidRPr="005D3A95">
        <w:t xml:space="preserve"> </w:t>
      </w:r>
    </w:p>
    <w:p w:rsidR="00F87F00" w:rsidRDefault="00F87F00" w:rsidP="00502974">
      <w:pPr>
        <w:pStyle w:val="Text"/>
      </w:pPr>
      <w:r>
        <w:t xml:space="preserve">Note: these occupations are related to computing, engineering, mathematics or physical sciences. </w:t>
      </w:r>
      <w:r w:rsidR="00C33F0A">
        <w:t>‘</w:t>
      </w:r>
      <w:r>
        <w:t>Physical science</w:t>
      </w:r>
      <w:r w:rsidR="00C33F0A">
        <w:t>’</w:t>
      </w:r>
      <w:r>
        <w:t xml:space="preserve"> is used as a short label for this entire group of occupations</w:t>
      </w:r>
    </w:p>
    <w:p w:rsidR="00F87F00" w:rsidRDefault="00F87F00" w:rsidP="00502974">
      <w:pPr>
        <w:pStyle w:val="Source"/>
      </w:pPr>
      <w:r>
        <w:t>1350</w:t>
      </w:r>
      <w:r>
        <w:tab/>
        <w:t>ICT Managers</w:t>
      </w:r>
    </w:p>
    <w:p w:rsidR="00F87F00" w:rsidRDefault="00F87F00" w:rsidP="00502974">
      <w:pPr>
        <w:pStyle w:val="Source"/>
      </w:pPr>
      <w:r>
        <w:t>1351</w:t>
      </w:r>
      <w:r>
        <w:tab/>
        <w:t>ICT Managers</w:t>
      </w:r>
    </w:p>
    <w:p w:rsidR="00F87F00" w:rsidRDefault="00F87F00" w:rsidP="00502974">
      <w:pPr>
        <w:pStyle w:val="Source"/>
      </w:pPr>
      <w:r>
        <w:t>2232</w:t>
      </w:r>
      <w:r>
        <w:tab/>
        <w:t>ICT Trainers</w:t>
      </w:r>
    </w:p>
    <w:p w:rsidR="00F87F00" w:rsidRDefault="00F87F00" w:rsidP="00502974">
      <w:pPr>
        <w:pStyle w:val="Source"/>
      </w:pPr>
      <w:r>
        <w:t>2241</w:t>
      </w:r>
      <w:r>
        <w:tab/>
        <w:t xml:space="preserve">Actuaries, </w:t>
      </w:r>
      <w:r w:rsidR="00DA0CE0">
        <w:t>mathematicians and statisticians</w:t>
      </w:r>
    </w:p>
    <w:p w:rsidR="00F87F00" w:rsidRDefault="00F87F00" w:rsidP="00502974">
      <w:pPr>
        <w:pStyle w:val="Source"/>
      </w:pPr>
      <w:r>
        <w:t>2300</w:t>
      </w:r>
      <w:r>
        <w:tab/>
        <w:t xml:space="preserve">Design, </w:t>
      </w:r>
      <w:r w:rsidR="00DA0CE0">
        <w:t>engineering, science and transport professionals</w:t>
      </w:r>
    </w:p>
    <w:p w:rsidR="00F87F00" w:rsidRDefault="00F87F00" w:rsidP="00502974">
      <w:pPr>
        <w:pStyle w:val="Source"/>
      </w:pPr>
      <w:r>
        <w:t>2310</w:t>
      </w:r>
      <w:r>
        <w:tab/>
        <w:t xml:space="preserve">Air and </w:t>
      </w:r>
      <w:r w:rsidR="00DA0CE0">
        <w:t>marine transport professionals</w:t>
      </w:r>
    </w:p>
    <w:p w:rsidR="00F87F00" w:rsidRDefault="00F87F00" w:rsidP="00502974">
      <w:pPr>
        <w:pStyle w:val="Source"/>
      </w:pPr>
      <w:r>
        <w:t>2311</w:t>
      </w:r>
      <w:r>
        <w:tab/>
        <w:t xml:space="preserve">Air </w:t>
      </w:r>
      <w:r w:rsidR="00DA0CE0">
        <w:t>transport professionals</w:t>
      </w:r>
    </w:p>
    <w:p w:rsidR="00F87F00" w:rsidRDefault="00F87F00" w:rsidP="00502974">
      <w:pPr>
        <w:pStyle w:val="Source"/>
      </w:pPr>
      <w:r>
        <w:t>2312</w:t>
      </w:r>
      <w:r>
        <w:tab/>
        <w:t xml:space="preserve">Marine </w:t>
      </w:r>
      <w:r w:rsidR="00DA0CE0">
        <w:t>transport professionals</w:t>
      </w:r>
    </w:p>
    <w:p w:rsidR="00F87F00" w:rsidRDefault="00F87F00" w:rsidP="00502974">
      <w:pPr>
        <w:pStyle w:val="Source"/>
      </w:pPr>
      <w:r>
        <w:t>2320</w:t>
      </w:r>
      <w:r>
        <w:tab/>
        <w:t xml:space="preserve">Architects, </w:t>
      </w:r>
      <w:r w:rsidR="00DA0CE0">
        <w:t>designers, planners and surveyors</w:t>
      </w:r>
    </w:p>
    <w:p w:rsidR="00F87F00" w:rsidRDefault="00F87F00" w:rsidP="00502974">
      <w:pPr>
        <w:pStyle w:val="Source"/>
      </w:pPr>
      <w:r>
        <w:t>2321</w:t>
      </w:r>
      <w:r>
        <w:tab/>
        <w:t xml:space="preserve">Architects and </w:t>
      </w:r>
      <w:r w:rsidR="00DA0CE0">
        <w:t>landscape architects</w:t>
      </w:r>
    </w:p>
    <w:p w:rsidR="00F87F00" w:rsidRDefault="00F87F00" w:rsidP="00502974">
      <w:pPr>
        <w:pStyle w:val="Source"/>
      </w:pPr>
      <w:r>
        <w:t>2322</w:t>
      </w:r>
      <w:r>
        <w:tab/>
        <w:t>Cartographers a</w:t>
      </w:r>
      <w:r w:rsidR="00DA0CE0">
        <w:t>nd surveyors</w:t>
      </w:r>
    </w:p>
    <w:p w:rsidR="00F87F00" w:rsidRDefault="00F87F00" w:rsidP="00502974">
      <w:pPr>
        <w:pStyle w:val="Source"/>
      </w:pPr>
      <w:r>
        <w:t>2326</w:t>
      </w:r>
      <w:r>
        <w:tab/>
        <w:t xml:space="preserve">Urban and </w:t>
      </w:r>
      <w:r w:rsidR="00DA0CE0">
        <w:t>regional planners</w:t>
      </w:r>
    </w:p>
    <w:p w:rsidR="00F87F00" w:rsidRDefault="00F87F00" w:rsidP="00502974">
      <w:pPr>
        <w:pStyle w:val="Source"/>
      </w:pPr>
      <w:r>
        <w:t>2330</w:t>
      </w:r>
      <w:r>
        <w:tab/>
        <w:t>Engineering</w:t>
      </w:r>
      <w:r w:rsidR="00DA0CE0">
        <w:t xml:space="preserve"> professionals</w:t>
      </w:r>
    </w:p>
    <w:p w:rsidR="00F87F00" w:rsidRDefault="00F87F00" w:rsidP="00502974">
      <w:pPr>
        <w:pStyle w:val="Source"/>
      </w:pPr>
      <w:r>
        <w:t>2331</w:t>
      </w:r>
      <w:r>
        <w:tab/>
        <w:t xml:space="preserve">Chemical and </w:t>
      </w:r>
      <w:r w:rsidR="00DA0CE0">
        <w:t>materials engineers</w:t>
      </w:r>
    </w:p>
    <w:p w:rsidR="00F87F00" w:rsidRDefault="00F87F00" w:rsidP="00502974">
      <w:pPr>
        <w:pStyle w:val="Source"/>
      </w:pPr>
      <w:r>
        <w:t>2332</w:t>
      </w:r>
      <w:r>
        <w:tab/>
        <w:t xml:space="preserve">Civil </w:t>
      </w:r>
      <w:r w:rsidR="00DA0CE0">
        <w:t>engineering professionals</w:t>
      </w:r>
    </w:p>
    <w:p w:rsidR="00F87F00" w:rsidRDefault="00F87F00" w:rsidP="00502974">
      <w:pPr>
        <w:pStyle w:val="Source"/>
      </w:pPr>
      <w:r>
        <w:t>2333</w:t>
      </w:r>
      <w:r>
        <w:tab/>
        <w:t xml:space="preserve">Electrical </w:t>
      </w:r>
      <w:r w:rsidR="00DA0CE0">
        <w:t>engineers</w:t>
      </w:r>
    </w:p>
    <w:p w:rsidR="00F87F00" w:rsidRDefault="00F87F00" w:rsidP="00502974">
      <w:pPr>
        <w:pStyle w:val="Source"/>
      </w:pPr>
      <w:r>
        <w:t>2334</w:t>
      </w:r>
      <w:r>
        <w:tab/>
        <w:t xml:space="preserve">Electronics </w:t>
      </w:r>
      <w:r w:rsidR="00DA0CE0">
        <w:t>engineers</w:t>
      </w:r>
    </w:p>
    <w:p w:rsidR="00F87F00" w:rsidRDefault="00F87F00" w:rsidP="00502974">
      <w:pPr>
        <w:pStyle w:val="Source"/>
      </w:pPr>
      <w:r>
        <w:t>2335</w:t>
      </w:r>
      <w:r>
        <w:tab/>
        <w:t xml:space="preserve">Industrial, </w:t>
      </w:r>
      <w:r w:rsidR="00DA0CE0">
        <w:t>mechanical and production engineers</w:t>
      </w:r>
    </w:p>
    <w:p w:rsidR="00F87F00" w:rsidRDefault="00F87F00" w:rsidP="00502974">
      <w:pPr>
        <w:pStyle w:val="Source"/>
      </w:pPr>
      <w:r>
        <w:t>2336</w:t>
      </w:r>
      <w:r>
        <w:tab/>
        <w:t xml:space="preserve">Mining </w:t>
      </w:r>
      <w:r w:rsidR="00DA0CE0">
        <w:t>engineers</w:t>
      </w:r>
    </w:p>
    <w:p w:rsidR="00F87F00" w:rsidRDefault="00F87F00" w:rsidP="00502974">
      <w:pPr>
        <w:pStyle w:val="Source"/>
      </w:pPr>
      <w:r>
        <w:t>2339</w:t>
      </w:r>
      <w:r>
        <w:tab/>
        <w:t xml:space="preserve">Other </w:t>
      </w:r>
      <w:r w:rsidR="00DA0CE0">
        <w:t>engineering professionals</w:t>
      </w:r>
    </w:p>
    <w:p w:rsidR="00F87F00" w:rsidRDefault="00F87F00" w:rsidP="00502974">
      <w:pPr>
        <w:pStyle w:val="Source"/>
      </w:pPr>
      <w:r>
        <w:t>2340</w:t>
      </w:r>
      <w:r>
        <w:tab/>
        <w:t xml:space="preserve">Natural and </w:t>
      </w:r>
      <w:r w:rsidR="00DA0CE0">
        <w:t>physical science professionals</w:t>
      </w:r>
    </w:p>
    <w:p w:rsidR="00F87F00" w:rsidRDefault="00F87F00" w:rsidP="00502974">
      <w:pPr>
        <w:pStyle w:val="Source"/>
      </w:pPr>
      <w:r>
        <w:t>2344</w:t>
      </w:r>
      <w:r>
        <w:tab/>
        <w:t xml:space="preserve">Geologists and </w:t>
      </w:r>
      <w:r w:rsidR="00DA0CE0">
        <w:t>geophysicists</w:t>
      </w:r>
    </w:p>
    <w:p w:rsidR="00F87F00" w:rsidRDefault="00F87F00" w:rsidP="00502974">
      <w:pPr>
        <w:pStyle w:val="Source"/>
      </w:pPr>
      <w:r>
        <w:t>2349</w:t>
      </w:r>
      <w:r>
        <w:tab/>
        <w:t xml:space="preserve">Other </w:t>
      </w:r>
      <w:r w:rsidR="00DA0CE0">
        <w:t>natural and physical science professionals</w:t>
      </w:r>
    </w:p>
    <w:p w:rsidR="00F87F00" w:rsidRDefault="00F87F00" w:rsidP="00502974">
      <w:pPr>
        <w:pStyle w:val="Source"/>
      </w:pPr>
      <w:r>
        <w:t>2600</w:t>
      </w:r>
      <w:r>
        <w:tab/>
        <w:t xml:space="preserve">ICT </w:t>
      </w:r>
      <w:r w:rsidR="00DA0CE0">
        <w:t>professionals</w:t>
      </w:r>
    </w:p>
    <w:p w:rsidR="00F87F00" w:rsidRDefault="00F87F00" w:rsidP="00502974">
      <w:pPr>
        <w:pStyle w:val="Source"/>
      </w:pPr>
      <w:r>
        <w:t>2610</w:t>
      </w:r>
      <w:r>
        <w:tab/>
        <w:t xml:space="preserve">Business and </w:t>
      </w:r>
      <w:r w:rsidR="00DA0CE0">
        <w:t>systems analysts, and programmers</w:t>
      </w:r>
    </w:p>
    <w:p w:rsidR="00F87F00" w:rsidRDefault="00F87F00" w:rsidP="00502974">
      <w:pPr>
        <w:pStyle w:val="Source"/>
      </w:pPr>
      <w:r>
        <w:t>2611</w:t>
      </w:r>
      <w:r>
        <w:tab/>
        <w:t xml:space="preserve">ICT </w:t>
      </w:r>
      <w:r w:rsidR="00DA0CE0">
        <w:t>business and systems analysts</w:t>
      </w:r>
    </w:p>
    <w:p w:rsidR="00F87F00" w:rsidRDefault="00F87F00" w:rsidP="00502974">
      <w:pPr>
        <w:pStyle w:val="Source"/>
      </w:pPr>
      <w:r>
        <w:t>2612</w:t>
      </w:r>
      <w:r>
        <w:tab/>
        <w:t xml:space="preserve">Multimedia </w:t>
      </w:r>
      <w:r w:rsidR="00DA0CE0">
        <w:t>specialists and web developers</w:t>
      </w:r>
    </w:p>
    <w:p w:rsidR="00F87F00" w:rsidRDefault="00F87F00" w:rsidP="00502974">
      <w:pPr>
        <w:pStyle w:val="Source"/>
      </w:pPr>
      <w:r>
        <w:t>2613</w:t>
      </w:r>
      <w:r>
        <w:tab/>
        <w:t xml:space="preserve">Software and </w:t>
      </w:r>
      <w:r w:rsidR="00DA0CE0">
        <w:t>applications programmers</w:t>
      </w:r>
    </w:p>
    <w:p w:rsidR="00F87F00" w:rsidRDefault="00F87F00" w:rsidP="00502974">
      <w:pPr>
        <w:pStyle w:val="Source"/>
      </w:pPr>
      <w:r>
        <w:t>2620</w:t>
      </w:r>
      <w:r>
        <w:tab/>
        <w:t xml:space="preserve">Database and </w:t>
      </w:r>
      <w:r w:rsidR="009A0FDB">
        <w:t>systems administrators, and ICT</w:t>
      </w:r>
      <w:r w:rsidR="00DA0CE0">
        <w:t xml:space="preserve"> security specialists</w:t>
      </w:r>
    </w:p>
    <w:p w:rsidR="00F87F00" w:rsidRDefault="00F87F00" w:rsidP="00502974">
      <w:pPr>
        <w:pStyle w:val="Source"/>
      </w:pPr>
      <w:r>
        <w:t>2621</w:t>
      </w:r>
      <w:r>
        <w:tab/>
        <w:t xml:space="preserve">Database and </w:t>
      </w:r>
      <w:r w:rsidR="00DA0CE0">
        <w:t xml:space="preserve">systems administrators, and </w:t>
      </w:r>
      <w:r w:rsidR="009A0FDB">
        <w:t>ICT</w:t>
      </w:r>
      <w:r w:rsidR="00DA0CE0">
        <w:t xml:space="preserve"> security specialists</w:t>
      </w:r>
    </w:p>
    <w:p w:rsidR="00F87F00" w:rsidRDefault="00F87F00" w:rsidP="00502974">
      <w:pPr>
        <w:pStyle w:val="Source"/>
      </w:pPr>
      <w:r>
        <w:t>2630</w:t>
      </w:r>
      <w:r>
        <w:tab/>
        <w:t xml:space="preserve">ICT </w:t>
      </w:r>
      <w:r w:rsidR="00DA0CE0">
        <w:t>network and support professionals</w:t>
      </w:r>
    </w:p>
    <w:p w:rsidR="00F87F00" w:rsidRDefault="00F87F00" w:rsidP="00502974">
      <w:pPr>
        <w:pStyle w:val="Source"/>
      </w:pPr>
      <w:r>
        <w:t>2631</w:t>
      </w:r>
      <w:r>
        <w:tab/>
        <w:t xml:space="preserve">Computer </w:t>
      </w:r>
      <w:r w:rsidR="00DA0CE0">
        <w:t>network professionals</w:t>
      </w:r>
    </w:p>
    <w:p w:rsidR="00F87F00" w:rsidRDefault="00F87F00" w:rsidP="00502974">
      <w:pPr>
        <w:pStyle w:val="Source"/>
      </w:pPr>
      <w:r>
        <w:t>2632</w:t>
      </w:r>
      <w:r>
        <w:tab/>
        <w:t xml:space="preserve">ICT </w:t>
      </w:r>
      <w:r w:rsidR="00DA0CE0">
        <w:t>support and test engineers</w:t>
      </w:r>
    </w:p>
    <w:p w:rsidR="00F87F00" w:rsidRDefault="00F87F00" w:rsidP="00502974">
      <w:pPr>
        <w:pStyle w:val="Source"/>
      </w:pPr>
      <w:r>
        <w:t>2633</w:t>
      </w:r>
      <w:r>
        <w:tab/>
        <w:t xml:space="preserve">Telecommunications </w:t>
      </w:r>
      <w:r w:rsidR="00DA0CE0">
        <w:t>engineering professionals</w:t>
      </w:r>
    </w:p>
    <w:p w:rsidR="00F87F00" w:rsidRDefault="00F87F00" w:rsidP="00502974">
      <w:pPr>
        <w:pStyle w:val="Heading4"/>
      </w:pPr>
      <w:r>
        <w:lastRenderedPageBreak/>
        <w:t>Life</w:t>
      </w:r>
      <w:r w:rsidRPr="005D3A95">
        <w:t xml:space="preserve"> science </w:t>
      </w:r>
      <w:r>
        <w:t xml:space="preserve">occupations </w:t>
      </w:r>
      <w:r w:rsidRPr="005D3A95">
        <w:t>ANZSCO (ABS 2006)</w:t>
      </w:r>
      <w:r>
        <w:t xml:space="preserve"> </w:t>
      </w:r>
    </w:p>
    <w:p w:rsidR="00F87F00" w:rsidRDefault="00F87F00" w:rsidP="00502974">
      <w:pPr>
        <w:pStyle w:val="Source"/>
      </w:pPr>
    </w:p>
    <w:p w:rsidR="00F87F00" w:rsidRDefault="00F87F00" w:rsidP="00502974">
      <w:pPr>
        <w:pStyle w:val="Source"/>
      </w:pPr>
      <w:r>
        <w:t>2341</w:t>
      </w:r>
      <w:r>
        <w:tab/>
        <w:t xml:space="preserve">Agricultural and </w:t>
      </w:r>
      <w:r w:rsidR="00DA0CE0">
        <w:t>forestry scientists</w:t>
      </w:r>
    </w:p>
    <w:p w:rsidR="00F87F00" w:rsidRDefault="00F87F00" w:rsidP="00502974">
      <w:pPr>
        <w:pStyle w:val="Source"/>
      </w:pPr>
      <w:r>
        <w:t>2343</w:t>
      </w:r>
      <w:r>
        <w:tab/>
        <w:t>Environmental</w:t>
      </w:r>
      <w:r w:rsidR="00DA0CE0">
        <w:t xml:space="preserve"> scientists</w:t>
      </w:r>
    </w:p>
    <w:p w:rsidR="00F87F00" w:rsidRDefault="00F87F00" w:rsidP="00502974">
      <w:pPr>
        <w:pStyle w:val="Source"/>
      </w:pPr>
      <w:r>
        <w:t>2345</w:t>
      </w:r>
      <w:r>
        <w:tab/>
        <w:t xml:space="preserve">Life </w:t>
      </w:r>
      <w:r w:rsidR="00DA0CE0">
        <w:t>scientists</w:t>
      </w:r>
    </w:p>
    <w:p w:rsidR="00F87F00" w:rsidRDefault="00F87F00" w:rsidP="00502974">
      <w:pPr>
        <w:pStyle w:val="Source"/>
      </w:pPr>
      <w:r>
        <w:t>2346</w:t>
      </w:r>
      <w:r>
        <w:tab/>
        <w:t xml:space="preserve">Medical </w:t>
      </w:r>
      <w:r w:rsidR="00DA0CE0">
        <w:t>laboratory scientists</w:t>
      </w:r>
    </w:p>
    <w:p w:rsidR="00F87F00" w:rsidRDefault="00F87F00" w:rsidP="00502974">
      <w:pPr>
        <w:pStyle w:val="Source"/>
      </w:pPr>
      <w:r>
        <w:t>2347</w:t>
      </w:r>
      <w:r>
        <w:tab/>
        <w:t>Veterinarians</w:t>
      </w:r>
    </w:p>
    <w:p w:rsidR="00F87F00" w:rsidRDefault="00F87F00" w:rsidP="00502974">
      <w:pPr>
        <w:pStyle w:val="Source"/>
      </w:pPr>
      <w:r>
        <w:t>2500</w:t>
      </w:r>
      <w:r>
        <w:tab/>
        <w:t xml:space="preserve">Health </w:t>
      </w:r>
      <w:r w:rsidR="00DA0CE0">
        <w:t>professionals</w:t>
      </w:r>
    </w:p>
    <w:p w:rsidR="00F87F00" w:rsidRDefault="00F87F00" w:rsidP="00502974">
      <w:pPr>
        <w:pStyle w:val="Source"/>
      </w:pPr>
      <w:r>
        <w:t>2510</w:t>
      </w:r>
      <w:r>
        <w:tab/>
        <w:t xml:space="preserve">Health </w:t>
      </w:r>
      <w:r w:rsidR="00DA0CE0">
        <w:t>diagnostic and promotion professionals</w:t>
      </w:r>
    </w:p>
    <w:p w:rsidR="00F87F00" w:rsidRDefault="00F87F00" w:rsidP="00502974">
      <w:pPr>
        <w:pStyle w:val="Source"/>
      </w:pPr>
      <w:r>
        <w:t>2511</w:t>
      </w:r>
      <w:r>
        <w:tab/>
        <w:t>Dieticians</w:t>
      </w:r>
    </w:p>
    <w:p w:rsidR="00F87F00" w:rsidRDefault="00F87F00" w:rsidP="00502974">
      <w:pPr>
        <w:pStyle w:val="Source"/>
      </w:pPr>
      <w:r>
        <w:t>2512</w:t>
      </w:r>
      <w:r>
        <w:tab/>
        <w:t>Medical I</w:t>
      </w:r>
      <w:r w:rsidR="00DA0CE0">
        <w:t>maging professionals</w:t>
      </w:r>
    </w:p>
    <w:p w:rsidR="00F87F00" w:rsidRDefault="00F87F00" w:rsidP="00502974">
      <w:pPr>
        <w:pStyle w:val="Source"/>
      </w:pPr>
      <w:r>
        <w:t>2513</w:t>
      </w:r>
      <w:r>
        <w:tab/>
        <w:t xml:space="preserve">Occupational and </w:t>
      </w:r>
      <w:r w:rsidR="00DA0CE0">
        <w:t>environmental health professionals</w:t>
      </w:r>
    </w:p>
    <w:p w:rsidR="00F87F00" w:rsidRDefault="00F87F00" w:rsidP="00502974">
      <w:pPr>
        <w:pStyle w:val="Source"/>
      </w:pPr>
      <w:r>
        <w:t>2514</w:t>
      </w:r>
      <w:r>
        <w:tab/>
        <w:t>Optometrists and</w:t>
      </w:r>
      <w:r w:rsidR="00DA0CE0">
        <w:t xml:space="preserve"> orthoptists</w:t>
      </w:r>
    </w:p>
    <w:p w:rsidR="00F87F00" w:rsidRDefault="00F87F00" w:rsidP="00502974">
      <w:pPr>
        <w:pStyle w:val="Source"/>
      </w:pPr>
      <w:r>
        <w:t>2515</w:t>
      </w:r>
      <w:r>
        <w:tab/>
        <w:t>Pharmacists</w:t>
      </w:r>
    </w:p>
    <w:p w:rsidR="00F87F00" w:rsidRDefault="00F87F00" w:rsidP="00502974">
      <w:pPr>
        <w:pStyle w:val="Source"/>
      </w:pPr>
      <w:r>
        <w:t>2519</w:t>
      </w:r>
      <w:r>
        <w:tab/>
        <w:t xml:space="preserve">Other </w:t>
      </w:r>
      <w:r w:rsidR="00DA0CE0">
        <w:t>health diagnostic and promotion professionals</w:t>
      </w:r>
    </w:p>
    <w:p w:rsidR="00F87F00" w:rsidRDefault="00F87F00" w:rsidP="00502974">
      <w:pPr>
        <w:pStyle w:val="Source"/>
      </w:pPr>
      <w:r>
        <w:t>2520</w:t>
      </w:r>
      <w:r>
        <w:tab/>
        <w:t xml:space="preserve">Health </w:t>
      </w:r>
      <w:r w:rsidR="00DA0CE0">
        <w:t>therapy professionals</w:t>
      </w:r>
    </w:p>
    <w:p w:rsidR="00F87F00" w:rsidRDefault="00F87F00" w:rsidP="00502974">
      <w:pPr>
        <w:pStyle w:val="Source"/>
      </w:pPr>
      <w:r>
        <w:t>2521</w:t>
      </w:r>
      <w:r>
        <w:tab/>
        <w:t xml:space="preserve">Chiropractors and </w:t>
      </w:r>
      <w:r w:rsidR="00DA0CE0">
        <w:t>osteopaths</w:t>
      </w:r>
    </w:p>
    <w:p w:rsidR="00F87F00" w:rsidRDefault="00F87F00" w:rsidP="00502974">
      <w:pPr>
        <w:pStyle w:val="Source"/>
      </w:pPr>
      <w:r>
        <w:t>2522</w:t>
      </w:r>
      <w:r>
        <w:tab/>
        <w:t xml:space="preserve">Complementary </w:t>
      </w:r>
      <w:r w:rsidR="00DA0CE0">
        <w:t>health therapists</w:t>
      </w:r>
    </w:p>
    <w:p w:rsidR="00F87F00" w:rsidRDefault="00F87F00" w:rsidP="00502974">
      <w:pPr>
        <w:pStyle w:val="Source"/>
      </w:pPr>
      <w:r>
        <w:t>2523</w:t>
      </w:r>
      <w:r>
        <w:tab/>
        <w:t xml:space="preserve">Dental </w:t>
      </w:r>
      <w:r w:rsidR="00DA0CE0">
        <w:t>practitioners</w:t>
      </w:r>
    </w:p>
    <w:p w:rsidR="00F87F00" w:rsidRDefault="00F87F00" w:rsidP="00502974">
      <w:pPr>
        <w:pStyle w:val="Source"/>
      </w:pPr>
      <w:r>
        <w:t>2524</w:t>
      </w:r>
      <w:r>
        <w:tab/>
        <w:t xml:space="preserve">Occupational </w:t>
      </w:r>
      <w:r w:rsidR="00DA0CE0">
        <w:t>therapists</w:t>
      </w:r>
    </w:p>
    <w:p w:rsidR="00F87F00" w:rsidRDefault="00F87F00" w:rsidP="00502974">
      <w:pPr>
        <w:pStyle w:val="Source"/>
      </w:pPr>
      <w:r>
        <w:t>2525</w:t>
      </w:r>
      <w:r>
        <w:tab/>
        <w:t>Physiotherapists</w:t>
      </w:r>
    </w:p>
    <w:p w:rsidR="00F87F00" w:rsidRDefault="00F87F00" w:rsidP="00502974">
      <w:pPr>
        <w:pStyle w:val="Source"/>
      </w:pPr>
      <w:r>
        <w:t>2526</w:t>
      </w:r>
      <w:r>
        <w:tab/>
        <w:t>Podiatrists</w:t>
      </w:r>
    </w:p>
    <w:p w:rsidR="00F87F00" w:rsidRDefault="00F87F00" w:rsidP="00502974">
      <w:pPr>
        <w:pStyle w:val="Source"/>
      </w:pPr>
      <w:r>
        <w:t>2527</w:t>
      </w:r>
      <w:r>
        <w:tab/>
        <w:t xml:space="preserve">Speech </w:t>
      </w:r>
      <w:r w:rsidR="004B183D">
        <w:t>professionals and audiologists</w:t>
      </w:r>
    </w:p>
    <w:p w:rsidR="00F87F00" w:rsidRDefault="00F87F00" w:rsidP="00502974">
      <w:pPr>
        <w:pStyle w:val="Source"/>
      </w:pPr>
      <w:r>
        <w:t>2530</w:t>
      </w:r>
      <w:r>
        <w:tab/>
        <w:t xml:space="preserve">Medical </w:t>
      </w:r>
      <w:r w:rsidR="004B183D">
        <w:t>practitioners</w:t>
      </w:r>
    </w:p>
    <w:p w:rsidR="00F87F00" w:rsidRDefault="00F87F00" w:rsidP="00502974">
      <w:pPr>
        <w:pStyle w:val="Source"/>
      </w:pPr>
      <w:r>
        <w:t>2531</w:t>
      </w:r>
      <w:r>
        <w:tab/>
        <w:t xml:space="preserve">Generalist </w:t>
      </w:r>
      <w:r w:rsidR="004B183D">
        <w:t>medical practitioners</w:t>
      </w:r>
    </w:p>
    <w:p w:rsidR="00F87F00" w:rsidRDefault="00F87F00" w:rsidP="00502974">
      <w:pPr>
        <w:pStyle w:val="Source"/>
      </w:pPr>
      <w:r>
        <w:t>2532</w:t>
      </w:r>
      <w:r>
        <w:tab/>
        <w:t>Anaesthetists</w:t>
      </w:r>
    </w:p>
    <w:p w:rsidR="00F87F00" w:rsidRDefault="00F87F00" w:rsidP="00502974">
      <w:pPr>
        <w:pStyle w:val="Source"/>
      </w:pPr>
      <w:r>
        <w:t>2533</w:t>
      </w:r>
      <w:r>
        <w:tab/>
        <w:t xml:space="preserve">Internal </w:t>
      </w:r>
      <w:r w:rsidR="004B183D">
        <w:t>medicine specialists</w:t>
      </w:r>
    </w:p>
    <w:p w:rsidR="00F87F00" w:rsidRDefault="00F87F00" w:rsidP="00502974">
      <w:pPr>
        <w:pStyle w:val="Source"/>
      </w:pPr>
      <w:r>
        <w:t>2534</w:t>
      </w:r>
      <w:r>
        <w:tab/>
        <w:t>Psychiatrists</w:t>
      </w:r>
    </w:p>
    <w:p w:rsidR="00F87F00" w:rsidRDefault="00F87F00" w:rsidP="00502974">
      <w:pPr>
        <w:pStyle w:val="Source"/>
      </w:pPr>
      <w:r>
        <w:t>2535</w:t>
      </w:r>
      <w:r>
        <w:tab/>
        <w:t>Surgeons</w:t>
      </w:r>
    </w:p>
    <w:p w:rsidR="00F87F00" w:rsidRDefault="00F87F00" w:rsidP="00502974">
      <w:pPr>
        <w:pStyle w:val="Source"/>
      </w:pPr>
      <w:r>
        <w:t>2539</w:t>
      </w:r>
      <w:r>
        <w:tab/>
        <w:t xml:space="preserve">Other </w:t>
      </w:r>
      <w:r w:rsidR="004B183D">
        <w:t>medical practitioners</w:t>
      </w:r>
    </w:p>
    <w:p w:rsidR="00F87F00" w:rsidRDefault="00F87F00" w:rsidP="00502974">
      <w:pPr>
        <w:pStyle w:val="Source"/>
      </w:pPr>
      <w:r>
        <w:t>2540</w:t>
      </w:r>
      <w:r>
        <w:tab/>
        <w:t>Midwifery an</w:t>
      </w:r>
      <w:r w:rsidR="004B183D">
        <w:t>d nursing professionals</w:t>
      </w:r>
    </w:p>
    <w:p w:rsidR="00F87F00" w:rsidRDefault="00F87F00" w:rsidP="00502974">
      <w:pPr>
        <w:pStyle w:val="Source"/>
      </w:pPr>
      <w:r>
        <w:t>2541</w:t>
      </w:r>
      <w:r>
        <w:tab/>
        <w:t>Midwives</w:t>
      </w:r>
    </w:p>
    <w:p w:rsidR="00F87F00" w:rsidRDefault="00F87F00" w:rsidP="00502974">
      <w:pPr>
        <w:pStyle w:val="Source"/>
      </w:pPr>
      <w:r>
        <w:t>2542</w:t>
      </w:r>
      <w:r>
        <w:tab/>
        <w:t xml:space="preserve">Nurse </w:t>
      </w:r>
      <w:r w:rsidR="004B183D">
        <w:t>educators and researchers</w:t>
      </w:r>
    </w:p>
    <w:p w:rsidR="00F87F00" w:rsidRDefault="00F87F00" w:rsidP="00502974">
      <w:pPr>
        <w:pStyle w:val="Source"/>
      </w:pPr>
      <w:r>
        <w:t>2543</w:t>
      </w:r>
      <w:r>
        <w:tab/>
        <w:t xml:space="preserve">Nurse </w:t>
      </w:r>
      <w:r w:rsidR="004B183D">
        <w:t>managers</w:t>
      </w:r>
    </w:p>
    <w:p w:rsidR="00F87F00" w:rsidRPr="00CD0521" w:rsidRDefault="00F87F00" w:rsidP="00502974">
      <w:pPr>
        <w:pStyle w:val="Source"/>
      </w:pPr>
      <w:r>
        <w:t>2544</w:t>
      </w:r>
      <w:r>
        <w:tab/>
        <w:t>Registered</w:t>
      </w:r>
      <w:r w:rsidR="004B183D">
        <w:t xml:space="preserve"> nurses</w:t>
      </w:r>
    </w:p>
    <w:p w:rsidR="00F87F00" w:rsidRPr="00C4535D" w:rsidRDefault="00F87F00" w:rsidP="00502974">
      <w:pPr>
        <w:pStyle w:val="Text"/>
      </w:pPr>
      <w:r>
        <w:t>The coding of occupations has been co</w:t>
      </w:r>
      <w:r w:rsidR="004B183D">
        <w:t>nceptually informed by the OECD</w:t>
      </w:r>
      <w:r>
        <w:t xml:space="preserve"> coding framework for PISA 2006 data </w:t>
      </w:r>
      <w:r>
        <w:rPr>
          <w:noProof/>
        </w:rPr>
        <w:t>(Sikora &amp; Pokropek 2011)</w:t>
      </w:r>
      <w:r>
        <w:t>.</w:t>
      </w:r>
    </w:p>
    <w:p w:rsidR="00F87F00" w:rsidRPr="00C4535D" w:rsidRDefault="00F87F00" w:rsidP="00502974">
      <w:pPr>
        <w:pStyle w:val="Text"/>
      </w:pPr>
    </w:p>
    <w:p w:rsidR="00427E11" w:rsidRDefault="00427E11"/>
    <w:p w:rsidR="00427E11" w:rsidRDefault="00427E11">
      <w:pPr>
        <w:spacing w:before="0" w:after="200" w:line="276" w:lineRule="auto"/>
      </w:pPr>
      <w:r>
        <w:br w:type="page"/>
      </w:r>
    </w:p>
    <w:p w:rsidR="00427E11" w:rsidRDefault="00427E11" w:rsidP="00427E11">
      <w:pPr>
        <w:pStyle w:val="Heading1"/>
      </w:pPr>
      <w:bookmarkStart w:id="114" w:name="_Toc350519046"/>
      <w:bookmarkStart w:id="115" w:name="_Toc366664284"/>
      <w:bookmarkStart w:id="116" w:name="_Toc367713388"/>
      <w:r>
        <w:lastRenderedPageBreak/>
        <w:t>Building researcher capacity initiative</w:t>
      </w:r>
      <w:bookmarkEnd w:id="114"/>
      <w:bookmarkEnd w:id="115"/>
      <w:bookmarkEnd w:id="116"/>
      <w:r>
        <w:t xml:space="preserve">  </w:t>
      </w:r>
    </w:p>
    <w:p w:rsidR="00427E11" w:rsidRDefault="00427E11" w:rsidP="00427E11">
      <w:pPr>
        <w:pStyle w:val="Text"/>
      </w:pPr>
      <w:r>
        <w:t>This paper is produced as part of NCVER</w:t>
      </w:r>
      <w:r w:rsidR="00C33F0A">
        <w:t>’</w:t>
      </w:r>
      <w:r>
        <w:t xml:space="preserve">s building researcher capacity initiative, which is funded </w:t>
      </w:r>
      <w:r w:rsidRPr="003716FE">
        <w:t>under the National Vocational Education and Training</w:t>
      </w:r>
      <w:r>
        <w:t xml:space="preserve"> Research (NVETR) Program.</w:t>
      </w:r>
      <w:r w:rsidRPr="003716FE">
        <w:t xml:space="preserve"> </w:t>
      </w:r>
      <w:r>
        <w:t>The NVETR Program</w:t>
      </w:r>
      <w:r w:rsidRPr="003716FE">
        <w:t xml:space="preserve"> </w:t>
      </w:r>
      <w:r>
        <w:t xml:space="preserve">is </w:t>
      </w:r>
      <w:r w:rsidRPr="003716FE">
        <w:t xml:space="preserve">coordinated and managed by NCVER on behalf of the Australian Government and state and territory governments. Funding is provided through the </w:t>
      </w:r>
      <w:r w:rsidRPr="00013AF5">
        <w:t>Department of Industry</w:t>
      </w:r>
      <w:r w:rsidR="00AA736E">
        <w:t xml:space="preserve"> (formerly the Department of Industry</w:t>
      </w:r>
      <w:r w:rsidRPr="00013AF5">
        <w:t xml:space="preserve">, Innovation, </w:t>
      </w:r>
      <w:r>
        <w:t xml:space="preserve">Climate Change, </w:t>
      </w:r>
      <w:r w:rsidRPr="00013AF5">
        <w:t>Science, Research and Tertiary Education</w:t>
      </w:r>
      <w:r w:rsidR="00AA736E">
        <w:t>)</w:t>
      </w:r>
      <w:r w:rsidRPr="003716FE">
        <w:t>.</w:t>
      </w:r>
    </w:p>
    <w:p w:rsidR="00427E11" w:rsidRDefault="00427E11" w:rsidP="00427E11">
      <w:pPr>
        <w:pStyle w:val="Text"/>
      </w:pPr>
      <w:r>
        <w:t>The aims of the building researcher capacity initiative are to attract experienced researchers from outside the sector, encourage early career researchers and support people in the sector to undertake research.</w:t>
      </w:r>
    </w:p>
    <w:p w:rsidR="00427E11" w:rsidRDefault="00427E11" w:rsidP="00427E11">
      <w:pPr>
        <w:pStyle w:val="Text"/>
      </w:pPr>
      <w:r>
        <w:t xml:space="preserve">The building researcher capacity initiative includes the following programs: NCVER fellowships, PhD top-up scholarships, postgraduate research papers and community of practice scholarships for VET practitioners. </w:t>
      </w:r>
      <w:r w:rsidRPr="003716FE">
        <w:t>These gr</w:t>
      </w:r>
      <w:r>
        <w:t>ants are awarded to individuals through a</w:t>
      </w:r>
      <w:r w:rsidRPr="003716FE">
        <w:t xml:space="preserve"> </w:t>
      </w:r>
      <w:r>
        <w:t xml:space="preserve">selection </w:t>
      </w:r>
      <w:r w:rsidRPr="003716FE">
        <w:t>process</w:t>
      </w:r>
      <w:r>
        <w:t xml:space="preserve"> and are subject to NCVER</w:t>
      </w:r>
      <w:r w:rsidR="00C33F0A">
        <w:t>’</w:t>
      </w:r>
      <w:r>
        <w:t xml:space="preserve">s quality assurance process, including peer review. </w:t>
      </w:r>
    </w:p>
    <w:p w:rsidR="002025D8" w:rsidRDefault="002025D8"/>
    <w:sectPr w:rsidR="002025D8" w:rsidSect="00520ED4">
      <w:footerReference w:type="even" r:id="rId22"/>
      <w:footerReference w:type="default" r:id="rId23"/>
      <w:pgSz w:w="11906" w:h="16838"/>
      <w:pgMar w:top="1276" w:right="1701"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09E" w:rsidRDefault="002D409E" w:rsidP="00E857B3">
      <w:pPr>
        <w:spacing w:before="0" w:line="240" w:lineRule="auto"/>
      </w:pPr>
      <w:r>
        <w:separator/>
      </w:r>
    </w:p>
  </w:endnote>
  <w:endnote w:type="continuationSeparator" w:id="0">
    <w:p w:rsidR="002D409E" w:rsidRDefault="002D409E" w:rsidP="00E857B3">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09E" w:rsidRPr="008C0A74" w:rsidRDefault="002D409E" w:rsidP="00502974">
    <w:pPr>
      <w:pStyle w:val="Footer"/>
      <w:tabs>
        <w:tab w:val="clear" w:pos="8505"/>
        <w:tab w:val="right" w:pos="8789"/>
      </w:tabs>
      <w:rPr>
        <w: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09E" w:rsidRPr="009775C7" w:rsidRDefault="002D409E" w:rsidP="00502974">
    <w:pPr>
      <w:pStyle w:val="Footer"/>
      <w:tabs>
        <w:tab w:val="clear" w:pos="8505"/>
        <w:tab w:val="right" w:pos="8789"/>
      </w:tabs>
      <w:rPr>
        <w:color w:val="FFFFFF" w:themeColor="background1"/>
      </w:rPr>
    </w:pPr>
    <w:r w:rsidRPr="009775C7">
      <w:rPr>
        <w:color w:val="FFFFFF" w:themeColor="background1"/>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09E" w:rsidRPr="008C0A74" w:rsidRDefault="0091032D" w:rsidP="00502974">
    <w:pPr>
      <w:pStyle w:val="Footer"/>
      <w:tabs>
        <w:tab w:val="clear" w:pos="8505"/>
        <w:tab w:val="right" w:pos="8789"/>
      </w:tabs>
      <w:rPr>
        <w:b/>
      </w:rPr>
    </w:pPr>
    <w:r w:rsidRPr="0091032D">
      <w:rPr>
        <w:b/>
        <w:noProof/>
        <w:color w:val="FFFFFF" w:themeColor="background1"/>
        <w:lang w:eastAsia="en-AU"/>
      </w:rPr>
      <w:pict>
        <v:rect id="_x0000_s2052" style="position:absolute;margin-left:-85.05pt;margin-top:-2.45pt;width:99pt;height:18.75pt;z-index:-251651072" fillcolor="black [3213]" stroked="f" strokecolor="#bfbfbf [2412]"/>
      </w:pict>
    </w:r>
    <w:r w:rsidRPr="008C0A74">
      <w:rPr>
        <w:b/>
        <w:color w:val="FFFFFF" w:themeColor="background1"/>
      </w:rPr>
      <w:fldChar w:fldCharType="begin"/>
    </w:r>
    <w:r w:rsidR="002D409E" w:rsidRPr="008C0A74">
      <w:rPr>
        <w:b/>
        <w:color w:val="FFFFFF" w:themeColor="background1"/>
      </w:rPr>
      <w:instrText xml:space="preserve"> PAGE </w:instrText>
    </w:r>
    <w:r w:rsidRPr="008C0A74">
      <w:rPr>
        <w:b/>
        <w:color w:val="FFFFFF" w:themeColor="background1"/>
      </w:rPr>
      <w:fldChar w:fldCharType="separate"/>
    </w:r>
    <w:r w:rsidR="006044B1">
      <w:rPr>
        <w:b/>
        <w:noProof/>
        <w:color w:val="FFFFFF" w:themeColor="background1"/>
      </w:rPr>
      <w:t>30</w:t>
    </w:r>
    <w:r w:rsidRPr="008C0A74">
      <w:rPr>
        <w:b/>
        <w:color w:val="FFFFFF" w:themeColor="background1"/>
      </w:rPr>
      <w:fldChar w:fldCharType="end"/>
    </w:r>
    <w:r w:rsidR="002D409E" w:rsidRPr="008C0A74">
      <w:rPr>
        <w:b/>
        <w:color w:val="FFFFFF" w:themeColor="background1"/>
      </w:rPr>
      <w:tab/>
    </w:r>
    <w:r w:rsidR="002D409E">
      <w:rPr>
        <w:b/>
      </w:rPr>
      <w:t>Single-sex schools and science engagement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09E" w:rsidRPr="009775C7" w:rsidRDefault="0091032D" w:rsidP="00502974">
    <w:pPr>
      <w:pStyle w:val="Footer"/>
      <w:tabs>
        <w:tab w:val="clear" w:pos="8505"/>
        <w:tab w:val="right" w:pos="8789"/>
      </w:tabs>
      <w:rPr>
        <w:color w:val="FFFFFF" w:themeColor="background1"/>
      </w:rPr>
    </w:pPr>
    <w:r w:rsidRPr="0091032D">
      <w:rPr>
        <w:b/>
        <w:noProof/>
        <w:lang w:eastAsia="en-AU"/>
      </w:rPr>
      <w:pict>
        <v:rect id="_x0000_s2051" style="position:absolute;margin-left:425.6pt;margin-top:-2.45pt;width:99pt;height:18.75pt;z-index:-251653120" fillcolor="black [3213]" stroked="f" strokecolor="#bfbfbf [2412]"/>
      </w:pict>
    </w:r>
    <w:r w:rsidR="002D409E" w:rsidRPr="009775C7">
      <w:rPr>
        <w:b/>
      </w:rPr>
      <w:t>NCVER</w:t>
    </w:r>
    <w:r w:rsidR="002D409E" w:rsidRPr="009775C7">
      <w:tab/>
    </w:r>
    <w:r w:rsidRPr="009775C7">
      <w:rPr>
        <w:rStyle w:val="PageNumber"/>
        <w:b/>
        <w:color w:val="FFFFFF" w:themeColor="background1"/>
        <w:sz w:val="17"/>
      </w:rPr>
      <w:fldChar w:fldCharType="begin"/>
    </w:r>
    <w:r w:rsidR="002D409E" w:rsidRPr="009775C7">
      <w:rPr>
        <w:rStyle w:val="PageNumber"/>
        <w:b/>
        <w:color w:val="FFFFFF" w:themeColor="background1"/>
        <w:sz w:val="17"/>
      </w:rPr>
      <w:instrText xml:space="preserve"> PAGE </w:instrText>
    </w:r>
    <w:r w:rsidRPr="009775C7">
      <w:rPr>
        <w:rStyle w:val="PageNumber"/>
        <w:b/>
        <w:color w:val="FFFFFF" w:themeColor="background1"/>
        <w:sz w:val="17"/>
      </w:rPr>
      <w:fldChar w:fldCharType="separate"/>
    </w:r>
    <w:r w:rsidR="006044B1">
      <w:rPr>
        <w:rStyle w:val="PageNumber"/>
        <w:b/>
        <w:noProof/>
        <w:color w:val="FFFFFF" w:themeColor="background1"/>
        <w:sz w:val="17"/>
      </w:rPr>
      <w:t>29</w:t>
    </w:r>
    <w:r w:rsidRPr="009775C7">
      <w:rPr>
        <w:rStyle w:val="PageNumber"/>
        <w:b/>
        <w:color w:val="FFFFFF" w:themeColor="background1"/>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09E" w:rsidRDefault="002D409E" w:rsidP="00E857B3">
      <w:pPr>
        <w:spacing w:before="0" w:line="240" w:lineRule="auto"/>
      </w:pPr>
      <w:r>
        <w:separator/>
      </w:r>
    </w:p>
  </w:footnote>
  <w:footnote w:type="continuationSeparator" w:id="0">
    <w:p w:rsidR="002D409E" w:rsidRDefault="002D409E" w:rsidP="00E857B3">
      <w:pPr>
        <w:spacing w:before="0" w:line="240" w:lineRule="auto"/>
      </w:pPr>
      <w:r>
        <w:continuationSeparator/>
      </w:r>
    </w:p>
  </w:footnote>
  <w:footnote w:id="1">
    <w:p w:rsidR="002D409E" w:rsidRPr="00B82BF3" w:rsidRDefault="002D409E" w:rsidP="00B82BF3">
      <w:pPr>
        <w:pStyle w:val="FootnoteText"/>
      </w:pPr>
      <w:r w:rsidRPr="00520ED4">
        <w:rPr>
          <w:rStyle w:val="FootnoteReference"/>
        </w:rPr>
        <w:footnoteRef/>
      </w:r>
      <w:r w:rsidRPr="00B82BF3">
        <w:t xml:space="preserve"> </w:t>
      </w:r>
      <w:r>
        <w:tab/>
      </w:r>
      <w:r w:rsidRPr="00B82BF3">
        <w:t xml:space="preserve">Reliance on Year 11 data necessitates </w:t>
      </w:r>
      <w:r>
        <w:t xml:space="preserve">the </w:t>
      </w:r>
      <w:r w:rsidRPr="00B82BF3">
        <w:t>imputation of information on subject choices for students who were in Year 11 in 2009 as they were not asked the relevant questions. The advantage of this strategy, as opposed to reliance on d</w:t>
      </w:r>
      <w:r>
        <w:t>ata from Year 12 students (see f</w:t>
      </w:r>
      <w:r w:rsidRPr="00B82BF3">
        <w:t>igure 1), is th</w:t>
      </w:r>
      <w:r>
        <w:t>at the entire spectrum of socio</w:t>
      </w:r>
      <w:r w:rsidRPr="00B82BF3">
        <w:t>economic (SES) backgrounds of students is reflected in the analyses. As science engagement is known to be cl</w:t>
      </w:r>
      <w:r>
        <w:t>osely related to SES and as low-</w:t>
      </w:r>
      <w:r w:rsidRPr="00B82BF3">
        <w:t>SES students are more likely to drop out of LSAY by Wave 2, the analysis of data from Year 12 students would be somewhat biased towards higher SES backgrounds.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3ACBF8"/>
    <w:lvl w:ilvl="0">
      <w:start w:val="1"/>
      <w:numFmt w:val="decimal"/>
      <w:lvlText w:val="%1."/>
      <w:lvlJc w:val="left"/>
      <w:pPr>
        <w:tabs>
          <w:tab w:val="num" w:pos="1492"/>
        </w:tabs>
        <w:ind w:left="1492" w:hanging="360"/>
      </w:pPr>
    </w:lvl>
  </w:abstractNum>
  <w:abstractNum w:abstractNumId="1">
    <w:nsid w:val="FFFFFF7D"/>
    <w:multiLevelType w:val="singleLevel"/>
    <w:tmpl w:val="0A5CEE0A"/>
    <w:lvl w:ilvl="0">
      <w:start w:val="1"/>
      <w:numFmt w:val="decimal"/>
      <w:lvlText w:val="%1."/>
      <w:lvlJc w:val="left"/>
      <w:pPr>
        <w:tabs>
          <w:tab w:val="num" w:pos="1209"/>
        </w:tabs>
        <w:ind w:left="1209" w:hanging="360"/>
      </w:pPr>
    </w:lvl>
  </w:abstractNum>
  <w:abstractNum w:abstractNumId="2">
    <w:nsid w:val="FFFFFF7E"/>
    <w:multiLevelType w:val="singleLevel"/>
    <w:tmpl w:val="6B122C5C"/>
    <w:lvl w:ilvl="0">
      <w:start w:val="1"/>
      <w:numFmt w:val="decimal"/>
      <w:lvlText w:val="%1."/>
      <w:lvlJc w:val="left"/>
      <w:pPr>
        <w:tabs>
          <w:tab w:val="num" w:pos="926"/>
        </w:tabs>
        <w:ind w:left="926" w:hanging="360"/>
      </w:pPr>
    </w:lvl>
  </w:abstractNum>
  <w:abstractNum w:abstractNumId="3">
    <w:nsid w:val="FFFFFF7F"/>
    <w:multiLevelType w:val="singleLevel"/>
    <w:tmpl w:val="CF569A70"/>
    <w:lvl w:ilvl="0">
      <w:start w:val="1"/>
      <w:numFmt w:val="decimal"/>
      <w:lvlText w:val="%1."/>
      <w:lvlJc w:val="left"/>
      <w:pPr>
        <w:tabs>
          <w:tab w:val="num" w:pos="643"/>
        </w:tabs>
        <w:ind w:left="643" w:hanging="360"/>
      </w:pPr>
    </w:lvl>
  </w:abstractNum>
  <w:abstractNum w:abstractNumId="4">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DAEC32"/>
    <w:lvl w:ilvl="0">
      <w:start w:val="1"/>
      <w:numFmt w:val="decimal"/>
      <w:lvlText w:val="%1."/>
      <w:lvlJc w:val="left"/>
      <w:pPr>
        <w:tabs>
          <w:tab w:val="num" w:pos="360"/>
        </w:tabs>
        <w:ind w:left="360" w:hanging="360"/>
      </w:pPr>
    </w:lvl>
  </w:abstractNum>
  <w:abstractNum w:abstractNumId="9">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04C080C2"/>
    <w:lvl w:ilvl="0" w:tplc="24BA3DD4">
      <w:start w:val="1"/>
      <w:numFmt w:val="decimal"/>
      <w:pStyle w:val="NumberedListContinuing"/>
      <w:lvlText w:val="%1"/>
      <w:lvlJc w:val="left"/>
      <w:pPr>
        <w:tabs>
          <w:tab w:val="num" w:pos="284"/>
        </w:tabs>
        <w:ind w:left="0" w:firstLine="0"/>
      </w:pPr>
      <w:rPr>
        <w:rFonts w:hint="default"/>
      </w:rPr>
    </w:lvl>
    <w:lvl w:ilvl="1" w:tplc="0994B9E0">
      <w:start w:val="1"/>
      <w:numFmt w:val="lowerLetter"/>
      <w:pStyle w:val="NumberedAlphaLevel2"/>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09B47474"/>
    <w:multiLevelType w:val="hybridMultilevel"/>
    <w:tmpl w:val="B3BCD2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71C46DF"/>
    <w:multiLevelType w:val="hybridMultilevel"/>
    <w:tmpl w:val="5594A4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6">
    <w:nsid w:val="205934E6"/>
    <w:multiLevelType w:val="hybridMultilevel"/>
    <w:tmpl w:val="7C16B4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11C74C7"/>
    <w:multiLevelType w:val="hybridMultilevel"/>
    <w:tmpl w:val="BB22AE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27A69B9"/>
    <w:multiLevelType w:val="hybridMultilevel"/>
    <w:tmpl w:val="739E1494"/>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nsid w:val="26105F68"/>
    <w:multiLevelType w:val="hybridMultilevel"/>
    <w:tmpl w:val="E1A40F22"/>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0">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1">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2F66242E"/>
    <w:multiLevelType w:val="hybridMultilevel"/>
    <w:tmpl w:val="734499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3C153AE3"/>
    <w:multiLevelType w:val="hybridMultilevel"/>
    <w:tmpl w:val="9C6C653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nsid w:val="3F8F0614"/>
    <w:multiLevelType w:val="hybridMultilevel"/>
    <w:tmpl w:val="D6FABA5E"/>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6">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2">
    <w:nsid w:val="52374F5B"/>
    <w:multiLevelType w:val="hybridMultilevel"/>
    <w:tmpl w:val="2286B200"/>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nsid w:val="54DB1F0F"/>
    <w:multiLevelType w:val="hybridMultilevel"/>
    <w:tmpl w:val="5DC81612"/>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4">
    <w:nsid w:val="58AE5777"/>
    <w:multiLevelType w:val="hybridMultilevel"/>
    <w:tmpl w:val="837CC4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5D251392"/>
    <w:multiLevelType w:val="hybridMultilevel"/>
    <w:tmpl w:val="07E2B9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0">
    <w:nsid w:val="65E004DE"/>
    <w:multiLevelType w:val="hybridMultilevel"/>
    <w:tmpl w:val="C4C8DBB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69871CCD"/>
    <w:multiLevelType w:val="hybridMultilevel"/>
    <w:tmpl w:val="2E40CB4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1A474BC"/>
    <w:multiLevelType w:val="hybridMultilevel"/>
    <w:tmpl w:val="4260CB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2DD602B"/>
    <w:multiLevelType w:val="hybridMultilevel"/>
    <w:tmpl w:val="4F62CB22"/>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11"/>
  </w:num>
  <w:num w:numId="2">
    <w:abstractNumId w:val="15"/>
  </w:num>
  <w:num w:numId="3">
    <w:abstractNumId w:val="10"/>
  </w:num>
  <w:num w:numId="4">
    <w:abstractNumId w:val="27"/>
  </w:num>
  <w:num w:numId="5">
    <w:abstractNumId w:val="12"/>
  </w:num>
  <w:num w:numId="6">
    <w:abstractNumId w:val="31"/>
  </w:num>
  <w:num w:numId="7">
    <w:abstractNumId w:val="37"/>
  </w:num>
  <w:num w:numId="8">
    <w:abstractNumId w:val="35"/>
  </w:num>
  <w:num w:numId="9">
    <w:abstractNumId w:val="42"/>
  </w:num>
  <w:num w:numId="10">
    <w:abstractNumId w:val="28"/>
  </w:num>
  <w:num w:numId="11">
    <w:abstractNumId w:val="23"/>
  </w:num>
  <w:num w:numId="12">
    <w:abstractNumId w:val="29"/>
  </w:num>
  <w:num w:numId="13">
    <w:abstractNumId w:val="30"/>
  </w:num>
  <w:num w:numId="14">
    <w:abstractNumId w:val="20"/>
  </w:num>
  <w:num w:numId="15">
    <w:abstractNumId w:val="26"/>
  </w:num>
  <w:num w:numId="16">
    <w:abstractNumId w:val="21"/>
  </w:num>
  <w:num w:numId="17">
    <w:abstractNumId w:val="9"/>
  </w:num>
  <w:num w:numId="18">
    <w:abstractNumId w:val="7"/>
  </w:num>
  <w:num w:numId="19">
    <w:abstractNumId w:val="6"/>
  </w:num>
  <w:num w:numId="20">
    <w:abstractNumId w:val="5"/>
  </w:num>
  <w:num w:numId="21">
    <w:abstractNumId w:val="4"/>
  </w:num>
  <w:num w:numId="22">
    <w:abstractNumId w:val="43"/>
  </w:num>
  <w:num w:numId="23">
    <w:abstractNumId w:val="39"/>
  </w:num>
  <w:num w:numId="24">
    <w:abstractNumId w:val="8"/>
  </w:num>
  <w:num w:numId="25">
    <w:abstractNumId w:val="3"/>
  </w:num>
  <w:num w:numId="26">
    <w:abstractNumId w:val="2"/>
  </w:num>
  <w:num w:numId="27">
    <w:abstractNumId w:val="1"/>
  </w:num>
  <w:num w:numId="28">
    <w:abstractNumId w:val="0"/>
  </w:num>
  <w:num w:numId="29">
    <w:abstractNumId w:val="38"/>
  </w:num>
  <w:num w:numId="30">
    <w:abstractNumId w:val="44"/>
  </w:num>
  <w:num w:numId="31">
    <w:abstractNumId w:val="36"/>
  </w:num>
  <w:num w:numId="32">
    <w:abstractNumId w:val="22"/>
  </w:num>
  <w:num w:numId="33">
    <w:abstractNumId w:val="13"/>
  </w:num>
  <w:num w:numId="34">
    <w:abstractNumId w:val="34"/>
  </w:num>
  <w:num w:numId="35">
    <w:abstractNumId w:val="17"/>
  </w:num>
  <w:num w:numId="36">
    <w:abstractNumId w:val="14"/>
  </w:num>
  <w:num w:numId="37">
    <w:abstractNumId w:val="41"/>
  </w:num>
  <w:num w:numId="38">
    <w:abstractNumId w:val="24"/>
  </w:num>
  <w:num w:numId="39">
    <w:abstractNumId w:val="25"/>
  </w:num>
  <w:num w:numId="40">
    <w:abstractNumId w:val="18"/>
  </w:num>
  <w:num w:numId="41">
    <w:abstractNumId w:val="16"/>
  </w:num>
  <w:num w:numId="42">
    <w:abstractNumId w:val="33"/>
  </w:num>
  <w:num w:numId="43">
    <w:abstractNumId w:val="19"/>
  </w:num>
  <w:num w:numId="44">
    <w:abstractNumId w:val="45"/>
  </w:num>
  <w:num w:numId="45">
    <w:abstractNumId w:val="32"/>
  </w:num>
  <w:num w:numId="46">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SortMethod w:val="0000"/>
  <w:defaultTabStop w:val="720"/>
  <w:evenAndOddHeaders/>
  <w:drawingGridHorizontalSpacing w:val="95"/>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s>
  <w:rsids>
    <w:rsidRoot w:val="00F87F00"/>
    <w:rsid w:val="00002E15"/>
    <w:rsid w:val="0000766C"/>
    <w:rsid w:val="000375BC"/>
    <w:rsid w:val="00083D09"/>
    <w:rsid w:val="00096768"/>
    <w:rsid w:val="000B1856"/>
    <w:rsid w:val="000B33BB"/>
    <w:rsid w:val="000B508A"/>
    <w:rsid w:val="000F1F70"/>
    <w:rsid w:val="000F5884"/>
    <w:rsid w:val="00114A33"/>
    <w:rsid w:val="00117260"/>
    <w:rsid w:val="0014741D"/>
    <w:rsid w:val="00186E5F"/>
    <w:rsid w:val="001C75F3"/>
    <w:rsid w:val="001E03F9"/>
    <w:rsid w:val="002025D8"/>
    <w:rsid w:val="00214373"/>
    <w:rsid w:val="002319F3"/>
    <w:rsid w:val="00231DC8"/>
    <w:rsid w:val="00237162"/>
    <w:rsid w:val="002428F3"/>
    <w:rsid w:val="002436FF"/>
    <w:rsid w:val="00247DCA"/>
    <w:rsid w:val="00264961"/>
    <w:rsid w:val="002A5694"/>
    <w:rsid w:val="002B2D70"/>
    <w:rsid w:val="002C62BD"/>
    <w:rsid w:val="002D409E"/>
    <w:rsid w:val="002F3788"/>
    <w:rsid w:val="0030390E"/>
    <w:rsid w:val="003255D3"/>
    <w:rsid w:val="003331FD"/>
    <w:rsid w:val="0033343F"/>
    <w:rsid w:val="003613B8"/>
    <w:rsid w:val="003870CA"/>
    <w:rsid w:val="003878ED"/>
    <w:rsid w:val="003C5BA8"/>
    <w:rsid w:val="003D6029"/>
    <w:rsid w:val="003E120D"/>
    <w:rsid w:val="003F214D"/>
    <w:rsid w:val="00427E11"/>
    <w:rsid w:val="00451ECD"/>
    <w:rsid w:val="004613AB"/>
    <w:rsid w:val="00467318"/>
    <w:rsid w:val="00471190"/>
    <w:rsid w:val="004B183D"/>
    <w:rsid w:val="004B4071"/>
    <w:rsid w:val="004D7801"/>
    <w:rsid w:val="004E609C"/>
    <w:rsid w:val="004E72A3"/>
    <w:rsid w:val="004F1002"/>
    <w:rsid w:val="0050084F"/>
    <w:rsid w:val="00502974"/>
    <w:rsid w:val="00505C9F"/>
    <w:rsid w:val="00515C7C"/>
    <w:rsid w:val="00520ED4"/>
    <w:rsid w:val="00527CB4"/>
    <w:rsid w:val="00545BFF"/>
    <w:rsid w:val="00584886"/>
    <w:rsid w:val="00590A88"/>
    <w:rsid w:val="005F0B4D"/>
    <w:rsid w:val="006008D3"/>
    <w:rsid w:val="006044B1"/>
    <w:rsid w:val="00614FF7"/>
    <w:rsid w:val="00642965"/>
    <w:rsid w:val="00650BCA"/>
    <w:rsid w:val="006641F2"/>
    <w:rsid w:val="00690DD2"/>
    <w:rsid w:val="00694B16"/>
    <w:rsid w:val="006A015A"/>
    <w:rsid w:val="006A2D6E"/>
    <w:rsid w:val="006A6B6B"/>
    <w:rsid w:val="006B1956"/>
    <w:rsid w:val="006B5B50"/>
    <w:rsid w:val="00767ECD"/>
    <w:rsid w:val="0078403B"/>
    <w:rsid w:val="007870C4"/>
    <w:rsid w:val="007C3DD7"/>
    <w:rsid w:val="007D52C9"/>
    <w:rsid w:val="007E2D33"/>
    <w:rsid w:val="00807D0E"/>
    <w:rsid w:val="008421C5"/>
    <w:rsid w:val="0084401E"/>
    <w:rsid w:val="00877A61"/>
    <w:rsid w:val="008A02D8"/>
    <w:rsid w:val="008A26EA"/>
    <w:rsid w:val="008B1EC2"/>
    <w:rsid w:val="008E0542"/>
    <w:rsid w:val="008E24D6"/>
    <w:rsid w:val="0091032D"/>
    <w:rsid w:val="00936D84"/>
    <w:rsid w:val="00961A6B"/>
    <w:rsid w:val="009903CE"/>
    <w:rsid w:val="00994DA0"/>
    <w:rsid w:val="009A0FDB"/>
    <w:rsid w:val="009B30D0"/>
    <w:rsid w:val="009C20B4"/>
    <w:rsid w:val="00A02143"/>
    <w:rsid w:val="00A04483"/>
    <w:rsid w:val="00A13298"/>
    <w:rsid w:val="00A135D1"/>
    <w:rsid w:val="00A147DD"/>
    <w:rsid w:val="00A25A8C"/>
    <w:rsid w:val="00A366F2"/>
    <w:rsid w:val="00A431E5"/>
    <w:rsid w:val="00A6229F"/>
    <w:rsid w:val="00A701F3"/>
    <w:rsid w:val="00AA736E"/>
    <w:rsid w:val="00AB35B8"/>
    <w:rsid w:val="00AD5F14"/>
    <w:rsid w:val="00AF0825"/>
    <w:rsid w:val="00B03D36"/>
    <w:rsid w:val="00B51336"/>
    <w:rsid w:val="00B526B9"/>
    <w:rsid w:val="00B549C2"/>
    <w:rsid w:val="00B555AB"/>
    <w:rsid w:val="00B82BF3"/>
    <w:rsid w:val="00BA2F89"/>
    <w:rsid w:val="00BB5608"/>
    <w:rsid w:val="00BB6A6B"/>
    <w:rsid w:val="00BC2249"/>
    <w:rsid w:val="00BC5071"/>
    <w:rsid w:val="00BE03BB"/>
    <w:rsid w:val="00BE54A3"/>
    <w:rsid w:val="00C019C4"/>
    <w:rsid w:val="00C1768A"/>
    <w:rsid w:val="00C31772"/>
    <w:rsid w:val="00C33F0A"/>
    <w:rsid w:val="00C65756"/>
    <w:rsid w:val="00C73770"/>
    <w:rsid w:val="00C75778"/>
    <w:rsid w:val="00C86094"/>
    <w:rsid w:val="00C9580A"/>
    <w:rsid w:val="00CB750A"/>
    <w:rsid w:val="00CC5CF9"/>
    <w:rsid w:val="00CD14E9"/>
    <w:rsid w:val="00CE0D40"/>
    <w:rsid w:val="00CE46EA"/>
    <w:rsid w:val="00CF6B5C"/>
    <w:rsid w:val="00D148F5"/>
    <w:rsid w:val="00D24826"/>
    <w:rsid w:val="00D716D2"/>
    <w:rsid w:val="00D73B31"/>
    <w:rsid w:val="00D74786"/>
    <w:rsid w:val="00D77A65"/>
    <w:rsid w:val="00DA0CE0"/>
    <w:rsid w:val="00DB74E2"/>
    <w:rsid w:val="00DC1CD6"/>
    <w:rsid w:val="00DC2FD8"/>
    <w:rsid w:val="00E07F08"/>
    <w:rsid w:val="00E31BF5"/>
    <w:rsid w:val="00E36796"/>
    <w:rsid w:val="00E53022"/>
    <w:rsid w:val="00E719F7"/>
    <w:rsid w:val="00E82FAC"/>
    <w:rsid w:val="00E842C5"/>
    <w:rsid w:val="00E857B3"/>
    <w:rsid w:val="00EC7F12"/>
    <w:rsid w:val="00ED2440"/>
    <w:rsid w:val="00ED62E6"/>
    <w:rsid w:val="00EE1E35"/>
    <w:rsid w:val="00F24E86"/>
    <w:rsid w:val="00F562B4"/>
    <w:rsid w:val="00F714C8"/>
    <w:rsid w:val="00F76F68"/>
    <w:rsid w:val="00F87F00"/>
    <w:rsid w:val="00F95435"/>
    <w:rsid w:val="00FD0182"/>
    <w:rsid w:val="00FD439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319F3"/>
    <w:pPr>
      <w:spacing w:before="160" w:after="0" w:line="260" w:lineRule="exact"/>
    </w:pPr>
    <w:rPr>
      <w:rFonts w:ascii="Trebuchet MS" w:eastAsia="Times New Roman" w:hAnsi="Trebuchet MS" w:cs="Times New Roman"/>
      <w:sz w:val="19"/>
      <w:szCs w:val="20"/>
    </w:rPr>
  </w:style>
  <w:style w:type="paragraph" w:styleId="Heading1">
    <w:name w:val="heading 1"/>
    <w:next w:val="Text"/>
    <w:link w:val="Heading1Char"/>
    <w:qFormat/>
    <w:rsid w:val="00F87F00"/>
    <w:pPr>
      <w:keepNext/>
      <w:spacing w:after="360" w:line="240" w:lineRule="auto"/>
      <w:outlineLvl w:val="0"/>
    </w:pPr>
    <w:rPr>
      <w:rFonts w:ascii="Tahoma" w:eastAsia="Times New Roman" w:hAnsi="Tahoma" w:cs="Tahoma"/>
      <w:color w:val="000000"/>
      <w:kern w:val="28"/>
      <w:sz w:val="56"/>
      <w:szCs w:val="56"/>
    </w:rPr>
  </w:style>
  <w:style w:type="paragraph" w:styleId="Heading2">
    <w:name w:val="heading 2"/>
    <w:next w:val="Text"/>
    <w:link w:val="Heading2Char"/>
    <w:qFormat/>
    <w:rsid w:val="00F87F00"/>
    <w:pPr>
      <w:keepNext/>
      <w:spacing w:before="360" w:after="0" w:line="240" w:lineRule="auto"/>
      <w:ind w:right="-369"/>
      <w:outlineLvl w:val="1"/>
    </w:pPr>
    <w:rPr>
      <w:rFonts w:ascii="Tahoma" w:eastAsia="Times New Roman" w:hAnsi="Tahoma" w:cs="Tahoma"/>
      <w:sz w:val="28"/>
      <w:szCs w:val="20"/>
    </w:rPr>
  </w:style>
  <w:style w:type="paragraph" w:styleId="Heading3">
    <w:name w:val="heading 3"/>
    <w:next w:val="Text"/>
    <w:link w:val="Heading3Char"/>
    <w:uiPriority w:val="99"/>
    <w:qFormat/>
    <w:rsid w:val="00F87F00"/>
    <w:pPr>
      <w:spacing w:before="280" w:after="0" w:line="320" w:lineRule="exact"/>
      <w:outlineLvl w:val="2"/>
    </w:pPr>
    <w:rPr>
      <w:rFonts w:ascii="Tahoma" w:eastAsia="Times New Roman" w:hAnsi="Tahoma" w:cs="Tahoma"/>
      <w:color w:val="000000"/>
      <w:sz w:val="24"/>
      <w:szCs w:val="20"/>
    </w:rPr>
  </w:style>
  <w:style w:type="paragraph" w:styleId="Heading4">
    <w:name w:val="heading 4"/>
    <w:next w:val="Text"/>
    <w:link w:val="Heading4Char"/>
    <w:qFormat/>
    <w:rsid w:val="00F87F00"/>
    <w:pPr>
      <w:spacing w:before="240" w:after="0" w:line="240" w:lineRule="auto"/>
      <w:outlineLvl w:val="3"/>
    </w:pPr>
    <w:rPr>
      <w:rFonts w:ascii="Tahoma" w:eastAsia="Times New Roman" w:hAnsi="Tahoma" w:cs="Times New Roman"/>
      <w:i/>
      <w:sz w:val="24"/>
      <w:szCs w:val="20"/>
    </w:rPr>
  </w:style>
  <w:style w:type="paragraph" w:styleId="Heading5">
    <w:name w:val="heading 5"/>
    <w:basedOn w:val="Normal"/>
    <w:next w:val="Normal"/>
    <w:link w:val="Heading5Char"/>
    <w:qFormat/>
    <w:rsid w:val="00F87F00"/>
    <w:pPr>
      <w:keepNext/>
      <w:outlineLvl w:val="4"/>
    </w:pPr>
    <w:rPr>
      <w:rFonts w:ascii="Tahoma" w:hAnsi="Tahoma"/>
      <w:b/>
    </w:rPr>
  </w:style>
  <w:style w:type="paragraph" w:styleId="Heading6">
    <w:name w:val="heading 6"/>
    <w:basedOn w:val="Normal"/>
    <w:next w:val="Normal"/>
    <w:link w:val="Heading6Char"/>
    <w:qFormat/>
    <w:rsid w:val="00F87F00"/>
    <w:pPr>
      <w:keepNext/>
      <w:ind w:left="2977"/>
      <w:outlineLvl w:val="5"/>
    </w:pPr>
    <w:rPr>
      <w:rFonts w:ascii="Tahoma" w:hAnsi="Tahoma"/>
      <w:sz w:val="20"/>
    </w:rPr>
  </w:style>
  <w:style w:type="paragraph" w:styleId="Heading7">
    <w:name w:val="heading 7"/>
    <w:basedOn w:val="Normal"/>
    <w:next w:val="Normal"/>
    <w:link w:val="Heading7Char"/>
    <w:qFormat/>
    <w:rsid w:val="00F87F00"/>
    <w:pPr>
      <w:keepNext/>
      <w:jc w:val="center"/>
      <w:outlineLvl w:val="6"/>
    </w:pPr>
    <w:rPr>
      <w:rFonts w:ascii="Tahoma" w:hAnsi="Tahoma"/>
      <w:spacing w:val="20"/>
      <w:sz w:val="20"/>
    </w:rPr>
  </w:style>
  <w:style w:type="paragraph" w:styleId="Heading8">
    <w:name w:val="heading 8"/>
    <w:basedOn w:val="Normal"/>
    <w:next w:val="Normal"/>
    <w:link w:val="Heading8Char"/>
    <w:qFormat/>
    <w:rsid w:val="00F87F00"/>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7F00"/>
    <w:rPr>
      <w:rFonts w:ascii="Tahoma" w:eastAsia="Times New Roman" w:hAnsi="Tahoma" w:cs="Tahoma"/>
      <w:color w:val="000000"/>
      <w:kern w:val="28"/>
      <w:sz w:val="56"/>
      <w:szCs w:val="56"/>
    </w:rPr>
  </w:style>
  <w:style w:type="character" w:customStyle="1" w:styleId="Heading2Char">
    <w:name w:val="Heading 2 Char"/>
    <w:basedOn w:val="DefaultParagraphFont"/>
    <w:link w:val="Heading2"/>
    <w:rsid w:val="00F87F00"/>
    <w:rPr>
      <w:rFonts w:ascii="Tahoma" w:eastAsia="Times New Roman" w:hAnsi="Tahoma" w:cs="Tahoma"/>
      <w:sz w:val="28"/>
      <w:szCs w:val="20"/>
    </w:rPr>
  </w:style>
  <w:style w:type="character" w:customStyle="1" w:styleId="Heading3Char">
    <w:name w:val="Heading 3 Char"/>
    <w:basedOn w:val="DefaultParagraphFont"/>
    <w:link w:val="Heading3"/>
    <w:uiPriority w:val="99"/>
    <w:rsid w:val="00F87F00"/>
    <w:rPr>
      <w:rFonts w:ascii="Tahoma" w:eastAsia="Times New Roman" w:hAnsi="Tahoma" w:cs="Tahoma"/>
      <w:color w:val="000000"/>
      <w:sz w:val="24"/>
      <w:szCs w:val="20"/>
    </w:rPr>
  </w:style>
  <w:style w:type="character" w:customStyle="1" w:styleId="Heading4Char">
    <w:name w:val="Heading 4 Char"/>
    <w:basedOn w:val="DefaultParagraphFont"/>
    <w:link w:val="Heading4"/>
    <w:rsid w:val="00F87F00"/>
    <w:rPr>
      <w:rFonts w:ascii="Tahoma" w:eastAsia="Times New Roman" w:hAnsi="Tahoma" w:cs="Times New Roman"/>
      <w:i/>
      <w:sz w:val="24"/>
      <w:szCs w:val="20"/>
    </w:rPr>
  </w:style>
  <w:style w:type="character" w:customStyle="1" w:styleId="Heading5Char">
    <w:name w:val="Heading 5 Char"/>
    <w:basedOn w:val="DefaultParagraphFont"/>
    <w:link w:val="Heading5"/>
    <w:rsid w:val="00F87F00"/>
    <w:rPr>
      <w:rFonts w:ascii="Tahoma" w:eastAsia="Times New Roman" w:hAnsi="Tahoma" w:cs="Times New Roman"/>
      <w:b/>
      <w:sz w:val="19"/>
      <w:szCs w:val="20"/>
    </w:rPr>
  </w:style>
  <w:style w:type="character" w:customStyle="1" w:styleId="Heading6Char">
    <w:name w:val="Heading 6 Char"/>
    <w:basedOn w:val="DefaultParagraphFont"/>
    <w:link w:val="Heading6"/>
    <w:rsid w:val="00F87F00"/>
    <w:rPr>
      <w:rFonts w:ascii="Tahoma" w:eastAsia="Times New Roman" w:hAnsi="Tahoma" w:cs="Times New Roman"/>
      <w:sz w:val="20"/>
      <w:szCs w:val="20"/>
    </w:rPr>
  </w:style>
  <w:style w:type="character" w:customStyle="1" w:styleId="Heading7Char">
    <w:name w:val="Heading 7 Char"/>
    <w:basedOn w:val="DefaultParagraphFont"/>
    <w:link w:val="Heading7"/>
    <w:rsid w:val="00F87F00"/>
    <w:rPr>
      <w:rFonts w:ascii="Tahoma" w:eastAsia="Times New Roman" w:hAnsi="Tahoma" w:cs="Times New Roman"/>
      <w:spacing w:val="20"/>
      <w:sz w:val="20"/>
      <w:szCs w:val="20"/>
    </w:rPr>
  </w:style>
  <w:style w:type="character" w:customStyle="1" w:styleId="Heading8Char">
    <w:name w:val="Heading 8 Char"/>
    <w:basedOn w:val="DefaultParagraphFont"/>
    <w:link w:val="Heading8"/>
    <w:rsid w:val="00F87F00"/>
    <w:rPr>
      <w:rFonts w:ascii="Tahoma" w:eastAsia="Times New Roman" w:hAnsi="Tahoma" w:cs="Times New Roman"/>
      <w:color w:val="C0C0C0"/>
      <w:spacing w:val="60"/>
      <w:sz w:val="20"/>
      <w:szCs w:val="20"/>
    </w:rPr>
  </w:style>
  <w:style w:type="paragraph" w:customStyle="1" w:styleId="Text">
    <w:name w:val="Text"/>
    <w:link w:val="TextChar"/>
    <w:rsid w:val="00F87F00"/>
    <w:pPr>
      <w:spacing w:before="160" w:after="0" w:line="300" w:lineRule="exact"/>
      <w:ind w:right="-1"/>
    </w:pPr>
    <w:rPr>
      <w:rFonts w:ascii="Trebuchet MS" w:eastAsia="Times New Roman" w:hAnsi="Trebuchet MS" w:cs="Times New Roman"/>
      <w:sz w:val="19"/>
      <w:szCs w:val="20"/>
    </w:rPr>
  </w:style>
  <w:style w:type="character" w:customStyle="1" w:styleId="TextChar">
    <w:name w:val="Text Char"/>
    <w:basedOn w:val="DefaultParagraphFont"/>
    <w:link w:val="Text"/>
    <w:rsid w:val="00F87F00"/>
    <w:rPr>
      <w:rFonts w:ascii="Trebuchet MS" w:eastAsia="Times New Roman" w:hAnsi="Trebuchet MS" w:cs="Times New Roman"/>
      <w:sz w:val="19"/>
      <w:szCs w:val="20"/>
    </w:rPr>
  </w:style>
  <w:style w:type="character" w:styleId="PageNumber">
    <w:name w:val="page number"/>
    <w:basedOn w:val="DefaultParagraphFont"/>
    <w:rsid w:val="00F87F00"/>
    <w:rPr>
      <w:rFonts w:ascii="Tahoma" w:hAnsi="Tahoma"/>
      <w:sz w:val="18"/>
    </w:rPr>
  </w:style>
  <w:style w:type="paragraph" w:styleId="Footer">
    <w:name w:val="footer"/>
    <w:basedOn w:val="Normal"/>
    <w:link w:val="FooterChar"/>
    <w:rsid w:val="00F87F00"/>
    <w:pPr>
      <w:tabs>
        <w:tab w:val="right" w:pos="8505"/>
      </w:tabs>
      <w:spacing w:before="0"/>
    </w:pPr>
    <w:rPr>
      <w:rFonts w:ascii="Tahoma" w:hAnsi="Tahoma"/>
      <w:sz w:val="17"/>
      <w:szCs w:val="17"/>
    </w:rPr>
  </w:style>
  <w:style w:type="character" w:customStyle="1" w:styleId="FooterChar">
    <w:name w:val="Footer Char"/>
    <w:basedOn w:val="DefaultParagraphFont"/>
    <w:link w:val="Footer"/>
    <w:rsid w:val="00F87F00"/>
    <w:rPr>
      <w:rFonts w:ascii="Tahoma" w:eastAsia="Times New Roman" w:hAnsi="Tahoma" w:cs="Times New Roman"/>
      <w:sz w:val="17"/>
      <w:szCs w:val="17"/>
    </w:rPr>
  </w:style>
  <w:style w:type="paragraph" w:styleId="TOC1">
    <w:name w:val="toc 1"/>
    <w:uiPriority w:val="39"/>
    <w:rsid w:val="00F87F00"/>
    <w:pPr>
      <w:tabs>
        <w:tab w:val="right" w:pos="6804"/>
      </w:tabs>
      <w:spacing w:before="120" w:after="0" w:line="300" w:lineRule="exact"/>
      <w:ind w:right="1984"/>
    </w:pPr>
    <w:rPr>
      <w:rFonts w:ascii="Trebuchet MS" w:eastAsia="Times New Roman" w:hAnsi="Trebuchet MS" w:cs="Times New Roman"/>
      <w:noProof/>
      <w:color w:val="000000"/>
      <w:sz w:val="19"/>
      <w:szCs w:val="19"/>
    </w:rPr>
  </w:style>
  <w:style w:type="paragraph" w:styleId="TOC2">
    <w:name w:val="toc 2"/>
    <w:basedOn w:val="Normal"/>
    <w:next w:val="Normal"/>
    <w:uiPriority w:val="39"/>
    <w:rsid w:val="00F87F00"/>
    <w:pPr>
      <w:tabs>
        <w:tab w:val="right" w:pos="6804"/>
      </w:tabs>
      <w:spacing w:before="20" w:after="20" w:line="300" w:lineRule="exact"/>
      <w:ind w:left="284"/>
    </w:pPr>
    <w:rPr>
      <w:noProof/>
      <w:color w:val="000000"/>
      <w:sz w:val="18"/>
      <w:szCs w:val="18"/>
    </w:rPr>
  </w:style>
  <w:style w:type="paragraph" w:customStyle="1" w:styleId="tabletitle">
    <w:name w:val="tabletitle"/>
    <w:next w:val="Text"/>
    <w:link w:val="tabletitleChar"/>
    <w:rsid w:val="00F87F00"/>
    <w:pPr>
      <w:spacing w:before="360" w:after="80" w:line="240" w:lineRule="auto"/>
      <w:ind w:left="851" w:hanging="851"/>
    </w:pPr>
    <w:rPr>
      <w:rFonts w:ascii="Tahoma" w:eastAsia="Times New Roman" w:hAnsi="Tahoma" w:cs="Times New Roman"/>
      <w:b/>
      <w:sz w:val="17"/>
      <w:szCs w:val="20"/>
    </w:rPr>
  </w:style>
  <w:style w:type="paragraph" w:customStyle="1" w:styleId="Tabletext">
    <w:name w:val="Table text"/>
    <w:next w:val="Text"/>
    <w:rsid w:val="00F87F00"/>
    <w:pPr>
      <w:spacing w:before="40" w:after="40" w:line="240" w:lineRule="auto"/>
    </w:pPr>
    <w:rPr>
      <w:rFonts w:ascii="Arial" w:eastAsia="Times New Roman" w:hAnsi="Arial" w:cs="Times New Roman"/>
      <w:sz w:val="16"/>
      <w:szCs w:val="20"/>
    </w:rPr>
  </w:style>
  <w:style w:type="paragraph" w:customStyle="1" w:styleId="Tablehead1">
    <w:name w:val="Tablehead1"/>
    <w:rsid w:val="00F87F00"/>
    <w:pPr>
      <w:spacing w:before="80" w:after="80" w:line="240" w:lineRule="auto"/>
    </w:pPr>
    <w:rPr>
      <w:rFonts w:ascii="Arial" w:eastAsia="Times New Roman" w:hAnsi="Arial" w:cs="Times New Roman"/>
      <w:b/>
      <w:sz w:val="17"/>
      <w:szCs w:val="20"/>
    </w:rPr>
  </w:style>
  <w:style w:type="paragraph" w:styleId="Quote">
    <w:name w:val="Quote"/>
    <w:basedOn w:val="Text"/>
    <w:link w:val="QuoteChar"/>
    <w:qFormat/>
    <w:rsid w:val="00520ED4"/>
    <w:pPr>
      <w:tabs>
        <w:tab w:val="right" w:pos="8136"/>
      </w:tabs>
      <w:spacing w:before="80"/>
      <w:ind w:left="567" w:right="652"/>
    </w:pPr>
    <w:rPr>
      <w:sz w:val="17"/>
    </w:rPr>
  </w:style>
  <w:style w:type="character" w:customStyle="1" w:styleId="QuoteChar">
    <w:name w:val="Quote Char"/>
    <w:basedOn w:val="DefaultParagraphFont"/>
    <w:link w:val="Quote"/>
    <w:rsid w:val="00520ED4"/>
    <w:rPr>
      <w:rFonts w:ascii="Trebuchet MS" w:eastAsia="Times New Roman" w:hAnsi="Trebuchet MS" w:cs="Times New Roman"/>
      <w:sz w:val="17"/>
      <w:szCs w:val="20"/>
    </w:rPr>
  </w:style>
  <w:style w:type="paragraph" w:customStyle="1" w:styleId="References">
    <w:name w:val="References"/>
    <w:rsid w:val="00C33F0A"/>
    <w:pPr>
      <w:spacing w:before="80" w:after="0" w:line="240" w:lineRule="auto"/>
      <w:ind w:left="284" w:hanging="284"/>
    </w:pPr>
    <w:rPr>
      <w:rFonts w:ascii="Trebuchet MS" w:eastAsia="Times New Roman" w:hAnsi="Trebuchet MS" w:cs="Times New Roman"/>
      <w:sz w:val="18"/>
      <w:szCs w:val="20"/>
    </w:rPr>
  </w:style>
  <w:style w:type="paragraph" w:customStyle="1" w:styleId="Tablehead2">
    <w:name w:val="Tablehead2"/>
    <w:basedOn w:val="Tablehead1"/>
    <w:rsid w:val="00F87F00"/>
    <w:pPr>
      <w:tabs>
        <w:tab w:val="left" w:pos="992"/>
      </w:tabs>
      <w:spacing w:before="20" w:after="20"/>
    </w:pPr>
    <w:rPr>
      <w:b w:val="0"/>
    </w:rPr>
  </w:style>
  <w:style w:type="paragraph" w:customStyle="1" w:styleId="Tablehead3">
    <w:name w:val="Tablehead3"/>
    <w:basedOn w:val="Tablehead2"/>
    <w:rsid w:val="00F87F00"/>
    <w:rPr>
      <w:i/>
    </w:rPr>
  </w:style>
  <w:style w:type="paragraph" w:styleId="TableofFigures">
    <w:name w:val="table of figures"/>
    <w:basedOn w:val="TOC1"/>
    <w:next w:val="Normal"/>
    <w:uiPriority w:val="99"/>
    <w:rsid w:val="009C20B4"/>
    <w:pPr>
      <w:spacing w:before="80"/>
      <w:ind w:left="425" w:right="1985" w:hanging="425"/>
    </w:pPr>
  </w:style>
  <w:style w:type="paragraph" w:customStyle="1" w:styleId="Imprint">
    <w:name w:val="Imprint"/>
    <w:basedOn w:val="Normal"/>
    <w:rsid w:val="00F87F00"/>
    <w:pPr>
      <w:spacing w:line="260" w:lineRule="atLeast"/>
    </w:pPr>
    <w:rPr>
      <w:sz w:val="16"/>
    </w:rPr>
  </w:style>
  <w:style w:type="paragraph" w:customStyle="1" w:styleId="Figuretitle">
    <w:name w:val="Figuretitle"/>
    <w:basedOn w:val="tabletitle"/>
    <w:rsid w:val="00F87F00"/>
  </w:style>
  <w:style w:type="paragraph" w:customStyle="1" w:styleId="Dotpoint1">
    <w:name w:val="Dotpoint1"/>
    <w:rsid w:val="00F87F00"/>
    <w:pPr>
      <w:numPr>
        <w:numId w:val="22"/>
      </w:numPr>
      <w:tabs>
        <w:tab w:val="left" w:pos="284"/>
      </w:tabs>
      <w:spacing w:before="120" w:after="0" w:line="300" w:lineRule="exact"/>
      <w:ind w:left="284" w:hanging="284"/>
    </w:pPr>
    <w:rPr>
      <w:rFonts w:ascii="Trebuchet MS" w:eastAsia="Times New Roman" w:hAnsi="Trebuchet MS" w:cs="Times New Roman"/>
      <w:color w:val="000000"/>
      <w:sz w:val="19"/>
      <w:szCs w:val="20"/>
    </w:rPr>
  </w:style>
  <w:style w:type="paragraph" w:customStyle="1" w:styleId="Dotpoint2">
    <w:name w:val="Dotpoint2"/>
    <w:basedOn w:val="Dotpoint1"/>
    <w:rsid w:val="00F87F00"/>
    <w:pPr>
      <w:numPr>
        <w:numId w:val="23"/>
      </w:numPr>
      <w:tabs>
        <w:tab w:val="clear" w:pos="284"/>
        <w:tab w:val="left" w:pos="567"/>
      </w:tabs>
      <w:ind w:left="568" w:hanging="284"/>
    </w:pPr>
  </w:style>
  <w:style w:type="paragraph" w:customStyle="1" w:styleId="NumberedListContinuing">
    <w:name w:val="NumberedListContinuing"/>
    <w:rsid w:val="00F87F00"/>
    <w:pPr>
      <w:numPr>
        <w:numId w:val="3"/>
      </w:numPr>
      <w:spacing w:before="120" w:after="0" w:line="300" w:lineRule="exact"/>
    </w:pPr>
    <w:rPr>
      <w:rFonts w:ascii="Trebuchet MS" w:eastAsia="Times New Roman" w:hAnsi="Trebuchet MS" w:cs="Times New Roman"/>
      <w:sz w:val="19"/>
      <w:szCs w:val="20"/>
      <w:lang w:eastAsia="en-AU"/>
    </w:rPr>
  </w:style>
  <w:style w:type="paragraph" w:customStyle="1" w:styleId="Source">
    <w:name w:val="Source"/>
    <w:rsid w:val="00F87F00"/>
    <w:pPr>
      <w:spacing w:before="40" w:after="0" w:line="240" w:lineRule="auto"/>
      <w:ind w:left="567" w:hanging="567"/>
    </w:pPr>
    <w:rPr>
      <w:rFonts w:ascii="Arial" w:eastAsia="Times New Roman" w:hAnsi="Arial" w:cs="Times New Roman"/>
      <w:sz w:val="15"/>
      <w:szCs w:val="20"/>
    </w:rPr>
  </w:style>
  <w:style w:type="paragraph" w:styleId="FootnoteText">
    <w:name w:val="footnote text"/>
    <w:basedOn w:val="Text"/>
    <w:link w:val="FootnoteTextChar"/>
    <w:rsid w:val="00F87F00"/>
    <w:pPr>
      <w:tabs>
        <w:tab w:val="left" w:pos="1418"/>
      </w:tabs>
      <w:spacing w:before="0" w:line="220" w:lineRule="exact"/>
      <w:ind w:left="170" w:hanging="170"/>
    </w:pPr>
    <w:rPr>
      <w:sz w:val="16"/>
    </w:rPr>
  </w:style>
  <w:style w:type="character" w:customStyle="1" w:styleId="FootnoteTextChar">
    <w:name w:val="Footnote Text Char"/>
    <w:basedOn w:val="DefaultParagraphFont"/>
    <w:link w:val="FootnoteText"/>
    <w:rsid w:val="00F87F00"/>
    <w:rPr>
      <w:rFonts w:ascii="Trebuchet MS" w:eastAsia="Times New Roman" w:hAnsi="Trebuchet MS" w:cs="Times New Roman"/>
      <w:sz w:val="16"/>
      <w:szCs w:val="20"/>
    </w:rPr>
  </w:style>
  <w:style w:type="paragraph" w:styleId="NormalWeb">
    <w:name w:val="Normal (Web)"/>
    <w:basedOn w:val="Normal"/>
    <w:uiPriority w:val="1"/>
    <w:semiHidden/>
    <w:rsid w:val="00F87F00"/>
    <w:pPr>
      <w:spacing w:before="100" w:beforeAutospacing="1" w:after="240"/>
    </w:pPr>
    <w:rPr>
      <w:sz w:val="18"/>
      <w:szCs w:val="18"/>
    </w:rPr>
  </w:style>
  <w:style w:type="paragraph" w:customStyle="1" w:styleId="PublicationTitle">
    <w:name w:val="Publication Title"/>
    <w:qFormat/>
    <w:rsid w:val="00F87F00"/>
    <w:pPr>
      <w:spacing w:before="3200" w:after="840" w:line="240" w:lineRule="auto"/>
      <w:ind w:left="1701"/>
    </w:pPr>
    <w:rPr>
      <w:rFonts w:ascii="Tahoma" w:eastAsia="Times New Roman" w:hAnsi="Tahoma" w:cs="Tahoma"/>
      <w:color w:val="000000"/>
      <w:kern w:val="28"/>
      <w:sz w:val="56"/>
      <w:szCs w:val="56"/>
    </w:rPr>
  </w:style>
  <w:style w:type="paragraph" w:styleId="TOC3">
    <w:name w:val="toc 3"/>
    <w:basedOn w:val="TOC2"/>
    <w:next w:val="Normal"/>
    <w:autoRedefine/>
    <w:semiHidden/>
    <w:unhideWhenUsed/>
    <w:rsid w:val="00F87F00"/>
    <w:pPr>
      <w:ind w:left="440"/>
    </w:pPr>
  </w:style>
  <w:style w:type="paragraph" w:styleId="TOC4">
    <w:name w:val="toc 4"/>
    <w:basedOn w:val="TOC3"/>
    <w:next w:val="Normal"/>
    <w:autoRedefine/>
    <w:semiHidden/>
    <w:unhideWhenUsed/>
    <w:rsid w:val="00F87F00"/>
    <w:pPr>
      <w:ind w:left="660"/>
    </w:pPr>
  </w:style>
  <w:style w:type="paragraph" w:styleId="BalloonText">
    <w:name w:val="Balloon Text"/>
    <w:basedOn w:val="Normal"/>
    <w:link w:val="BalloonTextChar"/>
    <w:uiPriority w:val="99"/>
    <w:semiHidden/>
    <w:rsid w:val="00F87F0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F00"/>
    <w:rPr>
      <w:rFonts w:ascii="Tahoma" w:eastAsia="Times New Roman" w:hAnsi="Tahoma" w:cs="Tahoma"/>
      <w:sz w:val="16"/>
      <w:szCs w:val="16"/>
    </w:rPr>
  </w:style>
  <w:style w:type="table" w:styleId="TableGrid">
    <w:name w:val="Table Grid"/>
    <w:basedOn w:val="TableNormal"/>
    <w:uiPriority w:val="59"/>
    <w:rsid w:val="00F87F00"/>
    <w:pPr>
      <w:spacing w:after="0" w:line="240" w:lineRule="auto"/>
    </w:pPr>
    <w:rPr>
      <w:rFonts w:ascii="Times New Roman" w:eastAsia="Times New Roman" w:hAnsi="Times New Roman" w:cs="Times New Roman"/>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F87F00"/>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F87F00"/>
    <w:rPr>
      <w:rFonts w:ascii="Trebuchet MS" w:eastAsia="Times New Roman" w:hAnsi="Trebuchet MS" w:cs="Times New Roman"/>
      <w:sz w:val="19"/>
      <w:szCs w:val="20"/>
    </w:rPr>
  </w:style>
  <w:style w:type="character" w:styleId="Hyperlink">
    <w:name w:val="Hyperlink"/>
    <w:basedOn w:val="DefaultParagraphFont"/>
    <w:unhideWhenUsed/>
    <w:rsid w:val="00F87F00"/>
    <w:rPr>
      <w:rFonts w:ascii="Trebuchet MS" w:hAnsi="Trebuchet MS"/>
      <w:color w:val="auto"/>
      <w:sz w:val="19"/>
      <w:u w:val="none"/>
    </w:rPr>
  </w:style>
  <w:style w:type="paragraph" w:styleId="ListParagraph">
    <w:name w:val="List Paragraph"/>
    <w:basedOn w:val="Normal"/>
    <w:uiPriority w:val="34"/>
    <w:qFormat/>
    <w:rsid w:val="00F87F00"/>
    <w:pPr>
      <w:ind w:left="720"/>
      <w:contextualSpacing/>
    </w:pPr>
  </w:style>
  <w:style w:type="paragraph" w:styleId="BodyText">
    <w:name w:val="Body Text"/>
    <w:basedOn w:val="Normal"/>
    <w:link w:val="BodyTextChar"/>
    <w:rsid w:val="00F87F00"/>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87F00"/>
    <w:rPr>
      <w:rFonts w:ascii="Times New Roman" w:eastAsia="Times New Roman" w:hAnsi="Times New Roman" w:cs="Times New Roman"/>
      <w:b/>
      <w:sz w:val="20"/>
      <w:szCs w:val="20"/>
      <w:lang w:val="en-US" w:eastAsia="ko-KR"/>
    </w:rPr>
  </w:style>
  <w:style w:type="paragraph" w:styleId="BodyText2">
    <w:name w:val="Body Text 2"/>
    <w:basedOn w:val="Normal"/>
    <w:link w:val="BodyText2Char"/>
    <w:rsid w:val="00F87F00"/>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87F00"/>
    <w:rPr>
      <w:rFonts w:ascii="Times New Roman" w:eastAsia="Times New Roman" w:hAnsi="Times New Roman" w:cs="Times New Roman"/>
      <w:szCs w:val="20"/>
      <w:lang w:val="en-US" w:eastAsia="ko-KR"/>
    </w:rPr>
  </w:style>
  <w:style w:type="paragraph" w:styleId="BodyTextIndent">
    <w:name w:val="Body Text Indent"/>
    <w:basedOn w:val="Normal"/>
    <w:link w:val="BodyTextIndentChar"/>
    <w:rsid w:val="00F87F00"/>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F87F00"/>
    <w:rPr>
      <w:rFonts w:ascii="Times New Roman" w:eastAsia="Times New Roman" w:hAnsi="Times New Roman" w:cs="Times New Roman"/>
      <w:szCs w:val="20"/>
      <w:lang w:eastAsia="en-AU"/>
    </w:rPr>
  </w:style>
  <w:style w:type="paragraph" w:customStyle="1" w:styleId="Authors">
    <w:name w:val="Authors"/>
    <w:qFormat/>
    <w:rsid w:val="00F87F00"/>
    <w:pPr>
      <w:spacing w:after="0" w:line="240" w:lineRule="auto"/>
      <w:ind w:left="1701" w:right="-1"/>
    </w:pPr>
    <w:rPr>
      <w:rFonts w:ascii="Tahoma" w:eastAsia="Times New Roman" w:hAnsi="Tahoma" w:cs="Tahoma"/>
      <w:sz w:val="28"/>
      <w:szCs w:val="20"/>
    </w:rPr>
  </w:style>
  <w:style w:type="paragraph" w:customStyle="1" w:styleId="Contents">
    <w:name w:val="Contents"/>
    <w:qFormat/>
    <w:rsid w:val="00F87F00"/>
    <w:pPr>
      <w:spacing w:after="360" w:line="240" w:lineRule="auto"/>
    </w:pPr>
    <w:rPr>
      <w:rFonts w:ascii="Tahoma" w:eastAsia="Times New Roman" w:hAnsi="Tahoma" w:cs="Tahoma"/>
      <w:color w:val="000000"/>
      <w:kern w:val="28"/>
      <w:sz w:val="56"/>
      <w:szCs w:val="56"/>
    </w:rPr>
  </w:style>
  <w:style w:type="paragraph" w:customStyle="1" w:styleId="Abouttheresearchpubtitle">
    <w:name w:val="About the research pub title"/>
    <w:qFormat/>
    <w:rsid w:val="00F87F00"/>
    <w:pPr>
      <w:spacing w:before="360" w:after="0" w:line="240" w:lineRule="auto"/>
    </w:pPr>
    <w:rPr>
      <w:rFonts w:ascii="Tahoma" w:eastAsia="Times New Roman" w:hAnsi="Tahoma" w:cs="Tahoma"/>
      <w:i/>
      <w:sz w:val="28"/>
      <w:szCs w:val="20"/>
    </w:rPr>
  </w:style>
  <w:style w:type="paragraph" w:customStyle="1" w:styleId="Abouttheresearch">
    <w:name w:val="About the research"/>
    <w:uiPriority w:val="1"/>
    <w:qFormat/>
    <w:rsid w:val="00F87F00"/>
    <w:pPr>
      <w:spacing w:after="0" w:line="240" w:lineRule="auto"/>
    </w:pPr>
    <w:rPr>
      <w:rFonts w:ascii="Tahoma" w:eastAsia="Times New Roman" w:hAnsi="Tahoma" w:cs="Tahoma"/>
      <w:color w:val="000000"/>
      <w:kern w:val="28"/>
      <w:sz w:val="56"/>
      <w:szCs w:val="56"/>
    </w:rPr>
  </w:style>
  <w:style w:type="paragraph" w:customStyle="1" w:styleId="Keymessages">
    <w:name w:val="Key messages"/>
    <w:uiPriority w:val="1"/>
    <w:qFormat/>
    <w:rsid w:val="00F87F00"/>
    <w:pPr>
      <w:spacing w:before="360" w:after="0" w:line="240" w:lineRule="auto"/>
    </w:pPr>
    <w:rPr>
      <w:rFonts w:ascii="Tahoma" w:eastAsia="Times New Roman" w:hAnsi="Tahoma" w:cs="Tahoma"/>
      <w:sz w:val="28"/>
      <w:szCs w:val="20"/>
    </w:rPr>
  </w:style>
  <w:style w:type="paragraph" w:customStyle="1" w:styleId="Organisation">
    <w:name w:val="Organisation"/>
    <w:basedOn w:val="Authors"/>
    <w:uiPriority w:val="1"/>
    <w:qFormat/>
    <w:rsid w:val="00F87F00"/>
    <w:pPr>
      <w:spacing w:before="120"/>
      <w:ind w:right="0"/>
    </w:pPr>
    <w:rPr>
      <w:sz w:val="24"/>
    </w:rPr>
  </w:style>
  <w:style w:type="character" w:styleId="FollowedHyperlink">
    <w:name w:val="FollowedHyperlink"/>
    <w:basedOn w:val="DefaultParagraphFont"/>
    <w:uiPriority w:val="99"/>
    <w:semiHidden/>
    <w:rsid w:val="00F87F00"/>
    <w:rPr>
      <w:color w:val="800080" w:themeColor="followedHyperlink"/>
      <w:u w:val="single"/>
    </w:rPr>
  </w:style>
  <w:style w:type="paragraph" w:customStyle="1" w:styleId="NumberedAlphaLevel2">
    <w:name w:val="NumberedAlphaLevel2"/>
    <w:basedOn w:val="NumberedListContinuing"/>
    <w:uiPriority w:val="1"/>
    <w:qFormat/>
    <w:rsid w:val="00F87F00"/>
    <w:pPr>
      <w:numPr>
        <w:ilvl w:val="1"/>
      </w:numPr>
      <w:tabs>
        <w:tab w:val="clear" w:pos="1440"/>
        <w:tab w:val="num" w:pos="567"/>
      </w:tabs>
      <w:ind w:left="567" w:hanging="283"/>
    </w:pPr>
  </w:style>
  <w:style w:type="character" w:customStyle="1" w:styleId="tabletitleChar">
    <w:name w:val="tabletitle Char"/>
    <w:basedOn w:val="DefaultParagraphFont"/>
    <w:link w:val="tabletitle"/>
    <w:rsid w:val="00F87F00"/>
    <w:rPr>
      <w:rFonts w:ascii="Tahoma" w:eastAsia="Times New Roman" w:hAnsi="Tahoma" w:cs="Times New Roman"/>
      <w:b/>
      <w:sz w:val="17"/>
      <w:szCs w:val="20"/>
    </w:rPr>
  </w:style>
  <w:style w:type="paragraph" w:styleId="DocumentMap">
    <w:name w:val="Document Map"/>
    <w:basedOn w:val="Normal"/>
    <w:link w:val="DocumentMapChar"/>
    <w:uiPriority w:val="99"/>
    <w:semiHidden/>
    <w:rsid w:val="00F87F0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7F0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B508A"/>
    <w:rPr>
      <w:sz w:val="16"/>
      <w:szCs w:val="16"/>
    </w:rPr>
  </w:style>
  <w:style w:type="paragraph" w:styleId="CommentText">
    <w:name w:val="annotation text"/>
    <w:basedOn w:val="Normal"/>
    <w:link w:val="CommentTextChar"/>
    <w:uiPriority w:val="99"/>
    <w:semiHidden/>
    <w:unhideWhenUsed/>
    <w:rsid w:val="000B508A"/>
    <w:pPr>
      <w:spacing w:line="240" w:lineRule="auto"/>
    </w:pPr>
    <w:rPr>
      <w:sz w:val="20"/>
    </w:rPr>
  </w:style>
  <w:style w:type="character" w:customStyle="1" w:styleId="CommentTextChar">
    <w:name w:val="Comment Text Char"/>
    <w:basedOn w:val="DefaultParagraphFont"/>
    <w:link w:val="CommentText"/>
    <w:uiPriority w:val="99"/>
    <w:semiHidden/>
    <w:rsid w:val="000B508A"/>
    <w:rPr>
      <w:rFonts w:ascii="Trebuchet MS" w:eastAsia="Times New Roman" w:hAnsi="Trebuchet MS" w:cs="Times New Roman"/>
      <w:sz w:val="20"/>
      <w:szCs w:val="20"/>
    </w:rPr>
  </w:style>
  <w:style w:type="paragraph" w:styleId="CommentSubject">
    <w:name w:val="annotation subject"/>
    <w:basedOn w:val="CommentText"/>
    <w:next w:val="CommentText"/>
    <w:link w:val="CommentSubjectChar"/>
    <w:uiPriority w:val="99"/>
    <w:semiHidden/>
    <w:unhideWhenUsed/>
    <w:rsid w:val="000B508A"/>
    <w:rPr>
      <w:b/>
      <w:bCs/>
    </w:rPr>
  </w:style>
  <w:style w:type="character" w:customStyle="1" w:styleId="CommentSubjectChar">
    <w:name w:val="Comment Subject Char"/>
    <w:basedOn w:val="CommentTextChar"/>
    <w:link w:val="CommentSubject"/>
    <w:uiPriority w:val="99"/>
    <w:semiHidden/>
    <w:rsid w:val="000B508A"/>
    <w:rPr>
      <w:rFonts w:ascii="Trebuchet MS" w:eastAsia="Times New Roman" w:hAnsi="Trebuchet MS" w:cs="Times New Roman"/>
      <w:b/>
      <w:bCs/>
      <w:sz w:val="20"/>
      <w:szCs w:val="20"/>
    </w:rPr>
  </w:style>
  <w:style w:type="paragraph" w:styleId="EndnoteText">
    <w:name w:val="endnote text"/>
    <w:basedOn w:val="Normal"/>
    <w:link w:val="EndnoteTextChar"/>
    <w:uiPriority w:val="99"/>
    <w:semiHidden/>
    <w:unhideWhenUsed/>
    <w:rsid w:val="00584886"/>
    <w:pPr>
      <w:spacing w:before="0" w:line="240" w:lineRule="auto"/>
    </w:pPr>
    <w:rPr>
      <w:sz w:val="20"/>
    </w:rPr>
  </w:style>
  <w:style w:type="character" w:customStyle="1" w:styleId="EndnoteTextChar">
    <w:name w:val="Endnote Text Char"/>
    <w:basedOn w:val="DefaultParagraphFont"/>
    <w:link w:val="EndnoteText"/>
    <w:uiPriority w:val="99"/>
    <w:semiHidden/>
    <w:rsid w:val="00584886"/>
    <w:rPr>
      <w:rFonts w:ascii="Trebuchet MS" w:eastAsia="Times New Roman" w:hAnsi="Trebuchet MS" w:cs="Times New Roman"/>
      <w:sz w:val="20"/>
      <w:szCs w:val="20"/>
    </w:rPr>
  </w:style>
  <w:style w:type="character" w:styleId="EndnoteReference">
    <w:name w:val="endnote reference"/>
    <w:basedOn w:val="DefaultParagraphFont"/>
    <w:uiPriority w:val="99"/>
    <w:semiHidden/>
    <w:unhideWhenUsed/>
    <w:rsid w:val="00584886"/>
    <w:rPr>
      <w:vertAlign w:val="superscript"/>
    </w:rPr>
  </w:style>
  <w:style w:type="character" w:styleId="FootnoteReference">
    <w:name w:val="footnote reference"/>
    <w:basedOn w:val="DefaultParagraphFont"/>
    <w:uiPriority w:val="99"/>
    <w:semiHidden/>
    <w:unhideWhenUsed/>
    <w:rsid w:val="00B82BF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1740419">
      <w:bodyDiv w:val="1"/>
      <w:marLeft w:val="0"/>
      <w:marRight w:val="0"/>
      <w:marTop w:val="0"/>
      <w:marBottom w:val="0"/>
      <w:divBdr>
        <w:top w:val="none" w:sz="0" w:space="0" w:color="auto"/>
        <w:left w:val="none" w:sz="0" w:space="0" w:color="auto"/>
        <w:bottom w:val="none" w:sz="0" w:space="0" w:color="auto"/>
        <w:right w:val="none" w:sz="0" w:space="0" w:color="auto"/>
      </w:divBdr>
    </w:div>
    <w:div w:id="11988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hyperlink" Target="http://www.oecd.org/dataoecd/0/47/42025182.pdf" TargetMode="Externa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contexts.org/articles/spring-2011/what-gender-is-scienc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cver@ncver.edu.au" TargetMode="External"/><Relationship Id="rId24" Type="http://schemas.openxmlformats.org/officeDocument/2006/relationships/fontTable" Target="fontTable.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oter" Target="footer4.xml"/><Relationship Id="rId10" Type="http://schemas.openxmlformats.org/officeDocument/2006/relationships/image" Target="media/image2.wmf"/><Relationship Id="rId19" Type="http://schemas.openxmlformats.org/officeDocument/2006/relationships/hyperlink" Target="http://www.oecd.org/pisa/pisaproducts/pisa2009/50036771.pdf" TargetMode="External"/><Relationship Id="rId4" Type="http://schemas.openxmlformats.org/officeDocument/2006/relationships/settings" Target="settings.xml"/><Relationship Id="rId9" Type="http://schemas.openxmlformats.org/officeDocument/2006/relationships/hyperlink" Target="http://www.ncver.edu.au/research/opportunities.html" TargetMode="External"/><Relationship Id="rId14" Type="http://schemas.openxmlformats.org/officeDocument/2006/relationships/image" Target="media/image3.e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4B8978-38CA-4080-B37F-6938AB1EE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10146</Words>
  <Characters>57833</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67844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Single-sex schools</dc:title>
  <dc:creator>Joanna Sikora</dc:creator>
  <cp:lastModifiedBy>katrinamatheos</cp:lastModifiedBy>
  <cp:revision>2</cp:revision>
  <cp:lastPrinted>2013-09-23T05:59:00Z</cp:lastPrinted>
  <dcterms:created xsi:type="dcterms:W3CDTF">2013-11-19T03:31:00Z</dcterms:created>
  <dcterms:modified xsi:type="dcterms:W3CDTF">2013-11-19T03:31:00Z</dcterms:modified>
</cp:coreProperties>
</file>