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27" w:rsidRPr="00FE162C" w:rsidRDefault="00CF1035" w:rsidP="00177827">
      <w:pPr>
        <w:pStyle w:val="PublicationTitle"/>
        <w:spacing w:before="0"/>
        <w:rPr>
          <w:color w:val="000000" w:themeColor="text1"/>
        </w:rPr>
      </w:pPr>
      <w:bookmarkStart w:id="0" w:name="_Toc296423677"/>
      <w:bookmarkStart w:id="1" w:name="_Toc296497508"/>
      <w:r>
        <w:rPr>
          <w:noProof/>
          <w:lang w:eastAsia="en-AU"/>
        </w:rPr>
        <w:drawing>
          <wp:anchor distT="0" distB="0" distL="114300" distR="114300" simplePos="0" relativeHeight="251726848" behindDoc="0" locked="0" layoutInCell="1" allowOverlap="1" wp14:anchorId="7D0CCAE3" wp14:editId="6ED066D1">
            <wp:simplePos x="0" y="0"/>
            <wp:positionH relativeFrom="column">
              <wp:posOffset>-657387</wp:posOffset>
            </wp:positionH>
            <wp:positionV relativeFrom="paragraph">
              <wp:posOffset>95885</wp:posOffset>
            </wp:positionV>
            <wp:extent cx="2471420" cy="526415"/>
            <wp:effectExtent l="0" t="0" r="0" b="0"/>
            <wp:wrapNone/>
            <wp:docPr id="2" name="Picture 1" descr="P:\PublicationComponents\logos\NCVER LOGOS\WMF - word\No lines\NCVER_Floating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NCVER LOGOS\WMF - word\No lines\NCVER_Floating_Mono.wmf"/>
                    <pic:cNvPicPr>
                      <a:picLocks noChangeAspect="1" noChangeArrowheads="1"/>
                    </pic:cNvPicPr>
                  </pic:nvPicPr>
                  <pic:blipFill>
                    <a:blip r:embed="rId9" cstate="print"/>
                    <a:srcRect/>
                    <a:stretch>
                      <a:fillRect/>
                    </a:stretch>
                  </pic:blipFill>
                  <pic:spPr bwMode="auto">
                    <a:xfrm>
                      <a:off x="0" y="0"/>
                      <a:ext cx="2471420" cy="526415"/>
                    </a:xfrm>
                    <a:prstGeom prst="rect">
                      <a:avLst/>
                    </a:prstGeom>
                    <a:noFill/>
                    <a:ln w="9525">
                      <a:noFill/>
                      <a:miter lim="800000"/>
                      <a:headEnd/>
                      <a:tailEnd/>
                    </a:ln>
                  </pic:spPr>
                </pic:pic>
              </a:graphicData>
            </a:graphic>
          </wp:anchor>
        </w:drawing>
      </w:r>
      <w:r w:rsidR="00741D04" w:rsidRPr="00741D04">
        <w:rPr>
          <w:noProof/>
          <w:color w:val="000000" w:themeColor="text1"/>
          <w:lang w:eastAsia="en-AU"/>
        </w:rPr>
        <w:drawing>
          <wp:anchor distT="0" distB="0" distL="114300" distR="114300" simplePos="0" relativeHeight="251717632" behindDoc="1" locked="0" layoutInCell="1" allowOverlap="1" wp14:anchorId="27D333F1" wp14:editId="6C7C7120">
            <wp:simplePos x="0" y="0"/>
            <wp:positionH relativeFrom="column">
              <wp:posOffset>-854075</wp:posOffset>
            </wp:positionH>
            <wp:positionV relativeFrom="paragraph">
              <wp:posOffset>574675</wp:posOffset>
            </wp:positionV>
            <wp:extent cx="2724150" cy="914400"/>
            <wp:effectExtent l="19050" t="0" r="0" b="0"/>
            <wp:wrapTight wrapText="bothSides">
              <wp:wrapPolygon edited="0">
                <wp:start x="-151" y="0"/>
                <wp:lineTo x="-151" y="21150"/>
                <wp:lineTo x="21600" y="21150"/>
                <wp:lineTo x="21600" y="0"/>
                <wp:lineTo x="-151" y="0"/>
              </wp:wrapPolygon>
            </wp:wrapTight>
            <wp:docPr id="16" name="Picture 2" descr="P:\PublicationComponents\logos\Department of Industry\Dept_Industry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Department of Industry\Dept_Industry_inline.jpg"/>
                    <pic:cNvPicPr>
                      <a:picLocks noChangeAspect="1" noChangeArrowheads="1"/>
                    </pic:cNvPicPr>
                  </pic:nvPicPr>
                  <pic:blipFill>
                    <a:blip r:embed="rId10" cstate="print"/>
                    <a:srcRect/>
                    <a:stretch>
                      <a:fillRect/>
                    </a:stretch>
                  </pic:blipFill>
                  <pic:spPr bwMode="auto">
                    <a:xfrm>
                      <a:off x="0" y="0"/>
                      <a:ext cx="2724150" cy="914400"/>
                    </a:xfrm>
                    <a:prstGeom prst="rect">
                      <a:avLst/>
                    </a:prstGeom>
                    <a:noFill/>
                    <a:ln w="9525">
                      <a:noFill/>
                      <a:miter lim="800000"/>
                      <a:headEnd/>
                      <a:tailEnd/>
                    </a:ln>
                  </pic:spPr>
                </pic:pic>
              </a:graphicData>
            </a:graphic>
          </wp:anchor>
        </w:drawing>
      </w:r>
    </w:p>
    <w:p w:rsidR="00177827" w:rsidRPr="00FE162C" w:rsidRDefault="00177827" w:rsidP="00A56A4A">
      <w:pPr>
        <w:pStyle w:val="PublicationTitle"/>
        <w:spacing w:before="0" w:after="0"/>
        <w:rPr>
          <w:color w:val="000000" w:themeColor="text1"/>
        </w:rPr>
      </w:pPr>
    </w:p>
    <w:p w:rsidR="00A56A4A" w:rsidRPr="00FE162C" w:rsidRDefault="00A56A4A" w:rsidP="00A56A4A">
      <w:pPr>
        <w:pStyle w:val="PublicationTitle"/>
        <w:spacing w:before="0" w:after="0"/>
        <w:rPr>
          <w:noProof/>
          <w:color w:val="000000" w:themeColor="text1"/>
          <w:lang w:eastAsia="en-AU"/>
        </w:rPr>
      </w:pPr>
    </w:p>
    <w:p w:rsidR="007C75D3" w:rsidRPr="00FE162C" w:rsidRDefault="007C75D3" w:rsidP="00177827">
      <w:pPr>
        <w:pStyle w:val="PublicationTitle"/>
        <w:spacing w:before="0"/>
        <w:rPr>
          <w:color w:val="000000" w:themeColor="text1"/>
        </w:rPr>
      </w:pPr>
    </w:p>
    <w:p w:rsidR="009E231A" w:rsidRPr="00FE162C" w:rsidRDefault="00AF0CA4" w:rsidP="00177827">
      <w:pPr>
        <w:pStyle w:val="PublicationTitle"/>
        <w:spacing w:before="0"/>
        <w:rPr>
          <w:color w:val="000000" w:themeColor="text1"/>
        </w:rPr>
      </w:pPr>
      <w:r w:rsidRPr="00FE162C">
        <w:rPr>
          <w:color w:val="000000" w:themeColor="text1"/>
        </w:rPr>
        <w:t xml:space="preserve">Incentives for relocating </w:t>
      </w:r>
      <w:r w:rsidR="008817A8" w:rsidRPr="00FE162C">
        <w:rPr>
          <w:color w:val="000000" w:themeColor="text1"/>
        </w:rPr>
        <w:t>to</w:t>
      </w:r>
      <w:r w:rsidRPr="00FE162C">
        <w:rPr>
          <w:color w:val="000000" w:themeColor="text1"/>
        </w:rPr>
        <w:t xml:space="preserve"> regional Australia: estimates using a choice experiment</w:t>
      </w:r>
      <w:bookmarkEnd w:id="0"/>
      <w:bookmarkEnd w:id="1"/>
    </w:p>
    <w:p w:rsidR="00177827" w:rsidRPr="00FE162C" w:rsidRDefault="00450D00" w:rsidP="00450D00">
      <w:pPr>
        <w:pStyle w:val="Authors"/>
        <w:rPr>
          <w:color w:val="000000" w:themeColor="text1"/>
        </w:rPr>
      </w:pPr>
      <w:bookmarkStart w:id="2" w:name="_Toc98394874"/>
      <w:bookmarkStart w:id="3" w:name="_Toc296423678"/>
      <w:bookmarkStart w:id="4" w:name="_Toc296497509"/>
      <w:r w:rsidRPr="00FE162C">
        <w:rPr>
          <w:color w:val="000000" w:themeColor="text1"/>
        </w:rPr>
        <w:t>Aaron Nicholas</w:t>
      </w:r>
      <w:bookmarkEnd w:id="2"/>
    </w:p>
    <w:p w:rsidR="009E231A" w:rsidRPr="00FE162C" w:rsidRDefault="00450D00" w:rsidP="00177827">
      <w:pPr>
        <w:pStyle w:val="Organisation"/>
        <w:rPr>
          <w:color w:val="000000" w:themeColor="text1"/>
        </w:rPr>
      </w:pPr>
      <w:r w:rsidRPr="00FE162C">
        <w:rPr>
          <w:color w:val="000000" w:themeColor="text1"/>
        </w:rPr>
        <w:t>Deakin University</w:t>
      </w:r>
      <w:bookmarkEnd w:id="3"/>
      <w:bookmarkEnd w:id="4"/>
    </w:p>
    <w:p w:rsidR="00450D00" w:rsidRPr="00FE162C" w:rsidRDefault="00450D00" w:rsidP="00125009">
      <w:pPr>
        <w:pStyle w:val="Authors"/>
        <w:spacing w:before="240"/>
        <w:ind w:right="0"/>
        <w:rPr>
          <w:color w:val="000000" w:themeColor="text1"/>
        </w:rPr>
      </w:pPr>
      <w:r w:rsidRPr="00FE162C">
        <w:rPr>
          <w:color w:val="000000" w:themeColor="text1"/>
        </w:rPr>
        <w:t>Chandra Shah</w:t>
      </w:r>
    </w:p>
    <w:p w:rsidR="00450D00" w:rsidRPr="00FE162C" w:rsidRDefault="00D5065B" w:rsidP="00450D00">
      <w:pPr>
        <w:pStyle w:val="Organisation"/>
        <w:rPr>
          <w:color w:val="000000" w:themeColor="text1"/>
        </w:rPr>
      </w:pPr>
      <w:r>
        <w:rPr>
          <w:color w:val="000000" w:themeColor="text1"/>
        </w:rPr>
        <w:t>Centre for the Economics of Education and Training</w:t>
      </w:r>
      <w:r w:rsidR="00125009">
        <w:rPr>
          <w:color w:val="000000" w:themeColor="text1"/>
        </w:rPr>
        <w:t>,</w:t>
      </w:r>
      <w:r w:rsidR="00125009">
        <w:rPr>
          <w:color w:val="000000" w:themeColor="text1"/>
        </w:rPr>
        <w:br/>
      </w:r>
      <w:r w:rsidR="0065681A" w:rsidRPr="00FE162C">
        <w:rPr>
          <w:color w:val="000000" w:themeColor="text1"/>
        </w:rPr>
        <w:t xml:space="preserve">Faculty of Education, </w:t>
      </w:r>
      <w:r w:rsidR="00450D00" w:rsidRPr="00FE162C">
        <w:rPr>
          <w:color w:val="000000" w:themeColor="text1"/>
        </w:rPr>
        <w:t>Monash University</w:t>
      </w:r>
    </w:p>
    <w:p w:rsidR="00DB599C" w:rsidRPr="00FE162C" w:rsidRDefault="00D643A2" w:rsidP="0006125F">
      <w:pPr>
        <w:pStyle w:val="Heading3"/>
        <w:ind w:right="-1"/>
        <w:rPr>
          <w:color w:val="000000" w:themeColor="text1"/>
        </w:rPr>
      </w:pPr>
      <w:r>
        <w:rPr>
          <w:noProof/>
          <w:color w:val="000000" w:themeColor="text1"/>
          <w:lang w:eastAsia="en-AU"/>
        </w:rPr>
        <mc:AlternateContent>
          <mc:Choice Requires="wps">
            <w:drawing>
              <wp:anchor distT="0" distB="0" distL="114300" distR="114300" simplePos="0" relativeHeight="251658240" behindDoc="0" locked="0" layoutInCell="1" allowOverlap="1">
                <wp:simplePos x="0" y="0"/>
                <wp:positionH relativeFrom="column">
                  <wp:posOffset>928370</wp:posOffset>
                </wp:positionH>
                <wp:positionV relativeFrom="margin">
                  <wp:posOffset>8378190</wp:posOffset>
                </wp:positionV>
                <wp:extent cx="4533900" cy="10541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298" w:rsidRDefault="00626298" w:rsidP="006C5DA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626298" w:rsidRDefault="00626298" w:rsidP="00125009">
                            <w:pPr>
                              <w:pStyle w:val="Imprint"/>
                              <w:spacing w:before="120"/>
                              <w:ind w:left="142" w:right="10"/>
                            </w:pPr>
                            <w:r w:rsidRPr="005C2FCF">
                              <w:rPr>
                                <w:color w:val="000000"/>
                              </w:rPr>
                              <w:t>Any interpretation of data is the responsibility of the author/project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73.1pt;margin-top:659.7pt;width:357pt;height: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" filled="f" stroked="f">
                <v:textbox>
                  <w:txbxContent>
                    <w:p w:rsidR="00626298" w:rsidRDefault="00626298" w:rsidP="006C5DA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626298" w:rsidRDefault="00626298" w:rsidP="00125009">
                      <w:pPr>
                        <w:pStyle w:val="Imprint"/>
                        <w:spacing w:before="120"/>
                        <w:ind w:left="142" w:right="10"/>
                      </w:pPr>
                      <w:r w:rsidRPr="005C2FCF">
                        <w:rPr>
                          <w:color w:val="000000"/>
                        </w:rPr>
                        <w:t>Any interpretation of data is the responsibility of the author/project team.</w:t>
                      </w:r>
                    </w:p>
                  </w:txbxContent>
                </v:textbox>
                <w10:wrap anchory="margin"/>
              </v:shape>
            </w:pict>
          </mc:Fallback>
        </mc:AlternateContent>
      </w:r>
    </w:p>
    <w:p w:rsidR="008B22E2" w:rsidRPr="00FE162C" w:rsidRDefault="00D643A2" w:rsidP="00E57478">
      <w:pPr>
        <w:pStyle w:val="Heading3"/>
        <w:ind w:right="-1"/>
        <w:rPr>
          <w:color w:val="000000" w:themeColor="text1"/>
        </w:rPr>
      </w:pPr>
      <w:r>
        <w:rPr>
          <w:noProof/>
          <w:color w:val="000000" w:themeColor="text1"/>
          <w:lang w:eastAsia="en-AU"/>
        </w:rPr>
        <mc:AlternateContent>
          <mc:Choice Requires="wps">
            <w:drawing>
              <wp:anchor distT="0" distB="0" distL="114300" distR="114300" simplePos="0" relativeHeight="251660288" behindDoc="0" locked="0" layoutInCell="1" allowOverlap="1">
                <wp:simplePos x="0" y="0"/>
                <wp:positionH relativeFrom="column">
                  <wp:posOffset>1015365</wp:posOffset>
                </wp:positionH>
                <wp:positionV relativeFrom="margin">
                  <wp:posOffset>7052945</wp:posOffset>
                </wp:positionV>
                <wp:extent cx="2789555" cy="1054100"/>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555"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298" w:rsidRPr="00125009" w:rsidRDefault="00626298" w:rsidP="00741D04">
                            <w:pPr>
                              <w:pStyle w:val="Heading3"/>
                              <w:rPr>
                                <w:rFonts w:ascii="Trebuchet MS" w:hAnsi="Trebuchet MS"/>
                                <w:szCs w:val="24"/>
                              </w:rPr>
                            </w:pPr>
                            <w:r w:rsidRPr="00125009">
                              <w:rPr>
                                <w:rFonts w:ascii="Trebuchet MS" w:hAnsi="Trebuchet MS"/>
                                <w:szCs w:val="24"/>
                              </w:rPr>
                              <w:t xml:space="preserve">NATIONAL VOCATIONAL EDUCATION AND TRAINING RESEARCH PROGRAM </w:t>
                            </w:r>
                          </w:p>
                          <w:p w:rsidR="00626298" w:rsidRPr="00125009" w:rsidRDefault="00626298" w:rsidP="00741D04">
                            <w:pPr>
                              <w:pStyle w:val="Heading3"/>
                              <w:spacing w:before="80"/>
                              <w:rPr>
                                <w:rFonts w:ascii="Trebuchet MS" w:hAnsi="Trebuchet MS"/>
                                <w:szCs w:val="24"/>
                              </w:rPr>
                            </w:pPr>
                            <w:r w:rsidRPr="00125009">
                              <w:rPr>
                                <w:rFonts w:ascii="Trebuchet MS" w:hAnsi="Trebuchet MS"/>
                                <w:b/>
                                <w:szCs w:val="24"/>
                              </w:rPr>
                              <w:t>RESEARCH REPORT</w:t>
                            </w:r>
                          </w:p>
                          <w:p w:rsidR="00626298" w:rsidRDefault="00626298" w:rsidP="009E2F64">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79.95pt;margin-top:555.35pt;width:219.65pt;height: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6Rcuw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" filled="f" stroked="f">
                <v:textbox>
                  <w:txbxContent>
                    <w:p w:rsidR="00626298" w:rsidRPr="00125009" w:rsidRDefault="00626298" w:rsidP="00741D04">
                      <w:pPr>
                        <w:pStyle w:val="Heading3"/>
                        <w:rPr>
                          <w:rFonts w:ascii="Trebuchet MS" w:hAnsi="Trebuchet MS"/>
                          <w:szCs w:val="24"/>
                        </w:rPr>
                      </w:pPr>
                      <w:r w:rsidRPr="00125009">
                        <w:rPr>
                          <w:rFonts w:ascii="Trebuchet MS" w:hAnsi="Trebuchet MS"/>
                          <w:szCs w:val="24"/>
                        </w:rPr>
                        <w:t xml:space="preserve">NATIONAL VOCATIONAL EDUCATION AND TRAINING RESEARCH PROGRAM </w:t>
                      </w:r>
                    </w:p>
                    <w:p w:rsidR="00626298" w:rsidRPr="00125009" w:rsidRDefault="00626298" w:rsidP="00741D04">
                      <w:pPr>
                        <w:pStyle w:val="Heading3"/>
                        <w:spacing w:before="80"/>
                        <w:rPr>
                          <w:rFonts w:ascii="Trebuchet MS" w:hAnsi="Trebuchet MS"/>
                          <w:szCs w:val="24"/>
                        </w:rPr>
                      </w:pPr>
                      <w:r w:rsidRPr="00125009">
                        <w:rPr>
                          <w:rFonts w:ascii="Trebuchet MS" w:hAnsi="Trebuchet MS"/>
                          <w:b/>
                          <w:szCs w:val="24"/>
                        </w:rPr>
                        <w:t>RESEARCH REPORT</w:t>
                      </w:r>
                    </w:p>
                    <w:p w:rsidR="00626298" w:rsidRDefault="00626298" w:rsidP="009E2F64">
                      <w:pPr>
                        <w:pStyle w:val="Heading3"/>
                      </w:pPr>
                    </w:p>
                  </w:txbxContent>
                </v:textbox>
                <w10:wrap anchory="margin"/>
              </v:shape>
            </w:pict>
          </mc:Fallback>
        </mc:AlternateContent>
      </w:r>
      <w:r w:rsidR="00FE4A2D" w:rsidRPr="00FE162C">
        <w:rPr>
          <w:color w:val="000000" w:themeColor="text1"/>
        </w:rPr>
        <w:br w:type="page"/>
      </w:r>
    </w:p>
    <w:p w:rsidR="009E231A" w:rsidRPr="00FE162C" w:rsidRDefault="00FE4A2D" w:rsidP="00E57478">
      <w:pPr>
        <w:pStyle w:val="Heading3"/>
        <w:ind w:right="-1"/>
        <w:rPr>
          <w:color w:val="000000" w:themeColor="text1"/>
        </w:rPr>
      </w:pPr>
      <w:r w:rsidRPr="00FE162C">
        <w:rPr>
          <w:color w:val="000000" w:themeColor="text1"/>
        </w:rPr>
        <w:lastRenderedPageBreak/>
        <w:t>Publisher</w:t>
      </w:r>
      <w:r w:rsidR="00602830">
        <w:rPr>
          <w:color w:val="000000" w:themeColor="text1"/>
        </w:rPr>
        <w:t>’</w:t>
      </w:r>
      <w:r w:rsidRPr="00FE162C">
        <w:rPr>
          <w:color w:val="000000" w:themeColor="text1"/>
        </w:rPr>
        <w:t>s note</w:t>
      </w:r>
    </w:p>
    <w:p w:rsidR="00233BFA" w:rsidRPr="00FE162C" w:rsidRDefault="00233BFA" w:rsidP="00125009">
      <w:pPr>
        <w:pStyle w:val="Imprint"/>
        <w:ind w:right="991"/>
        <w:rPr>
          <w:color w:val="000000" w:themeColor="text1"/>
        </w:rPr>
      </w:pPr>
      <w:r w:rsidRPr="00FE162C">
        <w:rPr>
          <w:color w:val="000000" w:themeColor="text1"/>
        </w:rPr>
        <w:t>To find other material of interest, search VOCED</w:t>
      </w:r>
      <w:r w:rsidR="00341603" w:rsidRPr="00FE162C">
        <w:rPr>
          <w:color w:val="000000" w:themeColor="text1"/>
        </w:rPr>
        <w:t>plus</w:t>
      </w:r>
      <w:r w:rsidRPr="00FE162C">
        <w:rPr>
          <w:color w:val="000000" w:themeColor="text1"/>
        </w:rPr>
        <w:t xml:space="preserve"> (the UNESCO/NCVER international database &lt;</w:t>
      </w:r>
      <w:hyperlink r:id="rId11" w:history="1">
        <w:r w:rsidRPr="00FE162C">
          <w:rPr>
            <w:color w:val="000000" w:themeColor="text1"/>
          </w:rPr>
          <w:t>http://www.voced.edu.au</w:t>
        </w:r>
      </w:hyperlink>
      <w:r w:rsidRPr="00FE162C">
        <w:rPr>
          <w:color w:val="000000" w:themeColor="text1"/>
        </w:rPr>
        <w:t xml:space="preserve">&gt;) using the following keywords: </w:t>
      </w:r>
      <w:r w:rsidR="00AC37F8">
        <w:rPr>
          <w:color w:val="000000" w:themeColor="text1"/>
        </w:rPr>
        <w:t xml:space="preserve">employment; employment opportunity; labour demand; labour market; </w:t>
      </w:r>
      <w:r w:rsidR="005A6811">
        <w:rPr>
          <w:color w:val="000000" w:themeColor="text1"/>
        </w:rPr>
        <w:t xml:space="preserve">labour mobility; </w:t>
      </w:r>
      <w:r w:rsidR="00AC37F8">
        <w:rPr>
          <w:color w:val="000000" w:themeColor="text1"/>
        </w:rPr>
        <w:t xml:space="preserve">migration; regional; skill development; wage. </w:t>
      </w:r>
    </w:p>
    <w:p w:rsidR="00FF5931" w:rsidRPr="00FE162C" w:rsidRDefault="00FF5931" w:rsidP="00233BFA">
      <w:pPr>
        <w:pStyle w:val="Imprint"/>
        <w:rPr>
          <w:color w:val="000000" w:themeColor="text1"/>
          <w:sz w:val="19"/>
          <w:szCs w:val="19"/>
        </w:rPr>
      </w:pPr>
    </w:p>
    <w:p w:rsidR="009E231A" w:rsidRPr="00FE162C" w:rsidRDefault="00D643A2" w:rsidP="00125009">
      <w:pPr>
        <w:pStyle w:val="Abouttheresearch"/>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1970405</wp:posOffset>
                </wp:positionV>
                <wp:extent cx="4853940" cy="5791200"/>
                <wp:effectExtent l="0" t="0" r="381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579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298" w:rsidRPr="00A021FC" w:rsidRDefault="00626298" w:rsidP="005B25A9">
                            <w:pPr>
                              <w:pStyle w:val="Imprint"/>
                              <w:rPr>
                                <w:b/>
                              </w:rPr>
                            </w:pPr>
                            <w:r w:rsidRPr="00A021FC">
                              <w:rPr>
                                <w:b/>
                              </w:rPr>
                              <w:t xml:space="preserve">© Commonwealth of Australia, </w:t>
                            </w:r>
                            <w:r>
                              <w:rPr>
                                <w:b/>
                              </w:rPr>
                              <w:t>2014</w:t>
                            </w:r>
                          </w:p>
                          <w:p w:rsidR="00626298" w:rsidRDefault="00626298" w:rsidP="005B25A9">
                            <w:pPr>
                              <w:pStyle w:val="Imprint"/>
                              <w:rPr>
                                <w:sz w:val="20"/>
                              </w:rPr>
                            </w:pPr>
                            <w:r w:rsidRPr="00E80270">
                              <w:rPr>
                                <w:noProof/>
                                <w:sz w:val="20"/>
                                <w:lang w:eastAsia="en-AU"/>
                              </w:rPr>
                              <w:drawing>
                                <wp:inline distT="0" distB="0" distL="0" distR="0" wp14:anchorId="6FDAB835" wp14:editId="34D9CF9A">
                                  <wp:extent cx="850265" cy="302895"/>
                                  <wp:effectExtent l="19050" t="0" r="6985"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626298" w:rsidRPr="00A021FC" w:rsidRDefault="00626298" w:rsidP="005B25A9">
                            <w:pPr>
                              <w:pStyle w:val="Imprint"/>
                            </w:pPr>
                            <w:r w:rsidRPr="00A021FC">
                              <w:t>With the exception of the Commonwealth Coat of Arms, the Department</w:t>
                            </w:r>
                            <w:r>
                              <w:t>’</w:t>
                            </w:r>
                            <w:r w:rsidRPr="00A021FC">
                              <w:t xml:space="preserve">s logo, any material protected by a trade mark and where otherwise noted all material presented in this document is provided under a Creative Commons Attribution 3.0 Australia &lt;http://creativecommons.org/licenses/by/3.0/au&gt; licence. </w:t>
                            </w:r>
                          </w:p>
                          <w:p w:rsidR="00626298" w:rsidRPr="00A021FC" w:rsidRDefault="00626298" w:rsidP="00125009">
                            <w:pPr>
                              <w:pStyle w:val="Imprint"/>
                              <w:spacing w:before="80"/>
                            </w:pPr>
                            <w:r w:rsidRPr="00A021FC">
                              <w:t>The details of the relevant licence conditions are available on the Creative Commons website (accessible</w:t>
                            </w:r>
                            <w:r>
                              <w:t> </w:t>
                            </w:r>
                            <w:r w:rsidRPr="00A021FC">
                              <w:t>using the links provided) as is the full legal code for the CC BY 3.0 AU licence &lt;http://creativecommons.org/licenses/by/3.0/legalcode&gt;.</w:t>
                            </w:r>
                          </w:p>
                          <w:p w:rsidR="00626298" w:rsidRPr="00A021FC" w:rsidRDefault="00626298" w:rsidP="00125009">
                            <w:pPr>
                              <w:pStyle w:val="Imprint"/>
                              <w:spacing w:before="80"/>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626298" w:rsidRPr="00A021FC" w:rsidRDefault="00626298" w:rsidP="005B25A9">
                            <w:pPr>
                              <w:pStyle w:val="Imprint"/>
                            </w:pPr>
                            <w:r w:rsidRPr="00A021FC">
                              <w:t>This document should be attributed as</w:t>
                            </w:r>
                            <w:r>
                              <w:t xml:space="preserve"> Nicholas, A &amp; Shah, C 2014,</w:t>
                            </w:r>
                            <w:r w:rsidRPr="00A021FC">
                              <w:t xml:space="preserve"> </w:t>
                            </w:r>
                            <w:r w:rsidRPr="005B25A9">
                              <w:rPr>
                                <w:i/>
                              </w:rPr>
                              <w:t>Incentives for relocating to regional Australia: estimates using a choice experiment</w:t>
                            </w:r>
                            <w:r w:rsidRPr="00A021FC">
                              <w:rPr>
                                <w:i/>
                              </w:rPr>
                              <w:t>,</w:t>
                            </w:r>
                            <w:r w:rsidRPr="00A021FC">
                              <w:t xml:space="preserve"> NCVER, Adelaide.</w:t>
                            </w:r>
                          </w:p>
                          <w:p w:rsidR="00626298" w:rsidRPr="00EC29E3" w:rsidRDefault="00626298" w:rsidP="005B25A9">
                            <w:pPr>
                              <w:pStyle w:val="Imprint"/>
                              <w:ind w:right="1700"/>
                              <w:rPr>
                                <w:smallCaps/>
                                <w:color w:val="000000"/>
                              </w:rPr>
                            </w:pPr>
                            <w:r>
                              <w:rPr>
                                <w:smallCaps/>
                                <w:color w:val="000000"/>
                              </w:rPr>
                              <w:t>COVER IMAGE: GETTY IMAGES/THINKSTOCK</w:t>
                            </w:r>
                          </w:p>
                          <w:p w:rsidR="00626298" w:rsidRPr="005C2FCF" w:rsidRDefault="00626298" w:rsidP="005B25A9">
                            <w:pPr>
                              <w:pStyle w:val="Imprint"/>
                              <w:rPr>
                                <w:color w:val="000000"/>
                              </w:rPr>
                            </w:pPr>
                            <w:r w:rsidRPr="005C2FCF">
                              <w:rPr>
                                <w:color w:val="000000"/>
                              </w:rPr>
                              <w:t>ISBN</w:t>
                            </w:r>
                            <w:r w:rsidRPr="005C2FCF">
                              <w:rPr>
                                <w:color w:val="000000"/>
                              </w:rPr>
                              <w:tab/>
                            </w:r>
                            <w:r w:rsidRPr="005B25A9">
                              <w:rPr>
                                <w:color w:val="000000"/>
                              </w:rPr>
                              <w:t>978 1 922056 95 5</w:t>
                            </w:r>
                            <w:r>
                              <w:rPr>
                                <w:color w:val="000000"/>
                              </w:rPr>
                              <w:br/>
                            </w:r>
                            <w:r w:rsidRPr="005C2FCF">
                              <w:rPr>
                                <w:color w:val="000000"/>
                              </w:rPr>
                              <w:t>TD/TNC</w:t>
                            </w:r>
                            <w:r w:rsidRPr="005C2FCF">
                              <w:rPr>
                                <w:color w:val="000000"/>
                              </w:rPr>
                              <w:tab/>
                            </w:r>
                            <w:r w:rsidRPr="005B25A9">
                              <w:rPr>
                                <w:color w:val="000000"/>
                              </w:rPr>
                              <w:t>116.03</w:t>
                            </w:r>
                          </w:p>
                          <w:p w:rsidR="00626298" w:rsidRPr="005C2FCF" w:rsidRDefault="00626298" w:rsidP="005B25A9">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626298" w:rsidRPr="005C2FCF" w:rsidRDefault="00626298" w:rsidP="00125009">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626298" w:rsidRDefault="00626298" w:rsidP="00125009">
                            <w:pPr>
                              <w:pStyle w:val="Imprint"/>
                              <w:tabs>
                                <w:tab w:val="left" w:pos="3402"/>
                              </w:tabs>
                              <w:spacing w:before="80"/>
                            </w:pPr>
                            <w:r w:rsidRPr="00D212FA">
                              <w:rPr>
                                <w:b/>
                              </w:rPr>
                              <w:t>P</w:t>
                            </w:r>
                            <w:r>
                              <w:rPr>
                                <w:b/>
                              </w:rPr>
                              <w:t>hone</w:t>
                            </w:r>
                            <w:r w:rsidRPr="00D212FA">
                              <w:t xml:space="preserve"> +61 8 8230 8400 </w:t>
                            </w:r>
                            <w:r>
                              <w:t xml:space="preserve"> </w:t>
                            </w:r>
                            <w:r w:rsidRPr="00D212FA">
                              <w:t xml:space="preserve"> </w:t>
                            </w:r>
                            <w:r>
                              <w:t xml:space="preserve">  </w:t>
                            </w:r>
                            <w:r w:rsidRPr="00D212FA">
                              <w:rPr>
                                <w:b/>
                              </w:rPr>
                              <w:t>F</w:t>
                            </w:r>
                            <w:r>
                              <w:rPr>
                                <w:b/>
                              </w:rPr>
                              <w:t>ax</w:t>
                            </w:r>
                            <w:r w:rsidRPr="00D212FA">
                              <w:t xml:space="preserve"> +61 8 8212 3436</w:t>
                            </w:r>
                          </w:p>
                          <w:p w:rsidR="00626298" w:rsidRPr="002C3573" w:rsidRDefault="00626298" w:rsidP="005B25A9">
                            <w:pPr>
                              <w:pStyle w:val="Imprint"/>
                              <w:spacing w:before="0"/>
                            </w:pPr>
                            <w:r w:rsidRPr="002C3573">
                              <w:rPr>
                                <w:b/>
                              </w:rPr>
                              <w:t>Email</w:t>
                            </w:r>
                            <w:r w:rsidRPr="002C3573">
                              <w:t xml:space="preserve"> </w:t>
                            </w:r>
                            <w:hyperlink r:id="rId13" w:history="1">
                              <w:r w:rsidRPr="002C3573">
                                <w:rPr>
                                  <w:rStyle w:val="Hyperlink"/>
                                  <w:sz w:val="16"/>
                                </w:rPr>
                                <w:t>ncver@ncver.edu.au</w:t>
                              </w:r>
                            </w:hyperlink>
                            <w:r w:rsidRPr="002C3573">
                              <w:t xml:space="preserve">     </w:t>
                            </w:r>
                            <w:r w:rsidRPr="002C3573">
                              <w:rPr>
                                <w:b/>
                              </w:rPr>
                              <w:t>Web</w:t>
                            </w:r>
                            <w:r w:rsidRPr="002C3573">
                              <w:t xml:space="preserve"> &lt;http://www.ncver.edu.au&gt;  &lt;</w:t>
                            </w:r>
                            <w:hyperlink r:id="rId14" w:history="1">
                              <w:r w:rsidRPr="002C3573">
                                <w:rPr>
                                  <w:rStyle w:val="Hyperlink"/>
                                  <w:sz w:val="16"/>
                                </w:rPr>
                                <w:t>http://www.lsay.edu.au</w:t>
                              </w:r>
                            </w:hyperlink>
                            <w:r w:rsidRPr="002C3573">
                              <w:t>&gt;</w:t>
                            </w:r>
                          </w:p>
                          <w:p w:rsidR="00626298" w:rsidRPr="005B25A9" w:rsidRDefault="00626298" w:rsidP="005B25A9">
                            <w:pPr>
                              <w:pStyle w:val="Imprint"/>
                              <w:tabs>
                                <w:tab w:val="left" w:pos="993"/>
                                <w:tab w:val="left" w:pos="3686"/>
                              </w:tabs>
                              <w:spacing w:before="0"/>
                            </w:pPr>
                            <w:r w:rsidRPr="00E65C3B">
                              <w:rPr>
                                <w:b/>
                              </w:rPr>
                              <w:t>Follow us:</w:t>
                            </w:r>
                            <w:r>
                              <w:t xml:space="preserve">  </w:t>
                            </w:r>
                            <w:r w:rsidRPr="005B25A9">
                              <w:rPr>
                                <w:noProof/>
                                <w:lang w:eastAsia="en-AU"/>
                              </w:rPr>
                              <w:drawing>
                                <wp:inline distT="0" distB="0" distL="0" distR="0" wp14:anchorId="22FE14A6" wp14:editId="086AE5A5">
                                  <wp:extent cx="142875"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5" cstate="print"/>
                                          <a:srcRect/>
                                          <a:stretch>
                                            <a:fillRect/>
                                          </a:stretch>
                                        </pic:blipFill>
                                        <pic:spPr bwMode="auto">
                                          <a:xfrm>
                                            <a:off x="0" y="0"/>
                                            <a:ext cx="141605" cy="152400"/>
                                          </a:xfrm>
                                          <a:prstGeom prst="rect">
                                            <a:avLst/>
                                          </a:prstGeom>
                                          <a:noFill/>
                                          <a:ln w="9525">
                                            <a:noFill/>
                                            <a:miter lim="800000"/>
                                            <a:headEnd/>
                                            <a:tailEnd/>
                                          </a:ln>
                                        </pic:spPr>
                                      </pic:pic>
                                    </a:graphicData>
                                  </a:graphic>
                                </wp:inline>
                              </w:drawing>
                            </w:r>
                            <w:r>
                              <w:t xml:space="preserve"> &lt;http://twitter.com/ncver&gt;    </w:t>
                            </w:r>
                            <w:r w:rsidRPr="005B25A9">
                              <w:rPr>
                                <w:noProof/>
                                <w:lang w:eastAsia="en-AU"/>
                              </w:rPr>
                              <w:drawing>
                                <wp:inline distT="0" distB="0" distL="0" distR="0" wp14:anchorId="07F8AD68" wp14:editId="6A2126AD">
                                  <wp:extent cx="142875"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6" cstate="print">
                                            <a:biLevel thresh="50000"/>
                                          </a:blip>
                                          <a:srcRect/>
                                          <a:stretch>
                                            <a:fillRect/>
                                          </a:stretch>
                                        </pic:blipFill>
                                        <pic:spPr bwMode="auto">
                                          <a:xfrm>
                                            <a:off x="0" y="0"/>
                                            <a:ext cx="139065" cy="152400"/>
                                          </a:xfrm>
                                          <a:prstGeom prst="rect">
                                            <a:avLst/>
                                          </a:prstGeom>
                                          <a:noFill/>
                                          <a:ln w="9525">
                                            <a:noFill/>
                                            <a:miter lim="800000"/>
                                            <a:headEnd/>
                                            <a:tailEnd/>
                                          </a:ln>
                                        </pic:spPr>
                                      </pic:pic>
                                    </a:graphicData>
                                  </a:graphic>
                                </wp:inline>
                              </w:drawing>
                            </w:r>
                            <w:r>
                              <w:t xml:space="preserve"> &lt;http://www.linkedin.com/company/ncver&gt;</w:t>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0;margin-top:155.15pt;width:382.2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UBctgIAALo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" filled="f" stroked="f">
                <v:textbox inset="0,,0">
                  <w:txbxContent>
                    <w:p w:rsidR="00626298" w:rsidRPr="00A021FC" w:rsidRDefault="00626298" w:rsidP="005B25A9">
                      <w:pPr>
                        <w:pStyle w:val="Imprint"/>
                        <w:rPr>
                          <w:b/>
                        </w:rPr>
                      </w:pPr>
                      <w:r w:rsidRPr="00A021FC">
                        <w:rPr>
                          <w:b/>
                        </w:rPr>
                        <w:t xml:space="preserve">© Commonwealth of Australia, </w:t>
                      </w:r>
                      <w:r>
                        <w:rPr>
                          <w:b/>
                        </w:rPr>
                        <w:t>2014</w:t>
                      </w:r>
                    </w:p>
                    <w:p w:rsidR="00626298" w:rsidRDefault="00626298" w:rsidP="005B25A9">
                      <w:pPr>
                        <w:pStyle w:val="Imprint"/>
                        <w:rPr>
                          <w:sz w:val="20"/>
                        </w:rPr>
                      </w:pPr>
                      <w:r w:rsidRPr="00E80270">
                        <w:rPr>
                          <w:noProof/>
                          <w:sz w:val="20"/>
                          <w:lang w:eastAsia="en-AU"/>
                        </w:rPr>
                        <w:drawing>
                          <wp:inline distT="0" distB="0" distL="0" distR="0" wp14:anchorId="6FDAB835" wp14:editId="34D9CF9A">
                            <wp:extent cx="850265" cy="302895"/>
                            <wp:effectExtent l="19050" t="0" r="6985"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626298" w:rsidRPr="00A021FC" w:rsidRDefault="00626298" w:rsidP="005B25A9">
                      <w:pPr>
                        <w:pStyle w:val="Imprint"/>
                      </w:pPr>
                      <w:r w:rsidRPr="00A021FC">
                        <w:t>With the exception of the Commonwealth Coat of Arms, the Department</w:t>
                      </w:r>
                      <w:r>
                        <w:t>’</w:t>
                      </w:r>
                      <w:r w:rsidRPr="00A021FC">
                        <w:t xml:space="preserve">s logo, any material protected by a trade mark and where otherwise noted all material presented in this document is provided under a Creative Commons Attribution 3.0 Australia &lt;http://creativecommons.org/licenses/by/3.0/au&gt; licence. </w:t>
                      </w:r>
                    </w:p>
                    <w:p w:rsidR="00626298" w:rsidRPr="00A021FC" w:rsidRDefault="00626298" w:rsidP="00125009">
                      <w:pPr>
                        <w:pStyle w:val="Imprint"/>
                        <w:spacing w:before="80"/>
                      </w:pPr>
                      <w:r w:rsidRPr="00A021FC">
                        <w:t>The details of the relevant licence conditions are available on the Creative Commons website (accessible</w:t>
                      </w:r>
                      <w:r>
                        <w:t> </w:t>
                      </w:r>
                      <w:r w:rsidRPr="00A021FC">
                        <w:t>using the links provided) as is the full legal code for the CC BY 3.0 AU licence &lt;http://creativecommons.org/licenses/by/3.0/legalcode&gt;.</w:t>
                      </w:r>
                    </w:p>
                    <w:p w:rsidR="00626298" w:rsidRPr="00A021FC" w:rsidRDefault="00626298" w:rsidP="00125009">
                      <w:pPr>
                        <w:pStyle w:val="Imprint"/>
                        <w:spacing w:before="80"/>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626298" w:rsidRPr="00A021FC" w:rsidRDefault="00626298" w:rsidP="005B25A9">
                      <w:pPr>
                        <w:pStyle w:val="Imprint"/>
                      </w:pPr>
                      <w:r w:rsidRPr="00A021FC">
                        <w:t>This document should be attributed as</w:t>
                      </w:r>
                      <w:r>
                        <w:t xml:space="preserve"> Nicholas, A &amp; Shah, C 2014,</w:t>
                      </w:r>
                      <w:r w:rsidRPr="00A021FC">
                        <w:t xml:space="preserve"> </w:t>
                      </w:r>
                      <w:r w:rsidRPr="005B25A9">
                        <w:rPr>
                          <w:i/>
                        </w:rPr>
                        <w:t>Incentives for relocating to regional Australia: estimates using a choice experiment</w:t>
                      </w:r>
                      <w:r w:rsidRPr="00A021FC">
                        <w:rPr>
                          <w:i/>
                        </w:rPr>
                        <w:t>,</w:t>
                      </w:r>
                      <w:r w:rsidRPr="00A021FC">
                        <w:t xml:space="preserve"> NCVER, Adelaide.</w:t>
                      </w:r>
                    </w:p>
                    <w:p w:rsidR="00626298" w:rsidRPr="00EC29E3" w:rsidRDefault="00626298" w:rsidP="005B25A9">
                      <w:pPr>
                        <w:pStyle w:val="Imprint"/>
                        <w:ind w:right="1700"/>
                        <w:rPr>
                          <w:smallCaps/>
                          <w:color w:val="000000"/>
                        </w:rPr>
                      </w:pPr>
                      <w:r>
                        <w:rPr>
                          <w:smallCaps/>
                          <w:color w:val="000000"/>
                        </w:rPr>
                        <w:t>COVER IMAGE: GETTY IMAGES/THINKSTOCK</w:t>
                      </w:r>
                    </w:p>
                    <w:p w:rsidR="00626298" w:rsidRPr="005C2FCF" w:rsidRDefault="00626298" w:rsidP="005B25A9">
                      <w:pPr>
                        <w:pStyle w:val="Imprint"/>
                        <w:rPr>
                          <w:color w:val="000000"/>
                        </w:rPr>
                      </w:pPr>
                      <w:r w:rsidRPr="005C2FCF">
                        <w:rPr>
                          <w:color w:val="000000"/>
                        </w:rPr>
                        <w:t>ISBN</w:t>
                      </w:r>
                      <w:r w:rsidRPr="005C2FCF">
                        <w:rPr>
                          <w:color w:val="000000"/>
                        </w:rPr>
                        <w:tab/>
                      </w:r>
                      <w:r w:rsidRPr="005B25A9">
                        <w:rPr>
                          <w:color w:val="000000"/>
                        </w:rPr>
                        <w:t>978 1 922056 95 5</w:t>
                      </w:r>
                      <w:r>
                        <w:rPr>
                          <w:color w:val="000000"/>
                        </w:rPr>
                        <w:br/>
                      </w:r>
                      <w:r w:rsidRPr="005C2FCF">
                        <w:rPr>
                          <w:color w:val="000000"/>
                        </w:rPr>
                        <w:t>TD/TNC</w:t>
                      </w:r>
                      <w:r w:rsidRPr="005C2FCF">
                        <w:rPr>
                          <w:color w:val="000000"/>
                        </w:rPr>
                        <w:tab/>
                      </w:r>
                      <w:r w:rsidRPr="005B25A9">
                        <w:rPr>
                          <w:color w:val="000000"/>
                        </w:rPr>
                        <w:t>116.03</w:t>
                      </w:r>
                    </w:p>
                    <w:p w:rsidR="00626298" w:rsidRPr="005C2FCF" w:rsidRDefault="00626298" w:rsidP="005B25A9">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626298" w:rsidRPr="005C2FCF" w:rsidRDefault="00626298" w:rsidP="00125009">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626298" w:rsidRDefault="00626298" w:rsidP="00125009">
                      <w:pPr>
                        <w:pStyle w:val="Imprint"/>
                        <w:tabs>
                          <w:tab w:val="left" w:pos="3402"/>
                        </w:tabs>
                        <w:spacing w:before="80"/>
                      </w:pPr>
                      <w:r w:rsidRPr="00D212FA">
                        <w:rPr>
                          <w:b/>
                        </w:rPr>
                        <w:t>P</w:t>
                      </w:r>
                      <w:r>
                        <w:rPr>
                          <w:b/>
                        </w:rPr>
                        <w:t>hone</w:t>
                      </w:r>
                      <w:r w:rsidRPr="00D212FA">
                        <w:t xml:space="preserve"> +61 8 8230 8400 </w:t>
                      </w:r>
                      <w:r>
                        <w:t xml:space="preserve"> </w:t>
                      </w:r>
                      <w:r w:rsidRPr="00D212FA">
                        <w:t xml:space="preserve"> </w:t>
                      </w:r>
                      <w:r>
                        <w:t xml:space="preserve">  </w:t>
                      </w:r>
                      <w:r w:rsidRPr="00D212FA">
                        <w:rPr>
                          <w:b/>
                        </w:rPr>
                        <w:t>F</w:t>
                      </w:r>
                      <w:r>
                        <w:rPr>
                          <w:b/>
                        </w:rPr>
                        <w:t>ax</w:t>
                      </w:r>
                      <w:r w:rsidRPr="00D212FA">
                        <w:t xml:space="preserve"> +61 8 8212 3436</w:t>
                      </w:r>
                    </w:p>
                    <w:p w:rsidR="00626298" w:rsidRPr="002C3573" w:rsidRDefault="00626298" w:rsidP="005B25A9">
                      <w:pPr>
                        <w:pStyle w:val="Imprint"/>
                        <w:spacing w:before="0"/>
                      </w:pPr>
                      <w:r w:rsidRPr="002C3573">
                        <w:rPr>
                          <w:b/>
                        </w:rPr>
                        <w:t>Email</w:t>
                      </w:r>
                      <w:r w:rsidRPr="002C3573">
                        <w:t xml:space="preserve"> </w:t>
                      </w:r>
                      <w:hyperlink r:id="rId17" w:history="1">
                        <w:r w:rsidRPr="002C3573">
                          <w:rPr>
                            <w:rStyle w:val="Hyperlink"/>
                            <w:sz w:val="16"/>
                          </w:rPr>
                          <w:t>ncver@ncver.edu.au</w:t>
                        </w:r>
                      </w:hyperlink>
                      <w:r w:rsidRPr="002C3573">
                        <w:t xml:space="preserve">     </w:t>
                      </w:r>
                      <w:r w:rsidRPr="002C3573">
                        <w:rPr>
                          <w:b/>
                        </w:rPr>
                        <w:t>Web</w:t>
                      </w:r>
                      <w:r w:rsidRPr="002C3573">
                        <w:t xml:space="preserve"> &lt;http://www.ncver.edu.au&gt;  &lt;</w:t>
                      </w:r>
                      <w:hyperlink r:id="rId18" w:history="1">
                        <w:r w:rsidRPr="002C3573">
                          <w:rPr>
                            <w:rStyle w:val="Hyperlink"/>
                            <w:sz w:val="16"/>
                          </w:rPr>
                          <w:t>http://www.lsay.edu.au</w:t>
                        </w:r>
                      </w:hyperlink>
                      <w:r w:rsidRPr="002C3573">
                        <w:t>&gt;</w:t>
                      </w:r>
                    </w:p>
                    <w:p w:rsidR="00626298" w:rsidRPr="005B25A9" w:rsidRDefault="00626298" w:rsidP="005B25A9">
                      <w:pPr>
                        <w:pStyle w:val="Imprint"/>
                        <w:tabs>
                          <w:tab w:val="left" w:pos="993"/>
                          <w:tab w:val="left" w:pos="3686"/>
                        </w:tabs>
                        <w:spacing w:before="0"/>
                      </w:pPr>
                      <w:r w:rsidRPr="00E65C3B">
                        <w:rPr>
                          <w:b/>
                        </w:rPr>
                        <w:t>Follow us:</w:t>
                      </w:r>
                      <w:r>
                        <w:t xml:space="preserve">  </w:t>
                      </w:r>
                      <w:r w:rsidRPr="005B25A9">
                        <w:rPr>
                          <w:noProof/>
                          <w:lang w:eastAsia="en-AU"/>
                        </w:rPr>
                        <w:drawing>
                          <wp:inline distT="0" distB="0" distL="0" distR="0" wp14:anchorId="22FE14A6" wp14:editId="086AE5A5">
                            <wp:extent cx="142875"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5" cstate="print"/>
                                    <a:srcRect/>
                                    <a:stretch>
                                      <a:fillRect/>
                                    </a:stretch>
                                  </pic:blipFill>
                                  <pic:spPr bwMode="auto">
                                    <a:xfrm>
                                      <a:off x="0" y="0"/>
                                      <a:ext cx="141605" cy="152400"/>
                                    </a:xfrm>
                                    <a:prstGeom prst="rect">
                                      <a:avLst/>
                                    </a:prstGeom>
                                    <a:noFill/>
                                    <a:ln w="9525">
                                      <a:noFill/>
                                      <a:miter lim="800000"/>
                                      <a:headEnd/>
                                      <a:tailEnd/>
                                    </a:ln>
                                  </pic:spPr>
                                </pic:pic>
                              </a:graphicData>
                            </a:graphic>
                          </wp:inline>
                        </w:drawing>
                      </w:r>
                      <w:r>
                        <w:t xml:space="preserve"> &lt;http://twitter.com/ncver&gt;    </w:t>
                      </w:r>
                      <w:r w:rsidRPr="005B25A9">
                        <w:rPr>
                          <w:noProof/>
                          <w:lang w:eastAsia="en-AU"/>
                        </w:rPr>
                        <w:drawing>
                          <wp:inline distT="0" distB="0" distL="0" distR="0" wp14:anchorId="07F8AD68" wp14:editId="6A2126AD">
                            <wp:extent cx="142875"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6" cstate="print">
                                      <a:biLevel thresh="50000"/>
                                    </a:blip>
                                    <a:srcRect/>
                                    <a:stretch>
                                      <a:fillRect/>
                                    </a:stretch>
                                  </pic:blipFill>
                                  <pic:spPr bwMode="auto">
                                    <a:xfrm>
                                      <a:off x="0" y="0"/>
                                      <a:ext cx="139065" cy="152400"/>
                                    </a:xfrm>
                                    <a:prstGeom prst="rect">
                                      <a:avLst/>
                                    </a:prstGeom>
                                    <a:noFill/>
                                    <a:ln w="9525">
                                      <a:noFill/>
                                      <a:miter lim="800000"/>
                                      <a:headEnd/>
                                      <a:tailEnd/>
                                    </a:ln>
                                  </pic:spPr>
                                </pic:pic>
                              </a:graphicData>
                            </a:graphic>
                          </wp:inline>
                        </w:drawing>
                      </w:r>
                      <w:r>
                        <w:t xml:space="preserve"> &lt;http://www.linkedin.com/company/ncver&gt;</w:t>
                      </w:r>
                    </w:p>
                  </w:txbxContent>
                </v:textbox>
              </v:shape>
            </w:pict>
          </mc:Fallback>
        </mc:AlternateContent>
      </w:r>
      <w:r w:rsidR="00FE4A2D" w:rsidRPr="00FE162C">
        <w:br w:type="page"/>
      </w:r>
      <w:bookmarkStart w:id="5" w:name="_Toc73766312"/>
      <w:bookmarkStart w:id="6" w:name="_Toc77937774"/>
      <w:bookmarkStart w:id="7" w:name="_Toc80174750"/>
      <w:bookmarkStart w:id="8" w:name="_Toc81560506"/>
      <w:bookmarkStart w:id="9" w:name="_Toc82071799"/>
      <w:bookmarkStart w:id="10" w:name="_Toc82151754"/>
      <w:bookmarkStart w:id="11" w:name="_Toc82498260"/>
      <w:bookmarkStart w:id="12" w:name="_Toc86829097"/>
      <w:bookmarkStart w:id="13" w:name="_Toc89226248"/>
      <w:bookmarkStart w:id="14" w:name="_Toc89240893"/>
      <w:bookmarkStart w:id="15" w:name="_Toc98394875"/>
      <w:bookmarkStart w:id="16" w:name="_Toc296423679"/>
      <w:bookmarkStart w:id="17" w:name="_Toc296497510"/>
      <w:r w:rsidR="00FE4A2D" w:rsidRPr="00FE162C">
        <w:lastRenderedPageBreak/>
        <w:t xml:space="preserve">About the </w:t>
      </w:r>
      <w:r w:rsidR="00FE4A2D" w:rsidRPr="00125009">
        <w:t>research</w:t>
      </w:r>
      <w:bookmarkEnd w:id="5"/>
      <w:bookmarkEnd w:id="6"/>
      <w:bookmarkEnd w:id="7"/>
      <w:bookmarkEnd w:id="8"/>
      <w:bookmarkEnd w:id="9"/>
      <w:bookmarkEnd w:id="10"/>
      <w:bookmarkEnd w:id="11"/>
      <w:bookmarkEnd w:id="12"/>
      <w:bookmarkEnd w:id="13"/>
      <w:bookmarkEnd w:id="14"/>
      <w:bookmarkEnd w:id="15"/>
      <w:bookmarkEnd w:id="16"/>
      <w:bookmarkEnd w:id="17"/>
    </w:p>
    <w:p w:rsidR="001B43CF" w:rsidRPr="00FE162C" w:rsidRDefault="00D643A2" w:rsidP="00F93048">
      <w:pPr>
        <w:pStyle w:val="Abouttheresearchpubtitle"/>
        <w:rPr>
          <w:color w:val="000000" w:themeColor="text1"/>
        </w:rPr>
      </w:pPr>
      <w:bookmarkStart w:id="18" w:name="_Toc98394877"/>
      <w:r>
        <w:rPr>
          <w:color w:val="000000" w:themeColor="text1"/>
        </w:rPr>
        <w:t>Incentives for relocati</w:t>
      </w:r>
      <w:r w:rsidR="006F5726">
        <w:rPr>
          <w:color w:val="000000" w:themeColor="text1"/>
        </w:rPr>
        <w:t>n</w:t>
      </w:r>
      <w:r>
        <w:rPr>
          <w:color w:val="000000" w:themeColor="text1"/>
        </w:rPr>
        <w:t>g</w:t>
      </w:r>
      <w:bookmarkStart w:id="19" w:name="_GoBack"/>
      <w:bookmarkEnd w:id="19"/>
      <w:r w:rsidR="006F5726">
        <w:rPr>
          <w:color w:val="000000" w:themeColor="text1"/>
        </w:rPr>
        <w:t xml:space="preserve"> to regional Australia: estimates using a choice</w:t>
      </w:r>
      <w:r w:rsidR="00125009">
        <w:rPr>
          <w:color w:val="000000" w:themeColor="text1"/>
        </w:rPr>
        <w:t> </w:t>
      </w:r>
      <w:r w:rsidR="006F5726">
        <w:rPr>
          <w:color w:val="000000" w:themeColor="text1"/>
        </w:rPr>
        <w:t>experiment</w:t>
      </w:r>
    </w:p>
    <w:bookmarkEnd w:id="18"/>
    <w:p w:rsidR="009E231A" w:rsidRPr="00FE162C" w:rsidRDefault="006F5726" w:rsidP="00125009">
      <w:pPr>
        <w:pStyle w:val="Heading3"/>
      </w:pPr>
      <w:r>
        <w:t xml:space="preserve">Aaron Nicholas, Deakin </w:t>
      </w:r>
      <w:r w:rsidRPr="00125009">
        <w:t>University</w:t>
      </w:r>
      <w:r>
        <w:t>; Chandra Shah, Monash University</w:t>
      </w:r>
    </w:p>
    <w:p w:rsidR="004F0E9D" w:rsidRPr="00125009" w:rsidRDefault="004F0E9D" w:rsidP="00C066AD">
      <w:pPr>
        <w:pStyle w:val="Text"/>
        <w:spacing w:before="360"/>
        <w:ind w:right="0"/>
      </w:pPr>
      <w:r w:rsidRPr="004F0E9D">
        <w:t xml:space="preserve">Inter-regional migration plays an important role in regional labour markets; for instance, by moving labour from a region with high </w:t>
      </w:r>
      <w:r w:rsidRPr="00125009">
        <w:t>unemployment to a region where there are unfilled vacancies.</w:t>
      </w:r>
    </w:p>
    <w:p w:rsidR="00A94CE8" w:rsidRPr="00125009" w:rsidRDefault="006D7D75" w:rsidP="00125009">
      <w:pPr>
        <w:pStyle w:val="Text"/>
      </w:pPr>
      <w:r w:rsidRPr="00125009">
        <w:t xml:space="preserve">The study uses a discrete choice experiment to investigate the </w:t>
      </w:r>
      <w:r w:rsidR="00A94CE8" w:rsidRPr="00125009">
        <w:t>willingness to move for work of</w:t>
      </w:r>
      <w:r w:rsidRPr="00125009">
        <w:t xml:space="preserve"> </w:t>
      </w:r>
      <w:r w:rsidR="005554BC" w:rsidRPr="00125009">
        <w:t xml:space="preserve">a sample of </w:t>
      </w:r>
      <w:r w:rsidRPr="00125009">
        <w:t xml:space="preserve">individuals from New South Wales and South Australia, </w:t>
      </w:r>
      <w:r w:rsidR="006C6143" w:rsidRPr="00125009">
        <w:t xml:space="preserve">states </w:t>
      </w:r>
      <w:r w:rsidRPr="00125009">
        <w:t>which have had pockets of relatively high un</w:t>
      </w:r>
      <w:r w:rsidR="00A94CE8" w:rsidRPr="00125009">
        <w:t>employment, to</w:t>
      </w:r>
      <w:r w:rsidRPr="00125009">
        <w:t xml:space="preserve"> Karratha (Western Australia) and Emerald (Queensland), two regional centres with relatively high demand for labour in 2012.</w:t>
      </w:r>
      <w:r w:rsidR="005554BC" w:rsidRPr="00125009">
        <w:t xml:space="preserve"> The aim is to understand how individual and job characteristics are related to </w:t>
      </w:r>
      <w:r w:rsidR="006C6143" w:rsidRPr="00125009">
        <w:t xml:space="preserve">the </w:t>
      </w:r>
      <w:r w:rsidR="005554BC" w:rsidRPr="00125009">
        <w:t>willingness to move.</w:t>
      </w:r>
    </w:p>
    <w:p w:rsidR="00835181" w:rsidRPr="00125009" w:rsidRDefault="00A94CE8" w:rsidP="00125009">
      <w:pPr>
        <w:pStyle w:val="Text"/>
      </w:pPr>
      <w:r w:rsidRPr="00125009">
        <w:t>The study is unique</w:t>
      </w:r>
      <w:r w:rsidR="006C6143" w:rsidRPr="00125009">
        <w:t>,</w:t>
      </w:r>
      <w:r w:rsidRPr="00125009">
        <w:t xml:space="preserve"> in that it estimates </w:t>
      </w:r>
      <w:r w:rsidR="00FA4C69" w:rsidRPr="00125009">
        <w:t xml:space="preserve">the </w:t>
      </w:r>
      <w:r w:rsidRPr="00125009">
        <w:t xml:space="preserve">monetary value of </w:t>
      </w:r>
      <w:r w:rsidR="006C6143" w:rsidRPr="00125009">
        <w:t xml:space="preserve">the </w:t>
      </w:r>
      <w:r w:rsidRPr="00125009">
        <w:t>incentives required for individuals</w:t>
      </w:r>
      <w:r w:rsidR="00FA4C69" w:rsidRPr="00125009">
        <w:t xml:space="preserve"> to accept job offers in</w:t>
      </w:r>
      <w:r w:rsidRPr="00125009">
        <w:t xml:space="preserve"> </w:t>
      </w:r>
      <w:r w:rsidR="008A2EA2" w:rsidRPr="00125009">
        <w:t xml:space="preserve">a </w:t>
      </w:r>
      <w:r w:rsidRPr="00125009">
        <w:t xml:space="preserve">region </w:t>
      </w:r>
      <w:r w:rsidR="00FA4C69" w:rsidRPr="00125009">
        <w:t xml:space="preserve">different </w:t>
      </w:r>
      <w:r w:rsidR="006C6143" w:rsidRPr="00125009">
        <w:t>from that in which</w:t>
      </w:r>
      <w:r w:rsidR="00FA4C69" w:rsidRPr="00125009">
        <w:t xml:space="preserve"> they currently live.</w:t>
      </w:r>
    </w:p>
    <w:p w:rsidR="00835181" w:rsidRDefault="00835181" w:rsidP="00125009">
      <w:pPr>
        <w:pStyle w:val="Text"/>
      </w:pPr>
      <w:r w:rsidRPr="00125009" w:rsidDel="00654D1B">
        <w:t>This paper reports on one of thr</w:t>
      </w:r>
      <w:r w:rsidRPr="00804BE9" w:rsidDel="00654D1B">
        <w:t xml:space="preserve">ee topics that comprise a three-year program of work: </w:t>
      </w:r>
      <w:r w:rsidR="00602830">
        <w:t>‘</w:t>
      </w:r>
      <w:r w:rsidRPr="006C6143" w:rsidDel="00654D1B">
        <w:t>Geographical dimensions of social inclusion and VET in Australia</w:t>
      </w:r>
      <w:r w:rsidR="00602830">
        <w:t>’</w:t>
      </w:r>
      <w:r w:rsidRPr="00804BE9" w:rsidDel="00654D1B">
        <w:t>.</w:t>
      </w:r>
    </w:p>
    <w:p w:rsidR="009E231A" w:rsidRPr="00FE162C" w:rsidRDefault="00FE4A2D" w:rsidP="00125009">
      <w:pPr>
        <w:pStyle w:val="Keymessages"/>
      </w:pPr>
      <w:bookmarkStart w:id="20" w:name="_Toc98394878"/>
      <w:bookmarkStart w:id="21" w:name="_Toc296423682"/>
      <w:bookmarkStart w:id="22" w:name="_Toc296497513"/>
      <w:r w:rsidRPr="00FE162C">
        <w:t xml:space="preserve">Key </w:t>
      </w:r>
      <w:r w:rsidRPr="00125009">
        <w:t>messages</w:t>
      </w:r>
      <w:bookmarkEnd w:id="20"/>
      <w:bookmarkEnd w:id="21"/>
      <w:bookmarkEnd w:id="22"/>
    </w:p>
    <w:p w:rsidR="00835181" w:rsidRPr="00125009" w:rsidRDefault="00B9485D" w:rsidP="00125009">
      <w:pPr>
        <w:pStyle w:val="Dotpoint1"/>
      </w:pPr>
      <w:r>
        <w:t>Some groups are more prepared to move than others</w:t>
      </w:r>
      <w:r w:rsidR="0014260B">
        <w:t>.</w:t>
      </w:r>
      <w:r w:rsidR="00835181">
        <w:t xml:space="preserve"> In particular, individuals who are </w:t>
      </w:r>
      <w:r w:rsidR="00FA4C69">
        <w:t xml:space="preserve">looking for work (both employed </w:t>
      </w:r>
      <w:r w:rsidR="00FA4C69" w:rsidRPr="00125009">
        <w:t>and unemployed)</w:t>
      </w:r>
      <w:r w:rsidR="00835181" w:rsidRPr="00125009">
        <w:t xml:space="preserve"> indicate a strong willingness to relocate for work.</w:t>
      </w:r>
    </w:p>
    <w:p w:rsidR="008A27E8" w:rsidRPr="00125009" w:rsidRDefault="008A27E8" w:rsidP="00125009">
      <w:pPr>
        <w:pStyle w:val="Dotpoint1"/>
      </w:pPr>
      <w:r w:rsidRPr="00125009">
        <w:t>Individua</w:t>
      </w:r>
      <w:r w:rsidR="00835181" w:rsidRPr="00125009">
        <w:t>ls are more willing to move for jobs that</w:t>
      </w:r>
      <w:r w:rsidR="006C6143" w:rsidRPr="00125009">
        <w:t>:</w:t>
      </w:r>
      <w:r w:rsidR="00C077B4" w:rsidRPr="00125009">
        <w:t xml:space="preserve"> </w:t>
      </w:r>
      <w:r w:rsidRPr="00125009">
        <w:t xml:space="preserve">are </w:t>
      </w:r>
      <w:r w:rsidR="00C077B4" w:rsidRPr="00125009">
        <w:t>ongoing or</w:t>
      </w:r>
      <w:r w:rsidR="00835181" w:rsidRPr="00125009">
        <w:t xml:space="preserve"> longer-term rather than fixed-term</w:t>
      </w:r>
      <w:r w:rsidR="00C077B4" w:rsidRPr="00125009">
        <w:t xml:space="preserve">; </w:t>
      </w:r>
      <w:r w:rsidR="00835181" w:rsidRPr="00125009">
        <w:t>provide training</w:t>
      </w:r>
      <w:r w:rsidR="00FA4C69" w:rsidRPr="00125009">
        <w:t>;</w:t>
      </w:r>
      <w:r w:rsidR="00C077B4" w:rsidRPr="00125009">
        <w:t xml:space="preserve"> or </w:t>
      </w:r>
      <w:r w:rsidRPr="00125009">
        <w:t xml:space="preserve">involve a fly-in/fly-out </w:t>
      </w:r>
      <w:r w:rsidR="0014260B" w:rsidRPr="00125009">
        <w:t>contract</w:t>
      </w:r>
      <w:r w:rsidRPr="00125009">
        <w:t xml:space="preserve"> rather than </w:t>
      </w:r>
      <w:r w:rsidR="0014260B" w:rsidRPr="00125009">
        <w:t>permanent</w:t>
      </w:r>
      <w:r w:rsidRPr="00125009">
        <w:t xml:space="preserve"> </w:t>
      </w:r>
      <w:r w:rsidR="0014260B" w:rsidRPr="00125009">
        <w:t>relocation</w:t>
      </w:r>
      <w:r w:rsidRPr="00125009">
        <w:t>.</w:t>
      </w:r>
      <w:r w:rsidR="00C077B4" w:rsidRPr="00125009">
        <w:t xml:space="preserve"> </w:t>
      </w:r>
    </w:p>
    <w:p w:rsidR="00BF6D3C" w:rsidRDefault="00FA4C69" w:rsidP="00125009">
      <w:pPr>
        <w:pStyle w:val="Dotpoint1"/>
      </w:pPr>
      <w:r w:rsidRPr="00125009">
        <w:t>Some groups require wage incentives</w:t>
      </w:r>
      <w:r>
        <w:rPr>
          <w:color w:val="000000" w:themeColor="text1"/>
        </w:rPr>
        <w:t xml:space="preserve"> to accept a job in a regional location but others require no such incentives.</w:t>
      </w:r>
    </w:p>
    <w:p w:rsidR="00B9485D" w:rsidRPr="007B0896" w:rsidRDefault="00AF6B31" w:rsidP="00C066AD">
      <w:pPr>
        <w:pStyle w:val="Dotpoint2"/>
      </w:pPr>
      <w:r>
        <w:t xml:space="preserve">The size of the incentive depends on individual characteristics as well as </w:t>
      </w:r>
      <w:r w:rsidR="00CD4B96">
        <w:t xml:space="preserve">on </w:t>
      </w:r>
      <w:r w:rsidR="00592349">
        <w:t xml:space="preserve">the </w:t>
      </w:r>
      <w:r w:rsidR="00CD4B96">
        <w:t>job conditions being offered;</w:t>
      </w:r>
      <w:r w:rsidR="00B9485D" w:rsidRPr="00BF6D3C">
        <w:t xml:space="preserve"> </w:t>
      </w:r>
      <w:r w:rsidR="00BF6D3C">
        <w:t>for example</w:t>
      </w:r>
      <w:r>
        <w:t xml:space="preserve">, the preference </w:t>
      </w:r>
      <w:r w:rsidRPr="00C066AD">
        <w:t>for</w:t>
      </w:r>
      <w:r w:rsidR="00BF6D3C">
        <w:t xml:space="preserve"> fly-in/fly-</w:t>
      </w:r>
      <w:r w:rsidR="007B0896">
        <w:t xml:space="preserve">out </w:t>
      </w:r>
      <w:r w:rsidR="00B9485D" w:rsidRPr="00BF6D3C">
        <w:t xml:space="preserve">and training </w:t>
      </w:r>
      <w:r>
        <w:t>provision in the job contract reduces</w:t>
      </w:r>
      <w:r w:rsidR="00B9485D" w:rsidRPr="00BF6D3C">
        <w:t xml:space="preserve"> the size of </w:t>
      </w:r>
      <w:r>
        <w:t>any wage inc</w:t>
      </w:r>
      <w:r w:rsidR="00F87485">
        <w:t>entive that needs to be offered</w:t>
      </w:r>
      <w:r w:rsidR="00B9485D" w:rsidRPr="00BF6D3C">
        <w:t>.</w:t>
      </w:r>
    </w:p>
    <w:p w:rsidR="009E231A" w:rsidRPr="00BF6D3C" w:rsidRDefault="00BF6D3C" w:rsidP="00125009">
      <w:pPr>
        <w:pStyle w:val="Text"/>
      </w:pPr>
      <w:r>
        <w:t xml:space="preserve">This study suggests </w:t>
      </w:r>
      <w:r w:rsidR="00CD4B96">
        <w:t xml:space="preserve">that </w:t>
      </w:r>
      <w:r>
        <w:t>p</w:t>
      </w:r>
      <w:r w:rsidR="00B9485D" w:rsidRPr="00BF6D3C">
        <w:t xml:space="preserve">olicies </w:t>
      </w:r>
      <w:r w:rsidR="00AF6B31">
        <w:t>promoti</w:t>
      </w:r>
      <w:r w:rsidR="00BD3085">
        <w:t>ng geographical labour mobility</w:t>
      </w:r>
      <w:r w:rsidR="00B9485D" w:rsidRPr="00BF6D3C">
        <w:t xml:space="preserve"> are </w:t>
      </w:r>
      <w:r w:rsidR="00BD3085">
        <w:t xml:space="preserve">more </w:t>
      </w:r>
      <w:r w:rsidR="00B9485D" w:rsidRPr="00BF6D3C">
        <w:t xml:space="preserve">likely to </w:t>
      </w:r>
      <w:r w:rsidR="00BD3085">
        <w:t>s</w:t>
      </w:r>
      <w:r w:rsidR="00CD4B96">
        <w:t>ucceed if job offers include up</w:t>
      </w:r>
      <w:r w:rsidR="00BD3085">
        <w:t xml:space="preserve">skilling and reskilling opportunities and contracts </w:t>
      </w:r>
      <w:r w:rsidR="00F87485">
        <w:t xml:space="preserve">that </w:t>
      </w:r>
      <w:r w:rsidR="00BD3085">
        <w:t xml:space="preserve">are not short-term. Addressing the demand-side factors, such as </w:t>
      </w:r>
      <w:r w:rsidR="00CD4B96">
        <w:t xml:space="preserve">matching </w:t>
      </w:r>
      <w:r w:rsidR="00BD3085">
        <w:t>job seekers</w:t>
      </w:r>
      <w:r w:rsidR="00602830">
        <w:t>’</w:t>
      </w:r>
      <w:r w:rsidR="00BD3085">
        <w:t xml:space="preserve"> skills and experience </w:t>
      </w:r>
      <w:r w:rsidR="00CD4B96">
        <w:t>to</w:t>
      </w:r>
      <w:r w:rsidR="00BD3085">
        <w:t xml:space="preserve"> employer requirements</w:t>
      </w:r>
      <w:r w:rsidR="00CD4B96">
        <w:t>,</w:t>
      </w:r>
      <w:r w:rsidR="00BD3085">
        <w:t xml:space="preserve"> can also improve labour mobility.</w:t>
      </w:r>
    </w:p>
    <w:p w:rsidR="00C066AD" w:rsidRDefault="00C066AD" w:rsidP="00125009">
      <w:pPr>
        <w:pStyle w:val="Text"/>
      </w:pPr>
    </w:p>
    <w:p w:rsidR="009E231A" w:rsidRPr="00FE162C" w:rsidRDefault="0076147C" w:rsidP="00125009">
      <w:pPr>
        <w:pStyle w:val="Text"/>
      </w:pPr>
      <w:r>
        <w:t>Rod Camm</w:t>
      </w:r>
      <w:r w:rsidR="00FE4A2D" w:rsidRPr="00FE162C">
        <w:br/>
        <w:t>Managing Director, NCVER</w:t>
      </w:r>
    </w:p>
    <w:p w:rsidR="00BE558D" w:rsidRDefault="00BE558D">
      <w:pPr>
        <w:spacing w:before="0" w:line="240" w:lineRule="auto"/>
        <w:rPr>
          <w:rFonts w:ascii="Tahoma" w:hAnsi="Tahoma" w:cs="Tahoma"/>
          <w:color w:val="000000" w:themeColor="text1"/>
          <w:kern w:val="28"/>
          <w:sz w:val="56"/>
          <w:szCs w:val="56"/>
        </w:rPr>
      </w:pPr>
      <w:r>
        <w:rPr>
          <w:color w:val="000000" w:themeColor="text1"/>
        </w:rPr>
        <w:br w:type="page"/>
      </w:r>
    </w:p>
    <w:p w:rsidR="00867EA5" w:rsidRPr="008E3674" w:rsidRDefault="00867EA5" w:rsidP="00125009">
      <w:pPr>
        <w:pStyle w:val="Heading1"/>
      </w:pPr>
      <w:bookmarkStart w:id="23" w:name="_Toc386530475"/>
      <w:r w:rsidRPr="00125009">
        <w:lastRenderedPageBreak/>
        <w:t>Acknowledgments</w:t>
      </w:r>
      <w:bookmarkEnd w:id="23"/>
    </w:p>
    <w:p w:rsidR="00867EA5" w:rsidRDefault="00867EA5" w:rsidP="00C066AD">
      <w:pPr>
        <w:pStyle w:val="Text"/>
      </w:pPr>
      <w:r w:rsidRPr="007C0E3C">
        <w:t xml:space="preserve">We wish to thank </w:t>
      </w:r>
      <w:r>
        <w:t>Rajesh Kumar Rai for providing research assistance for the study. Thank you to Michael Long, Sue Webb</w:t>
      </w:r>
      <w:r w:rsidRPr="007C0E3C">
        <w:t xml:space="preserve"> and Gerald Burke for their feedback and support </w:t>
      </w:r>
      <w:r>
        <w:t>while we undertook this project</w:t>
      </w:r>
      <w:r w:rsidRPr="007C0E3C">
        <w:t>. We also wish to express our appreciation for constructive and helpful comments provided by Jo Hargreaves</w:t>
      </w:r>
      <w:r>
        <w:t xml:space="preserve"> at </w:t>
      </w:r>
      <w:r w:rsidRPr="00C066AD">
        <w:t>NCVER</w:t>
      </w:r>
      <w:r w:rsidR="00C20ED6">
        <w:t>,</w:t>
      </w:r>
      <w:r w:rsidRPr="007C0E3C">
        <w:t xml:space="preserve"> two anonymous referees</w:t>
      </w:r>
      <w:r w:rsidR="00C20ED6">
        <w:t xml:space="preserve"> and participants at the 2013 NCVER No Frill</w:t>
      </w:r>
      <w:r w:rsidR="0076147C">
        <w:t>s</w:t>
      </w:r>
      <w:r w:rsidR="00C20ED6">
        <w:t xml:space="preserve"> Conference, </w:t>
      </w:r>
      <w:r w:rsidR="00CD4B96">
        <w:t xml:space="preserve">the </w:t>
      </w:r>
      <w:r w:rsidR="00C20ED6">
        <w:t xml:space="preserve">2013 </w:t>
      </w:r>
      <w:r w:rsidR="00CD4B96">
        <w:t>Centre for the Economics of Education and Training (CEET)</w:t>
      </w:r>
      <w:r w:rsidR="00C20ED6">
        <w:t xml:space="preserve"> Annual National Conference and </w:t>
      </w:r>
      <w:r w:rsidR="00CD4B96">
        <w:t xml:space="preserve">the </w:t>
      </w:r>
      <w:r w:rsidR="00C20ED6">
        <w:t>2014 Australian Labour Market Research Workshop, where earlier versions of this report were presented</w:t>
      </w:r>
      <w:r w:rsidRPr="007C0E3C">
        <w:t>.</w:t>
      </w:r>
    </w:p>
    <w:p w:rsidR="008E3674" w:rsidRDefault="008E3674" w:rsidP="00867EA5">
      <w:pPr>
        <w:pStyle w:val="Text"/>
      </w:pPr>
    </w:p>
    <w:p w:rsidR="008E3674" w:rsidRDefault="00C066AD" w:rsidP="00C066AD">
      <w:pPr>
        <w:spacing w:before="0" w:line="240" w:lineRule="auto"/>
        <w:sectPr w:rsidR="008E3674" w:rsidSect="00125009">
          <w:pgSz w:w="11907" w:h="16840" w:code="9"/>
          <w:pgMar w:top="1276" w:right="1701" w:bottom="1276" w:left="1418" w:header="709" w:footer="556" w:gutter="0"/>
          <w:cols w:space="708"/>
          <w:docGrid w:linePitch="360"/>
        </w:sectPr>
      </w:pPr>
      <w:r>
        <w:br w:type="page"/>
      </w:r>
    </w:p>
    <w:p w:rsidR="009E231A" w:rsidRPr="00FE162C" w:rsidRDefault="00FE4A2D" w:rsidP="00874DA5">
      <w:pPr>
        <w:pStyle w:val="Contents"/>
        <w:rPr>
          <w:color w:val="000000" w:themeColor="text1"/>
        </w:rPr>
      </w:pPr>
      <w:bookmarkStart w:id="24" w:name="_Toc98394880"/>
      <w:bookmarkStart w:id="25" w:name="_Toc296423683"/>
      <w:bookmarkStart w:id="26" w:name="_Toc296497514"/>
      <w:r w:rsidRPr="00FE162C">
        <w:rPr>
          <w:color w:val="000000" w:themeColor="text1"/>
        </w:rPr>
        <w:lastRenderedPageBreak/>
        <w:t>Contents</w:t>
      </w:r>
      <w:bookmarkEnd w:id="24"/>
      <w:bookmarkEnd w:id="25"/>
      <w:bookmarkEnd w:id="26"/>
    </w:p>
    <w:p w:rsidR="0098787D" w:rsidRDefault="00406B75">
      <w:pPr>
        <w:pStyle w:val="TOC1"/>
        <w:rPr>
          <w:rFonts w:asciiTheme="minorHAnsi" w:eastAsiaTheme="minorEastAsia" w:hAnsiTheme="minorHAnsi" w:cstheme="minorBidi"/>
          <w:color w:val="auto"/>
          <w:sz w:val="22"/>
          <w:szCs w:val="22"/>
          <w:lang w:eastAsia="en-AU"/>
        </w:rPr>
      </w:pPr>
      <w:r w:rsidRPr="00FE162C">
        <w:rPr>
          <w:rFonts w:ascii="Avant Garde" w:hAnsi="Avant Garde"/>
          <w:color w:val="000000" w:themeColor="text1"/>
        </w:rPr>
        <w:fldChar w:fldCharType="begin"/>
      </w:r>
      <w:r w:rsidR="00FE4A2D" w:rsidRPr="00FE162C">
        <w:rPr>
          <w:rFonts w:ascii="Avant Garde" w:hAnsi="Avant Garde"/>
          <w:color w:val="000000" w:themeColor="text1"/>
        </w:rPr>
        <w:instrText xml:space="preserve"> TOC \o "1-2" </w:instrText>
      </w:r>
      <w:r w:rsidRPr="00FE162C">
        <w:rPr>
          <w:rFonts w:ascii="Avant Garde" w:hAnsi="Avant Garde"/>
          <w:color w:val="000000" w:themeColor="text1"/>
        </w:rPr>
        <w:fldChar w:fldCharType="separate"/>
      </w:r>
      <w:r w:rsidR="0098787D" w:rsidRPr="00B74429">
        <w:rPr>
          <w:color w:val="000000" w:themeColor="text1"/>
        </w:rPr>
        <w:t>Tables and figures</w:t>
      </w:r>
      <w:r w:rsidR="0098787D">
        <w:tab/>
      </w:r>
      <w:r w:rsidR="0098787D">
        <w:fldChar w:fldCharType="begin"/>
      </w:r>
      <w:r w:rsidR="0098787D">
        <w:instrText xml:space="preserve"> PAGEREF _Toc386530476 \h </w:instrText>
      </w:r>
      <w:r w:rsidR="0098787D">
        <w:fldChar w:fldCharType="separate"/>
      </w:r>
      <w:r w:rsidR="002F554E">
        <w:t>6</w:t>
      </w:r>
      <w:r w:rsidR="0098787D">
        <w:fldChar w:fldCharType="end"/>
      </w:r>
    </w:p>
    <w:p w:rsidR="0098787D" w:rsidRDefault="0098787D">
      <w:pPr>
        <w:pStyle w:val="TOC1"/>
        <w:rPr>
          <w:rFonts w:asciiTheme="minorHAnsi" w:eastAsiaTheme="minorEastAsia" w:hAnsiTheme="minorHAnsi" w:cstheme="minorBidi"/>
          <w:color w:val="auto"/>
          <w:sz w:val="22"/>
          <w:szCs w:val="22"/>
          <w:lang w:eastAsia="en-AU"/>
        </w:rPr>
      </w:pPr>
      <w:r w:rsidRPr="00B74429">
        <w:rPr>
          <w:color w:val="000000" w:themeColor="text1"/>
        </w:rPr>
        <w:t>Executive summary</w:t>
      </w:r>
      <w:r>
        <w:tab/>
      </w:r>
      <w:r>
        <w:fldChar w:fldCharType="begin"/>
      </w:r>
      <w:r>
        <w:instrText xml:space="preserve"> PAGEREF _Toc386530479 \h </w:instrText>
      </w:r>
      <w:r>
        <w:fldChar w:fldCharType="separate"/>
      </w:r>
      <w:r w:rsidR="002F554E">
        <w:t>7</w:t>
      </w:r>
      <w:r>
        <w:fldChar w:fldCharType="end"/>
      </w:r>
    </w:p>
    <w:p w:rsidR="0098787D" w:rsidRDefault="0098787D">
      <w:pPr>
        <w:pStyle w:val="TOC1"/>
        <w:rPr>
          <w:rFonts w:asciiTheme="minorHAnsi" w:eastAsiaTheme="minorEastAsia" w:hAnsiTheme="minorHAnsi" w:cstheme="minorBidi"/>
          <w:color w:val="auto"/>
          <w:sz w:val="22"/>
          <w:szCs w:val="22"/>
          <w:lang w:eastAsia="en-AU"/>
        </w:rPr>
      </w:pPr>
      <w:r w:rsidRPr="00B74429">
        <w:rPr>
          <w:color w:val="000000" w:themeColor="text1"/>
        </w:rPr>
        <w:t>Introduction</w:t>
      </w:r>
      <w:r>
        <w:tab/>
      </w:r>
      <w:r>
        <w:fldChar w:fldCharType="begin"/>
      </w:r>
      <w:r>
        <w:instrText xml:space="preserve"> PAGEREF _Toc386530480 \h </w:instrText>
      </w:r>
      <w:r>
        <w:fldChar w:fldCharType="separate"/>
      </w:r>
      <w:r w:rsidR="002F554E">
        <w:t>10</w:t>
      </w:r>
      <w:r>
        <w:fldChar w:fldCharType="end"/>
      </w:r>
    </w:p>
    <w:p w:rsidR="0098787D" w:rsidRDefault="0098787D">
      <w:pPr>
        <w:pStyle w:val="TOC2"/>
        <w:rPr>
          <w:rFonts w:asciiTheme="minorHAnsi" w:eastAsiaTheme="minorEastAsia" w:hAnsiTheme="minorHAnsi" w:cstheme="minorBidi"/>
          <w:color w:val="auto"/>
          <w:sz w:val="22"/>
          <w:szCs w:val="22"/>
          <w:lang w:eastAsia="en-AU"/>
        </w:rPr>
      </w:pPr>
      <w:r w:rsidRPr="00B74429">
        <w:rPr>
          <w:color w:val="000000" w:themeColor="text1"/>
        </w:rPr>
        <w:t>Background</w:t>
      </w:r>
      <w:r>
        <w:tab/>
      </w:r>
      <w:r>
        <w:fldChar w:fldCharType="begin"/>
      </w:r>
      <w:r>
        <w:instrText xml:space="preserve"> PAGEREF _Toc386530481 \h </w:instrText>
      </w:r>
      <w:r>
        <w:fldChar w:fldCharType="separate"/>
      </w:r>
      <w:r w:rsidR="002F554E">
        <w:t>10</w:t>
      </w:r>
      <w:r>
        <w:fldChar w:fldCharType="end"/>
      </w:r>
    </w:p>
    <w:p w:rsidR="0098787D" w:rsidRDefault="0098787D">
      <w:pPr>
        <w:pStyle w:val="TOC2"/>
        <w:rPr>
          <w:rFonts w:asciiTheme="minorHAnsi" w:eastAsiaTheme="minorEastAsia" w:hAnsiTheme="minorHAnsi" w:cstheme="minorBidi"/>
          <w:color w:val="auto"/>
          <w:sz w:val="22"/>
          <w:szCs w:val="22"/>
          <w:lang w:eastAsia="en-AU"/>
        </w:rPr>
      </w:pPr>
      <w:r w:rsidRPr="00B74429">
        <w:rPr>
          <w:color w:val="000000" w:themeColor="text1"/>
        </w:rPr>
        <w:t>This study</w:t>
      </w:r>
      <w:r>
        <w:tab/>
      </w:r>
      <w:r>
        <w:fldChar w:fldCharType="begin"/>
      </w:r>
      <w:r>
        <w:instrText xml:space="preserve"> PAGEREF _Toc386530482 \h </w:instrText>
      </w:r>
      <w:r>
        <w:fldChar w:fldCharType="separate"/>
      </w:r>
      <w:r w:rsidR="002F554E">
        <w:t>12</w:t>
      </w:r>
      <w:r>
        <w:fldChar w:fldCharType="end"/>
      </w:r>
    </w:p>
    <w:p w:rsidR="0098787D" w:rsidRDefault="0098787D">
      <w:pPr>
        <w:pStyle w:val="TOC2"/>
        <w:rPr>
          <w:rFonts w:asciiTheme="minorHAnsi" w:eastAsiaTheme="minorEastAsia" w:hAnsiTheme="minorHAnsi" w:cstheme="minorBidi"/>
          <w:color w:val="auto"/>
          <w:sz w:val="22"/>
          <w:szCs w:val="22"/>
          <w:lang w:eastAsia="en-AU"/>
        </w:rPr>
      </w:pPr>
      <w:r w:rsidRPr="00B74429">
        <w:rPr>
          <w:color w:val="000000" w:themeColor="text1"/>
        </w:rPr>
        <w:t>Overview of contents</w:t>
      </w:r>
      <w:r>
        <w:tab/>
      </w:r>
      <w:r>
        <w:fldChar w:fldCharType="begin"/>
      </w:r>
      <w:r>
        <w:instrText xml:space="preserve"> PAGEREF _Toc386530483 \h </w:instrText>
      </w:r>
      <w:r>
        <w:fldChar w:fldCharType="separate"/>
      </w:r>
      <w:r w:rsidR="002F554E">
        <w:t>13</w:t>
      </w:r>
      <w:r>
        <w:fldChar w:fldCharType="end"/>
      </w:r>
    </w:p>
    <w:p w:rsidR="0098787D" w:rsidRDefault="0098787D">
      <w:pPr>
        <w:pStyle w:val="TOC1"/>
        <w:rPr>
          <w:rFonts w:asciiTheme="minorHAnsi" w:eastAsiaTheme="minorEastAsia" w:hAnsiTheme="minorHAnsi" w:cstheme="minorBidi"/>
          <w:color w:val="auto"/>
          <w:sz w:val="22"/>
          <w:szCs w:val="22"/>
          <w:lang w:eastAsia="en-AU"/>
        </w:rPr>
      </w:pPr>
      <w:r w:rsidRPr="00B74429">
        <w:rPr>
          <w:color w:val="000000" w:themeColor="text1"/>
        </w:rPr>
        <w:t>Previous studies</w:t>
      </w:r>
      <w:r>
        <w:tab/>
      </w:r>
      <w:r>
        <w:fldChar w:fldCharType="begin"/>
      </w:r>
      <w:r>
        <w:instrText xml:space="preserve"> PAGEREF _Toc386530484 \h </w:instrText>
      </w:r>
      <w:r>
        <w:fldChar w:fldCharType="separate"/>
      </w:r>
      <w:r w:rsidR="002F554E">
        <w:t>14</w:t>
      </w:r>
      <w:r>
        <w:fldChar w:fldCharType="end"/>
      </w:r>
    </w:p>
    <w:p w:rsidR="0098787D" w:rsidRDefault="0098787D">
      <w:pPr>
        <w:pStyle w:val="TOC1"/>
        <w:rPr>
          <w:rFonts w:asciiTheme="minorHAnsi" w:eastAsiaTheme="minorEastAsia" w:hAnsiTheme="minorHAnsi" w:cstheme="minorBidi"/>
          <w:color w:val="auto"/>
          <w:sz w:val="22"/>
          <w:szCs w:val="22"/>
          <w:lang w:eastAsia="en-AU"/>
        </w:rPr>
      </w:pPr>
      <w:r w:rsidRPr="00B74429">
        <w:rPr>
          <w:color w:val="000000" w:themeColor="text1"/>
        </w:rPr>
        <w:t>Method</w:t>
      </w:r>
      <w:r>
        <w:tab/>
      </w:r>
      <w:r>
        <w:fldChar w:fldCharType="begin"/>
      </w:r>
      <w:r>
        <w:instrText xml:space="preserve"> PAGEREF _Toc386530485 \h </w:instrText>
      </w:r>
      <w:r>
        <w:fldChar w:fldCharType="separate"/>
      </w:r>
      <w:r w:rsidR="002F554E">
        <w:t>17</w:t>
      </w:r>
      <w:r>
        <w:fldChar w:fldCharType="end"/>
      </w:r>
    </w:p>
    <w:p w:rsidR="0098787D" w:rsidRDefault="0098787D">
      <w:pPr>
        <w:pStyle w:val="TOC2"/>
        <w:rPr>
          <w:rFonts w:asciiTheme="minorHAnsi" w:eastAsiaTheme="minorEastAsia" w:hAnsiTheme="minorHAnsi" w:cstheme="minorBidi"/>
          <w:color w:val="auto"/>
          <w:sz w:val="22"/>
          <w:szCs w:val="22"/>
          <w:lang w:eastAsia="en-AU"/>
        </w:rPr>
      </w:pPr>
      <w:r w:rsidRPr="00B74429">
        <w:rPr>
          <w:color w:val="000000" w:themeColor="text1"/>
        </w:rPr>
        <w:t>Discrete choice experiment</w:t>
      </w:r>
      <w:r>
        <w:tab/>
      </w:r>
      <w:r>
        <w:fldChar w:fldCharType="begin"/>
      </w:r>
      <w:r>
        <w:instrText xml:space="preserve"> PAGEREF _Toc386530486 \h </w:instrText>
      </w:r>
      <w:r>
        <w:fldChar w:fldCharType="separate"/>
      </w:r>
      <w:r w:rsidR="002F554E">
        <w:t>17</w:t>
      </w:r>
      <w:r>
        <w:fldChar w:fldCharType="end"/>
      </w:r>
    </w:p>
    <w:p w:rsidR="0098787D" w:rsidRDefault="0098787D">
      <w:pPr>
        <w:pStyle w:val="TOC2"/>
        <w:rPr>
          <w:rFonts w:asciiTheme="minorHAnsi" w:eastAsiaTheme="minorEastAsia" w:hAnsiTheme="minorHAnsi" w:cstheme="minorBidi"/>
          <w:color w:val="auto"/>
          <w:sz w:val="22"/>
          <w:szCs w:val="22"/>
          <w:lang w:eastAsia="en-AU"/>
        </w:rPr>
      </w:pPr>
      <w:r w:rsidRPr="00B74429">
        <w:rPr>
          <w:color w:val="000000" w:themeColor="text1"/>
        </w:rPr>
        <w:t>Selection of experimental design and construction of choice sets</w:t>
      </w:r>
      <w:r>
        <w:tab/>
      </w:r>
      <w:r>
        <w:fldChar w:fldCharType="begin"/>
      </w:r>
      <w:r>
        <w:instrText xml:space="preserve"> PAGEREF _Toc386530487 \h </w:instrText>
      </w:r>
      <w:r>
        <w:fldChar w:fldCharType="separate"/>
      </w:r>
      <w:r w:rsidR="002F554E">
        <w:t>18</w:t>
      </w:r>
      <w:r>
        <w:fldChar w:fldCharType="end"/>
      </w:r>
    </w:p>
    <w:p w:rsidR="0098787D" w:rsidRDefault="0098787D">
      <w:pPr>
        <w:pStyle w:val="TOC2"/>
        <w:rPr>
          <w:rFonts w:asciiTheme="minorHAnsi" w:eastAsiaTheme="minorEastAsia" w:hAnsiTheme="minorHAnsi" w:cstheme="minorBidi"/>
          <w:color w:val="auto"/>
          <w:sz w:val="22"/>
          <w:szCs w:val="22"/>
          <w:lang w:eastAsia="en-AU"/>
        </w:rPr>
      </w:pPr>
      <w:r w:rsidRPr="00B74429">
        <w:rPr>
          <w:color w:val="000000" w:themeColor="text1"/>
        </w:rPr>
        <w:t>Data</w:t>
      </w:r>
      <w:r>
        <w:tab/>
      </w:r>
      <w:r>
        <w:fldChar w:fldCharType="begin"/>
      </w:r>
      <w:r>
        <w:instrText xml:space="preserve"> PAGEREF _Toc386530488 \h </w:instrText>
      </w:r>
      <w:r>
        <w:fldChar w:fldCharType="separate"/>
      </w:r>
      <w:r w:rsidR="002F554E">
        <w:t>20</w:t>
      </w:r>
      <w:r>
        <w:fldChar w:fldCharType="end"/>
      </w:r>
    </w:p>
    <w:p w:rsidR="0098787D" w:rsidRDefault="0098787D">
      <w:pPr>
        <w:pStyle w:val="TOC1"/>
        <w:rPr>
          <w:rFonts w:asciiTheme="minorHAnsi" w:eastAsiaTheme="minorEastAsia" w:hAnsiTheme="minorHAnsi" w:cstheme="minorBidi"/>
          <w:color w:val="auto"/>
          <w:sz w:val="22"/>
          <w:szCs w:val="22"/>
          <w:lang w:eastAsia="en-AU"/>
        </w:rPr>
      </w:pPr>
      <w:r w:rsidRPr="00B74429">
        <w:rPr>
          <w:color w:val="000000" w:themeColor="text1"/>
        </w:rPr>
        <w:t>Results</w:t>
      </w:r>
      <w:r>
        <w:tab/>
      </w:r>
      <w:r>
        <w:fldChar w:fldCharType="begin"/>
      </w:r>
      <w:r>
        <w:instrText xml:space="preserve"> PAGEREF _Toc386530489 \h </w:instrText>
      </w:r>
      <w:r>
        <w:fldChar w:fldCharType="separate"/>
      </w:r>
      <w:r w:rsidR="002F554E">
        <w:t>23</w:t>
      </w:r>
      <w:r>
        <w:fldChar w:fldCharType="end"/>
      </w:r>
    </w:p>
    <w:p w:rsidR="0098787D" w:rsidRDefault="0098787D">
      <w:pPr>
        <w:pStyle w:val="TOC2"/>
        <w:rPr>
          <w:rFonts w:asciiTheme="minorHAnsi" w:eastAsiaTheme="minorEastAsia" w:hAnsiTheme="minorHAnsi" w:cstheme="minorBidi"/>
          <w:color w:val="auto"/>
          <w:sz w:val="22"/>
          <w:szCs w:val="22"/>
          <w:lang w:eastAsia="en-AU"/>
        </w:rPr>
      </w:pPr>
      <w:r w:rsidRPr="00B74429">
        <w:rPr>
          <w:color w:val="000000" w:themeColor="text1"/>
        </w:rPr>
        <w:t>The effect of location and destination</w:t>
      </w:r>
      <w:r>
        <w:tab/>
      </w:r>
      <w:r>
        <w:fldChar w:fldCharType="begin"/>
      </w:r>
      <w:r>
        <w:instrText xml:space="preserve"> PAGEREF _Toc386530490 \h </w:instrText>
      </w:r>
      <w:r>
        <w:fldChar w:fldCharType="separate"/>
      </w:r>
      <w:r w:rsidR="002F554E">
        <w:t>23</w:t>
      </w:r>
      <w:r>
        <w:fldChar w:fldCharType="end"/>
      </w:r>
    </w:p>
    <w:p w:rsidR="0098787D" w:rsidRDefault="0098787D">
      <w:pPr>
        <w:pStyle w:val="TOC2"/>
        <w:rPr>
          <w:rFonts w:asciiTheme="minorHAnsi" w:eastAsiaTheme="minorEastAsia" w:hAnsiTheme="minorHAnsi" w:cstheme="minorBidi"/>
          <w:color w:val="auto"/>
          <w:sz w:val="22"/>
          <w:szCs w:val="22"/>
          <w:lang w:eastAsia="en-AU"/>
        </w:rPr>
      </w:pPr>
      <w:r w:rsidRPr="00B74429">
        <w:rPr>
          <w:color w:val="000000" w:themeColor="text1"/>
        </w:rPr>
        <w:t>Determinants of willingness to move</w:t>
      </w:r>
      <w:r>
        <w:tab/>
      </w:r>
      <w:r>
        <w:fldChar w:fldCharType="begin"/>
      </w:r>
      <w:r>
        <w:instrText xml:space="preserve"> PAGEREF _Toc386530491 \h </w:instrText>
      </w:r>
      <w:r>
        <w:fldChar w:fldCharType="separate"/>
      </w:r>
      <w:r w:rsidR="002F554E">
        <w:t>23</w:t>
      </w:r>
      <w:r>
        <w:fldChar w:fldCharType="end"/>
      </w:r>
    </w:p>
    <w:p w:rsidR="0098787D" w:rsidRDefault="0098787D">
      <w:pPr>
        <w:pStyle w:val="TOC2"/>
        <w:rPr>
          <w:rFonts w:asciiTheme="minorHAnsi" w:eastAsiaTheme="minorEastAsia" w:hAnsiTheme="minorHAnsi" w:cstheme="minorBidi"/>
          <w:color w:val="auto"/>
          <w:sz w:val="22"/>
          <w:szCs w:val="22"/>
          <w:lang w:eastAsia="en-AU"/>
        </w:rPr>
      </w:pPr>
      <w:r w:rsidRPr="00B74429">
        <w:rPr>
          <w:color w:val="000000" w:themeColor="text1"/>
        </w:rPr>
        <w:t>Estimates of marginal willingness to pay</w:t>
      </w:r>
      <w:r>
        <w:tab/>
      </w:r>
      <w:r>
        <w:fldChar w:fldCharType="begin"/>
      </w:r>
      <w:r>
        <w:instrText xml:space="preserve"> PAGEREF _Toc386530492 \h </w:instrText>
      </w:r>
      <w:r>
        <w:fldChar w:fldCharType="separate"/>
      </w:r>
      <w:r w:rsidR="002F554E">
        <w:t>27</w:t>
      </w:r>
      <w:r>
        <w:fldChar w:fldCharType="end"/>
      </w:r>
    </w:p>
    <w:p w:rsidR="0098787D" w:rsidRDefault="0098787D">
      <w:pPr>
        <w:pStyle w:val="TOC2"/>
        <w:rPr>
          <w:rFonts w:asciiTheme="minorHAnsi" w:eastAsiaTheme="minorEastAsia" w:hAnsiTheme="minorHAnsi" w:cstheme="minorBidi"/>
          <w:color w:val="auto"/>
          <w:sz w:val="22"/>
          <w:szCs w:val="22"/>
          <w:lang w:eastAsia="en-AU"/>
        </w:rPr>
      </w:pPr>
      <w:r w:rsidRPr="00B74429">
        <w:rPr>
          <w:color w:val="000000" w:themeColor="text1"/>
        </w:rPr>
        <w:t>Estimates of total willingness to pay</w:t>
      </w:r>
      <w:r>
        <w:tab/>
      </w:r>
      <w:r>
        <w:fldChar w:fldCharType="begin"/>
      </w:r>
      <w:r>
        <w:instrText xml:space="preserve"> PAGEREF _Toc386530493 \h </w:instrText>
      </w:r>
      <w:r>
        <w:fldChar w:fldCharType="separate"/>
      </w:r>
      <w:r w:rsidR="002F554E">
        <w:t>31</w:t>
      </w:r>
      <w:r>
        <w:fldChar w:fldCharType="end"/>
      </w:r>
    </w:p>
    <w:p w:rsidR="0098787D" w:rsidRDefault="0098787D">
      <w:pPr>
        <w:pStyle w:val="TOC1"/>
        <w:rPr>
          <w:rFonts w:asciiTheme="minorHAnsi" w:eastAsiaTheme="minorEastAsia" w:hAnsiTheme="minorHAnsi" w:cstheme="minorBidi"/>
          <w:color w:val="auto"/>
          <w:sz w:val="22"/>
          <w:szCs w:val="22"/>
          <w:lang w:eastAsia="en-AU"/>
        </w:rPr>
      </w:pPr>
      <w:r w:rsidRPr="00B74429">
        <w:rPr>
          <w:color w:val="000000" w:themeColor="text1"/>
        </w:rPr>
        <w:t>Concluding comments</w:t>
      </w:r>
      <w:r>
        <w:tab/>
      </w:r>
      <w:r>
        <w:fldChar w:fldCharType="begin"/>
      </w:r>
      <w:r>
        <w:instrText xml:space="preserve"> PAGEREF _Toc386530494 \h </w:instrText>
      </w:r>
      <w:r>
        <w:fldChar w:fldCharType="separate"/>
      </w:r>
      <w:r w:rsidR="002F554E">
        <w:t>35</w:t>
      </w:r>
      <w:r>
        <w:fldChar w:fldCharType="end"/>
      </w:r>
    </w:p>
    <w:p w:rsidR="0098787D" w:rsidRDefault="0098787D">
      <w:pPr>
        <w:pStyle w:val="TOC2"/>
        <w:rPr>
          <w:rFonts w:asciiTheme="minorHAnsi" w:eastAsiaTheme="minorEastAsia" w:hAnsiTheme="minorHAnsi" w:cstheme="minorBidi"/>
          <w:color w:val="auto"/>
          <w:sz w:val="22"/>
          <w:szCs w:val="22"/>
          <w:lang w:eastAsia="en-AU"/>
        </w:rPr>
      </w:pPr>
      <w:r>
        <w:t>Limitations</w:t>
      </w:r>
      <w:r>
        <w:tab/>
      </w:r>
      <w:r>
        <w:fldChar w:fldCharType="begin"/>
      </w:r>
      <w:r>
        <w:instrText xml:space="preserve"> PAGEREF _Toc386530495 \h </w:instrText>
      </w:r>
      <w:r>
        <w:fldChar w:fldCharType="separate"/>
      </w:r>
      <w:r w:rsidR="002F554E">
        <w:t>36</w:t>
      </w:r>
      <w:r>
        <w:fldChar w:fldCharType="end"/>
      </w:r>
    </w:p>
    <w:p w:rsidR="0098787D" w:rsidRDefault="0098787D">
      <w:pPr>
        <w:pStyle w:val="TOC1"/>
        <w:rPr>
          <w:rFonts w:asciiTheme="minorHAnsi" w:eastAsiaTheme="minorEastAsia" w:hAnsiTheme="minorHAnsi" w:cstheme="minorBidi"/>
          <w:color w:val="auto"/>
          <w:sz w:val="22"/>
          <w:szCs w:val="22"/>
          <w:lang w:eastAsia="en-AU"/>
        </w:rPr>
      </w:pPr>
      <w:r w:rsidRPr="00B74429">
        <w:rPr>
          <w:color w:val="000000" w:themeColor="text1"/>
        </w:rPr>
        <w:t>References</w:t>
      </w:r>
      <w:r>
        <w:tab/>
      </w:r>
      <w:r>
        <w:fldChar w:fldCharType="begin"/>
      </w:r>
      <w:r>
        <w:instrText xml:space="preserve"> PAGEREF _Toc386530496 \h </w:instrText>
      </w:r>
      <w:r>
        <w:fldChar w:fldCharType="separate"/>
      </w:r>
      <w:r w:rsidR="002F554E">
        <w:t>37</w:t>
      </w:r>
      <w:r>
        <w:fldChar w:fldCharType="end"/>
      </w:r>
    </w:p>
    <w:p w:rsidR="0098787D" w:rsidRDefault="0098787D">
      <w:pPr>
        <w:pStyle w:val="TOC1"/>
        <w:rPr>
          <w:color w:val="000000" w:themeColor="text1"/>
        </w:rPr>
      </w:pPr>
      <w:r w:rsidRPr="00B74429">
        <w:rPr>
          <w:color w:val="000000" w:themeColor="text1"/>
        </w:rPr>
        <w:t>Appendi</w:t>
      </w:r>
      <w:r>
        <w:rPr>
          <w:color w:val="000000" w:themeColor="text1"/>
        </w:rPr>
        <w:t>ces</w:t>
      </w:r>
    </w:p>
    <w:p w:rsidR="0098787D" w:rsidRDefault="0098787D" w:rsidP="0098787D">
      <w:pPr>
        <w:pStyle w:val="TOC2"/>
        <w:rPr>
          <w:rFonts w:asciiTheme="minorHAnsi" w:eastAsiaTheme="minorEastAsia" w:hAnsiTheme="minorHAnsi" w:cstheme="minorBidi"/>
          <w:color w:val="auto"/>
          <w:sz w:val="22"/>
          <w:szCs w:val="22"/>
          <w:lang w:eastAsia="en-AU"/>
        </w:rPr>
      </w:pPr>
      <w:r w:rsidRPr="00B74429">
        <w:rPr>
          <w:color w:val="000000" w:themeColor="text1"/>
        </w:rPr>
        <w:t>A: Choice experiments</w:t>
      </w:r>
      <w:r>
        <w:tab/>
      </w:r>
      <w:r>
        <w:fldChar w:fldCharType="begin"/>
      </w:r>
      <w:r>
        <w:instrText xml:space="preserve"> PAGEREF _Toc386530497 \h </w:instrText>
      </w:r>
      <w:r>
        <w:fldChar w:fldCharType="separate"/>
      </w:r>
      <w:r w:rsidR="002F554E">
        <w:t>40</w:t>
      </w:r>
      <w:r>
        <w:fldChar w:fldCharType="end"/>
      </w:r>
    </w:p>
    <w:p w:rsidR="0098787D" w:rsidRDefault="0098787D" w:rsidP="0098787D">
      <w:pPr>
        <w:pStyle w:val="TOC2"/>
        <w:rPr>
          <w:rFonts w:asciiTheme="minorHAnsi" w:eastAsiaTheme="minorEastAsia" w:hAnsiTheme="minorHAnsi" w:cstheme="minorBidi"/>
          <w:color w:val="auto"/>
          <w:sz w:val="22"/>
          <w:szCs w:val="22"/>
          <w:lang w:eastAsia="en-AU"/>
        </w:rPr>
      </w:pPr>
      <w:r w:rsidRPr="00B74429">
        <w:rPr>
          <w:color w:val="000000" w:themeColor="text1"/>
        </w:rPr>
        <w:t>B: Jobs choice context</w:t>
      </w:r>
      <w:r>
        <w:tab/>
      </w:r>
      <w:r>
        <w:fldChar w:fldCharType="begin"/>
      </w:r>
      <w:r>
        <w:instrText xml:space="preserve"> PAGEREF _Toc386530498 \h </w:instrText>
      </w:r>
      <w:r>
        <w:fldChar w:fldCharType="separate"/>
      </w:r>
      <w:r w:rsidR="002F554E">
        <w:t>41</w:t>
      </w:r>
      <w:r>
        <w:fldChar w:fldCharType="end"/>
      </w:r>
    </w:p>
    <w:p w:rsidR="0098787D" w:rsidRDefault="0098787D" w:rsidP="0098787D">
      <w:pPr>
        <w:pStyle w:val="TOC2"/>
        <w:rPr>
          <w:rFonts w:asciiTheme="minorHAnsi" w:eastAsiaTheme="minorEastAsia" w:hAnsiTheme="minorHAnsi" w:cstheme="minorBidi"/>
          <w:color w:val="auto"/>
          <w:sz w:val="22"/>
          <w:szCs w:val="22"/>
          <w:lang w:eastAsia="en-AU"/>
        </w:rPr>
      </w:pPr>
      <w:r>
        <w:t>C: Estimates from mixed multinomial logit model</w:t>
      </w:r>
      <w:r>
        <w:tab/>
      </w:r>
      <w:r>
        <w:fldChar w:fldCharType="begin"/>
      </w:r>
      <w:r>
        <w:instrText xml:space="preserve"> PAGEREF _Toc386530500 \h </w:instrText>
      </w:r>
      <w:r>
        <w:fldChar w:fldCharType="separate"/>
      </w:r>
      <w:r w:rsidR="002F554E">
        <w:t>45</w:t>
      </w:r>
      <w:r>
        <w:fldChar w:fldCharType="end"/>
      </w:r>
    </w:p>
    <w:p w:rsidR="0098787D" w:rsidRDefault="0098787D" w:rsidP="0098787D">
      <w:pPr>
        <w:pStyle w:val="TOC2"/>
        <w:rPr>
          <w:rFonts w:asciiTheme="minorHAnsi" w:eastAsiaTheme="minorEastAsia" w:hAnsiTheme="minorHAnsi" w:cstheme="minorBidi"/>
          <w:color w:val="auto"/>
          <w:sz w:val="22"/>
          <w:szCs w:val="22"/>
          <w:lang w:eastAsia="en-AU"/>
        </w:rPr>
      </w:pPr>
      <w:r w:rsidRPr="00B74429">
        <w:rPr>
          <w:color w:val="000000" w:themeColor="text1"/>
        </w:rPr>
        <w:t xml:space="preserve">D: Estimation and </w:t>
      </w:r>
      <w:r w:rsidR="007F4EB6">
        <w:rPr>
          <w:color w:val="000000" w:themeColor="text1"/>
        </w:rPr>
        <w:t>d</w:t>
      </w:r>
      <w:r w:rsidRPr="00B74429">
        <w:rPr>
          <w:color w:val="000000" w:themeColor="text1"/>
        </w:rPr>
        <w:t>esign</w:t>
      </w:r>
      <w:r>
        <w:tab/>
      </w:r>
      <w:r>
        <w:fldChar w:fldCharType="begin"/>
      </w:r>
      <w:r>
        <w:instrText xml:space="preserve"> PAGEREF _Toc386530501 \h </w:instrText>
      </w:r>
      <w:r>
        <w:fldChar w:fldCharType="separate"/>
      </w:r>
      <w:r w:rsidR="002F554E">
        <w:t>46</w:t>
      </w:r>
      <w:r>
        <w:fldChar w:fldCharType="end"/>
      </w:r>
    </w:p>
    <w:p w:rsidR="0098787D" w:rsidRDefault="0098787D">
      <w:pPr>
        <w:pStyle w:val="TOC1"/>
        <w:rPr>
          <w:rFonts w:asciiTheme="minorHAnsi" w:eastAsiaTheme="minorEastAsia" w:hAnsiTheme="minorHAnsi" w:cstheme="minorBidi"/>
          <w:color w:val="auto"/>
          <w:sz w:val="22"/>
          <w:szCs w:val="22"/>
          <w:lang w:eastAsia="en-AU"/>
        </w:rPr>
      </w:pPr>
      <w:r w:rsidRPr="00B74429">
        <w:rPr>
          <w:color w:val="000000" w:themeColor="text1"/>
        </w:rPr>
        <w:t>NVETR Program funding</w:t>
      </w:r>
      <w:r>
        <w:tab/>
      </w:r>
      <w:r>
        <w:fldChar w:fldCharType="begin"/>
      </w:r>
      <w:r>
        <w:instrText xml:space="preserve"> PAGEREF _Toc386530502 \h </w:instrText>
      </w:r>
      <w:r>
        <w:fldChar w:fldCharType="separate"/>
      </w:r>
      <w:r w:rsidR="002F554E">
        <w:t>48</w:t>
      </w:r>
      <w:r>
        <w:fldChar w:fldCharType="end"/>
      </w:r>
    </w:p>
    <w:p w:rsidR="004E7227" w:rsidRPr="00FE162C" w:rsidRDefault="00406B75" w:rsidP="0048643A">
      <w:pPr>
        <w:pStyle w:val="Text"/>
        <w:rPr>
          <w:color w:val="000000" w:themeColor="text1"/>
        </w:rPr>
      </w:pPr>
      <w:r w:rsidRPr="00FE162C">
        <w:rPr>
          <w:color w:val="000000" w:themeColor="text1"/>
        </w:rPr>
        <w:fldChar w:fldCharType="end"/>
      </w:r>
    </w:p>
    <w:p w:rsidR="00C066AD" w:rsidRDefault="00C066AD">
      <w:pPr>
        <w:spacing w:before="0" w:line="240" w:lineRule="auto"/>
        <w:rPr>
          <w:rFonts w:ascii="Tahoma" w:hAnsi="Tahoma" w:cs="Tahoma"/>
          <w:color w:val="000000" w:themeColor="text1"/>
          <w:kern w:val="28"/>
          <w:sz w:val="56"/>
          <w:szCs w:val="56"/>
        </w:rPr>
      </w:pPr>
      <w:r>
        <w:rPr>
          <w:color w:val="000000" w:themeColor="text1"/>
        </w:rPr>
        <w:br w:type="page"/>
      </w:r>
    </w:p>
    <w:p w:rsidR="004E7227" w:rsidRPr="00FE162C" w:rsidRDefault="004E7227" w:rsidP="004E7227">
      <w:pPr>
        <w:pStyle w:val="Heading1"/>
        <w:rPr>
          <w:color w:val="000000" w:themeColor="text1"/>
        </w:rPr>
      </w:pPr>
      <w:bookmarkStart w:id="27" w:name="_Toc386530476"/>
      <w:r w:rsidRPr="00FE162C">
        <w:rPr>
          <w:color w:val="000000" w:themeColor="text1"/>
        </w:rPr>
        <w:lastRenderedPageBreak/>
        <w:t>Tables and figures</w:t>
      </w:r>
      <w:bookmarkEnd w:id="27"/>
    </w:p>
    <w:p w:rsidR="004E7227" w:rsidRPr="00FE162C" w:rsidRDefault="004E7227" w:rsidP="004E7227">
      <w:pPr>
        <w:pStyle w:val="Heading2"/>
        <w:rPr>
          <w:color w:val="000000" w:themeColor="text1"/>
        </w:rPr>
      </w:pPr>
      <w:bookmarkStart w:id="28" w:name="_Toc296497516"/>
      <w:bookmarkStart w:id="29" w:name="_Toc298162801"/>
      <w:bookmarkStart w:id="30" w:name="_Toc381276702"/>
      <w:bookmarkStart w:id="31" w:name="_Toc385325503"/>
      <w:bookmarkStart w:id="32" w:name="_Toc386530477"/>
      <w:r w:rsidRPr="00FE162C">
        <w:rPr>
          <w:color w:val="000000" w:themeColor="text1"/>
        </w:rPr>
        <w:t>Tables</w:t>
      </w:r>
      <w:bookmarkEnd w:id="28"/>
      <w:bookmarkEnd w:id="29"/>
      <w:bookmarkEnd w:id="30"/>
      <w:bookmarkEnd w:id="31"/>
      <w:bookmarkEnd w:id="32"/>
    </w:p>
    <w:p w:rsidR="0098787D" w:rsidRDefault="00406B75" w:rsidP="0098787D">
      <w:pPr>
        <w:pStyle w:val="TableofFigures"/>
        <w:rPr>
          <w:rFonts w:asciiTheme="minorHAnsi" w:eastAsiaTheme="minorEastAsia" w:hAnsiTheme="minorHAnsi" w:cstheme="minorBidi"/>
          <w:color w:val="auto"/>
          <w:sz w:val="22"/>
          <w:szCs w:val="22"/>
          <w:lang w:eastAsia="en-AU"/>
        </w:rPr>
      </w:pPr>
      <w:r w:rsidRPr="00FE162C">
        <w:rPr>
          <w:color w:val="000000" w:themeColor="text1"/>
        </w:rPr>
        <w:fldChar w:fldCharType="begin"/>
      </w:r>
      <w:r w:rsidR="004E7227" w:rsidRPr="00FE162C">
        <w:rPr>
          <w:color w:val="000000" w:themeColor="text1"/>
        </w:rPr>
        <w:instrText xml:space="preserve"> TOC \f F \t "tabletitle" \c </w:instrText>
      </w:r>
      <w:r w:rsidRPr="00FE162C">
        <w:rPr>
          <w:color w:val="000000" w:themeColor="text1"/>
        </w:rPr>
        <w:fldChar w:fldCharType="separate"/>
      </w:r>
      <w:r w:rsidR="0098787D">
        <w:t>1</w:t>
      </w:r>
      <w:r w:rsidR="0098787D">
        <w:rPr>
          <w:rFonts w:asciiTheme="minorHAnsi" w:eastAsiaTheme="minorEastAsia" w:hAnsiTheme="minorHAnsi" w:cstheme="minorBidi"/>
          <w:color w:val="auto"/>
          <w:sz w:val="22"/>
          <w:szCs w:val="22"/>
          <w:lang w:eastAsia="en-AU"/>
        </w:rPr>
        <w:tab/>
      </w:r>
      <w:r w:rsidR="0098787D">
        <w:t xml:space="preserve">Selected characteristics </w:t>
      </w:r>
      <w:r w:rsidR="0098787D" w:rsidRPr="0098787D">
        <w:t>of</w:t>
      </w:r>
      <w:r w:rsidR="0098787D">
        <w:t xml:space="preserve"> respondents</w:t>
      </w:r>
      <w:r w:rsidR="0098787D">
        <w:tab/>
      </w:r>
      <w:r w:rsidR="0098787D">
        <w:fldChar w:fldCharType="begin"/>
      </w:r>
      <w:r w:rsidR="0098787D">
        <w:instrText xml:space="preserve"> PAGEREF _Toc386530550 \h </w:instrText>
      </w:r>
      <w:r w:rsidR="0098787D">
        <w:fldChar w:fldCharType="separate"/>
      </w:r>
      <w:r w:rsidR="002F554E">
        <w:t>22</w:t>
      </w:r>
      <w:r w:rsidR="0098787D">
        <w:fldChar w:fldCharType="end"/>
      </w:r>
    </w:p>
    <w:p w:rsidR="0098787D" w:rsidRDefault="0098787D" w:rsidP="0098787D">
      <w:pPr>
        <w:pStyle w:val="TableofFigure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Percentage of all job offers accepted (</w:t>
      </w:r>
      <w:r w:rsidRPr="0098787D">
        <w:t>distance</w:t>
      </w:r>
      <w:r>
        <w:t xml:space="preserve"> to destination), </w:t>
      </w:r>
      <w:r>
        <w:br/>
        <w:t>pooled responses</w:t>
      </w:r>
      <w:r>
        <w:tab/>
      </w:r>
      <w:r>
        <w:fldChar w:fldCharType="begin"/>
      </w:r>
      <w:r>
        <w:instrText xml:space="preserve"> PAGEREF _Toc386530551 \h </w:instrText>
      </w:r>
      <w:r>
        <w:fldChar w:fldCharType="separate"/>
      </w:r>
      <w:r w:rsidR="002F554E">
        <w:t>23</w:t>
      </w:r>
      <w:r>
        <w:fldChar w:fldCharType="end"/>
      </w:r>
    </w:p>
    <w:p w:rsidR="0098787D" w:rsidRDefault="0098787D">
      <w:pPr>
        <w:pStyle w:val="TableofFigures"/>
        <w:tabs>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 xml:space="preserve">Probit estimates of willingness to accept job offers in Karratha </w:t>
      </w:r>
      <w:r>
        <w:br/>
        <w:t>and Emerald</w:t>
      </w:r>
      <w:r>
        <w:tab/>
      </w:r>
      <w:r>
        <w:fldChar w:fldCharType="begin"/>
      </w:r>
      <w:r>
        <w:instrText xml:space="preserve"> PAGEREF _Toc386530552 \h </w:instrText>
      </w:r>
      <w:r>
        <w:fldChar w:fldCharType="separate"/>
      </w:r>
      <w:r w:rsidR="002F554E">
        <w:t>26</w:t>
      </w:r>
      <w:r>
        <w:fldChar w:fldCharType="end"/>
      </w:r>
    </w:p>
    <w:p w:rsidR="0098787D" w:rsidRDefault="0098787D">
      <w:pPr>
        <w:pStyle w:val="TableofFigures"/>
        <w:tabs>
          <w:tab w:val="left" w:pos="88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Estimates of marginal willingness to pay, percentage and dollar equivalent of average annual wage</w:t>
      </w:r>
      <w:r>
        <w:tab/>
      </w:r>
      <w:r>
        <w:fldChar w:fldCharType="begin"/>
      </w:r>
      <w:r>
        <w:instrText xml:space="preserve"> PAGEREF _Toc386530553 \h </w:instrText>
      </w:r>
      <w:r>
        <w:fldChar w:fldCharType="separate"/>
      </w:r>
      <w:r w:rsidR="002F554E">
        <w:t>30</w:t>
      </w:r>
      <w:r>
        <w:fldChar w:fldCharType="end"/>
      </w:r>
    </w:p>
    <w:p w:rsidR="0098787D" w:rsidRDefault="0098787D">
      <w:pPr>
        <w:pStyle w:val="TableofFigures"/>
        <w:tabs>
          <w:tab w:val="left" w:pos="880"/>
        </w:tabs>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 xml:space="preserve">Minimum total willingness to pay to get 25, 50 and 75% of a group </w:t>
      </w:r>
      <w:r>
        <w:br/>
        <w:t xml:space="preserve">to accept jobs which are ongoing, have no training component and </w:t>
      </w:r>
      <w:r>
        <w:br/>
        <w:t>require relocation to either Emerald or Karratha</w:t>
      </w:r>
      <w:r>
        <w:tab/>
      </w:r>
      <w:r>
        <w:fldChar w:fldCharType="begin"/>
      </w:r>
      <w:r>
        <w:instrText xml:space="preserve"> PAGEREF _Toc386530554 \h </w:instrText>
      </w:r>
      <w:r>
        <w:fldChar w:fldCharType="separate"/>
      </w:r>
      <w:r w:rsidR="002F554E">
        <w:t>33</w:t>
      </w:r>
      <w:r>
        <w:fldChar w:fldCharType="end"/>
      </w:r>
    </w:p>
    <w:p w:rsidR="0098787D" w:rsidRDefault="0098787D">
      <w:pPr>
        <w:pStyle w:val="TableofFigures"/>
        <w:tabs>
          <w:tab w:val="left" w:pos="880"/>
        </w:tabs>
        <w:rPr>
          <w:rFonts w:asciiTheme="minorHAnsi" w:eastAsiaTheme="minorEastAsia" w:hAnsiTheme="minorHAnsi" w:cstheme="minorBidi"/>
          <w:color w:val="auto"/>
          <w:sz w:val="22"/>
          <w:szCs w:val="22"/>
          <w:lang w:eastAsia="en-AU"/>
        </w:rPr>
      </w:pPr>
      <w:r w:rsidRPr="00FA1202">
        <w:rPr>
          <w:color w:val="000000" w:themeColor="text1"/>
        </w:rPr>
        <w:t>6</w:t>
      </w:r>
      <w:r>
        <w:rPr>
          <w:rFonts w:asciiTheme="minorHAnsi" w:eastAsiaTheme="minorEastAsia" w:hAnsiTheme="minorHAnsi" w:cstheme="minorBidi"/>
          <w:color w:val="auto"/>
          <w:sz w:val="22"/>
          <w:szCs w:val="22"/>
          <w:lang w:eastAsia="en-AU"/>
        </w:rPr>
        <w:tab/>
      </w:r>
      <w:r w:rsidRPr="00FA1202">
        <w:rPr>
          <w:color w:val="000000" w:themeColor="text1"/>
        </w:rPr>
        <w:t xml:space="preserve">Per cent of a group willing to accept jobs, which are ongoing, have </w:t>
      </w:r>
      <w:r>
        <w:rPr>
          <w:color w:val="000000" w:themeColor="text1"/>
        </w:rPr>
        <w:br/>
      </w:r>
      <w:r w:rsidRPr="00FA1202">
        <w:rPr>
          <w:color w:val="000000" w:themeColor="text1"/>
        </w:rPr>
        <w:t>no training component and require relocation to either Emerald or Karratha, without a wage premium</w:t>
      </w:r>
      <w:r>
        <w:tab/>
      </w:r>
      <w:r>
        <w:fldChar w:fldCharType="begin"/>
      </w:r>
      <w:r>
        <w:instrText xml:space="preserve"> PAGEREF _Toc386530555 \h </w:instrText>
      </w:r>
      <w:r>
        <w:fldChar w:fldCharType="separate"/>
      </w:r>
      <w:r w:rsidR="002F554E">
        <w:t>33</w:t>
      </w:r>
      <w:r>
        <w:fldChar w:fldCharType="end"/>
      </w:r>
    </w:p>
    <w:p w:rsidR="0098787D" w:rsidRDefault="0098787D">
      <w:pPr>
        <w:pStyle w:val="TableofFigures"/>
        <w:tabs>
          <w:tab w:val="left" w:pos="880"/>
        </w:tabs>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 xml:space="preserve">Minimum total willingness to pay to get 25, 50 and 75% of a group </w:t>
      </w:r>
      <w:r>
        <w:br/>
        <w:t xml:space="preserve">in the restricted sample to accept jobs which are ongoing, have </w:t>
      </w:r>
      <w:r>
        <w:br/>
        <w:t xml:space="preserve">no training component and require relocation to either Emerald </w:t>
      </w:r>
      <w:r>
        <w:br/>
        <w:t>or Karratha</w:t>
      </w:r>
      <w:r>
        <w:tab/>
      </w:r>
      <w:r>
        <w:fldChar w:fldCharType="begin"/>
      </w:r>
      <w:r>
        <w:instrText xml:space="preserve"> PAGEREF _Toc386530556 \h </w:instrText>
      </w:r>
      <w:r>
        <w:fldChar w:fldCharType="separate"/>
      </w:r>
      <w:r w:rsidR="002F554E">
        <w:t>34</w:t>
      </w:r>
      <w:r>
        <w:fldChar w:fldCharType="end"/>
      </w:r>
    </w:p>
    <w:p w:rsidR="0098787D" w:rsidRDefault="0098787D">
      <w:pPr>
        <w:pStyle w:val="TableofFigures"/>
        <w:tabs>
          <w:tab w:val="left" w:pos="1100"/>
        </w:tabs>
        <w:rPr>
          <w:rFonts w:asciiTheme="minorHAnsi" w:eastAsiaTheme="minorEastAsia" w:hAnsiTheme="minorHAnsi" w:cstheme="minorBidi"/>
          <w:color w:val="auto"/>
          <w:sz w:val="22"/>
          <w:szCs w:val="22"/>
          <w:lang w:eastAsia="en-AU"/>
        </w:rPr>
      </w:pPr>
      <w:r>
        <w:t>C1</w:t>
      </w:r>
      <w:r>
        <w:rPr>
          <w:rFonts w:asciiTheme="minorHAnsi" w:eastAsiaTheme="minorEastAsia" w:hAnsiTheme="minorHAnsi" w:cstheme="minorBidi"/>
          <w:color w:val="auto"/>
          <w:sz w:val="22"/>
          <w:szCs w:val="22"/>
          <w:lang w:eastAsia="en-AU"/>
        </w:rPr>
        <w:tab/>
      </w:r>
      <w:r>
        <w:t xml:space="preserve">Mixed multinomial logit estimates of willingness to accept job offers </w:t>
      </w:r>
      <w:r>
        <w:br/>
        <w:t>in Karratha or Emerald from model with job attributes</w:t>
      </w:r>
      <w:r>
        <w:tab/>
      </w:r>
      <w:r>
        <w:fldChar w:fldCharType="begin"/>
      </w:r>
      <w:r>
        <w:instrText xml:space="preserve"> PAGEREF _Toc386530557 \h </w:instrText>
      </w:r>
      <w:r>
        <w:fldChar w:fldCharType="separate"/>
      </w:r>
      <w:r w:rsidR="002F554E">
        <w:t>45</w:t>
      </w:r>
      <w:r>
        <w:fldChar w:fldCharType="end"/>
      </w:r>
    </w:p>
    <w:p w:rsidR="0098787D" w:rsidRDefault="00406B75" w:rsidP="004E7227">
      <w:pPr>
        <w:pStyle w:val="Heading2"/>
        <w:rPr>
          <w:noProof/>
        </w:rPr>
      </w:pPr>
      <w:r w:rsidRPr="00FE162C">
        <w:rPr>
          <w:color w:val="000000" w:themeColor="text1"/>
        </w:rPr>
        <w:fldChar w:fldCharType="end"/>
      </w:r>
      <w:bookmarkStart w:id="33" w:name="_Toc296497517"/>
      <w:bookmarkStart w:id="34" w:name="_Toc298162802"/>
      <w:bookmarkStart w:id="35" w:name="_Toc381276703"/>
      <w:bookmarkStart w:id="36" w:name="_Toc385325504"/>
      <w:bookmarkStart w:id="37" w:name="_Toc386530478"/>
      <w:r w:rsidR="004E7227" w:rsidRPr="00FE162C">
        <w:rPr>
          <w:color w:val="000000" w:themeColor="text1"/>
        </w:rPr>
        <w:t>Figures</w:t>
      </w:r>
      <w:bookmarkEnd w:id="33"/>
      <w:bookmarkEnd w:id="34"/>
      <w:bookmarkEnd w:id="35"/>
      <w:bookmarkEnd w:id="36"/>
      <w:bookmarkEnd w:id="37"/>
      <w:r w:rsidRPr="00FE162C">
        <w:rPr>
          <w:rFonts w:ascii="Garamond" w:hAnsi="Garamond"/>
          <w:color w:val="000000" w:themeColor="text1"/>
          <w:sz w:val="22"/>
        </w:rPr>
        <w:fldChar w:fldCharType="begin"/>
      </w:r>
      <w:r w:rsidR="004E7227" w:rsidRPr="00FE162C">
        <w:rPr>
          <w:color w:val="000000" w:themeColor="text1"/>
        </w:rPr>
        <w:instrText xml:space="preserve"> TOC \t "Figuretitle" \c </w:instrText>
      </w:r>
      <w:r w:rsidRPr="00FE162C">
        <w:rPr>
          <w:rFonts w:ascii="Garamond" w:hAnsi="Garamond"/>
          <w:color w:val="000000" w:themeColor="text1"/>
          <w:sz w:val="22"/>
        </w:rPr>
        <w:fldChar w:fldCharType="separate"/>
      </w:r>
    </w:p>
    <w:p w:rsidR="0098787D" w:rsidRDefault="0098787D">
      <w:pPr>
        <w:pStyle w:val="TableofFigures"/>
        <w:tabs>
          <w:tab w:val="left" w:pos="1100"/>
        </w:tabs>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 xml:space="preserve">Distribution of total willingness to pay (TWTP) for accepting a job </w:t>
      </w:r>
      <w:r>
        <w:br/>
        <w:t xml:space="preserve">offer which is ongoing, has no training component and requires a </w:t>
      </w:r>
      <w:r>
        <w:br/>
        <w:t>person to relocate to either Emerald or Karratha</w:t>
      </w:r>
      <w:r>
        <w:tab/>
      </w:r>
      <w:r>
        <w:fldChar w:fldCharType="begin"/>
      </w:r>
      <w:r>
        <w:instrText xml:space="preserve"> PAGEREF _Toc386530558 \h </w:instrText>
      </w:r>
      <w:r>
        <w:fldChar w:fldCharType="separate"/>
      </w:r>
      <w:r w:rsidR="002F554E">
        <w:t>32</w:t>
      </w:r>
      <w:r>
        <w:fldChar w:fldCharType="end"/>
      </w:r>
    </w:p>
    <w:p w:rsidR="004E7227" w:rsidRPr="00FE162C" w:rsidRDefault="00406B75" w:rsidP="004E7227">
      <w:pPr>
        <w:pStyle w:val="TableofFigures"/>
        <w:rPr>
          <w:color w:val="000000" w:themeColor="text1"/>
        </w:rPr>
      </w:pPr>
      <w:r w:rsidRPr="00FE162C">
        <w:rPr>
          <w:color w:val="000000" w:themeColor="text1"/>
        </w:rPr>
        <w:fldChar w:fldCharType="end"/>
      </w:r>
    </w:p>
    <w:p w:rsidR="00A93867" w:rsidRPr="00FE162C" w:rsidRDefault="00A93867">
      <w:pPr>
        <w:spacing w:before="0" w:line="240" w:lineRule="auto"/>
        <w:rPr>
          <w:rFonts w:ascii="Tahoma" w:hAnsi="Tahoma" w:cs="Tahoma"/>
          <w:b/>
          <w:color w:val="000000" w:themeColor="text1"/>
          <w:kern w:val="28"/>
          <w:sz w:val="56"/>
          <w:szCs w:val="56"/>
        </w:rPr>
      </w:pPr>
      <w:r w:rsidRPr="00FE162C">
        <w:rPr>
          <w:b/>
          <w:color w:val="000000" w:themeColor="text1"/>
        </w:rPr>
        <w:br w:type="page"/>
      </w:r>
    </w:p>
    <w:p w:rsidR="009E231A" w:rsidRPr="00FE162C" w:rsidRDefault="00FE4A2D" w:rsidP="008C0A74">
      <w:pPr>
        <w:pStyle w:val="Heading1"/>
        <w:rPr>
          <w:color w:val="000000" w:themeColor="text1"/>
        </w:rPr>
      </w:pPr>
      <w:bookmarkStart w:id="38" w:name="_Toc386530479"/>
      <w:r w:rsidRPr="00FE162C">
        <w:rPr>
          <w:color w:val="000000" w:themeColor="text1"/>
        </w:rPr>
        <w:lastRenderedPageBreak/>
        <w:t>Executive summary</w:t>
      </w:r>
      <w:bookmarkEnd w:id="38"/>
    </w:p>
    <w:p w:rsidR="00CB7485" w:rsidRPr="00804BE9" w:rsidRDefault="00CB7485" w:rsidP="00C066AD">
      <w:pPr>
        <w:pStyle w:val="Text"/>
      </w:pPr>
      <w:r>
        <w:t>Unemployment</w:t>
      </w:r>
      <w:r w:rsidRPr="00804BE9">
        <w:t xml:space="preserve"> varies across </w:t>
      </w:r>
      <w:r w:rsidR="00592349">
        <w:t xml:space="preserve">the </w:t>
      </w:r>
      <w:r w:rsidRPr="00804BE9">
        <w:t xml:space="preserve">regions of Australia. Inter-regional migration has an important but variable adjustment role across these </w:t>
      </w:r>
      <w:r w:rsidR="00775600">
        <w:t xml:space="preserve">regional </w:t>
      </w:r>
      <w:r w:rsidRPr="00804BE9">
        <w:t>labour markets. If</w:t>
      </w:r>
      <w:r w:rsidR="007F4EB6">
        <w:t>,</w:t>
      </w:r>
      <w:r w:rsidRPr="00804BE9">
        <w:t xml:space="preserve"> by offering incentives</w:t>
      </w:r>
      <w:r w:rsidR="007F4EB6">
        <w:t>,</w:t>
      </w:r>
      <w:r w:rsidRPr="00804BE9">
        <w:t xml:space="preserve"> individuals can be encouraged to move from regions with high unemployment to regions where there are unfilled vacancies, then there is </w:t>
      </w:r>
      <w:r w:rsidR="00CD4B96">
        <w:t>the</w:t>
      </w:r>
      <w:r w:rsidRPr="00804BE9">
        <w:t xml:space="preserve"> potential for im</w:t>
      </w:r>
      <w:r>
        <w:t>proving social inclusion.</w:t>
      </w:r>
    </w:p>
    <w:p w:rsidR="00744B74" w:rsidRDefault="00744B74" w:rsidP="00C066AD">
      <w:pPr>
        <w:pStyle w:val="Text"/>
      </w:pPr>
      <w:r>
        <w:t xml:space="preserve">Wages generally rise in a sector that is profitable and </w:t>
      </w:r>
      <w:r w:rsidR="00592349">
        <w:t xml:space="preserve">which </w:t>
      </w:r>
      <w:r>
        <w:t xml:space="preserve">is having difficulty attracting labour, with </w:t>
      </w:r>
      <w:r w:rsidR="00E60B46">
        <w:t xml:space="preserve">possible </w:t>
      </w:r>
      <w:r>
        <w:t xml:space="preserve">spillover effects in complementary sectors in the </w:t>
      </w:r>
      <w:r w:rsidR="00E60B46">
        <w:t xml:space="preserve">same </w:t>
      </w:r>
      <w:r>
        <w:t>region. If labour from other regions, especially those with high unemployment, does not move to take advantage of these opportunities</w:t>
      </w:r>
      <w:r w:rsidR="00592349">
        <w:t>,</w:t>
      </w:r>
      <w:r>
        <w:t xml:space="preserve"> then </w:t>
      </w:r>
      <w:r w:rsidR="00E60B46">
        <w:t>it could either</w:t>
      </w:r>
      <w:r w:rsidR="00146270">
        <w:t xml:space="preserve"> mean that the applicants lack</w:t>
      </w:r>
      <w:r w:rsidR="00E60B46">
        <w:t xml:space="preserve"> the appropriate skills and experience that </w:t>
      </w:r>
      <w:r w:rsidR="00146270">
        <w:t>employers require</w:t>
      </w:r>
      <w:r w:rsidR="00E60B46">
        <w:t xml:space="preserve">; or that individuals with the appropriate skills and experience are unwilling to move without additional incentives or </w:t>
      </w:r>
      <w:r w:rsidR="00CD4B96">
        <w:t>the</w:t>
      </w:r>
      <w:r w:rsidR="00592349">
        <w:t>y</w:t>
      </w:r>
      <w:r w:rsidR="00CD4B96">
        <w:t xml:space="preserve"> </w:t>
      </w:r>
      <w:r w:rsidR="00E60B46">
        <w:t>lack information about the job opportunities. This study is about the latter</w:t>
      </w:r>
      <w:r w:rsidR="00CD4B96">
        <w:t>,</w:t>
      </w:r>
      <w:r w:rsidR="00E60B46">
        <w:t xml:space="preserve"> with a focus on willingness to move for work.</w:t>
      </w:r>
    </w:p>
    <w:p w:rsidR="005F0D77" w:rsidRDefault="00E60B46" w:rsidP="00C066AD">
      <w:pPr>
        <w:pStyle w:val="Text"/>
        <w:rPr>
          <w:color w:val="000000" w:themeColor="text1"/>
        </w:rPr>
      </w:pPr>
      <w:r>
        <w:rPr>
          <w:color w:val="000000" w:themeColor="text1"/>
        </w:rPr>
        <w:t>The study</w:t>
      </w:r>
      <w:r w:rsidR="005F0D77" w:rsidRPr="00FE162C">
        <w:rPr>
          <w:color w:val="000000" w:themeColor="text1"/>
        </w:rPr>
        <w:t xml:space="preserve"> investigates the </w:t>
      </w:r>
      <w:r w:rsidR="005F0D77">
        <w:rPr>
          <w:color w:val="000000" w:themeColor="text1"/>
        </w:rPr>
        <w:t>incentives, in wage-equivalent terms, for</w:t>
      </w:r>
      <w:r w:rsidR="005F0D77" w:rsidRPr="00FE162C">
        <w:rPr>
          <w:color w:val="000000" w:themeColor="text1"/>
        </w:rPr>
        <w:t xml:space="preserve"> individuals from New South Wales and South Australia, </w:t>
      </w:r>
      <w:r w:rsidR="00CD4B96">
        <w:rPr>
          <w:color w:val="000000" w:themeColor="text1"/>
        </w:rPr>
        <w:t xml:space="preserve">states </w:t>
      </w:r>
      <w:r w:rsidR="005F0D77" w:rsidRPr="00FE162C">
        <w:rPr>
          <w:color w:val="000000" w:themeColor="text1"/>
        </w:rPr>
        <w:t>which have had pockets of relatively high un</w:t>
      </w:r>
      <w:r w:rsidR="005F0D77">
        <w:rPr>
          <w:color w:val="000000" w:themeColor="text1"/>
        </w:rPr>
        <w:t xml:space="preserve">employment, to </w:t>
      </w:r>
      <w:r w:rsidR="006D7D75">
        <w:rPr>
          <w:color w:val="000000" w:themeColor="text1"/>
        </w:rPr>
        <w:t>accept</w:t>
      </w:r>
      <w:r w:rsidR="005F0D77">
        <w:rPr>
          <w:color w:val="000000" w:themeColor="text1"/>
        </w:rPr>
        <w:t xml:space="preserve"> job</w:t>
      </w:r>
      <w:r w:rsidR="005F0D77" w:rsidRPr="00FE162C">
        <w:rPr>
          <w:color w:val="000000" w:themeColor="text1"/>
        </w:rPr>
        <w:t>s in Karratha in Western Australia and Emerald in Queensland, two regional centres with relatively</w:t>
      </w:r>
      <w:r w:rsidR="005F0D77">
        <w:rPr>
          <w:color w:val="000000" w:themeColor="text1"/>
        </w:rPr>
        <w:t xml:space="preserve"> high demand for labour in 2012</w:t>
      </w:r>
      <w:r w:rsidR="005F0D77" w:rsidRPr="00FE162C">
        <w:rPr>
          <w:color w:val="000000" w:themeColor="text1"/>
        </w:rPr>
        <w:t>.</w:t>
      </w:r>
    </w:p>
    <w:p w:rsidR="00CB7485" w:rsidRPr="00775600" w:rsidRDefault="00CB7485" w:rsidP="00C066AD">
      <w:pPr>
        <w:pStyle w:val="Text"/>
        <w:rPr>
          <w:color w:val="000000" w:themeColor="text1"/>
        </w:rPr>
      </w:pPr>
      <w:r w:rsidRPr="00775600">
        <w:rPr>
          <w:color w:val="000000" w:themeColor="text1"/>
        </w:rPr>
        <w:t>The importance of this research is underscored by the often ad hoc nature of policies seeking to move people for work from one location to another. By estimating the monetary value of an individual</w:t>
      </w:r>
      <w:r w:rsidR="00602830">
        <w:rPr>
          <w:color w:val="000000" w:themeColor="text1"/>
        </w:rPr>
        <w:t>’</w:t>
      </w:r>
      <w:r w:rsidRPr="00775600">
        <w:rPr>
          <w:color w:val="000000" w:themeColor="text1"/>
        </w:rPr>
        <w:t>s willingness to move, we would know whether such policies are economically feasible and for what kind of worker.</w:t>
      </w:r>
    </w:p>
    <w:p w:rsidR="005F0D77" w:rsidRDefault="005F0D77" w:rsidP="00C066AD">
      <w:pPr>
        <w:pStyle w:val="Text"/>
      </w:pPr>
      <w:r>
        <w:t>The study uses a discrete choice experiment to collect data on individuals</w:t>
      </w:r>
      <w:r w:rsidR="00602830">
        <w:t>’</w:t>
      </w:r>
      <w:r>
        <w:t xml:space="preserve"> intentions to relocate for work</w:t>
      </w:r>
      <w:r w:rsidR="00592349">
        <w:t>,</w:t>
      </w:r>
      <w:r>
        <w:t xml:space="preserve"> if offered job</w:t>
      </w:r>
      <w:r w:rsidR="00CF26EB">
        <w:t xml:space="preserve">s with certain characteristics. </w:t>
      </w:r>
      <w:r>
        <w:t>The technique is suitable for investigating individual preferences</w:t>
      </w:r>
      <w:r w:rsidR="00592349">
        <w:t>,</w:t>
      </w:r>
      <w:r>
        <w:t xml:space="preserve"> which are otherwise difficult to identify, measure and compare. In particular,</w:t>
      </w:r>
      <w:r w:rsidR="0043494A">
        <w:t xml:space="preserve"> we are able to estimate the</w:t>
      </w:r>
      <w:r>
        <w:t xml:space="preserve"> relative importance of </w:t>
      </w:r>
      <w:r w:rsidR="00CF26EB">
        <w:t xml:space="preserve">the </w:t>
      </w:r>
      <w:r>
        <w:t>various job characteristics that influence the job choices of workers</w:t>
      </w:r>
      <w:r w:rsidR="00CF26EB">
        <w:t xml:space="preserve"> in wage-</w:t>
      </w:r>
      <w:r w:rsidR="0043494A">
        <w:t>equivalent terms</w:t>
      </w:r>
      <w:r>
        <w:t>. Such information can be useful for developing policies on recruitment and retention in l</w:t>
      </w:r>
      <w:r w:rsidR="00CF26EB">
        <w:t>ocations with skill-</w:t>
      </w:r>
      <w:r>
        <w:t>shortage problems.</w:t>
      </w:r>
    </w:p>
    <w:p w:rsidR="005F0D77" w:rsidRDefault="0043494A" w:rsidP="00C066AD">
      <w:pPr>
        <w:pStyle w:val="Text"/>
      </w:pPr>
      <w:r>
        <w:t>In this study</w:t>
      </w:r>
      <w:r w:rsidR="005F0D77">
        <w:t>, a sample of people in</w:t>
      </w:r>
      <w:r>
        <w:t xml:space="preserve"> the labour force in</w:t>
      </w:r>
      <w:r w:rsidR="005F0D77">
        <w:t xml:space="preserve"> New </w:t>
      </w:r>
      <w:r w:rsidR="00592349">
        <w:t>South Wales and South Australia</w:t>
      </w:r>
      <w:r w:rsidR="005F0D77">
        <w:t xml:space="preserve"> who are aged </w:t>
      </w:r>
      <w:r w:rsidR="00CF26EB">
        <w:t>18—</w:t>
      </w:r>
      <w:r>
        <w:t>64 years</w:t>
      </w:r>
      <w:r w:rsidR="005F0D77">
        <w:t xml:space="preserve"> and</w:t>
      </w:r>
      <w:r w:rsidR="00592349">
        <w:t xml:space="preserve"> who are not studying full-time</w:t>
      </w:r>
      <w:r w:rsidR="005F0D77">
        <w:t xml:space="preserve"> are offered hypothetical jobs in either Karratha in Western Australia or Emerald in Queensland, two re</w:t>
      </w:r>
      <w:r w:rsidR="00592349">
        <w:t>gional locations where there have</w:t>
      </w:r>
      <w:r w:rsidR="005F0D77">
        <w:t xml:space="preserve"> been high rates of job vacancies.</w:t>
      </w:r>
    </w:p>
    <w:p w:rsidR="005F0D77" w:rsidRDefault="005F0D77" w:rsidP="00C066AD">
      <w:pPr>
        <w:pStyle w:val="Text"/>
      </w:pPr>
      <w:r>
        <w:t xml:space="preserve">Each individual </w:t>
      </w:r>
      <w:r w:rsidR="0043494A">
        <w:t xml:space="preserve">in the sample </w:t>
      </w:r>
      <w:r w:rsidR="00775600">
        <w:t>is presented with</w:t>
      </w:r>
      <w:r>
        <w:t xml:space="preserve"> hypothetical scenarios</w:t>
      </w:r>
      <w:r w:rsidR="00CF26EB">
        <w:t>,</w:t>
      </w:r>
      <w:r>
        <w:t xml:space="preserve"> </w:t>
      </w:r>
      <w:r w:rsidR="007F4EB6">
        <w:t>from</w:t>
      </w:r>
      <w:r>
        <w:t xml:space="preserve"> which they are asked to </w:t>
      </w:r>
      <w:r w:rsidR="00592349">
        <w:t>make a choice of one of two job</w:t>
      </w:r>
      <w:r>
        <w:t xml:space="preserve"> offers or</w:t>
      </w:r>
      <w:r w:rsidR="00CF26EB">
        <w:t>,</w:t>
      </w:r>
      <w:r>
        <w:t xml:space="preserve"> alternatively</w:t>
      </w:r>
      <w:r w:rsidR="00CF26EB">
        <w:t>,</w:t>
      </w:r>
      <w:r>
        <w:t xml:space="preserve"> reject both</w:t>
      </w:r>
      <w:r w:rsidR="00245A5B">
        <w:t xml:space="preserve"> job offers</w:t>
      </w:r>
      <w:r>
        <w:t xml:space="preserve">. The job offers in each scenario vary by the wage being offered, the type of relocation involved (fly-in/fly-out </w:t>
      </w:r>
      <w:r w:rsidR="007F5E1B">
        <w:t xml:space="preserve">from Brisbane or Perth </w:t>
      </w:r>
      <w:r>
        <w:t>or permanent relocation</w:t>
      </w:r>
      <w:r w:rsidR="007F5E1B">
        <w:t xml:space="preserve"> to the region</w:t>
      </w:r>
      <w:r>
        <w:t>) and the type of contract (</w:t>
      </w:r>
      <w:r w:rsidR="00CF26EB">
        <w:t>six</w:t>
      </w:r>
      <w:r>
        <w:t xml:space="preserve"> months fixed-term withou</w:t>
      </w:r>
      <w:r w:rsidR="00CF26EB">
        <w:t>t training;</w:t>
      </w:r>
      <w:r>
        <w:t xml:space="preserve"> ongoing with training</w:t>
      </w:r>
      <w:r w:rsidR="00CF26EB">
        <w:t>;</w:t>
      </w:r>
      <w:r>
        <w:t xml:space="preserve"> or ongoing without training). In the contract with training, the first </w:t>
      </w:r>
      <w:r w:rsidR="00CF26EB">
        <w:t>three</w:t>
      </w:r>
      <w:r>
        <w:t xml:space="preserve"> months involves on-the-job and off-the-job training</w:t>
      </w:r>
      <w:r w:rsidR="00CF26EB">
        <w:t>,</w:t>
      </w:r>
      <w:r>
        <w:t xml:space="preserve"> during which period the worker receives only half the</w:t>
      </w:r>
      <w:r w:rsidR="00592349">
        <w:t>ir</w:t>
      </w:r>
      <w:r>
        <w:t xml:space="preserve"> wages.</w:t>
      </w:r>
    </w:p>
    <w:p w:rsidR="005F0D77" w:rsidRPr="00FE162C" w:rsidRDefault="0043494A" w:rsidP="00C066AD">
      <w:pPr>
        <w:pStyle w:val="Text"/>
        <w:rPr>
          <w:color w:val="000000" w:themeColor="text1"/>
        </w:rPr>
      </w:pPr>
      <w:r>
        <w:rPr>
          <w:color w:val="000000" w:themeColor="text1"/>
        </w:rPr>
        <w:t xml:space="preserve">The analyses of the data from the experiment show that </w:t>
      </w:r>
      <w:r w:rsidR="00592349">
        <w:rPr>
          <w:color w:val="000000" w:themeColor="text1"/>
        </w:rPr>
        <w:t>the</w:t>
      </w:r>
      <w:r w:rsidR="005F0D77" w:rsidRPr="00FE162C">
        <w:rPr>
          <w:color w:val="000000" w:themeColor="text1"/>
        </w:rPr>
        <w:t xml:space="preserve"> typical person most likely to move </w:t>
      </w:r>
      <w:r>
        <w:rPr>
          <w:color w:val="000000" w:themeColor="text1"/>
        </w:rPr>
        <w:t xml:space="preserve">for work </w:t>
      </w:r>
      <w:r w:rsidR="005F0D77" w:rsidRPr="00FE162C">
        <w:rPr>
          <w:color w:val="000000" w:themeColor="text1"/>
        </w:rPr>
        <w:t xml:space="preserve">is young, male, single, not born in Australia, looking for </w:t>
      </w:r>
      <w:r w:rsidR="005F0D77">
        <w:rPr>
          <w:color w:val="000000" w:themeColor="text1"/>
        </w:rPr>
        <w:t>a new job</w:t>
      </w:r>
      <w:r w:rsidR="005F0D77" w:rsidRPr="00FE162C">
        <w:rPr>
          <w:color w:val="000000" w:themeColor="text1"/>
        </w:rPr>
        <w:t>, knows people</w:t>
      </w:r>
      <w:r w:rsidR="005F0D77">
        <w:rPr>
          <w:color w:val="000000" w:themeColor="text1"/>
        </w:rPr>
        <w:t xml:space="preserve"> other than family</w:t>
      </w:r>
      <w:r w:rsidR="005F0D77" w:rsidRPr="00FE162C">
        <w:rPr>
          <w:color w:val="000000" w:themeColor="text1"/>
        </w:rPr>
        <w:t xml:space="preserve"> at the location where the job is offered and does not own a house. Unlike other studies, we do </w:t>
      </w:r>
      <w:r w:rsidR="005F0D77" w:rsidRPr="00FE162C">
        <w:rPr>
          <w:color w:val="000000" w:themeColor="text1"/>
        </w:rPr>
        <w:lastRenderedPageBreak/>
        <w:t xml:space="preserve">not find education background to be </w:t>
      </w:r>
      <w:r w:rsidR="005F0D77">
        <w:rPr>
          <w:color w:val="000000" w:themeColor="text1"/>
        </w:rPr>
        <w:t xml:space="preserve">a </w:t>
      </w:r>
      <w:r w:rsidR="005F0D77" w:rsidRPr="00FE162C">
        <w:rPr>
          <w:color w:val="000000" w:themeColor="text1"/>
        </w:rPr>
        <w:t xml:space="preserve">significant factor </w:t>
      </w:r>
      <w:r w:rsidR="005F0D77">
        <w:rPr>
          <w:color w:val="000000" w:themeColor="text1"/>
        </w:rPr>
        <w:t xml:space="preserve">in this decision, </w:t>
      </w:r>
      <w:r w:rsidR="005F0D77" w:rsidRPr="00FE162C">
        <w:rPr>
          <w:color w:val="000000" w:themeColor="text1"/>
        </w:rPr>
        <w:t>possibly because we directly control for the labour demand factors through the design of the choice experiment.</w:t>
      </w:r>
    </w:p>
    <w:p w:rsidR="005F0D77" w:rsidRPr="00FE162C" w:rsidRDefault="005F0D77" w:rsidP="00C066AD">
      <w:pPr>
        <w:pStyle w:val="Text"/>
        <w:rPr>
          <w:color w:val="000000" w:themeColor="text1"/>
        </w:rPr>
      </w:pPr>
      <w:r w:rsidRPr="00FE162C">
        <w:rPr>
          <w:color w:val="000000" w:themeColor="text1"/>
        </w:rPr>
        <w:t xml:space="preserve">The distance </w:t>
      </w:r>
      <w:r>
        <w:rPr>
          <w:color w:val="000000" w:themeColor="text1"/>
        </w:rPr>
        <w:t xml:space="preserve">between where the person currently lives and where they are offered a job is not </w:t>
      </w:r>
      <w:r w:rsidR="00896633">
        <w:rPr>
          <w:color w:val="000000" w:themeColor="text1"/>
        </w:rPr>
        <w:t xml:space="preserve">a </w:t>
      </w:r>
      <w:r>
        <w:rPr>
          <w:color w:val="000000" w:themeColor="text1"/>
        </w:rPr>
        <w:t xml:space="preserve">significant </w:t>
      </w:r>
      <w:r w:rsidR="00674ECE">
        <w:rPr>
          <w:color w:val="000000" w:themeColor="text1"/>
        </w:rPr>
        <w:t xml:space="preserve">factor </w:t>
      </w:r>
      <w:r>
        <w:rPr>
          <w:color w:val="000000" w:themeColor="text1"/>
        </w:rPr>
        <w:t>in the decision</w:t>
      </w:r>
      <w:r w:rsidR="00674ECE">
        <w:rPr>
          <w:color w:val="000000" w:themeColor="text1"/>
        </w:rPr>
        <w:t xml:space="preserve"> to move. </w:t>
      </w:r>
      <w:r w:rsidR="00896633">
        <w:rPr>
          <w:color w:val="000000" w:themeColor="text1"/>
        </w:rPr>
        <w:t>This is because</w:t>
      </w:r>
      <w:r w:rsidR="00674ECE">
        <w:rPr>
          <w:color w:val="000000" w:themeColor="text1"/>
        </w:rPr>
        <w:t xml:space="preserve"> travel</w:t>
      </w:r>
      <w:r w:rsidR="00896633">
        <w:rPr>
          <w:color w:val="000000" w:themeColor="text1"/>
        </w:rPr>
        <w:t xml:space="preserve"> to and from these locations is</w:t>
      </w:r>
      <w:r w:rsidR="00674ECE">
        <w:rPr>
          <w:color w:val="000000" w:themeColor="text1"/>
        </w:rPr>
        <w:t xml:space="preserve"> likely to be by air and </w:t>
      </w:r>
      <w:r w:rsidR="00896633">
        <w:rPr>
          <w:color w:val="000000" w:themeColor="text1"/>
        </w:rPr>
        <w:t xml:space="preserve">individuals probably perceive distance in flying time. </w:t>
      </w:r>
      <w:r w:rsidR="007F5E1B">
        <w:rPr>
          <w:color w:val="000000" w:themeColor="text1"/>
        </w:rPr>
        <w:t>Individuals consider f</w:t>
      </w:r>
      <w:r w:rsidR="00896633">
        <w:rPr>
          <w:color w:val="000000" w:themeColor="text1"/>
        </w:rPr>
        <w:t xml:space="preserve">light times to these locations </w:t>
      </w:r>
      <w:r w:rsidR="007F5E1B">
        <w:rPr>
          <w:color w:val="000000" w:themeColor="text1"/>
        </w:rPr>
        <w:t xml:space="preserve">as being not </w:t>
      </w:r>
      <w:r w:rsidR="00592349">
        <w:rPr>
          <w:color w:val="000000" w:themeColor="text1"/>
        </w:rPr>
        <w:t>significantly</w:t>
      </w:r>
      <w:r w:rsidR="007F5E1B">
        <w:rPr>
          <w:color w:val="000000" w:themeColor="text1"/>
        </w:rPr>
        <w:t xml:space="preserve"> different</w:t>
      </w:r>
      <w:r>
        <w:rPr>
          <w:color w:val="000000" w:themeColor="text1"/>
        </w:rPr>
        <w:t>.</w:t>
      </w:r>
    </w:p>
    <w:p w:rsidR="007F5E1B" w:rsidRPr="000C3CA3" w:rsidRDefault="007F5E1B" w:rsidP="00C066AD">
      <w:pPr>
        <w:pStyle w:val="Text"/>
        <w:ind w:right="-143"/>
        <w:rPr>
          <w:color w:val="000000" w:themeColor="text1"/>
        </w:rPr>
      </w:pPr>
      <w:r>
        <w:rPr>
          <w:color w:val="000000" w:themeColor="text1"/>
        </w:rPr>
        <w:t>T</w:t>
      </w:r>
      <w:r w:rsidRPr="000C3CA3">
        <w:rPr>
          <w:color w:val="000000" w:themeColor="text1"/>
        </w:rPr>
        <w:t>he amount in wage-equivalent terms that a person is willing to forgo</w:t>
      </w:r>
      <w:r w:rsidR="00CF26EB">
        <w:rPr>
          <w:color w:val="000000" w:themeColor="text1"/>
        </w:rPr>
        <w:t xml:space="preserve"> (or trade </w:t>
      </w:r>
      <w:r>
        <w:rPr>
          <w:color w:val="000000" w:themeColor="text1"/>
        </w:rPr>
        <w:t>off) for</w:t>
      </w:r>
      <w:r w:rsidRPr="000C3CA3">
        <w:rPr>
          <w:color w:val="000000" w:themeColor="text1"/>
        </w:rPr>
        <w:t xml:space="preserve"> a particular job</w:t>
      </w:r>
      <w:r w:rsidR="00C066AD">
        <w:rPr>
          <w:color w:val="000000" w:themeColor="text1"/>
        </w:rPr>
        <w:t> </w:t>
      </w:r>
      <w:r w:rsidRPr="000C3CA3">
        <w:rPr>
          <w:color w:val="000000" w:themeColor="text1"/>
        </w:rPr>
        <w:t>attribute</w:t>
      </w:r>
      <w:r>
        <w:rPr>
          <w:color w:val="000000" w:themeColor="text1"/>
        </w:rPr>
        <w:t xml:space="preserve"> is calculated as the marginal willingness to pay (MWTP)</w:t>
      </w:r>
      <w:r w:rsidRPr="000C3CA3">
        <w:rPr>
          <w:color w:val="000000" w:themeColor="text1"/>
        </w:rPr>
        <w:t>. For example, if a person is willing to for</w:t>
      </w:r>
      <w:r w:rsidR="00CF26EB">
        <w:rPr>
          <w:color w:val="000000" w:themeColor="text1"/>
        </w:rPr>
        <w:t>go $1</w:t>
      </w:r>
      <w:r w:rsidRPr="000C3CA3">
        <w:rPr>
          <w:color w:val="000000" w:themeColor="text1"/>
        </w:rPr>
        <w:t xml:space="preserve">000 in wages for a job that includes training compared </w:t>
      </w:r>
      <w:r w:rsidR="00CF26EB">
        <w:rPr>
          <w:color w:val="000000" w:themeColor="text1"/>
        </w:rPr>
        <w:t>with</w:t>
      </w:r>
      <w:r w:rsidRPr="000C3CA3">
        <w:rPr>
          <w:color w:val="000000" w:themeColor="text1"/>
        </w:rPr>
        <w:t xml:space="preserve"> a similar job that does not include training, t</w:t>
      </w:r>
      <w:r w:rsidR="00CF26EB">
        <w:rPr>
          <w:color w:val="000000" w:themeColor="text1"/>
        </w:rPr>
        <w:t>hen the marginal willingness to pay for training is $1</w:t>
      </w:r>
      <w:r w:rsidRPr="000C3CA3">
        <w:rPr>
          <w:color w:val="000000" w:themeColor="text1"/>
        </w:rPr>
        <w:t xml:space="preserve">000. </w:t>
      </w:r>
      <w:r>
        <w:rPr>
          <w:color w:val="000000" w:themeColor="text1"/>
        </w:rPr>
        <w:t>A negative MWTP reflects</w:t>
      </w:r>
      <w:r w:rsidRPr="00FE162C">
        <w:rPr>
          <w:color w:val="000000" w:themeColor="text1"/>
        </w:rPr>
        <w:t xml:space="preserve"> the compensation </w:t>
      </w:r>
      <w:r>
        <w:rPr>
          <w:color w:val="000000" w:themeColor="text1"/>
        </w:rPr>
        <w:t>(or wage premium) expected for accepting a</w:t>
      </w:r>
      <w:r w:rsidRPr="00FE162C">
        <w:rPr>
          <w:color w:val="000000" w:themeColor="text1"/>
        </w:rPr>
        <w:t xml:space="preserve"> </w:t>
      </w:r>
      <w:r>
        <w:rPr>
          <w:color w:val="000000" w:themeColor="text1"/>
        </w:rPr>
        <w:t>job with that particular</w:t>
      </w:r>
      <w:r w:rsidRPr="00FE162C">
        <w:rPr>
          <w:color w:val="000000" w:themeColor="text1"/>
        </w:rPr>
        <w:t xml:space="preserve"> attribute.</w:t>
      </w:r>
    </w:p>
    <w:p w:rsidR="005F0D77" w:rsidRPr="00FE162C" w:rsidRDefault="005F0D77" w:rsidP="00C066AD">
      <w:pPr>
        <w:pStyle w:val="Text"/>
        <w:rPr>
          <w:color w:val="000000" w:themeColor="text1"/>
        </w:rPr>
      </w:pPr>
      <w:r>
        <w:rPr>
          <w:color w:val="000000" w:themeColor="text1"/>
        </w:rPr>
        <w:t xml:space="preserve">The </w:t>
      </w:r>
      <w:r w:rsidR="00CF26EB">
        <w:rPr>
          <w:color w:val="000000" w:themeColor="text1"/>
        </w:rPr>
        <w:t>marginal willingness to pay</w:t>
      </w:r>
      <w:r>
        <w:rPr>
          <w:color w:val="000000" w:themeColor="text1"/>
        </w:rPr>
        <w:t xml:space="preserve"> for a fly-in/fly-out over a permanent r</w:t>
      </w:r>
      <w:r w:rsidR="00592349">
        <w:rPr>
          <w:color w:val="000000" w:themeColor="text1"/>
        </w:rPr>
        <w:t>elocation contract is about $10 </w:t>
      </w:r>
      <w:r>
        <w:rPr>
          <w:color w:val="000000" w:themeColor="text1"/>
        </w:rPr>
        <w:t xml:space="preserve">504. </w:t>
      </w:r>
      <w:r w:rsidRPr="00FE162C">
        <w:rPr>
          <w:color w:val="000000" w:themeColor="text1"/>
        </w:rPr>
        <w:t xml:space="preserve">While this could be related to the non-pecuniary benefits of living in Brisbane or Perth </w:t>
      </w:r>
      <w:r>
        <w:rPr>
          <w:color w:val="000000" w:themeColor="text1"/>
        </w:rPr>
        <w:t xml:space="preserve">compared </w:t>
      </w:r>
      <w:r w:rsidR="00403520">
        <w:rPr>
          <w:color w:val="000000" w:themeColor="text1"/>
        </w:rPr>
        <w:t>with</w:t>
      </w:r>
      <w:r>
        <w:rPr>
          <w:color w:val="000000" w:themeColor="text1"/>
        </w:rPr>
        <w:t xml:space="preserve"> living in the</w:t>
      </w:r>
      <w:r w:rsidRPr="00FE162C">
        <w:rPr>
          <w:color w:val="000000" w:themeColor="text1"/>
        </w:rPr>
        <w:t xml:space="preserve"> two regional lo</w:t>
      </w:r>
      <w:r>
        <w:rPr>
          <w:color w:val="000000" w:themeColor="text1"/>
        </w:rPr>
        <w:t>cations, the trade-off</w:t>
      </w:r>
      <w:r w:rsidR="007F5E1B">
        <w:rPr>
          <w:color w:val="000000" w:themeColor="text1"/>
        </w:rPr>
        <w:t xml:space="preserve"> is</w:t>
      </w:r>
      <w:r w:rsidRPr="00FE162C">
        <w:rPr>
          <w:color w:val="000000" w:themeColor="text1"/>
        </w:rPr>
        <w:t xml:space="preserve"> </w:t>
      </w:r>
      <w:r>
        <w:rPr>
          <w:color w:val="000000" w:themeColor="text1"/>
        </w:rPr>
        <w:t>relatively small</w:t>
      </w:r>
      <w:r w:rsidRPr="00FE162C">
        <w:rPr>
          <w:color w:val="000000" w:themeColor="text1"/>
        </w:rPr>
        <w:t xml:space="preserve"> when the savings from accommodation and meals provided while rostered for work on a fly-in/fly-out contract are factored into the calculation.</w:t>
      </w:r>
    </w:p>
    <w:p w:rsidR="005F0D77" w:rsidRPr="00FE162C" w:rsidRDefault="005F0D77" w:rsidP="00C066AD">
      <w:pPr>
        <w:pStyle w:val="Text"/>
        <w:rPr>
          <w:color w:val="000000" w:themeColor="text1"/>
        </w:rPr>
      </w:pPr>
      <w:r w:rsidRPr="00FE162C">
        <w:rPr>
          <w:color w:val="000000" w:themeColor="text1"/>
        </w:rPr>
        <w:t xml:space="preserve">The </w:t>
      </w:r>
      <w:r w:rsidR="00403520">
        <w:rPr>
          <w:color w:val="000000" w:themeColor="text1"/>
        </w:rPr>
        <w:t>marginal willingness to pay</w:t>
      </w:r>
      <w:r>
        <w:rPr>
          <w:color w:val="000000" w:themeColor="text1"/>
        </w:rPr>
        <w:t xml:space="preserve"> for an</w:t>
      </w:r>
      <w:r w:rsidR="00592349">
        <w:rPr>
          <w:color w:val="000000" w:themeColor="text1"/>
        </w:rPr>
        <w:t xml:space="preserve"> ongoing contract over a six-month</w:t>
      </w:r>
      <w:r w:rsidRPr="00FE162C">
        <w:rPr>
          <w:color w:val="000000" w:themeColor="text1"/>
        </w:rPr>
        <w:t xml:space="preserve"> temporary contract is equivalent to $1</w:t>
      </w:r>
      <w:r w:rsidR="00403520">
        <w:rPr>
          <w:color w:val="000000" w:themeColor="text1"/>
        </w:rPr>
        <w:t xml:space="preserve">1 </w:t>
      </w:r>
      <w:r w:rsidRPr="00FE162C">
        <w:rPr>
          <w:color w:val="000000" w:themeColor="text1"/>
        </w:rPr>
        <w:t>236 per year, which</w:t>
      </w:r>
      <w:r>
        <w:rPr>
          <w:color w:val="000000" w:themeColor="text1"/>
        </w:rPr>
        <w:t xml:space="preserve"> reflects</w:t>
      </w:r>
      <w:r w:rsidRPr="00FE162C">
        <w:rPr>
          <w:color w:val="000000" w:themeColor="text1"/>
        </w:rPr>
        <w:t xml:space="preserve"> the higher risks</w:t>
      </w:r>
      <w:r>
        <w:rPr>
          <w:color w:val="000000" w:themeColor="text1"/>
        </w:rPr>
        <w:t xml:space="preserve"> of short-term contracts</w:t>
      </w:r>
      <w:r w:rsidR="00403520">
        <w:rPr>
          <w:color w:val="000000" w:themeColor="text1"/>
        </w:rPr>
        <w:t>,</w:t>
      </w:r>
      <w:r>
        <w:rPr>
          <w:color w:val="000000" w:themeColor="text1"/>
        </w:rPr>
        <w:t xml:space="preserve"> in terms of</w:t>
      </w:r>
      <w:r w:rsidRPr="00FE162C">
        <w:rPr>
          <w:color w:val="000000" w:themeColor="text1"/>
        </w:rPr>
        <w:t xml:space="preserve"> periods of unemployment and/or possible relocation costs after the contract</w:t>
      </w:r>
      <w:r>
        <w:rPr>
          <w:color w:val="000000" w:themeColor="text1"/>
        </w:rPr>
        <w:t xml:space="preserve"> expiry</w:t>
      </w:r>
      <w:r w:rsidRPr="00FE162C">
        <w:rPr>
          <w:color w:val="000000" w:themeColor="text1"/>
        </w:rPr>
        <w:t>.</w:t>
      </w:r>
    </w:p>
    <w:p w:rsidR="005F0D77" w:rsidRPr="00FE162C" w:rsidRDefault="005F0D77" w:rsidP="00C066AD">
      <w:pPr>
        <w:pStyle w:val="Text"/>
        <w:rPr>
          <w:color w:val="000000" w:themeColor="text1"/>
        </w:rPr>
      </w:pPr>
      <w:r>
        <w:rPr>
          <w:color w:val="000000" w:themeColor="text1"/>
        </w:rPr>
        <w:t>Individu</w:t>
      </w:r>
      <w:r w:rsidR="00403520">
        <w:rPr>
          <w:color w:val="000000" w:themeColor="text1"/>
        </w:rPr>
        <w:t>als are willing to trade</w:t>
      </w:r>
      <w:r w:rsidR="007F4EB6">
        <w:rPr>
          <w:color w:val="000000" w:themeColor="text1"/>
        </w:rPr>
        <w:t xml:space="preserve"> </w:t>
      </w:r>
      <w:r w:rsidR="00403520">
        <w:rPr>
          <w:color w:val="000000" w:themeColor="text1"/>
        </w:rPr>
        <w:t>off $6</w:t>
      </w:r>
      <w:r>
        <w:rPr>
          <w:color w:val="000000" w:themeColor="text1"/>
        </w:rPr>
        <w:t>902 in wages to secure a job that offers</w:t>
      </w:r>
      <w:r w:rsidRPr="00FE162C">
        <w:rPr>
          <w:color w:val="000000" w:themeColor="text1"/>
        </w:rPr>
        <w:t xml:space="preserve"> training </w:t>
      </w:r>
      <w:r>
        <w:rPr>
          <w:color w:val="000000" w:themeColor="text1"/>
        </w:rPr>
        <w:t xml:space="preserve">compared </w:t>
      </w:r>
      <w:r w:rsidR="00403520">
        <w:rPr>
          <w:color w:val="000000" w:themeColor="text1"/>
        </w:rPr>
        <w:t>with</w:t>
      </w:r>
      <w:r>
        <w:rPr>
          <w:color w:val="000000" w:themeColor="text1"/>
        </w:rPr>
        <w:t xml:space="preserve"> a job that does not. The training decision can be viewed as an investment in human capital as individuals are prepared to forgo short-term loss, in terms of</w:t>
      </w:r>
      <w:r w:rsidR="00403520">
        <w:rPr>
          <w:color w:val="000000" w:themeColor="text1"/>
        </w:rPr>
        <w:t xml:space="preserve"> a 50%</w:t>
      </w:r>
      <w:r w:rsidRPr="00FE162C">
        <w:rPr>
          <w:color w:val="000000" w:themeColor="text1"/>
        </w:rPr>
        <w:t xml:space="preserve"> cut in wages</w:t>
      </w:r>
      <w:r>
        <w:rPr>
          <w:color w:val="000000" w:themeColor="text1"/>
        </w:rPr>
        <w:t xml:space="preserve"> in the first three months, for</w:t>
      </w:r>
      <w:r w:rsidRPr="00FE162C">
        <w:rPr>
          <w:color w:val="000000" w:themeColor="text1"/>
        </w:rPr>
        <w:t xml:space="preserve"> higher wages in the long-term.</w:t>
      </w:r>
    </w:p>
    <w:p w:rsidR="005F0D77" w:rsidRPr="00FE162C" w:rsidRDefault="005F0D77" w:rsidP="00C066AD">
      <w:pPr>
        <w:pStyle w:val="Text"/>
        <w:rPr>
          <w:color w:val="000000" w:themeColor="text1"/>
        </w:rPr>
      </w:pPr>
      <w:r w:rsidRPr="00FE162C">
        <w:rPr>
          <w:color w:val="000000" w:themeColor="text1"/>
        </w:rPr>
        <w:t>A wage premium is</w:t>
      </w:r>
      <w:r w:rsidR="00403520">
        <w:rPr>
          <w:color w:val="000000" w:themeColor="text1"/>
        </w:rPr>
        <w:t xml:space="preserve"> required to attract women ($29 004); married people ($19 </w:t>
      </w:r>
      <w:r w:rsidRPr="00FE162C">
        <w:rPr>
          <w:color w:val="000000" w:themeColor="text1"/>
        </w:rPr>
        <w:t>206); p</w:t>
      </w:r>
      <w:r w:rsidR="00403520">
        <w:rPr>
          <w:color w:val="000000" w:themeColor="text1"/>
        </w:rPr>
        <w:t xml:space="preserve">eople who are not studying ($25 </w:t>
      </w:r>
      <w:r w:rsidRPr="00FE162C">
        <w:rPr>
          <w:color w:val="000000" w:themeColor="text1"/>
        </w:rPr>
        <w:t xml:space="preserve">736); </w:t>
      </w:r>
      <w:r w:rsidR="00403520">
        <w:rPr>
          <w:color w:val="000000" w:themeColor="text1"/>
        </w:rPr>
        <w:t xml:space="preserve">people who own their house ($25 </w:t>
      </w:r>
      <w:r w:rsidRPr="00FE162C">
        <w:rPr>
          <w:color w:val="000000" w:themeColor="text1"/>
        </w:rPr>
        <w:t xml:space="preserve">552); and individuals who do not </w:t>
      </w:r>
      <w:r w:rsidR="00403520">
        <w:rPr>
          <w:color w:val="000000" w:themeColor="text1"/>
        </w:rPr>
        <w:t xml:space="preserve">know people at </w:t>
      </w:r>
      <w:r w:rsidR="00592349">
        <w:rPr>
          <w:color w:val="000000" w:themeColor="text1"/>
        </w:rPr>
        <w:t xml:space="preserve">the </w:t>
      </w:r>
      <w:r w:rsidR="00403520">
        <w:rPr>
          <w:color w:val="000000" w:themeColor="text1"/>
        </w:rPr>
        <w:t xml:space="preserve">destination ($43 </w:t>
      </w:r>
      <w:r w:rsidRPr="00FE162C">
        <w:rPr>
          <w:color w:val="000000" w:themeColor="text1"/>
        </w:rPr>
        <w:t>884) to accept jobs in the two regional locations.</w:t>
      </w:r>
    </w:p>
    <w:p w:rsidR="00422611" w:rsidRDefault="00422611" w:rsidP="00C066AD">
      <w:pPr>
        <w:pStyle w:val="Text"/>
        <w:rPr>
          <w:color w:val="000000" w:themeColor="text1"/>
        </w:rPr>
      </w:pPr>
      <w:r>
        <w:rPr>
          <w:color w:val="000000" w:themeColor="text1"/>
        </w:rPr>
        <w:t>The wage premium required for a person who is not look</w:t>
      </w:r>
      <w:r w:rsidR="00403520">
        <w:rPr>
          <w:color w:val="000000" w:themeColor="text1"/>
        </w:rPr>
        <w:t xml:space="preserve">ing for work to relocate is $72 </w:t>
      </w:r>
      <w:r>
        <w:rPr>
          <w:color w:val="000000" w:themeColor="text1"/>
        </w:rPr>
        <w:t xml:space="preserve">148 more than for a person </w:t>
      </w:r>
      <w:r w:rsidR="00403520">
        <w:rPr>
          <w:color w:val="000000" w:themeColor="text1"/>
        </w:rPr>
        <w:t>who is unemployed</w:t>
      </w:r>
      <w:r w:rsidR="00592349">
        <w:rPr>
          <w:color w:val="000000" w:themeColor="text1"/>
        </w:rPr>
        <w:t>,</w:t>
      </w:r>
      <w:r w:rsidR="00403520">
        <w:rPr>
          <w:color w:val="000000" w:themeColor="text1"/>
        </w:rPr>
        <w:t xml:space="preserve"> and it is $60 </w:t>
      </w:r>
      <w:r>
        <w:rPr>
          <w:color w:val="000000" w:themeColor="text1"/>
        </w:rPr>
        <w:t>760 more than for a person who is employed but looking for work.</w:t>
      </w:r>
    </w:p>
    <w:p w:rsidR="00422611" w:rsidRDefault="00422611" w:rsidP="00C066AD">
      <w:pPr>
        <w:pStyle w:val="Text"/>
        <w:rPr>
          <w:color w:val="000000" w:themeColor="text1"/>
        </w:rPr>
      </w:pPr>
      <w:r w:rsidRPr="00FE162C">
        <w:rPr>
          <w:color w:val="000000" w:themeColor="text1"/>
        </w:rPr>
        <w:t>From a policy perspective it is us</w:t>
      </w:r>
      <w:r w:rsidR="00403520">
        <w:rPr>
          <w:color w:val="000000" w:themeColor="text1"/>
        </w:rPr>
        <w:t>eful to know the total, in wage-</w:t>
      </w:r>
      <w:r w:rsidRPr="00FE162C">
        <w:rPr>
          <w:color w:val="000000" w:themeColor="text1"/>
        </w:rPr>
        <w:t xml:space="preserve">equivalent terms, that a </w:t>
      </w:r>
      <w:r>
        <w:rPr>
          <w:color w:val="000000" w:themeColor="text1"/>
        </w:rPr>
        <w:t xml:space="preserve">particular type of </w:t>
      </w:r>
      <w:r w:rsidRPr="00FE162C">
        <w:rPr>
          <w:color w:val="000000" w:themeColor="text1"/>
        </w:rPr>
        <w:t xml:space="preserve">person is willing to forgo, or requires compensation, </w:t>
      </w:r>
      <w:r>
        <w:rPr>
          <w:color w:val="000000" w:themeColor="text1"/>
        </w:rPr>
        <w:t>for accepting a specific</w:t>
      </w:r>
      <w:r w:rsidRPr="00FE162C">
        <w:rPr>
          <w:color w:val="000000" w:themeColor="text1"/>
        </w:rPr>
        <w:t xml:space="preserve"> job. This is called </w:t>
      </w:r>
      <w:r>
        <w:rPr>
          <w:color w:val="000000" w:themeColor="text1"/>
        </w:rPr>
        <w:t>t</w:t>
      </w:r>
      <w:r w:rsidR="00E71F01">
        <w:rPr>
          <w:color w:val="000000" w:themeColor="text1"/>
        </w:rPr>
        <w:t>otal willingness to pay (TWTP). A</w:t>
      </w:r>
      <w:r w:rsidRPr="00FE162C">
        <w:rPr>
          <w:color w:val="000000" w:themeColor="text1"/>
        </w:rPr>
        <w:t xml:space="preserve"> positive value</w:t>
      </w:r>
      <w:r w:rsidR="00E71F01">
        <w:rPr>
          <w:color w:val="000000" w:themeColor="text1"/>
        </w:rPr>
        <w:t xml:space="preserve"> for it indicates</w:t>
      </w:r>
      <w:r w:rsidRPr="00FE162C">
        <w:rPr>
          <w:color w:val="000000" w:themeColor="text1"/>
        </w:rPr>
        <w:t xml:space="preserve"> the amount individuals are willing to forgo</w:t>
      </w:r>
      <w:r w:rsidR="00A752E8">
        <w:rPr>
          <w:color w:val="000000" w:themeColor="text1"/>
        </w:rPr>
        <w:t xml:space="preserve"> and a negative value indicates</w:t>
      </w:r>
      <w:r w:rsidRPr="00FE162C">
        <w:rPr>
          <w:color w:val="000000" w:themeColor="text1"/>
        </w:rPr>
        <w:t xml:space="preserve"> the amount they have to be compensated.</w:t>
      </w:r>
      <w:r w:rsidRPr="00DD2501">
        <w:rPr>
          <w:color w:val="000000" w:themeColor="text1"/>
        </w:rPr>
        <w:t xml:space="preserve"> </w:t>
      </w:r>
      <w:r>
        <w:rPr>
          <w:color w:val="000000" w:themeColor="text1"/>
        </w:rPr>
        <w:t>The results show</w:t>
      </w:r>
      <w:r w:rsidR="00403520">
        <w:rPr>
          <w:color w:val="000000" w:themeColor="text1"/>
        </w:rPr>
        <w:t xml:space="preserve"> that 14% </w:t>
      </w:r>
      <w:r w:rsidRPr="00FE162C">
        <w:rPr>
          <w:color w:val="000000" w:themeColor="text1"/>
        </w:rPr>
        <w:t>of the</w:t>
      </w:r>
      <w:r>
        <w:rPr>
          <w:color w:val="000000" w:themeColor="text1"/>
        </w:rPr>
        <w:t xml:space="preserve"> total</w:t>
      </w:r>
      <w:r w:rsidR="00C07421">
        <w:rPr>
          <w:color w:val="000000" w:themeColor="text1"/>
        </w:rPr>
        <w:t xml:space="preserve"> sample required</w:t>
      </w:r>
      <w:r w:rsidRPr="00FE162C">
        <w:rPr>
          <w:color w:val="000000" w:themeColor="text1"/>
        </w:rPr>
        <w:t xml:space="preserve"> no wage premium</w:t>
      </w:r>
      <w:r w:rsidR="00C07421">
        <w:rPr>
          <w:color w:val="000000" w:themeColor="text1"/>
        </w:rPr>
        <w:t xml:space="preserve"> to accept a job</w:t>
      </w:r>
      <w:r>
        <w:rPr>
          <w:color w:val="000000" w:themeColor="text1"/>
        </w:rPr>
        <w:t>.</w:t>
      </w:r>
    </w:p>
    <w:p w:rsidR="00422611" w:rsidRPr="00FE162C" w:rsidRDefault="00422611" w:rsidP="00C066AD">
      <w:pPr>
        <w:pStyle w:val="Text"/>
        <w:rPr>
          <w:color w:val="000000" w:themeColor="text1"/>
        </w:rPr>
      </w:pPr>
      <w:r w:rsidRPr="00FE162C">
        <w:rPr>
          <w:color w:val="000000" w:themeColor="text1"/>
        </w:rPr>
        <w:t>For illustrative purposes</w:t>
      </w:r>
      <w:r>
        <w:rPr>
          <w:color w:val="000000" w:themeColor="text1"/>
        </w:rPr>
        <w:t>, we calculated</w:t>
      </w:r>
      <w:r w:rsidR="00C07421">
        <w:rPr>
          <w:color w:val="000000" w:themeColor="text1"/>
        </w:rPr>
        <w:t xml:space="preserve"> the average </w:t>
      </w:r>
      <w:r w:rsidR="00403520">
        <w:rPr>
          <w:color w:val="000000" w:themeColor="text1"/>
        </w:rPr>
        <w:t>total willingness to pay</w:t>
      </w:r>
      <w:r w:rsidR="00C07421">
        <w:rPr>
          <w:color w:val="000000" w:themeColor="text1"/>
        </w:rPr>
        <w:t xml:space="preserve"> for three</w:t>
      </w:r>
      <w:r w:rsidRPr="00FE162C">
        <w:rPr>
          <w:color w:val="000000" w:themeColor="text1"/>
        </w:rPr>
        <w:t xml:space="preserve"> groups </w:t>
      </w:r>
      <w:r>
        <w:rPr>
          <w:color w:val="000000" w:themeColor="text1"/>
        </w:rPr>
        <w:t>for accepting jobs that are ongoing, without training and require permanent relocation to Karratha or Emerald. The three</w:t>
      </w:r>
      <w:r w:rsidRPr="00FE162C">
        <w:rPr>
          <w:color w:val="000000" w:themeColor="text1"/>
        </w:rPr>
        <w:t xml:space="preserve"> groups are:</w:t>
      </w:r>
    </w:p>
    <w:p w:rsidR="00422611" w:rsidRPr="00FE162C" w:rsidRDefault="00403520" w:rsidP="00C066AD">
      <w:pPr>
        <w:pStyle w:val="Dotpoint1"/>
      </w:pPr>
      <w:r>
        <w:t xml:space="preserve">young: </w:t>
      </w:r>
      <w:r w:rsidR="00422611" w:rsidRPr="00FE162C">
        <w:t xml:space="preserve">single, </w:t>
      </w:r>
      <w:r w:rsidR="00C07421">
        <w:t>un</w:t>
      </w:r>
      <w:r w:rsidR="00422611" w:rsidRPr="00FE162C">
        <w:t>employed or looking for work and u</w:t>
      </w:r>
      <w:r w:rsidR="00422611">
        <w:t>nder 30 years of age</w:t>
      </w:r>
    </w:p>
    <w:p w:rsidR="00422611" w:rsidRPr="00FE162C" w:rsidRDefault="00403520" w:rsidP="00C066AD">
      <w:pPr>
        <w:pStyle w:val="Dotpoint1"/>
      </w:pPr>
      <w:r>
        <w:t xml:space="preserve">old: </w:t>
      </w:r>
      <w:r w:rsidR="00422611" w:rsidRPr="00FE162C">
        <w:t>married, employed and not looking for work, own a house and over 40 years of age</w:t>
      </w:r>
    </w:p>
    <w:p w:rsidR="00422611" w:rsidRPr="00FE162C" w:rsidRDefault="00403520" w:rsidP="00C066AD">
      <w:pPr>
        <w:pStyle w:val="Dotpoint1"/>
      </w:pPr>
      <w:r>
        <w:t xml:space="preserve">the rest: </w:t>
      </w:r>
      <w:r w:rsidR="00422611" w:rsidRPr="00FE162C">
        <w:t xml:space="preserve">neither </w:t>
      </w:r>
      <w:r w:rsidRPr="00FE162C">
        <w:t>young nor old</w:t>
      </w:r>
      <w:r w:rsidR="00422611" w:rsidRPr="00FE162C">
        <w:t>.</w:t>
      </w:r>
    </w:p>
    <w:p w:rsidR="00FD5A11" w:rsidRPr="00C066AD" w:rsidRDefault="00403520" w:rsidP="00C066AD">
      <w:pPr>
        <w:pStyle w:val="Text"/>
      </w:pPr>
      <w:r>
        <w:lastRenderedPageBreak/>
        <w:t xml:space="preserve">The results show that about 75% of the </w:t>
      </w:r>
      <w:r w:rsidR="00602830">
        <w:t>‘</w:t>
      </w:r>
      <w:r>
        <w:t>y</w:t>
      </w:r>
      <w:r w:rsidR="00FD5A11">
        <w:t>oung</w:t>
      </w:r>
      <w:r w:rsidR="00602830">
        <w:t>’</w:t>
      </w:r>
      <w:r w:rsidR="00FD5A11">
        <w:t xml:space="preserve"> group is willing to accept such job offers </w:t>
      </w:r>
      <w:r w:rsidR="00592349">
        <w:t>without</w:t>
      </w:r>
      <w:r w:rsidR="00FD5A11">
        <w:t xml:space="preserve"> a wage premium</w:t>
      </w:r>
      <w:r w:rsidR="00245A5B">
        <w:t>. Among</w:t>
      </w:r>
      <w:r>
        <w:t xml:space="preserve"> the </w:t>
      </w:r>
      <w:r w:rsidR="00602830">
        <w:t>‘</w:t>
      </w:r>
      <w:r>
        <w:t>o</w:t>
      </w:r>
      <w:r w:rsidR="00FD5A11">
        <w:t>ld</w:t>
      </w:r>
      <w:r w:rsidR="00602830">
        <w:t>’</w:t>
      </w:r>
      <w:r w:rsidR="00FD5A11">
        <w:t xml:space="preserve"> group </w:t>
      </w:r>
      <w:r w:rsidR="00245A5B">
        <w:t xml:space="preserve">none is willing to accept a </w:t>
      </w:r>
      <w:r w:rsidR="00245A5B" w:rsidRPr="00C066AD">
        <w:t>job offer without a wage premium</w:t>
      </w:r>
      <w:r w:rsidR="00FD5A11" w:rsidRPr="00C066AD">
        <w:t>.</w:t>
      </w:r>
    </w:p>
    <w:p w:rsidR="00FD5A11" w:rsidRPr="00C066AD" w:rsidRDefault="00FD5A11" w:rsidP="00C066AD">
      <w:pPr>
        <w:pStyle w:val="Text"/>
      </w:pPr>
      <w:r w:rsidRPr="00C066AD">
        <w:t xml:space="preserve">As a number of people are willing to accept such job offers without a wage premium, it makes sense from the perspective of developing policy that seeks to use incentives </w:t>
      </w:r>
      <w:r w:rsidR="007F4EB6">
        <w:t>to</w:t>
      </w:r>
      <w:r w:rsidRPr="00C066AD">
        <w:t xml:space="preserve"> encourag</w:t>
      </w:r>
      <w:r w:rsidR="007F4EB6">
        <w:t>e</w:t>
      </w:r>
      <w:r w:rsidRPr="00C066AD">
        <w:t xml:space="preserve"> labour mobility to exclude them from the calculations of the level of incentives to offer. Thus, for example, a</w:t>
      </w:r>
      <w:r w:rsidR="006A20CE" w:rsidRPr="00C066AD">
        <w:t>n offer of a wage premium of $3</w:t>
      </w:r>
      <w:r w:rsidRPr="00C066AD">
        <w:t>720 is likely to encourage 25</w:t>
      </w:r>
      <w:r w:rsidR="006A20CE" w:rsidRPr="00C066AD">
        <w:t>%</w:t>
      </w:r>
      <w:r w:rsidRPr="00C066AD">
        <w:t xml:space="preserve"> </w:t>
      </w:r>
      <w:r w:rsidR="006A20CE" w:rsidRPr="00C066AD">
        <w:t>of the remainder of the y</w:t>
      </w:r>
      <w:r w:rsidRPr="00C066AD">
        <w:t>oung group to accept a job offer.</w:t>
      </w:r>
    </w:p>
    <w:p w:rsidR="00AC1559" w:rsidRPr="00C066AD" w:rsidRDefault="00AC1559" w:rsidP="00C066AD">
      <w:pPr>
        <w:pStyle w:val="Text"/>
      </w:pPr>
      <w:r w:rsidRPr="00C066AD">
        <w:t xml:space="preserve">The main finding of the research is that there is </w:t>
      </w:r>
      <w:r w:rsidR="00782E5B">
        <w:t xml:space="preserve">a </w:t>
      </w:r>
      <w:r w:rsidRPr="00C066AD">
        <w:t>strong willingness to relocate for work by people who are searching for new jobs. S</w:t>
      </w:r>
      <w:r w:rsidR="00592349" w:rsidRPr="00C066AD">
        <w:t xml:space="preserve">ome people are willing to trade </w:t>
      </w:r>
      <w:r w:rsidRPr="00C066AD">
        <w:t>off wages to secure a</w:t>
      </w:r>
      <w:r w:rsidR="006A20CE" w:rsidRPr="00C066AD">
        <w:t>n ongoing</w:t>
      </w:r>
      <w:r w:rsidRPr="00C066AD">
        <w:t xml:space="preserve"> job that includes a training component. While there is a preference for fly-in/fly-out contracts over permanent relocation to the regional locations, the net trade-off in wages is relatively small.</w:t>
      </w:r>
    </w:p>
    <w:p w:rsidR="002F0C70" w:rsidRPr="00C066AD" w:rsidRDefault="005F0D77" w:rsidP="00C066AD">
      <w:pPr>
        <w:pStyle w:val="Text"/>
      </w:pPr>
      <w:r w:rsidRPr="00C066AD">
        <w:t>The unemployed is one group with</w:t>
      </w:r>
      <w:r w:rsidR="00592349" w:rsidRPr="00C066AD">
        <w:t xml:space="preserve"> a</w:t>
      </w:r>
      <w:r w:rsidRPr="00C066AD">
        <w:t xml:space="preserve"> high willingness to move for work and, therefore, labour</w:t>
      </w:r>
      <w:r w:rsidR="00782E5B">
        <w:t>-</w:t>
      </w:r>
      <w:r w:rsidRPr="00C066AD">
        <w:t xml:space="preserve">mobility policies targeting this group have the </w:t>
      </w:r>
      <w:r w:rsidR="002130DB" w:rsidRPr="00C066AD">
        <w:t xml:space="preserve">highest </w:t>
      </w:r>
      <w:r w:rsidRPr="00C066AD">
        <w:t>potential to improve social inclus</w:t>
      </w:r>
      <w:r w:rsidR="006A20CE" w:rsidRPr="00C066AD">
        <w:t>ion. At the same time, program</w:t>
      </w:r>
      <w:r w:rsidRPr="00C066AD">
        <w:t>s such as Move 2 Work and Connecting People with Jobs have had</w:t>
      </w:r>
      <w:r w:rsidR="002F0C70" w:rsidRPr="00C066AD">
        <w:t xml:space="preserve"> only limited success. The analysis in this report suggests the reason for the li</w:t>
      </w:r>
      <w:r w:rsidR="006A20CE" w:rsidRPr="00C066AD">
        <w:t>mited success of these program</w:t>
      </w:r>
      <w:r w:rsidR="002F0C70" w:rsidRPr="00C066AD">
        <w:t xml:space="preserve">s could be less </w:t>
      </w:r>
      <w:r w:rsidR="006A20CE" w:rsidRPr="00C066AD">
        <w:t xml:space="preserve">related </w:t>
      </w:r>
      <w:r w:rsidR="002F0C70" w:rsidRPr="00C066AD">
        <w:t xml:space="preserve">to </w:t>
      </w:r>
      <w:r w:rsidR="006A20CE" w:rsidRPr="00C066AD">
        <w:t>the</w:t>
      </w:r>
      <w:r w:rsidR="002F0C70" w:rsidRPr="00C066AD">
        <w:t xml:space="preserve"> willingness to move for work and more to </w:t>
      </w:r>
      <w:r w:rsidR="006A20CE" w:rsidRPr="00C066AD">
        <w:t>the</w:t>
      </w:r>
      <w:r w:rsidR="002F0C70" w:rsidRPr="00C066AD">
        <w:t xml:space="preserve"> labour demand-side factors, such as </w:t>
      </w:r>
      <w:r w:rsidR="006A20CE" w:rsidRPr="00C066AD">
        <w:t xml:space="preserve">the </w:t>
      </w:r>
      <w:r w:rsidR="002F0C70" w:rsidRPr="00C066AD">
        <w:t>skills and experience that employers need.</w:t>
      </w:r>
    </w:p>
    <w:p w:rsidR="005F0D77" w:rsidRPr="00FE162C" w:rsidRDefault="005F0D77" w:rsidP="00C066AD">
      <w:pPr>
        <w:pStyle w:val="Text"/>
      </w:pPr>
      <w:r w:rsidRPr="00C066AD">
        <w:t xml:space="preserve">Policies promoting geographic labour mobility are more likely to succeed if the </w:t>
      </w:r>
      <w:r w:rsidR="00AE1BD8" w:rsidRPr="00C066AD">
        <w:t>employment contracts include upskilling or re</w:t>
      </w:r>
      <w:r w:rsidRPr="00C066AD">
        <w:t>skilling opportunities and the job offered is</w:t>
      </w:r>
      <w:r>
        <w:t xml:space="preserve"> not short-term. Choice experiments in which job offers are varied by demand–side factors</w:t>
      </w:r>
      <w:r w:rsidRPr="00FE162C">
        <w:t>, for example, by offering jobs with training and</w:t>
      </w:r>
      <w:r>
        <w:t xml:space="preserve"> </w:t>
      </w:r>
      <w:r w:rsidRPr="00FE162C">
        <w:t>in non-matching occupations</w:t>
      </w:r>
      <w:r w:rsidR="00AE1BD8">
        <w:t>,</w:t>
      </w:r>
      <w:r>
        <w:t xml:space="preserve"> could provide</w:t>
      </w:r>
      <w:r w:rsidRPr="00FE162C">
        <w:t xml:space="preserve"> insights into the effectiveness of subsidising training in alternative areas. Future work may also look at the extent of the mismatch between actual labour demand and the skills of those who are the most willing to move.</w:t>
      </w:r>
    </w:p>
    <w:p w:rsidR="00775600" w:rsidRDefault="00775600">
      <w:pPr>
        <w:spacing w:before="0" w:line="240" w:lineRule="auto"/>
        <w:rPr>
          <w:rFonts w:ascii="Tahoma" w:hAnsi="Tahoma" w:cs="Tahoma"/>
          <w:color w:val="000000" w:themeColor="text1"/>
          <w:kern w:val="28"/>
          <w:sz w:val="56"/>
          <w:szCs w:val="56"/>
        </w:rPr>
      </w:pPr>
      <w:bookmarkStart w:id="39" w:name="_Toc380161297"/>
      <w:r>
        <w:rPr>
          <w:color w:val="000000" w:themeColor="text1"/>
        </w:rPr>
        <w:br w:type="page"/>
      </w:r>
    </w:p>
    <w:p w:rsidR="00775600" w:rsidRPr="00FE162C" w:rsidRDefault="00775600" w:rsidP="00775600">
      <w:pPr>
        <w:pStyle w:val="Heading1"/>
        <w:rPr>
          <w:color w:val="000000" w:themeColor="text1"/>
        </w:rPr>
      </w:pPr>
      <w:bookmarkStart w:id="40" w:name="_Toc386530480"/>
      <w:r w:rsidRPr="00FE162C">
        <w:rPr>
          <w:color w:val="000000" w:themeColor="text1"/>
        </w:rPr>
        <w:lastRenderedPageBreak/>
        <w:t>Introduction</w:t>
      </w:r>
      <w:bookmarkEnd w:id="39"/>
      <w:bookmarkEnd w:id="40"/>
    </w:p>
    <w:p w:rsidR="0076411E" w:rsidRDefault="0076411E" w:rsidP="00C066AD">
      <w:pPr>
        <w:pStyle w:val="Text"/>
      </w:pPr>
      <w:r w:rsidRPr="00FE162C">
        <w:t xml:space="preserve">This paper reports on one of three topics that comprise a three-year program of work: </w:t>
      </w:r>
      <w:r w:rsidR="00602830">
        <w:t>‘</w:t>
      </w:r>
      <w:r w:rsidRPr="00AE1BD8">
        <w:rPr>
          <w:iCs/>
        </w:rPr>
        <w:t>Geographical dimensions of social inclusion and VET in Australia</w:t>
      </w:r>
      <w:r w:rsidR="00602830">
        <w:rPr>
          <w:iCs/>
        </w:rPr>
        <w:t>’</w:t>
      </w:r>
      <w:r w:rsidRPr="00FE162C">
        <w:t>.</w:t>
      </w:r>
      <w:r>
        <w:t xml:space="preserve"> </w:t>
      </w:r>
      <w:r w:rsidRPr="00FE162C">
        <w:t>The paper investigates the monetary value of inc</w:t>
      </w:r>
      <w:r>
        <w:t>entives, if any, to offer</w:t>
      </w:r>
      <w:r w:rsidRPr="00FE162C">
        <w:t xml:space="preserve"> individuals to move from one region to another</w:t>
      </w:r>
      <w:r>
        <w:t xml:space="preserve"> for work</w:t>
      </w:r>
      <w:r w:rsidRPr="00FE162C">
        <w:t>.</w:t>
      </w:r>
      <w:r>
        <w:t xml:space="preserve"> </w:t>
      </w:r>
      <w:r w:rsidRPr="00FE162C">
        <w:t>If</w:t>
      </w:r>
      <w:r w:rsidR="00782E5B">
        <w:t>,</w:t>
      </w:r>
      <w:r w:rsidRPr="00FE162C">
        <w:t xml:space="preserve"> by offering incentives, individuals can be encouraged to move</w:t>
      </w:r>
      <w:r>
        <w:t xml:space="preserve"> for work</w:t>
      </w:r>
      <w:r w:rsidRPr="00FE162C">
        <w:t xml:space="preserve"> from regions with high unemployment to regions where there are unfilled vacancies, then there is </w:t>
      </w:r>
      <w:r w:rsidR="00AE1BD8">
        <w:t>the</w:t>
      </w:r>
      <w:r w:rsidRPr="00FE162C">
        <w:t xml:space="preserve"> potential </w:t>
      </w:r>
      <w:r>
        <w:t>for improving social inclusion. The paper</w:t>
      </w:r>
      <w:r w:rsidR="00AE1BD8">
        <w:t xml:space="preserve"> provides </w:t>
      </w:r>
      <w:r w:rsidR="00AE1BD8" w:rsidRPr="00C066AD">
        <w:t>policy</w:t>
      </w:r>
      <w:r w:rsidR="00AE1BD8">
        <w:t>-</w:t>
      </w:r>
      <w:r w:rsidRPr="00FE162C">
        <w:t xml:space="preserve">makers with quantitative </w:t>
      </w:r>
      <w:r>
        <w:t>estimates</w:t>
      </w:r>
      <w:r w:rsidRPr="00FE162C">
        <w:t xml:space="preserve"> of the relative importance of </w:t>
      </w:r>
      <w:r w:rsidR="00592349">
        <w:t xml:space="preserve">the </w:t>
      </w:r>
      <w:r w:rsidRPr="00FE162C">
        <w:t xml:space="preserve">different job characteristics </w:t>
      </w:r>
      <w:r w:rsidR="00AE1BD8">
        <w:t>influencing</w:t>
      </w:r>
      <w:r w:rsidRPr="00FE162C">
        <w:t xml:space="preserve"> the choice of workers </w:t>
      </w:r>
      <w:r w:rsidR="00592349">
        <w:t>to move</w:t>
      </w:r>
      <w:r w:rsidRPr="00FE162C">
        <w:t xml:space="preserve"> to work in regional Australia.</w:t>
      </w:r>
      <w:r>
        <w:t xml:space="preserve"> In this introductory section we:</w:t>
      </w:r>
    </w:p>
    <w:p w:rsidR="0076411E" w:rsidRDefault="0076411E" w:rsidP="00C066AD">
      <w:pPr>
        <w:pStyle w:val="Dotpoint1"/>
      </w:pPr>
      <w:r>
        <w:t>present some background on regional differences in employment performance in Australia recently and labour</w:t>
      </w:r>
      <w:r w:rsidR="00782E5B">
        <w:t>-</w:t>
      </w:r>
      <w:r>
        <w:t>mobility policies and practice for reducing regional disparity</w:t>
      </w:r>
    </w:p>
    <w:p w:rsidR="0076411E" w:rsidRDefault="0076411E" w:rsidP="00C066AD">
      <w:pPr>
        <w:pStyle w:val="Dotpoint1"/>
      </w:pPr>
      <w:r>
        <w:t>provide an outline of this study</w:t>
      </w:r>
    </w:p>
    <w:p w:rsidR="0076411E" w:rsidRDefault="0076411E" w:rsidP="00C066AD">
      <w:pPr>
        <w:pStyle w:val="Dotpoint1"/>
      </w:pPr>
      <w:r>
        <w:t>provide an overview of the contents of this report.</w:t>
      </w:r>
    </w:p>
    <w:p w:rsidR="0076411E" w:rsidRDefault="0076411E" w:rsidP="0076411E">
      <w:pPr>
        <w:pStyle w:val="Heading2"/>
        <w:rPr>
          <w:color w:val="000000" w:themeColor="text1"/>
        </w:rPr>
      </w:pPr>
      <w:bookmarkStart w:id="41" w:name="_Toc386530481"/>
      <w:r>
        <w:rPr>
          <w:color w:val="000000" w:themeColor="text1"/>
        </w:rPr>
        <w:t>Background</w:t>
      </w:r>
      <w:bookmarkEnd w:id="41"/>
    </w:p>
    <w:p w:rsidR="0076411E" w:rsidRPr="00C066AD" w:rsidRDefault="0076411E" w:rsidP="00C066AD">
      <w:pPr>
        <w:pStyle w:val="Text"/>
      </w:pPr>
      <w:r w:rsidRPr="00FE162C">
        <w:t xml:space="preserve">Regional disparities in employment performance exist in many </w:t>
      </w:r>
      <w:r w:rsidR="00AE1BD8">
        <w:t>Organisation for Economic Co-operation and Development (</w:t>
      </w:r>
      <w:r w:rsidRPr="00FE162C">
        <w:t>OECD</w:t>
      </w:r>
      <w:r w:rsidR="00AE1BD8">
        <w:t>)</w:t>
      </w:r>
      <w:r w:rsidRPr="00FE162C">
        <w:t xml:space="preserve"> countries; labour and skills shortages in some regions coexist with high unemployment in other regions (</w:t>
      </w:r>
      <w:r w:rsidR="00406B75" w:rsidRPr="00FE162C">
        <w:fldChar w:fldCharType="begin"/>
      </w:r>
      <w:r>
        <w:instrText xml:space="preserve"> ADDIN EN.CITE &lt;EndNote&gt;&lt;Cite&gt;&lt;Author&gt;OECD&lt;/Author&gt;&lt;Year&gt;2005&lt;/Year&gt;&lt;RecNum&gt;919&lt;/RecNum&gt;&lt;DisplayText&gt;OECD (2005)&lt;/DisplayText&gt;&lt;record&gt;&lt;rec-number&gt;919&lt;/rec-number&gt;&lt;foreign-keys&gt;&lt;key app="EN" db-id="refafpv0nd2rd4e9e2qxeaf6rw5xxvv2ds22" timestamp="1322282290"&gt;919&lt;/key&gt;&lt;/foreign-keys&gt;&lt;ref-type name="Report"&gt;27&lt;/ref-type&gt;&lt;contributors&gt;&lt;authors&gt;&lt;author&gt;OECD,&lt;/author&gt;&lt;/authors&gt;&lt;/contributors&gt;&lt;titles&gt;&lt;title&gt;Employment Outlook 2005&lt;/title&gt;&lt;/titles&gt;&lt;dates&gt;&lt;year&gt;2005&lt;/year&gt;&lt;/dates&gt;&lt;pub-location&gt;Paris&lt;/pub-location&gt;&lt;publisher&gt;OECD&lt;/publisher&gt;&lt;urls&gt;&lt;/urls&gt;&lt;/record&gt;&lt;/Cite&gt;&lt;/EndNote&gt;</w:instrText>
      </w:r>
      <w:r w:rsidR="00406B75" w:rsidRPr="00FE162C">
        <w:fldChar w:fldCharType="separate"/>
      </w:r>
      <w:hyperlink w:anchor="_ENREF_51" w:tooltip="OECD, 2005 #919" w:history="1">
        <w:r>
          <w:rPr>
            <w:noProof/>
          </w:rPr>
          <w:t>OECD 2005</w:t>
        </w:r>
      </w:hyperlink>
      <w:r>
        <w:rPr>
          <w:noProof/>
        </w:rPr>
        <w:t>)</w:t>
      </w:r>
      <w:r w:rsidR="00406B75" w:rsidRPr="00FE162C">
        <w:fldChar w:fldCharType="end"/>
      </w:r>
      <w:r w:rsidR="00AE1BD8">
        <w:t>. Using the Australian c</w:t>
      </w:r>
      <w:r w:rsidRPr="00FE162C">
        <w:t xml:space="preserve">ensus data for 1986 and 1996, </w:t>
      </w:r>
      <w:r w:rsidR="00406B75" w:rsidRPr="00FE162C">
        <w:fldChar w:fldCharType="begin"/>
      </w:r>
      <w:r>
        <w:instrText xml:space="preserve"> ADDIN EN.CITE &lt;EndNote&gt;&lt;Cite&gt;&lt;Author&gt;Lawson&lt;/Author&gt;&lt;Year&gt;2002&lt;/Year&gt;&lt;RecNum&gt;1319&lt;/RecNum&gt;&lt;DisplayText&gt;Lawson and Dwyer (2002)&lt;/DisplayText&gt;&lt;record&gt;&lt;rec-number&gt;1319&lt;/rec-number&gt;&lt;foreign-keys&gt;&lt;key app="EN" db-id="refafpv0nd2rd4e9e2qxeaf6rw5xxvv2ds22" timestamp="1380264599"&gt;1319&lt;/key&gt;&lt;/foreign-keys&gt;&lt;ref-type name="Working paper"&gt;40&lt;/ref-type&gt;&lt;contributors&gt;&lt;authors&gt;&lt;author&gt;Lawson, J&lt;/author&gt;&lt;author&gt;Dwyer, J&lt;/author&gt;&lt;/authors&gt;&lt;/contributors&gt;&lt;titles&gt;&lt;title&gt;Labour market adjustment in regional Australia&lt;/title&gt;&lt;/titles&gt;&lt;number&gt;Research Discussion Paper 2002-04&lt;/number&gt;&lt;dates&gt;&lt;year&gt;2002&lt;/year&gt;&lt;/dates&gt;&lt;pub-location&gt;Sydney&lt;/pub-location&gt;&lt;publisher&gt;Economic Group, Reserve Bank of Australia&lt;/publisher&gt;&lt;urls&gt;&lt;/urls&gt;&lt;/record&gt;&lt;/Cite&gt;&lt;/EndNote&gt;</w:instrText>
      </w:r>
      <w:r w:rsidR="00406B75" w:rsidRPr="00FE162C">
        <w:fldChar w:fldCharType="separate"/>
      </w:r>
      <w:hyperlink w:anchor="_ENREF_37" w:tooltip="Lawson, 2002 #1319" w:history="1">
        <w:r w:rsidRPr="00FE162C">
          <w:rPr>
            <w:noProof/>
          </w:rPr>
          <w:t>Lawson and Dwyer (2002</w:t>
        </w:r>
      </w:hyperlink>
      <w:r w:rsidRPr="00FE162C">
        <w:rPr>
          <w:noProof/>
        </w:rPr>
        <w:t>)</w:t>
      </w:r>
      <w:r w:rsidR="00406B75" w:rsidRPr="00FE162C">
        <w:fldChar w:fldCharType="end"/>
      </w:r>
      <w:r w:rsidRPr="00FE162C">
        <w:t xml:space="preserve"> show divergence in the performance of regional labour markets in Australia, with regional migration </w:t>
      </w:r>
      <w:r w:rsidRPr="00C066AD">
        <w:t>playing a dominant, but variable, adjustment role. From 2000 to 2012, when unemployment generally fell, except for the brief period following the Global Financial Crisis, the average unemployment dispersion in Australia narrowed (</w:t>
      </w:r>
      <w:r w:rsidR="00406B75" w:rsidRPr="00C066AD">
        <w:fldChar w:fldCharType="begin"/>
      </w:r>
      <w:r w:rsidRPr="00C066AD">
        <w:instrText xml:space="preserve"> ADDIN EN.CITE &lt;EndNote&gt;&lt;Cite&gt;&lt;Author&gt;Gruen&lt;/Author&gt;&lt;Year&gt;2012&lt;/Year&gt;&lt;RecNum&gt;1265&lt;/RecNum&gt;&lt;DisplayText&gt;Gruen, Li and Wong (2012)&lt;/DisplayText&gt;&lt;record&gt;&lt;rec-number&gt;1265&lt;/rec-number&gt;&lt;foreign-keys&gt;&lt;key app="EN" db-id="refafpv0nd2rd4e9e2qxeaf6rw5xxvv2ds22" timestamp="1372423633"&gt;1265&lt;/key&gt;&lt;/foreign-keys&gt;&lt;ref-type name="Working paper"&gt;40&lt;/ref-type&gt;&lt;contributors&gt;&lt;authors&gt;&lt;author&gt;Gruen, D&lt;/author&gt;&lt;author&gt;Li, B&lt;/author&gt;&lt;author&gt;Wong, T&lt;/author&gt;&lt;/authors&gt;&lt;/contributors&gt;&lt;titles&gt;&lt;title&gt;Unemployment disparity across regions&lt;/title&gt;&lt;/titles&gt;&lt;number&gt;Economic Roundup Issue 2, 2012&lt;/number&gt;&lt;dates&gt;&lt;year&gt;2012&lt;/year&gt;&lt;/dates&gt;&lt;pub-location&gt;Canberra&lt;/pub-location&gt;&lt;publisher&gt;Australian Treasury&lt;/publisher&gt;&lt;urls&gt;&lt;related-urls&gt;&lt;url&gt;http://www.treasury.gov.au/~/media/Treasury/Publications%20and%20Media/Publications/2012/Economic%20Roundup%20Issue%202/Downloads/04_Unemployment_disparity_region.ashx&lt;/url&gt;&lt;/related-urls&gt;&lt;/urls&gt;&lt;access-date&gt;28 Jun 2013&lt;/access-date&gt;&lt;/record&gt;&lt;/Cite&gt;&lt;/EndNote&gt;</w:instrText>
      </w:r>
      <w:r w:rsidR="00406B75" w:rsidRPr="00C066AD">
        <w:fldChar w:fldCharType="separate"/>
      </w:r>
      <w:hyperlink w:anchor="_ENREF_23" w:tooltip="Gruen, 2012 #1265" w:history="1">
        <w:r w:rsidRPr="00C066AD">
          <w:t xml:space="preserve">Gruen, Li </w:t>
        </w:r>
        <w:r w:rsidR="00AE1BD8" w:rsidRPr="00C066AD">
          <w:t>&amp;</w:t>
        </w:r>
        <w:r w:rsidRPr="00C066AD">
          <w:t xml:space="preserve"> Wong 2012</w:t>
        </w:r>
      </w:hyperlink>
      <w:r w:rsidRPr="00C066AD">
        <w:t>)</w:t>
      </w:r>
      <w:r w:rsidR="00406B75" w:rsidRPr="00C066AD">
        <w:fldChar w:fldCharType="end"/>
      </w:r>
      <w:r w:rsidRPr="00C066AD">
        <w:t>.</w:t>
      </w:r>
    </w:p>
    <w:p w:rsidR="0076411E" w:rsidRPr="00C066AD" w:rsidRDefault="0076411E" w:rsidP="00C066AD">
      <w:pPr>
        <w:pStyle w:val="Text"/>
      </w:pPr>
      <w:r w:rsidRPr="00C066AD">
        <w:t>Despite this, the impact of the most recent resources boom, notwithstanding the recent slowdown, has been a shortage of skilled labour in some regions, such as parts of Western Australia, Queensland and the Northern Territory, coexisting with pockets of high unemployment or underemployment in other parts of the country, such as Tasmania and a number of metropolitan areas in other states such as South Australia and New South Wales. Unlike previous booms, th</w:t>
      </w:r>
      <w:r w:rsidR="00782E5B">
        <w:t>e</w:t>
      </w:r>
      <w:r w:rsidRPr="00C066AD">
        <w:t xml:space="preserve"> </w:t>
      </w:r>
      <w:r w:rsidR="00782E5B">
        <w:t>most recent boom</w:t>
      </w:r>
      <w:r w:rsidRPr="00C066AD">
        <w:t xml:space="preserve"> was accompanied by high levels of both resource investment as a proportion of </w:t>
      </w:r>
      <w:r w:rsidR="00AE1BD8" w:rsidRPr="00C066AD">
        <w:t>gross domestic product (</w:t>
      </w:r>
      <w:r w:rsidRPr="00C066AD">
        <w:t>GDP</w:t>
      </w:r>
      <w:r w:rsidR="00AE1BD8" w:rsidRPr="00C066AD">
        <w:t>)</w:t>
      </w:r>
      <w:r w:rsidRPr="00C066AD">
        <w:t xml:space="preserve"> and high levels of terms of trade (</w:t>
      </w:r>
      <w:r w:rsidR="00406B75" w:rsidRPr="00C066AD">
        <w:fldChar w:fldCharType="begin"/>
      </w:r>
      <w:r w:rsidRPr="00C066AD">
        <w:instrText xml:space="preserve"> ADDIN EN.CITE &lt;EndNote&gt;&lt;Cite&gt;&lt;Author&gt;Gregory&lt;/Author&gt;&lt;Year&gt;2011&lt;/Year&gt;&lt;RecNum&gt;923&lt;/RecNum&gt;&lt;DisplayText&gt;Gregory and Sheehan (2011)&lt;/DisplayText&gt;&lt;record&gt;&lt;rec-number&gt;923&lt;/rec-number&gt;&lt;foreign-keys&gt;&lt;key app="EN" db-id="refafpv0nd2rd4e9e2qxeaf6rw5xxvv2ds22" timestamp="1322307426"&gt;923&lt;/key&gt;&lt;/foreign-keys&gt;&lt;ref-type name="Report"&gt;27&lt;/ref-type&gt;&lt;contributors&gt;&lt;authors&gt;&lt;author&gt;Gregory, B&lt;/author&gt;&lt;author&gt;Sheehan, P&lt;/author&gt;&lt;/authors&gt;&lt;/contributors&gt;&lt;titles&gt;&lt;title&gt;The resources boom and the macroeconomic policy in Australia&lt;/title&gt;&lt;/titles&gt;&lt;number&gt;Australian Economic Report: No. 1&lt;/number&gt;&lt;dates&gt;&lt;year&gt;2011&lt;/year&gt;&lt;/dates&gt;&lt;pub-location&gt;Melbourne&lt;/pub-location&gt;&lt;publisher&gt;Centre for Strategic Economic Studies, Victoria University&lt;/publisher&gt;&lt;urls&gt;&lt;/urls&gt;&lt;/record&gt;&lt;/Cite&gt;&lt;/EndNote&gt;</w:instrText>
      </w:r>
      <w:r w:rsidR="00406B75" w:rsidRPr="00C066AD">
        <w:fldChar w:fldCharType="separate"/>
      </w:r>
      <w:hyperlink w:anchor="_ENREF_22" w:tooltip="Gregory, 2011 #923" w:history="1">
        <w:r w:rsidRPr="00C066AD">
          <w:t xml:space="preserve">Gregory </w:t>
        </w:r>
        <w:r w:rsidR="00AE1BD8" w:rsidRPr="00C066AD">
          <w:t>&amp;</w:t>
        </w:r>
        <w:r w:rsidRPr="00C066AD">
          <w:t xml:space="preserve"> Sheehan 2011</w:t>
        </w:r>
      </w:hyperlink>
      <w:r w:rsidRPr="00C066AD">
        <w:t>)</w:t>
      </w:r>
      <w:r w:rsidR="00406B75" w:rsidRPr="00C066AD">
        <w:fldChar w:fldCharType="end"/>
      </w:r>
      <w:r w:rsidRPr="00C066AD">
        <w:t>.</w:t>
      </w:r>
      <w:r w:rsidRPr="00782E5B">
        <w:rPr>
          <w:rStyle w:val="FootnoteReference"/>
        </w:rPr>
        <w:footnoteReference w:id="1"/>
      </w:r>
      <w:r w:rsidRPr="00782E5B">
        <w:rPr>
          <w:vertAlign w:val="superscript"/>
        </w:rPr>
        <w:t xml:space="preserve"> </w:t>
      </w:r>
      <w:r w:rsidRPr="00C066AD">
        <w:t xml:space="preserve">The high levels of terms of trade pushed the Australian dollar to record highs against all major currencies. This had an adverse impact on the trade-exposed non-resource sectors of the economy. The result has been </w:t>
      </w:r>
      <w:r w:rsidR="00825D7D" w:rsidRPr="00C066AD">
        <w:t xml:space="preserve">described as </w:t>
      </w:r>
      <w:r w:rsidRPr="00C066AD">
        <w:t xml:space="preserve">a </w:t>
      </w:r>
      <w:r w:rsidR="00602830">
        <w:t>‘</w:t>
      </w:r>
      <w:r w:rsidRPr="00C066AD">
        <w:t>two-speed</w:t>
      </w:r>
      <w:r w:rsidR="00602830">
        <w:t>’</w:t>
      </w:r>
      <w:r w:rsidRPr="00C066AD">
        <w:t xml:space="preserve"> economy.</w:t>
      </w:r>
    </w:p>
    <w:p w:rsidR="0076411E" w:rsidRPr="00FE162C" w:rsidRDefault="0076411E" w:rsidP="00C066AD">
      <w:pPr>
        <w:pStyle w:val="Text"/>
      </w:pPr>
      <w:r w:rsidRPr="00C066AD">
        <w:t>A range of policy options can be implemented</w:t>
      </w:r>
      <w:r w:rsidRPr="00FE162C">
        <w:t xml:space="preserve"> to alleviate persistent disparities in regional employment or specific skill shortages when there is a market failure. Active labour market policies that increase the demand for labour in regions where unemployment is high are often adopted by governments to reduce the disparity in the regional imbalance in employment opportunities (</w:t>
      </w:r>
      <w:r w:rsidR="00406B75" w:rsidRPr="00FE162C">
        <w:fldChar w:fldCharType="begin"/>
      </w:r>
      <w:r>
        <w:instrText xml:space="preserve"> ADDIN EN.CITE &lt;EndNote&gt;&lt;Cite&gt;&lt;Author&gt;OECD&lt;/Author&gt;&lt;Year&gt;2005&lt;/Year&gt;&lt;RecNum&gt;919&lt;/RecNum&gt;&lt;DisplayText&gt;OECD (2005)&lt;/DisplayText&gt;&lt;record&gt;&lt;rec-number&gt;919&lt;/rec-number&gt;&lt;foreign-keys&gt;&lt;key app="EN" db-id="refafpv0nd2rd4e9e2qxeaf6rw5xxvv2ds22" timestamp="1322282290"&gt;919&lt;/key&gt;&lt;/foreign-keys&gt;&lt;ref-type name="Report"&gt;27&lt;/ref-type&gt;&lt;contributors&gt;&lt;authors&gt;&lt;author&gt;OECD,&lt;/author&gt;&lt;/authors&gt;&lt;/contributors&gt;&lt;titles&gt;&lt;title&gt;Employment Outlook 2005&lt;/title&gt;&lt;/titles&gt;&lt;dates&gt;&lt;year&gt;2005&lt;/year&gt;&lt;/dates&gt;&lt;pub-location&gt;Paris&lt;/pub-location&gt;&lt;publisher&gt;OECD&lt;/publisher&gt;&lt;urls&gt;&lt;/urls&gt;&lt;/record&gt;&lt;/Cite&gt;&lt;/EndNote&gt;</w:instrText>
      </w:r>
      <w:r w:rsidR="00406B75" w:rsidRPr="00FE162C">
        <w:fldChar w:fldCharType="separate"/>
      </w:r>
      <w:hyperlink w:anchor="_ENREF_51" w:tooltip="OECD, 2005 #919" w:history="1">
        <w:r>
          <w:rPr>
            <w:noProof/>
          </w:rPr>
          <w:t>OECD 2005</w:t>
        </w:r>
      </w:hyperlink>
      <w:r>
        <w:rPr>
          <w:noProof/>
        </w:rPr>
        <w:t>)</w:t>
      </w:r>
      <w:r w:rsidR="00406B75" w:rsidRPr="00FE162C">
        <w:fldChar w:fldCharType="end"/>
      </w:r>
      <w:r w:rsidRPr="00FE162C">
        <w:t xml:space="preserve">. Such policies </w:t>
      </w:r>
      <w:r w:rsidR="00592349" w:rsidRPr="00FE162C">
        <w:t xml:space="preserve">are </w:t>
      </w:r>
      <w:r w:rsidRPr="00FE162C">
        <w:t>often part of the social</w:t>
      </w:r>
      <w:r w:rsidR="00AE1BD8">
        <w:t xml:space="preserve"> inclusion agenda. However well </w:t>
      </w:r>
      <w:r w:rsidRPr="00FE162C">
        <w:t>intentioned the policies are, they have the potential to perpetuate locational disadvantage by concentrating people with disadvantage in deprived areas.</w:t>
      </w:r>
    </w:p>
    <w:p w:rsidR="0076411E" w:rsidRPr="00C066AD" w:rsidRDefault="0076411E" w:rsidP="00C066AD">
      <w:pPr>
        <w:pStyle w:val="Text"/>
      </w:pPr>
      <w:r w:rsidRPr="00FE162C">
        <w:lastRenderedPageBreak/>
        <w:t xml:space="preserve">Policies promoting geographic labour mobility, on the other hand, move people away from areas that </w:t>
      </w:r>
      <w:r w:rsidR="00AE1BD8">
        <w:t>are characterised by poor socioeconomic outcomes,</w:t>
      </w:r>
      <w:r w:rsidRPr="00FE162C">
        <w:t xml:space="preserve"> thus potentially avoiding the consequences of residing in areas of entrenched deprivation. They allow the individual to transcend </w:t>
      </w:r>
      <w:r w:rsidR="00602830">
        <w:t>‘</w:t>
      </w:r>
      <w:r w:rsidRPr="00FE162C">
        <w:t>locational disa</w:t>
      </w:r>
      <w:r w:rsidR="00592349">
        <w:t>dvantages</w:t>
      </w:r>
      <w:r w:rsidR="00602830">
        <w:t>’</w:t>
      </w:r>
      <w:r w:rsidR="00592349">
        <w:t xml:space="preserve"> such as unemployment and the</w:t>
      </w:r>
      <w:r w:rsidRPr="00FE162C">
        <w:t xml:space="preserve"> poor opportunities and quality of life associated with a particular area (</w:t>
      </w:r>
      <w:r w:rsidR="00406B75" w:rsidRPr="00FE162C">
        <w:fldChar w:fldCharType="begin"/>
      </w:r>
      <w:r>
        <w:instrText xml:space="preserve"> ADDIN EN.CITE &lt;EndNote&gt;&lt;Cite&gt;&lt;Author&gt;Ryan&lt;/Author&gt;&lt;Year&gt;2010&lt;/Year&gt;&lt;RecNum&gt;928&lt;/RecNum&gt;&lt;DisplayText&gt;Ryan and Whelan (2010)&lt;/DisplayText&gt;&lt;record&gt;&lt;rec-number&gt;928&lt;/rec-number&gt;&lt;foreign-keys&gt;&lt;key app="EN" db-id="refafpv0nd2rd4e9e2qxeaf6rw5xxvv2ds22" timestamp="1322395436"&gt;928&lt;/key&gt;&lt;/foreign-keys&gt;&lt;ref-type name="Conference Paper"&gt;47&lt;/ref-type&gt;&lt;contributors&gt;&lt;authors&gt;&lt;author&gt;Ryan, C&lt;/author&gt;&lt;author&gt;Whelan, S&lt;/author&gt;&lt;/authors&gt;&lt;/contributors&gt;&lt;titles&gt;&lt;title&gt;Locational disadvantage, socio-economic status and mobility behaviour - evidence from Australia&lt;/title&gt;&lt;secondary-title&gt;&lt;style face="normal" font="default" size="100%"&gt;39&lt;/style&gt;&lt;style face="superscript" font="default" size="100%"&gt;th&lt;/style&gt;&lt;style face="normal" font="default" size="100%"&gt; Australian Conference of Economists&lt;/style&gt;&lt;/secondary-title&gt;&lt;/titles&gt;&lt;dates&gt;&lt;year&gt;2010&lt;/year&gt;&lt;pub-dates&gt;&lt;date&gt;27-29 September 2010&lt;/date&gt;&lt;/pub-dates&gt;&lt;/dates&gt;&lt;pub-location&gt;Sydney&lt;/pub-location&gt;&lt;urls&gt;&lt;/urls&gt;&lt;/record&gt;&lt;/Cite&gt;&lt;/EndNote&gt;</w:instrText>
      </w:r>
      <w:r w:rsidR="00406B75" w:rsidRPr="00FE162C">
        <w:fldChar w:fldCharType="separate"/>
      </w:r>
      <w:hyperlink w:anchor="_ENREF_55" w:tooltip="Ryan, 2010 #928" w:history="1">
        <w:r>
          <w:rPr>
            <w:noProof/>
          </w:rPr>
          <w:t xml:space="preserve">Ryan </w:t>
        </w:r>
        <w:r w:rsidR="00995870">
          <w:rPr>
            <w:noProof/>
          </w:rPr>
          <w:t>&amp;</w:t>
        </w:r>
        <w:r>
          <w:rPr>
            <w:noProof/>
          </w:rPr>
          <w:t xml:space="preserve"> Whelan 2010</w:t>
        </w:r>
      </w:hyperlink>
      <w:r>
        <w:rPr>
          <w:noProof/>
        </w:rPr>
        <w:t>)</w:t>
      </w:r>
      <w:r w:rsidR="00406B75" w:rsidRPr="00FE162C">
        <w:fldChar w:fldCharType="end"/>
      </w:r>
      <w:r w:rsidRPr="00FE162C">
        <w:t>. However</w:t>
      </w:r>
      <w:r w:rsidR="00456B5F">
        <w:t>,</w:t>
      </w:r>
      <w:r w:rsidRPr="00FE162C">
        <w:t xml:space="preserve"> as Adam Smith wrote in </w:t>
      </w:r>
      <w:r w:rsidRPr="00FE162C">
        <w:rPr>
          <w:i/>
          <w:iCs/>
        </w:rPr>
        <w:t xml:space="preserve">The </w:t>
      </w:r>
      <w:r w:rsidR="00995870" w:rsidRPr="00FE162C">
        <w:rPr>
          <w:i/>
          <w:iCs/>
        </w:rPr>
        <w:t>wealth of nations</w:t>
      </w:r>
      <w:r w:rsidR="00995870">
        <w:t xml:space="preserve">: </w:t>
      </w:r>
      <w:r w:rsidR="00602830">
        <w:t>‘</w:t>
      </w:r>
      <w:r w:rsidRPr="00FE162C">
        <w:t>After all that has been said of the levity and inconstancy of human nature, it appears evidently from experience, that man is, of all sorts of luggage, the m</w:t>
      </w:r>
      <w:r w:rsidR="00995870">
        <w:t>ost difficult to be transported`</w:t>
      </w:r>
      <w:r w:rsidRPr="00FE162C">
        <w:t xml:space="preserve"> (p.67, </w:t>
      </w:r>
      <w:r w:rsidR="00406B75" w:rsidRPr="00FE162C">
        <w:fldChar w:fldCharType="begin"/>
      </w:r>
      <w:r>
        <w:instrText xml:space="preserve"> ADDIN EN.CITE &lt;EndNote&gt;&lt;Cite&gt;&lt;Author&gt;Smith&lt;/Author&gt;&lt;Year&gt;1776/2005&lt;/Year&gt;&lt;RecNum&gt;920&lt;/RecNum&gt;&lt;DisplayText&gt;Smith (1776/2005)&lt;/DisplayText&gt;&lt;record&gt;&lt;rec-number&gt;920&lt;/rec-number&gt;&lt;foreign-keys&gt;&lt;key app="EN" db-id="refafpv0nd2rd4e9e2qxeaf6rw5xxvv2ds22" timestamp="1322286830"&gt;920&lt;/key&gt;&lt;/foreign-keys&gt;&lt;ref-type name="Classical Work"&gt;49&lt;/ref-type&gt;&lt;contributors&gt;&lt;authors&gt;&lt;author&gt;Smith, A&lt;/author&gt;&lt;/authors&gt;&lt;secondary-authors&gt;&lt;author&gt;Manis, J&lt;/author&gt;&lt;/secondary-authors&gt;&lt;/contributors&gt;&lt;titles&gt;&lt;title&gt;An inquiry into the nature and causes of the wealth of nations&lt;/title&gt;&lt;secondary-title&gt;The Electronic Classics Series&lt;/secondary-title&gt;&lt;/titles&gt;&lt;dates&gt;&lt;year&gt;1776/2005&lt;/year&gt;&lt;pub-dates&gt;&lt;date&gt;26 November 2011 &lt;/date&gt;&lt;/pub-dates&gt;&lt;/dates&gt;&lt;pub-location&gt;Hazelton, PA&lt;/pub-location&gt;&lt;publisher&gt;Pennsylvania State University&lt;/publisher&gt;&lt;orig-pub&gt;First published 1776&lt;/orig-pub&gt;&lt;urls&gt;&lt;related-urls&gt;&lt;url&gt;http://www2.hn.psu.edu/faculty/jmanis/adam-smith/Wealth-Nations.pdf&lt;/url&gt;&lt;/related-urls&gt;&lt;/urls&gt;&lt;access-date&gt;20 February 2013&lt;/access-date&gt;&lt;/record&gt;&lt;/Cite&gt;&lt;/EndNote&gt;</w:instrText>
      </w:r>
      <w:r w:rsidR="00406B75" w:rsidRPr="00FE162C">
        <w:fldChar w:fldCharType="separate"/>
      </w:r>
      <w:hyperlink w:anchor="_ENREF_61" w:tooltip="Smith, 1776/2005 #920" w:history="1">
        <w:r w:rsidR="00995870">
          <w:rPr>
            <w:noProof/>
          </w:rPr>
          <w:t>Smith 1776 [2</w:t>
        </w:r>
        <w:r>
          <w:rPr>
            <w:noProof/>
          </w:rPr>
          <w:t>005</w:t>
        </w:r>
      </w:hyperlink>
      <w:r w:rsidR="00995870">
        <w:t>]</w:t>
      </w:r>
      <w:r>
        <w:rPr>
          <w:noProof/>
        </w:rPr>
        <w:t>)</w:t>
      </w:r>
      <w:r w:rsidR="00406B75" w:rsidRPr="00FE162C">
        <w:fldChar w:fldCharType="end"/>
      </w:r>
      <w:r w:rsidRPr="00FE162C">
        <w:t xml:space="preserve">. On the other hand, a high level of job mobility also has the potential </w:t>
      </w:r>
      <w:r w:rsidRPr="00C066AD">
        <w:t>to inhibit social cohesion and the building of community capacity (</w:t>
      </w:r>
      <w:r w:rsidR="00406B75" w:rsidRPr="00C066AD">
        <w:fldChar w:fldCharType="begin"/>
      </w:r>
      <w:r w:rsidRPr="00C066AD">
        <w:instrText xml:space="preserve"> ADDIN EN.CITE &lt;EndNote&gt;&lt;Cite&gt;&lt;Author&gt;Shah&lt;/Author&gt;&lt;Year&gt;2012&lt;/Year&gt;&lt;RecNum&gt;1141&lt;/RecNum&gt;&lt;DisplayText&gt;Shah et al. (2012)&lt;/DisplayText&gt;&lt;record&gt;&lt;rec-number&gt;1141&lt;/rec-number&gt;&lt;foreign-keys&gt;&lt;key app="EN" db-id="refafpv0nd2rd4e9e2qxeaf6rw5xxvv2ds22" timestamp="1353566106"&gt;1141&lt;/key&gt;&lt;/foreign-keys&gt;&lt;ref-type name="Working paper"&gt;40&lt;/ref-type&gt;&lt;contributors&gt;&lt;authors&gt;&lt;author&gt;Shah, C&lt;/author&gt;&lt;author&gt;Webb, S&lt;/author&gt;&lt;author&gt;Nicholas, A&lt;/author&gt;&lt;author&gt;Beale, D&lt;/author&gt;&lt;author&gt;Devos, A&lt;/author&gt;&lt;author&gt;Faine, M&lt;/author&gt;&lt;/authors&gt;&lt;/contributors&gt;&lt;titles&gt;&lt;title&gt;Geographical dimensions of social inclusion and VET in Australia: an overview&lt;/title&gt;&lt;/titles&gt;&lt;number&gt;Occasional Paper&lt;/number&gt;&lt;dates&gt;&lt;year&gt;2012&lt;/year&gt;&lt;/dates&gt;&lt;pub-location&gt;Adelaide&lt;/pub-location&gt;&lt;publisher&gt;NCVER&lt;/publisher&gt;&lt;urls&gt;&lt;/urls&gt;&lt;/record&gt;&lt;/Cite&gt;&lt;/EndNote&gt;</w:instrText>
      </w:r>
      <w:r w:rsidR="00406B75" w:rsidRPr="00C066AD">
        <w:fldChar w:fldCharType="separate"/>
      </w:r>
      <w:hyperlink w:anchor="_ENREF_59" w:tooltip="Shah, 2012 #1141" w:history="1">
        <w:r w:rsidRPr="00C066AD">
          <w:t>Shah et al. 2012</w:t>
        </w:r>
      </w:hyperlink>
      <w:r w:rsidRPr="00C066AD">
        <w:t>)</w:t>
      </w:r>
      <w:r w:rsidR="00406B75" w:rsidRPr="00C066AD">
        <w:fldChar w:fldCharType="end"/>
      </w:r>
      <w:r w:rsidRPr="00C066AD">
        <w:t>.</w:t>
      </w:r>
    </w:p>
    <w:p w:rsidR="0076411E" w:rsidRPr="00C066AD" w:rsidRDefault="0076411E" w:rsidP="00C066AD">
      <w:pPr>
        <w:pStyle w:val="Text"/>
      </w:pPr>
      <w:r w:rsidRPr="00C066AD">
        <w:t>As the populat</w:t>
      </w:r>
      <w:r w:rsidR="00995870" w:rsidRPr="00C066AD">
        <w:t>ions of major cities grow, path-</w:t>
      </w:r>
      <w:r w:rsidRPr="00C066AD">
        <w:t xml:space="preserve">dependent effects may widen the divide between urban and rural areas by decreasing the willingness of individuals to move </w:t>
      </w:r>
      <w:r w:rsidRPr="00782E5B">
        <w:rPr>
          <w:i/>
        </w:rPr>
        <w:t>from</w:t>
      </w:r>
      <w:r w:rsidRPr="00C066AD">
        <w:t xml:space="preserve"> urbanised regions while increasing the willingness of individuals to move </w:t>
      </w:r>
      <w:r w:rsidRPr="00782E5B">
        <w:rPr>
          <w:i/>
        </w:rPr>
        <w:t>to</w:t>
      </w:r>
      <w:r w:rsidRPr="00C066AD">
        <w:t xml:space="preserve"> urbanised regions (</w:t>
      </w:r>
      <w:r w:rsidR="00406B75" w:rsidRPr="00C066AD">
        <w:fldChar w:fldCharType="begin"/>
      </w:r>
      <w:r w:rsidRPr="00C066AD">
        <w:instrText xml:space="preserve"> ADDIN EN.CITE &lt;EndNote&gt;&lt;Cite&gt;&lt;Author&gt;Krugman&lt;/Author&gt;&lt;Year&gt;1991&lt;/Year&gt;&lt;RecNum&gt;955&lt;/RecNum&gt;&lt;DisplayText&gt;Krugman (1991)&lt;/DisplayText&gt;&lt;record&gt;&lt;rec-number&gt;955&lt;/rec-number&gt;&lt;foreign-keys&gt;&lt;key app="EN" db-id="refafpv0nd2rd4e9e2qxeaf6rw5xxvv2ds22" timestamp="1322804787"&gt;955&lt;/key&gt;&lt;/foreign-keys&gt;&lt;ref-type name="Journal Article"&gt;17&lt;/ref-type&gt;&lt;contributors&gt;&lt;authors&gt;&lt;author&gt;Krugman, P&lt;/author&gt;&lt;/authors&gt;&lt;/contributors&gt;&lt;titles&gt;&lt;title&gt;Increasing returns and economic geography&lt;/title&gt;&lt;secondary-title&gt;Journal of Political Economy&lt;/secondary-title&gt;&lt;/titles&gt;&lt;periodical&gt;&lt;full-title&gt;Journal of Political Economy&lt;/full-title&gt;&lt;/periodical&gt;&lt;pages&gt;483-499&lt;/pages&gt;&lt;volume&gt;99&lt;/volume&gt;&lt;dates&gt;&lt;year&gt;1991&lt;/year&gt;&lt;/dates&gt;&lt;pub-location&gt;New York&lt;/pub-location&gt;&lt;publisher&gt;W.W. Norton&lt;/publisher&gt;&lt;urls&gt;&lt;/urls&gt;&lt;/record&gt;&lt;/Cite&gt;&lt;/EndNote&gt;</w:instrText>
      </w:r>
      <w:r w:rsidR="00406B75" w:rsidRPr="00C066AD">
        <w:fldChar w:fldCharType="separate"/>
      </w:r>
      <w:hyperlink w:anchor="_ENREF_35" w:tooltip="Krugman, 1991 #955" w:history="1">
        <w:r w:rsidRPr="00C066AD">
          <w:t>Krugman 1991</w:t>
        </w:r>
      </w:hyperlink>
      <w:r w:rsidRPr="00C066AD">
        <w:t>)</w:t>
      </w:r>
      <w:r w:rsidR="00406B75" w:rsidRPr="00C066AD">
        <w:fldChar w:fldCharType="end"/>
      </w:r>
      <w:r w:rsidRPr="00C066AD">
        <w:t xml:space="preserve">. The attractiveness of urban areas increases at an exponential rate as a function of the population of the city due to network effects, </w:t>
      </w:r>
      <w:r w:rsidR="00995870" w:rsidRPr="00C066AD">
        <w:t xml:space="preserve">the </w:t>
      </w:r>
      <w:r w:rsidRPr="00C066AD">
        <w:t>size of the market and reductions in transport costs. As more people move to</w:t>
      </w:r>
      <w:r w:rsidR="00456B5F" w:rsidRPr="00C066AD">
        <w:t xml:space="preserve"> a city, the more attractive that</w:t>
      </w:r>
      <w:r w:rsidRPr="00C066AD">
        <w:t xml:space="preserve"> city becomes. Similarly, </w:t>
      </w:r>
      <w:r w:rsidR="00995870" w:rsidRPr="00C066AD">
        <w:t>as</w:t>
      </w:r>
      <w:r w:rsidRPr="00C066AD">
        <w:t xml:space="preserve"> more people leave a rural location, the less attractive </w:t>
      </w:r>
      <w:r w:rsidR="00995870" w:rsidRPr="00C066AD">
        <w:t>this</w:t>
      </w:r>
      <w:r w:rsidRPr="00C066AD">
        <w:t xml:space="preserve"> location becomes. The gap in the attractiveness between a rural and urban location increases exponentially over time when there is a high degree of mobility.</w:t>
      </w:r>
    </w:p>
    <w:p w:rsidR="0076411E" w:rsidRPr="00C066AD" w:rsidRDefault="0076411E" w:rsidP="00C066AD">
      <w:pPr>
        <w:pStyle w:val="Text"/>
      </w:pPr>
      <w:r w:rsidRPr="00C066AD">
        <w:t>Moving labour to locations where many of Australia</w:t>
      </w:r>
      <w:r w:rsidR="00602830">
        <w:t>’</w:t>
      </w:r>
      <w:r w:rsidRPr="00C066AD">
        <w:t xml:space="preserve">s resource projects are located is a particularly difficult issue. The distance from major population centres, </w:t>
      </w:r>
      <w:r w:rsidR="00995870" w:rsidRPr="00C066AD">
        <w:t xml:space="preserve">the </w:t>
      </w:r>
      <w:r w:rsidRPr="00C066AD">
        <w:t xml:space="preserve">harsh climate, </w:t>
      </w:r>
      <w:r w:rsidR="00456B5F" w:rsidRPr="00C066AD">
        <w:t xml:space="preserve">the </w:t>
      </w:r>
      <w:r w:rsidRPr="00C066AD">
        <w:t xml:space="preserve">lack of infrastructure, </w:t>
      </w:r>
      <w:r w:rsidR="00456B5F" w:rsidRPr="00C066AD">
        <w:t xml:space="preserve">the </w:t>
      </w:r>
      <w:r w:rsidRPr="00C066AD">
        <w:t>boom and bust cycles of the resources sector, and the generally narrow economic base wh</w:t>
      </w:r>
      <w:r w:rsidR="00995870" w:rsidRPr="00C066AD">
        <w:t>ere the projects are located have</w:t>
      </w:r>
      <w:r w:rsidRPr="00C066AD">
        <w:t xml:space="preserve"> generally meant that viable and sustainable communities are difficult to establish in these locations. One solution to this problem has been the use of the fly-in/fly-out model. The drive-in/drive-out model is also used where distances are relatively shorter. The adoption of the</w:t>
      </w:r>
      <w:r w:rsidR="00456B5F" w:rsidRPr="00C066AD">
        <w:t>se</w:t>
      </w:r>
      <w:r w:rsidRPr="00C066AD">
        <w:t xml:space="preserve"> models has been facilitated by improved and lower costs</w:t>
      </w:r>
      <w:r w:rsidR="00995870" w:rsidRPr="00C066AD">
        <w:t xml:space="preserve"> of communication and transport,</w:t>
      </w:r>
      <w:r w:rsidRPr="00C066AD">
        <w:t xml:space="preserve"> and the preference for metropolitan over rural living by many workers and their families (</w:t>
      </w:r>
      <w:r w:rsidR="00406B75" w:rsidRPr="00C066AD">
        <w:fldChar w:fldCharType="begin"/>
      </w:r>
      <w:r w:rsidRPr="00C066AD">
        <w:instrText xml:space="preserve"> ADDIN EN.CITE &lt;EndNote&gt;&lt;Cite&gt;&lt;Author&gt;Storey&lt;/Author&gt;&lt;Year&gt;2001&lt;/Year&gt;&lt;RecNum&gt;931&lt;/RecNum&gt;&lt;DisplayText&gt;Storey (2001)&lt;/DisplayText&gt;&lt;record&gt;&lt;rec-number&gt;931&lt;/rec-number&gt;&lt;foreign-keys&gt;&lt;key app="EN" db-id="refafpv0nd2rd4e9e2qxeaf6rw5xxvv2ds22" timestamp="1322519499"&gt;931&lt;/key&gt;&lt;/foreign-keys&gt;&lt;ref-type name="Journal Article"&gt;17&lt;/ref-type&gt;&lt;contributors&gt;&lt;authors&gt;&lt;author&gt;Storey, K&lt;/author&gt;&lt;/authors&gt;&lt;/contributors&gt;&lt;titles&gt;&lt;title&gt;Fly-in/Fly-out and Fly-over: mining and regional development in Western Australia&lt;/title&gt;&lt;secondary-title&gt;Australian Geographer&lt;/secondary-title&gt;&lt;/titles&gt;&lt;periodical&gt;&lt;full-title&gt;Australian Geographer&lt;/full-title&gt;&lt;/periodical&gt;&lt;pages&gt;133-148&lt;/pages&gt;&lt;volume&gt;32&lt;/volume&gt;&lt;number&gt;2&lt;/number&gt;&lt;dates&gt;&lt;year&gt;2001&lt;/year&gt;&lt;/dates&gt;&lt;urls&gt;&lt;/urls&gt;&lt;/record&gt;&lt;/Cite&gt;&lt;/EndNote&gt;</w:instrText>
      </w:r>
      <w:r w:rsidR="00406B75" w:rsidRPr="00C066AD">
        <w:fldChar w:fldCharType="separate"/>
      </w:r>
      <w:hyperlink w:anchor="_ENREF_62" w:tooltip="Storey, 2001 #931" w:history="1">
        <w:r w:rsidRPr="00C066AD">
          <w:t>Storey 2001</w:t>
        </w:r>
      </w:hyperlink>
      <w:r w:rsidRPr="00C066AD">
        <w:t>)</w:t>
      </w:r>
      <w:r w:rsidR="00406B75" w:rsidRPr="00C066AD">
        <w:fldChar w:fldCharType="end"/>
      </w:r>
      <w:r w:rsidRPr="00C066AD">
        <w:t>. Fly-in/fly-out arrangements, however, have the tendency to weaken the bonds of collectivism both at work and in the local communities (</w:t>
      </w:r>
      <w:r w:rsidR="00406B75" w:rsidRPr="00C066AD">
        <w:fldChar w:fldCharType="begin"/>
      </w:r>
      <w:r w:rsidRPr="00C066AD">
        <w:instrText xml:space="preserve"> ADDIN EN.CITE &lt;EndNote&gt;&lt;Cite&gt;&lt;Author&gt;Ellem&lt;/Author&gt;&lt;Year&gt;2003&lt;/Year&gt;&lt;RecNum&gt;1358&lt;/RecNum&gt;&lt;DisplayText&gt;Ellem (2003)&lt;/DisplayText&gt;&lt;record&gt;&lt;rec-number&gt;1358&lt;/rec-number&gt;&lt;foreign-keys&gt;&lt;key app="EN" db-id="refafpv0nd2rd4e9e2qxeaf6rw5xxvv2ds22" timestamp="1389591947"&gt;1358&lt;/key&gt;&lt;/foreign-keys&gt;&lt;ref-type name="Journal Article"&gt;17&lt;/ref-type&gt;&lt;contributors&gt;&lt;authors&gt;&lt;author&gt;Ellem, Bradon&lt;/author&gt;&lt;/authors&gt;&lt;/contributors&gt;&lt;titles&gt;&lt;title&gt;Re-placing the Pilbara&amp;apos;s mining unions&lt;/title&gt;&lt;secondary-title&gt;Australian Geographer&lt;/secondary-title&gt;&lt;/titles&gt;&lt;periodical&gt;&lt;full-title&gt;Australian Geographer&lt;/full-title&gt;&lt;/periodical&gt;&lt;pages&gt;281-296&lt;/pages&gt;&lt;volume&gt;34&lt;/volume&gt;&lt;number&gt;3&lt;/number&gt;&lt;dates&gt;&lt;year&gt;2003&lt;/year&gt;&lt;pub-dates&gt;&lt;date&gt;2003/11/01&lt;/date&gt;&lt;/pub-dates&gt;&lt;/dates&gt;&lt;publisher&gt;Routledge&lt;/publisher&gt;&lt;isbn&gt;0004-9182&lt;/isbn&gt;&lt;urls&gt;&lt;related-urls&gt;&lt;url&gt;http://dx.doi.org/10.1080/0004918032000152384&lt;/url&gt;&lt;/related-urls&gt;&lt;/urls&gt;&lt;electronic-resource-num&gt;10.1080/0004918032000152384&lt;/electronic-resource-num&gt;&lt;access-date&gt;2014/01/12&lt;/access-date&gt;&lt;/record&gt;&lt;/Cite&gt;&lt;/EndNote&gt;</w:instrText>
      </w:r>
      <w:r w:rsidR="00406B75" w:rsidRPr="00C066AD">
        <w:fldChar w:fldCharType="separate"/>
      </w:r>
      <w:hyperlink w:anchor="_ENREF_18" w:tooltip="Ellem, 2003 #1358" w:history="1">
        <w:r w:rsidRPr="00C066AD">
          <w:t>Ellem 2003</w:t>
        </w:r>
      </w:hyperlink>
      <w:r w:rsidRPr="00C066AD">
        <w:t>)</w:t>
      </w:r>
      <w:r w:rsidR="00406B75" w:rsidRPr="00C066AD">
        <w:fldChar w:fldCharType="end"/>
      </w:r>
      <w:r w:rsidRPr="00C066AD">
        <w:t>.</w:t>
      </w:r>
    </w:p>
    <w:p w:rsidR="0076411E" w:rsidRPr="00C066AD" w:rsidRDefault="0076411E" w:rsidP="00C066AD">
      <w:pPr>
        <w:pStyle w:val="Text"/>
      </w:pPr>
      <w:r w:rsidRPr="00C066AD">
        <w:t>While the fly-in</w:t>
      </w:r>
      <w:r w:rsidR="004869AD" w:rsidRPr="00C066AD">
        <w:t>/fly-out model addresses labour-</w:t>
      </w:r>
      <w:r w:rsidRPr="00C066AD">
        <w:t xml:space="preserve">shortage problems in remote regions, it does not necessarily solve the problem of excessive unemployment of other regions because the model does not target its recruitment effort </w:t>
      </w:r>
      <w:r w:rsidR="00456B5F" w:rsidRPr="00C066AD">
        <w:t>in</w:t>
      </w:r>
      <w:r w:rsidRPr="00C066AD">
        <w:t xml:space="preserve"> these regions. Thus there is always a risk that such internal migration simply moves workers from one sector of labour undersupply to another. This can happen because many workers have skills that overlap across the many industries </w:t>
      </w:r>
      <w:r w:rsidR="004869AD" w:rsidRPr="00C066AD">
        <w:t>with</w:t>
      </w:r>
      <w:r w:rsidRPr="00C066AD">
        <w:t xml:space="preserve"> high demand for skilled labour. Offering training as an additional incentive could encourage more people from high unemployment areas to consider moving location for work.</w:t>
      </w:r>
    </w:p>
    <w:p w:rsidR="0076411E" w:rsidRPr="00C066AD" w:rsidRDefault="0076411E" w:rsidP="00782E5B">
      <w:pPr>
        <w:pStyle w:val="Text"/>
        <w:ind w:right="141"/>
      </w:pPr>
      <w:r w:rsidRPr="00C066AD">
        <w:t xml:space="preserve">From time to time governments in Australia have </w:t>
      </w:r>
      <w:r w:rsidR="004869AD" w:rsidRPr="00C066AD">
        <w:t xml:space="preserve">developed </w:t>
      </w:r>
      <w:r w:rsidRPr="00C066AD">
        <w:t>p</w:t>
      </w:r>
      <w:r w:rsidR="004869AD" w:rsidRPr="00C066AD">
        <w:t>olicies to encourage both inter</w:t>
      </w:r>
      <w:r w:rsidRPr="00C066AD">
        <w:t>state and international migration to regional areas. In 2006 and 2008, the Australian Government provided additional assistance for unemployed job seekers who were willing to relocate from parts of regional New South Wales and northern Adelaide to regions with stronger labour markets</w:t>
      </w:r>
      <w:r w:rsidR="00456B5F" w:rsidRPr="00C066AD">
        <w:t>,</w:t>
      </w:r>
      <w:r w:rsidRPr="00C066AD">
        <w:t xml:space="preserve"> such as Western Australia (</w:t>
      </w:r>
      <w:r w:rsidR="00406B75" w:rsidRPr="00C066AD">
        <w:fldChar w:fldCharType="begin"/>
      </w:r>
      <w:r w:rsidRPr="00C066AD">
        <w:instrText xml:space="preserve"> ADDIN EN.CITE &lt;EndNote&gt;&lt;Cite&gt;&lt;Author&gt;Australian Government&lt;/Author&gt;&lt;Year&gt;2010&lt;/Year&gt;&lt;RecNum&gt;926&lt;/RecNum&gt;&lt;DisplayText&gt;Australian Government (2010)&lt;/DisplayText&gt;&lt;record&gt;&lt;rec-number&gt;926&lt;/rec-number&gt;&lt;foreign-keys&gt;&lt;key app="EN" db-id="refafpv0nd2rd4e9e2qxeaf6rw5xxvv2ds22" timestamp="1322355192"&gt;926&lt;/key&gt;&lt;/foreign-keys&gt;&lt;ref-type name="Report"&gt;27&lt;/ref-type&gt;&lt;contributors&gt;&lt;authors&gt;&lt;author&gt;Australian Government,&lt;/author&gt;&lt;/authors&gt;&lt;/contributors&gt;&lt;titles&gt;&lt;title&gt;Resourcing the future: National Resources Sector Employment Taskforce Report&lt;/title&gt;&lt;/titles&gt;&lt;dates&gt;&lt;year&gt;2010&lt;/year&gt;&lt;/dates&gt;&lt;pub-location&gt;Canberra&lt;/pub-location&gt;&lt;publisher&gt;Australian Government&lt;/publisher&gt;&lt;urls&gt;&lt;/urls&gt;&lt;/record&gt;&lt;/Cite&gt;&lt;/EndNote&gt;</w:instrText>
      </w:r>
      <w:r w:rsidR="00406B75" w:rsidRPr="00C066AD">
        <w:fldChar w:fldCharType="separate"/>
      </w:r>
      <w:hyperlink w:anchor="_ENREF_5" w:tooltip="Australian Government, 2010 #926" w:history="1">
        <w:r w:rsidRPr="00C066AD">
          <w:t>Australian Government 2010</w:t>
        </w:r>
      </w:hyperlink>
      <w:r w:rsidRPr="00C066AD">
        <w:t>)</w:t>
      </w:r>
      <w:r w:rsidR="00406B75" w:rsidRPr="00C066AD">
        <w:fldChar w:fldCharType="end"/>
      </w:r>
      <w:r w:rsidRPr="00C066AD">
        <w:t xml:space="preserve">. While </w:t>
      </w:r>
      <w:r w:rsidR="004869AD" w:rsidRPr="00C066AD">
        <w:t>few</w:t>
      </w:r>
      <w:r w:rsidRPr="00C066AD">
        <w:t xml:space="preserve"> people took up the opportunity offered by the program, there were some successful employment outcomes. Similarly</w:t>
      </w:r>
      <w:r w:rsidR="004869AD" w:rsidRPr="00C066AD">
        <w:t>,</w:t>
      </w:r>
      <w:r w:rsidRPr="00C066AD">
        <w:t xml:space="preserve"> after the floods in Queensland in late 2</w:t>
      </w:r>
      <w:r w:rsidR="004869AD" w:rsidRPr="00C066AD">
        <w:t>010, financial incentives, of $6</w:t>
      </w:r>
      <w:r w:rsidRPr="00C066AD">
        <w:t>000 for an individual and $9000 for a family</w:t>
      </w:r>
      <w:r w:rsidR="004869AD" w:rsidRPr="00C066AD">
        <w:t>,</w:t>
      </w:r>
      <w:r w:rsidRPr="00C066AD">
        <w:t xml:space="preserve"> were offered under the Connecting People with Jobs initiative to assist eligible unemployed Australians to relocate to Queensland to take up em</w:t>
      </w:r>
      <w:r w:rsidR="004869AD" w:rsidRPr="00C066AD">
        <w:t>ployment opportunities in flood-</w:t>
      </w:r>
      <w:r w:rsidRPr="00C066AD">
        <w:t>affected areas (</w:t>
      </w:r>
      <w:r w:rsidR="00406B75" w:rsidRPr="00C066AD">
        <w:fldChar w:fldCharType="begin"/>
      </w:r>
      <w:r w:rsidRPr="00C066AD">
        <w:instrText xml:space="preserve"> ADDIN EN.CITE &lt;EndNote&gt;&lt;Cite&gt;&lt;Author&gt;Australian Government&lt;/Author&gt;&lt;Year&gt;2011&lt;/Year&gt;&lt;RecNum&gt;1189&lt;/RecNum&gt;&lt;DisplayText&gt;Australian Government (2011)&lt;/DisplayText&gt;&lt;record&gt;&lt;rec-number&gt;1189&lt;/rec-number&gt;&lt;foreign-keys&gt;&lt;key app="EN" db-id="refafpv0nd2rd4e9e2qxeaf6rw5xxvv2ds22" timestamp="1360216612"&gt;1189&lt;/key&gt;&lt;/foreign-keys&gt;&lt;ref-type name="Web Page"&gt;12&lt;/ref-type&gt;&lt;contributors&gt;&lt;authors&gt;&lt;author&gt;Australian Government,&lt;/author&gt;&lt;/authors&gt;&lt;/contributors&gt;&lt;titles&gt;&lt;title&gt;Connecting People with Jobs – FOR JOB SEEKERS Flood extension&lt;/title&gt;&lt;/titles&gt;&lt;volume&gt;2013&lt;/volume&gt;&lt;number&gt;7 February 2013&lt;/number&gt;&lt;dates&gt;&lt;year&gt;2011&lt;/year&gt;&lt;/dates&gt;&lt;urls&gt;&lt;related-urls&gt;&lt;url&gt;http://www.interactaust.com.au/skillsEDIT/clientuploads/51/FLOOD%20EXTENDED%20-%20Connecting%20People%20with%20Jobs%20for%20Job%20Seekers%20Fact%20Sheet.pdf&lt;/url&gt;&lt;/related-urls&gt;&lt;/urls&gt;&lt;/record&gt;&lt;/Cite&gt;&lt;/EndNote&gt;</w:instrText>
      </w:r>
      <w:r w:rsidR="00406B75" w:rsidRPr="00C066AD">
        <w:fldChar w:fldCharType="separate"/>
      </w:r>
      <w:hyperlink w:anchor="_ENREF_6" w:tooltip="Australian Government, 2011 #1189" w:history="1">
        <w:r w:rsidRPr="00C066AD">
          <w:t>Australian Government 2011</w:t>
        </w:r>
      </w:hyperlink>
      <w:r w:rsidRPr="00C066AD">
        <w:t>)</w:t>
      </w:r>
      <w:r w:rsidR="00406B75" w:rsidRPr="00C066AD">
        <w:fldChar w:fldCharType="end"/>
      </w:r>
      <w:r w:rsidR="003D38C7">
        <w:t xml:space="preserve">. Once again, the initiative </w:t>
      </w:r>
      <w:r w:rsidRPr="00C066AD">
        <w:t>had limited success (</w:t>
      </w:r>
      <w:r w:rsidR="00406B75" w:rsidRPr="00C066AD">
        <w:fldChar w:fldCharType="begin"/>
      </w:r>
      <w:r w:rsidRPr="00C066AD">
        <w:instrText xml:space="preserve"> ADDIN EN.CITE &lt;EndNote&gt;&lt;Cite&gt;&lt;Author&gt;Karvelas&lt;/Author&gt;&lt;Year&gt;2012&lt;/Year&gt;&lt;RecNum&gt;1190&lt;/RecNum&gt;&lt;DisplayText&gt;Karvelas (2012)&lt;/DisplayText&gt;&lt;record&gt;&lt;rec-number&gt;1190&lt;/rec-number&gt;&lt;foreign-keys&gt;&lt;key app="EN" db-id="refafpv0nd2rd4e9e2qxeaf6rw5xxvv2ds22" timestamp="1360217369"&gt;1190&lt;/key&gt;&lt;/foreign-keys&gt;&lt;ref-type name="Newspaper Article"&gt;23&lt;/ref-type&gt;&lt;contributors&gt;&lt;authors&gt;&lt;author&gt;Karvelas, P&lt;/author&gt;&lt;/authors&gt;&lt;/contributors&gt;&lt;titles&gt;&lt;title&gt;Paying people to relocate for jobs has failed&lt;/title&gt;&lt;secondary-title&gt;The Australian&lt;/secondary-title&gt;&lt;/titles&gt;&lt;dates&gt;&lt;year&gt;2012&lt;/year&gt;&lt;pub-dates&gt;&lt;date&gt;25 September&lt;/date&gt;&lt;/pub-dates&gt;&lt;/dates&gt;&lt;urls&gt;&lt;related-urls&gt;&lt;url&gt;http://www.theaustralian.com.au/national-affairs/industrial-relations/paying-people-to-relocate-for-jobs-has-failed/story-fn59noo3-1226480606380&lt;/url&gt;&lt;/related-urls&gt;&lt;/urls&gt;&lt;access-date&gt;7 February 2013&lt;/access-date&gt;&lt;/record&gt;&lt;/Cite&gt;&lt;/EndNote&gt;</w:instrText>
      </w:r>
      <w:r w:rsidR="00406B75" w:rsidRPr="00C066AD">
        <w:fldChar w:fldCharType="separate"/>
      </w:r>
      <w:hyperlink w:anchor="_ENREF_32" w:tooltip="Karvelas, 2012 #1190" w:history="1">
        <w:r w:rsidRPr="00C066AD">
          <w:t>Karvelas 2012</w:t>
        </w:r>
      </w:hyperlink>
      <w:r w:rsidRPr="00C066AD">
        <w:t>)</w:t>
      </w:r>
      <w:r w:rsidR="00406B75" w:rsidRPr="00C066AD">
        <w:fldChar w:fldCharType="end"/>
      </w:r>
      <w:r w:rsidRPr="00C066AD">
        <w:t xml:space="preserve">. The </w:t>
      </w:r>
      <w:r w:rsidRPr="00C066AD">
        <w:lastRenderedPageBreak/>
        <w:t>Australian Government</w:t>
      </w:r>
      <w:r w:rsidR="00602830">
        <w:t>’</w:t>
      </w:r>
      <w:r w:rsidRPr="00C066AD">
        <w:t>s Move 2 Work initiative offers similar incentives for workers to relocate for work under certain conditions.</w:t>
      </w:r>
      <w:r w:rsidRPr="00C066AD">
        <w:rPr>
          <w:rStyle w:val="FootnoteReference"/>
        </w:rPr>
        <w:footnoteReference w:id="2"/>
      </w:r>
    </w:p>
    <w:p w:rsidR="0076411E" w:rsidRPr="00C066AD" w:rsidRDefault="0076411E" w:rsidP="00C066AD">
      <w:pPr>
        <w:pStyle w:val="Text"/>
      </w:pPr>
      <w:r w:rsidRPr="00C066AD">
        <w:t>Decentralisation and regional development plans are also about moving people but they have a much longer horizon. A major initiative was the Albury-Wodonga Development Plan in 1973. The plan was to develop these t</w:t>
      </w:r>
      <w:r w:rsidR="004869AD" w:rsidRPr="00C066AD">
        <w:t xml:space="preserve">win cities to be a home for 300 </w:t>
      </w:r>
      <w:r w:rsidRPr="00C066AD">
        <w:t xml:space="preserve">000 people by the turn of the century. Despite </w:t>
      </w:r>
      <w:r w:rsidR="00456B5F" w:rsidRPr="00C066AD">
        <w:t>being in the middle of the road-and-</w:t>
      </w:r>
      <w:r w:rsidRPr="00C066AD">
        <w:t xml:space="preserve">rail corridor linking the two biggest cities in Australia, the combined population of the twin cities is currently less than a third of </w:t>
      </w:r>
      <w:r w:rsidR="004869AD" w:rsidRPr="00C066AD">
        <w:t>that</w:t>
      </w:r>
      <w:r w:rsidRPr="00C066AD">
        <w:t xml:space="preserve"> planned. This demonstrates the difficulty in </w:t>
      </w:r>
      <w:r w:rsidR="00456B5F" w:rsidRPr="00C066AD">
        <w:t>resisting</w:t>
      </w:r>
      <w:r w:rsidRPr="00C066AD">
        <w:t xml:space="preserve"> the global trend in the movement of populations from rural and regional areas to mega cities. Despite this</w:t>
      </w:r>
      <w:r w:rsidR="004869AD" w:rsidRPr="00C066AD">
        <w:t>,</w:t>
      </w:r>
      <w:r w:rsidRPr="00C066AD">
        <w:t xml:space="preserve"> the Western Australian Government</w:t>
      </w:r>
      <w:r w:rsidR="004869AD" w:rsidRPr="00C066AD">
        <w:t xml:space="preserve"> has determined that the longer-</w:t>
      </w:r>
      <w:r w:rsidRPr="00C066AD">
        <w:t>term solution to the supply of skilled labour for the resources sector in the state requires the development of regional centres (</w:t>
      </w:r>
      <w:r w:rsidR="00406B75" w:rsidRPr="00C066AD">
        <w:fldChar w:fldCharType="begin"/>
      </w:r>
      <w:r w:rsidRPr="00C066AD">
        <w:instrText xml:space="preserve"> ADDIN EN.CITE &lt;EndNote&gt;&lt;Cite&gt;&lt;Author&gt;Regional Development Australia&lt;/Author&gt;&lt;Year&gt;2010&lt;/Year&gt;&lt;RecNum&gt;935&lt;/RecNum&gt;&lt;DisplayText&gt;Regional Development Australia (2010)&lt;/DisplayText&gt;&lt;record&gt;&lt;rec-number&gt;935&lt;/rec-number&gt;&lt;foreign-keys&gt;&lt;key app="EN" db-id="refafpv0nd2rd4e9e2qxeaf6rw5xxvv2ds22" timestamp="1322644147"&gt;935&lt;/key&gt;&lt;/foreign-keys&gt;&lt;ref-type name="Report"&gt;27&lt;/ref-type&gt;&lt;contributors&gt;&lt;authors&gt;&lt;author&gt;Regional Development Australia,&lt;/author&gt;&lt;/authors&gt;&lt;/contributors&gt;&lt;titles&gt;&lt;title&gt;Preliminary Pilbara regional plan&lt;/title&gt;&lt;/titles&gt;&lt;dates&gt;&lt;year&gt;2010&lt;/year&gt;&lt;/dates&gt;&lt;pub-location&gt;Canberra&lt;/pub-location&gt;&lt;urls&gt;&lt;/urls&gt;&lt;/record&gt;&lt;/Cite&gt;&lt;/EndNote&gt;</w:instrText>
      </w:r>
      <w:r w:rsidR="00406B75" w:rsidRPr="00C066AD">
        <w:fldChar w:fldCharType="separate"/>
      </w:r>
      <w:hyperlink w:anchor="_ENREF_52" w:tooltip="Regional Development Australia, 2010 #935" w:history="1">
        <w:r w:rsidRPr="00C066AD">
          <w:t>Regional Development Australia 2010</w:t>
        </w:r>
      </w:hyperlink>
      <w:r w:rsidRPr="00C066AD">
        <w:t>)</w:t>
      </w:r>
      <w:r w:rsidR="00406B75" w:rsidRPr="00C066AD">
        <w:fldChar w:fldCharType="end"/>
      </w:r>
      <w:r w:rsidRPr="00C066AD">
        <w:t>. It has developed an ambitious Pilbara Cities plan</w:t>
      </w:r>
      <w:r w:rsidR="004869AD" w:rsidRPr="00C066AD">
        <w:t>,</w:t>
      </w:r>
      <w:r w:rsidRPr="00C066AD">
        <w:t xml:space="preserve"> which in</w:t>
      </w:r>
      <w:r w:rsidR="004869AD" w:rsidRPr="00C066AD">
        <w:t xml:space="preserve">cludes the creation by 2020 of cities of 50 </w:t>
      </w:r>
      <w:r w:rsidRPr="00C066AD">
        <w:t>000 residents in Port Hedland</w:t>
      </w:r>
      <w:r w:rsidR="004869AD" w:rsidRPr="00C066AD">
        <w:t xml:space="preserve"> and Karratha, and a further 15 </w:t>
      </w:r>
      <w:r w:rsidRPr="00C066AD">
        <w:t>000 residents in Newman.</w:t>
      </w:r>
    </w:p>
    <w:p w:rsidR="0076411E" w:rsidRPr="00C066AD" w:rsidRDefault="0076411E" w:rsidP="00C066AD">
      <w:pPr>
        <w:pStyle w:val="Text"/>
      </w:pPr>
      <w:r w:rsidRPr="00C066AD">
        <w:t xml:space="preserve">Removing </w:t>
      </w:r>
      <w:r w:rsidR="004869AD" w:rsidRPr="00C066AD">
        <w:t xml:space="preserve">the </w:t>
      </w:r>
      <w:r w:rsidRPr="00C066AD">
        <w:t xml:space="preserve">differences in interstate taxation laws and </w:t>
      </w:r>
      <w:r w:rsidR="004869AD" w:rsidRPr="00C066AD">
        <w:t xml:space="preserve">the </w:t>
      </w:r>
      <w:r w:rsidRPr="00C066AD">
        <w:t>stamp duties associated with real estate may encourage worker mobility (</w:t>
      </w:r>
      <w:r w:rsidR="00406B75" w:rsidRPr="00C066AD">
        <w:fldChar w:fldCharType="begin"/>
      </w:r>
      <w:r w:rsidRPr="00C066AD">
        <w:instrText xml:space="preserve"> ADDIN EN.CITE &lt;EndNote&gt;&lt;Cite&gt;&lt;Author&gt;Murdoch&lt;/Author&gt;&lt;Year&gt;2011&lt;/Year&gt;&lt;RecNum&gt;927&lt;/RecNum&gt;&lt;DisplayText&gt;Murdoch (2011)&lt;/DisplayText&gt;&lt;record&gt;&lt;rec-number&gt;927&lt;/rec-number&gt;&lt;foreign-keys&gt;&lt;key app="EN" db-id="refafpv0nd2rd4e9e2qxeaf6rw5xxvv2ds22" timestamp="1322357299"&gt;927&lt;/key&gt;&lt;/foreign-keys&gt;&lt;ref-type name="Newspaper Article"&gt;23&lt;/ref-type&gt;&lt;contributors&gt;&lt;authors&gt;&lt;author&gt;Murdoch, S&lt;/author&gt;&lt;/authors&gt;&lt;/contributors&gt;&lt;titles&gt;&lt;title&gt;Labour mobility is the key to the resources boom&lt;/title&gt;&lt;secondary-title&gt;The Australian&lt;/secondary-title&gt;&lt;/titles&gt;&lt;dates&gt;&lt;year&gt;2011&lt;/year&gt;&lt;pub-dates&gt;&lt;date&gt;September 10&lt;/date&gt;&lt;/pub-dates&gt;&lt;/dates&gt;&lt;urls&gt;&lt;related-urls&gt;&lt;url&gt;http://www.theaustralian.com.au/business/economics/labour-mobility-is-key-to-the-resources-boom/story-e6frg926-1226133492985&lt;/url&gt;&lt;/related-urls&gt;&lt;/urls&gt;&lt;access-date&gt;26 November 2011&lt;/access-date&gt;&lt;/record&gt;&lt;/Cite&gt;&lt;/EndNote&gt;</w:instrText>
      </w:r>
      <w:r w:rsidR="00406B75" w:rsidRPr="00C066AD">
        <w:fldChar w:fldCharType="separate"/>
      </w:r>
      <w:hyperlink w:anchor="_ENREF_50" w:tooltip="Murdoch, 2011 #927" w:history="1">
        <w:r w:rsidRPr="00C066AD">
          <w:t>Murdoch 2011</w:t>
        </w:r>
      </w:hyperlink>
      <w:r w:rsidRPr="00C066AD">
        <w:t>)</w:t>
      </w:r>
      <w:r w:rsidR="00406B75" w:rsidRPr="00C066AD">
        <w:fldChar w:fldCharType="end"/>
      </w:r>
      <w:r w:rsidRPr="00C066AD">
        <w:t>. The offer of direct incentives such as lump sum payments or subsidy on travel costs could also be helpful in this regard.</w:t>
      </w:r>
    </w:p>
    <w:p w:rsidR="0076411E" w:rsidRPr="00AC539D" w:rsidRDefault="0076411E" w:rsidP="00C066AD">
      <w:pPr>
        <w:pStyle w:val="Text"/>
      </w:pPr>
      <w:r w:rsidRPr="00C066AD">
        <w:t>There is however a clear gap in the research on the optimal incentives to offer workers to relocate for work. Even in the European Union</w:t>
      </w:r>
      <w:r w:rsidR="00C86969" w:rsidRPr="00C066AD">
        <w:t xml:space="preserve"> </w:t>
      </w:r>
      <w:r w:rsidRPr="00C066AD">
        <w:t>—</w:t>
      </w:r>
      <w:r w:rsidR="00C86969" w:rsidRPr="00C066AD">
        <w:t xml:space="preserve"> </w:t>
      </w:r>
      <w:r w:rsidRPr="00C066AD">
        <w:t>where labour mobility is a salient issue</w:t>
      </w:r>
      <w:r w:rsidRPr="00C066AD">
        <w:rPr>
          <w:rStyle w:val="FootnoteReference"/>
        </w:rPr>
        <w:footnoteReference w:id="3"/>
      </w:r>
      <w:r w:rsidR="00C86969" w:rsidRPr="00C066AD">
        <w:t xml:space="preserve"> </w:t>
      </w:r>
      <w:r w:rsidRPr="00C066AD">
        <w:t>—</w:t>
      </w:r>
      <w:r w:rsidR="00C86969" w:rsidRPr="00C066AD">
        <w:t xml:space="preserve"> </w:t>
      </w:r>
      <w:r w:rsidRPr="00C066AD">
        <w:t>increases in labour mobility</w:t>
      </w:r>
      <w:r w:rsidRPr="00FE162C">
        <w:t xml:space="preserve"> arise primarily as a </w:t>
      </w:r>
      <w:r w:rsidR="00602830">
        <w:t>‘</w:t>
      </w:r>
      <w:r w:rsidRPr="00FE162C">
        <w:t>by-product</w:t>
      </w:r>
      <w:r w:rsidR="00602830">
        <w:t>’</w:t>
      </w:r>
      <w:r w:rsidRPr="00FE162C">
        <w:t xml:space="preserve"> of other policies (</w:t>
      </w:r>
      <w:r w:rsidR="00406B75" w:rsidRPr="00FE162C">
        <w:fldChar w:fldCharType="begin"/>
      </w:r>
      <w:r>
        <w:instrText xml:space="preserve"> ADDIN EN.CITE &lt;EndNote&gt;&lt;Cite&gt;&lt;Author&gt;Bonin&lt;/Author&gt;&lt;Year&gt;2008&lt;/Year&gt;&lt;RecNum&gt;1252&lt;/RecNum&gt;&lt;DisplayText&gt;Bonin et al. (2008)&lt;/DisplayText&gt;&lt;record&gt;&lt;rec-number&gt;1252&lt;/rec-number&gt;&lt;foreign-keys&gt;&lt;key app="EN" db-id="refafpv0nd2rd4e9e2qxeaf6rw5xxvv2ds22" timestamp="1371774892"&gt;1252&lt;/key&gt;&lt;/foreign-keys&gt;&lt;ref-type name="Report"&gt;27&lt;/ref-type&gt;&lt;contributors&gt;&lt;authors&gt;&lt;author&gt;Bonin, H&lt;/author&gt;&lt;author&gt;Eichhorst, W&lt;/author&gt;&lt;author&gt;Florman, C&lt;/author&gt;&lt;author&gt;Okkels Hansen, M&lt;/author&gt;&lt;author&gt;Skiöld, L&lt;/author&gt;&lt;author&gt;Stuhler, J&lt;/author&gt;&lt;author&gt;Tatsiramos, K&lt;/author&gt;&lt;author&gt;Thomasen, H&lt;/author&gt;&lt;author&gt;Zimmermann, K&lt;/author&gt;&lt;/authors&gt;&lt;/contributors&gt;&lt;titles&gt;&lt;title&gt;Geographic mobility in the European Union: Optimising its economic and social benefits&lt;/title&gt;&lt;/titles&gt;&lt;dates&gt;&lt;year&gt;2008&lt;/year&gt;&lt;/dates&gt;&lt;pub-location&gt;Bonn&lt;/pub-location&gt;&lt;isbn&gt;IZA Research Report No. 19&lt;/isbn&gt;&lt;urls&gt;&lt;related-urls&gt;&lt;url&gt;http://www.iza.org/en/webcontent/publications/reports/report_pdfs/iza_report_19.pdf&lt;/url&gt;&lt;/related-urls&gt;&lt;/urls&gt;&lt;access-date&gt;21 June 2013&lt;/access-date&gt;&lt;/record&gt;&lt;/Cite&gt;&lt;/EndNote&gt;</w:instrText>
      </w:r>
      <w:r w:rsidR="00406B75" w:rsidRPr="00FE162C">
        <w:fldChar w:fldCharType="separate"/>
      </w:r>
      <w:hyperlink w:anchor="_ENREF_11" w:tooltip="Bonin, 2008 #1252" w:history="1">
        <w:r>
          <w:rPr>
            <w:noProof/>
          </w:rPr>
          <w:t>Bonin et al. 2008</w:t>
        </w:r>
      </w:hyperlink>
      <w:r>
        <w:rPr>
          <w:noProof/>
        </w:rPr>
        <w:t>)</w:t>
      </w:r>
      <w:r w:rsidR="00406B75" w:rsidRPr="00FE162C">
        <w:fldChar w:fldCharType="end"/>
      </w:r>
      <w:r w:rsidRPr="00FE162C">
        <w:t>. Providing mobility allowances, which is a monetary subsidy to move, is the only known policy directly targeting mobility. As with the Australian policies just discussed, the key question is: what is the</w:t>
      </w:r>
      <w:r>
        <w:t xml:space="preserve"> </w:t>
      </w:r>
      <w:r w:rsidR="00602830">
        <w:t>‘</w:t>
      </w:r>
      <w:r>
        <w:t>right amount</w:t>
      </w:r>
      <w:r w:rsidR="00602830">
        <w:t>’</w:t>
      </w:r>
      <w:r>
        <w:t xml:space="preserve"> to offer</w:t>
      </w:r>
      <w:r w:rsidRPr="00FE162C">
        <w:t xml:space="preserve"> to move</w:t>
      </w:r>
      <w:r>
        <w:t xml:space="preserve"> for work</w:t>
      </w:r>
      <w:r w:rsidRPr="00FE162C">
        <w:t>.</w:t>
      </w:r>
    </w:p>
    <w:p w:rsidR="0076411E" w:rsidRDefault="0076411E" w:rsidP="0076411E">
      <w:pPr>
        <w:pStyle w:val="Heading2"/>
        <w:rPr>
          <w:color w:val="000000" w:themeColor="text1"/>
        </w:rPr>
      </w:pPr>
      <w:bookmarkStart w:id="42" w:name="_Toc386530482"/>
      <w:r>
        <w:rPr>
          <w:color w:val="000000" w:themeColor="text1"/>
        </w:rPr>
        <w:t>This study</w:t>
      </w:r>
      <w:bookmarkEnd w:id="42"/>
    </w:p>
    <w:p w:rsidR="0076411E" w:rsidRPr="00295FC3" w:rsidRDefault="0076411E" w:rsidP="00C066AD">
      <w:pPr>
        <w:pStyle w:val="Text"/>
      </w:pPr>
      <w:r>
        <w:t xml:space="preserve">If in a region a sector is expanding and it is largely profitable, then wages should rise in the sector to attract labour to the region, with spillover effects in </w:t>
      </w:r>
      <w:r w:rsidRPr="00C066AD">
        <w:t>complementary</w:t>
      </w:r>
      <w:r>
        <w:t xml:space="preserve"> sectors. However</w:t>
      </w:r>
      <w:r w:rsidR="00825D7D">
        <w:t>,</w:t>
      </w:r>
      <w:r>
        <w:t xml:space="preserve"> if the region is unable to attract the labour it needs, especially from regions experiencing high unemployment, then this suggests</w:t>
      </w:r>
      <w:r w:rsidRPr="00FE162C">
        <w:rPr>
          <w:color w:val="000000" w:themeColor="text1"/>
        </w:rPr>
        <w:t>:</w:t>
      </w:r>
    </w:p>
    <w:p w:rsidR="0076411E" w:rsidRPr="00C066AD" w:rsidRDefault="0076411E" w:rsidP="00C066AD">
      <w:pPr>
        <w:pStyle w:val="Dotpoint1"/>
      </w:pPr>
      <w:r w:rsidRPr="00FE162C">
        <w:t>Employers are unwilling to hire because applicants lack the appropriate skills and experience</w:t>
      </w:r>
      <w:r w:rsidR="00C86969">
        <w:t xml:space="preserve"> </w:t>
      </w:r>
      <w:r w:rsidRPr="00FE162C">
        <w:t>—</w:t>
      </w:r>
      <w:r w:rsidR="00C86969">
        <w:t xml:space="preserve"> </w:t>
      </w:r>
      <w:r w:rsidRPr="00FE162C">
        <w:t xml:space="preserve">labour </w:t>
      </w:r>
      <w:r w:rsidRPr="00C066AD">
        <w:t>demand-side factors.</w:t>
      </w:r>
    </w:p>
    <w:p w:rsidR="0076411E" w:rsidRPr="00FE162C" w:rsidRDefault="0076411E" w:rsidP="00C066AD">
      <w:pPr>
        <w:pStyle w:val="Dotpoint1"/>
      </w:pPr>
      <w:r w:rsidRPr="00C066AD">
        <w:t>Individuals</w:t>
      </w:r>
      <w:r w:rsidRPr="00FE162C">
        <w:t xml:space="preserve"> with the necessary skills are unwilling to move to where the jobs are without additional incentives, or do not have information about the opportunities that exist there</w:t>
      </w:r>
      <w:r w:rsidR="00C86969">
        <w:t xml:space="preserve"> </w:t>
      </w:r>
      <w:r w:rsidRPr="00FE162C">
        <w:t>—</w:t>
      </w:r>
      <w:r w:rsidR="00C86969">
        <w:t xml:space="preserve"> </w:t>
      </w:r>
      <w:r w:rsidRPr="00FE162C">
        <w:t>labour supply-side factors.</w:t>
      </w:r>
    </w:p>
    <w:p w:rsidR="0076411E" w:rsidRPr="00FE162C" w:rsidRDefault="0076411E" w:rsidP="00C066AD">
      <w:pPr>
        <w:pStyle w:val="Text"/>
        <w:ind w:right="141"/>
      </w:pPr>
      <w:r w:rsidRPr="00FE162C">
        <w:t>This study is about the supply</w:t>
      </w:r>
      <w:r w:rsidR="00782E5B">
        <w:t xml:space="preserve"> </w:t>
      </w:r>
      <w:r w:rsidRPr="00FE162C">
        <w:t>side</w:t>
      </w:r>
      <w:r>
        <w:t xml:space="preserve">, particularly, </w:t>
      </w:r>
      <w:r w:rsidR="00C86969">
        <w:t xml:space="preserve">the </w:t>
      </w:r>
      <w:r w:rsidRPr="00FE162C">
        <w:t>willingness to move</w:t>
      </w:r>
      <w:r>
        <w:t xml:space="preserve"> for work</w:t>
      </w:r>
      <w:r w:rsidRPr="00FE162C">
        <w:t xml:space="preserve">. It investigates the types of </w:t>
      </w:r>
      <w:r>
        <w:t xml:space="preserve">incentives, in wage-equivalent terms, to </w:t>
      </w:r>
      <w:r w:rsidRPr="00C066AD">
        <w:t>offer</w:t>
      </w:r>
      <w:r w:rsidRPr="00FE162C">
        <w:t xml:space="preserve"> individuals from New South Wales and South Australia, </w:t>
      </w:r>
      <w:r w:rsidR="00C86969">
        <w:t>states with</w:t>
      </w:r>
      <w:r w:rsidRPr="00FE162C">
        <w:t xml:space="preserve"> pockets of relatively high un</w:t>
      </w:r>
      <w:r>
        <w:t>employment, to take up job</w:t>
      </w:r>
      <w:r w:rsidRPr="00FE162C">
        <w:t>s in Karratha in Western Australia and Emerald in Queensland, two regional centres with relatively</w:t>
      </w:r>
      <w:r>
        <w:t xml:space="preserve"> high demand for labour in 2012</w:t>
      </w:r>
      <w:r w:rsidRPr="00FE162C">
        <w:t>.</w:t>
      </w:r>
    </w:p>
    <w:p w:rsidR="0076411E" w:rsidRPr="00FE162C" w:rsidRDefault="0076411E" w:rsidP="00C066AD">
      <w:pPr>
        <w:pStyle w:val="Text"/>
      </w:pPr>
      <w:r w:rsidRPr="00FE162C">
        <w:t xml:space="preserve">Individuals with the appropriate </w:t>
      </w:r>
      <w:r w:rsidRPr="00C066AD">
        <w:t>skills</w:t>
      </w:r>
      <w:r w:rsidRPr="00FE162C">
        <w:t xml:space="preserve"> may choose not to move for a variety of reasons, including differences in </w:t>
      </w:r>
      <w:r w:rsidR="00C86969">
        <w:t xml:space="preserve">the </w:t>
      </w:r>
      <w:r w:rsidRPr="00FE162C">
        <w:t xml:space="preserve">costs of living, such as housing, and the difficulty in moving the family. The </w:t>
      </w:r>
      <w:r w:rsidRPr="00FE162C">
        <w:lastRenderedPageBreak/>
        <w:t xml:space="preserve">difference in the standard of living between the origin and destination can also be an important factor in the willingness to move. While the method adopted in this report is suited </w:t>
      </w:r>
      <w:r w:rsidR="00C86969">
        <w:t>to</w:t>
      </w:r>
      <w:r w:rsidRPr="00FE162C">
        <w:t xml:space="preserve"> measuring the unobservable values of different aspects related to </w:t>
      </w:r>
      <w:r w:rsidR="00456B5F">
        <w:t xml:space="preserve">the </w:t>
      </w:r>
      <w:r w:rsidRPr="00FE162C">
        <w:t>standard of living, our focus is more about job-related, rather than lo</w:t>
      </w:r>
      <w:r>
        <w:t>cation-related</w:t>
      </w:r>
      <w:r w:rsidR="00782E5B">
        <w:t>,</w:t>
      </w:r>
      <w:r>
        <w:t xml:space="preserve"> characteristics.</w:t>
      </w:r>
    </w:p>
    <w:p w:rsidR="0076411E" w:rsidRPr="00FE162C" w:rsidRDefault="0076411E" w:rsidP="00C066AD">
      <w:pPr>
        <w:pStyle w:val="Text"/>
        <w:ind w:right="-143"/>
        <w:rPr>
          <w:color w:val="000000" w:themeColor="text1"/>
        </w:rPr>
      </w:pPr>
      <w:r w:rsidRPr="00FE162C">
        <w:rPr>
          <w:color w:val="000000" w:themeColor="text1"/>
        </w:rPr>
        <w:t>Designing worker mobility schemes requires an understanding of the factors that motivate workers to relocate. Inferring the influence of such factors through the use of observed migration behaviour is limiting because</w:t>
      </w:r>
      <w:r w:rsidR="00EE4B10">
        <w:rPr>
          <w:color w:val="000000" w:themeColor="text1"/>
        </w:rPr>
        <w:t>,</w:t>
      </w:r>
      <w:r w:rsidRPr="00FE162C">
        <w:rPr>
          <w:color w:val="000000" w:themeColor="text1"/>
        </w:rPr>
        <w:t xml:space="preserve"> at any given time, the number of people who migrate and the number who do not is a</w:t>
      </w:r>
      <w:r w:rsidR="00C066AD">
        <w:rPr>
          <w:color w:val="000000" w:themeColor="text1"/>
        </w:rPr>
        <w:t> </w:t>
      </w:r>
      <w:r w:rsidRPr="00FE162C">
        <w:rPr>
          <w:color w:val="000000" w:themeColor="text1"/>
        </w:rPr>
        <w:t xml:space="preserve">function of both labour demand and </w:t>
      </w:r>
      <w:r w:rsidR="00EE4B10">
        <w:rPr>
          <w:color w:val="000000" w:themeColor="text1"/>
        </w:rPr>
        <w:t xml:space="preserve">the </w:t>
      </w:r>
      <w:r w:rsidRPr="00FE162C">
        <w:rPr>
          <w:color w:val="000000" w:themeColor="text1"/>
        </w:rPr>
        <w:t xml:space="preserve">supply conditions and, therefore, identifying whether the observed behaviour of an individual is due to supply- or demand-side factors can be difficult. For example, </w:t>
      </w:r>
      <w:r w:rsidR="00456B5F">
        <w:rPr>
          <w:color w:val="000000" w:themeColor="text1"/>
        </w:rPr>
        <w:t xml:space="preserve">in </w:t>
      </w:r>
      <w:r w:rsidRPr="00FE162C">
        <w:rPr>
          <w:color w:val="000000" w:themeColor="text1"/>
        </w:rPr>
        <w:t xml:space="preserve">observing the migration of a large number of engineers to Western Australia </w:t>
      </w:r>
      <w:r w:rsidR="00EE4B10">
        <w:rPr>
          <w:color w:val="000000" w:themeColor="text1"/>
        </w:rPr>
        <w:t>it is tempting</w:t>
      </w:r>
      <w:r w:rsidRPr="00FE162C">
        <w:rPr>
          <w:color w:val="000000" w:themeColor="text1"/>
        </w:rPr>
        <w:t xml:space="preserve"> to perhaps wrongfully conclude that engineers are willing to move, a purely supply-side factor, when in</w:t>
      </w:r>
      <w:r w:rsidR="00C066AD">
        <w:rPr>
          <w:color w:val="000000" w:themeColor="text1"/>
        </w:rPr>
        <w:t> </w:t>
      </w:r>
      <w:r w:rsidRPr="00FE162C">
        <w:rPr>
          <w:color w:val="000000" w:themeColor="text1"/>
        </w:rPr>
        <w:t>fact the driving force behind the migration could be the increased demand for engineers in the state.</w:t>
      </w:r>
    </w:p>
    <w:p w:rsidR="0076411E" w:rsidRPr="00FE162C" w:rsidRDefault="0076411E" w:rsidP="00C066AD">
      <w:pPr>
        <w:pStyle w:val="Text"/>
        <w:rPr>
          <w:color w:val="000000" w:themeColor="text1"/>
        </w:rPr>
      </w:pPr>
      <w:r w:rsidRPr="00FE162C">
        <w:rPr>
          <w:color w:val="000000" w:themeColor="text1"/>
        </w:rPr>
        <w:t>In this study we use discrete choice experiments to investigate the factors that influence an individual</w:t>
      </w:r>
      <w:r w:rsidR="00602830">
        <w:rPr>
          <w:color w:val="000000" w:themeColor="text1"/>
        </w:rPr>
        <w:t>’</w:t>
      </w:r>
      <w:r w:rsidRPr="00FE162C">
        <w:rPr>
          <w:color w:val="000000" w:themeColor="text1"/>
        </w:rPr>
        <w:t>s willingness to move for work. The experiments allow us to investigate whether distance to job matters; whether fly-in/fly-out contracts are more attractive than permanent relocation contracts; whether initial job training is valued by job seekers; and how individual characteristics, such as being married, affect willingness to move. The experimental design allows the relative importance of these fac</w:t>
      </w:r>
      <w:r>
        <w:rPr>
          <w:color w:val="000000" w:themeColor="text1"/>
        </w:rPr>
        <w:t>tors to be estimated in wage-equivalent</w:t>
      </w:r>
      <w:r w:rsidRPr="00FE162C">
        <w:rPr>
          <w:color w:val="000000" w:themeColor="text1"/>
        </w:rPr>
        <w:t xml:space="preserve"> terms.</w:t>
      </w:r>
    </w:p>
    <w:p w:rsidR="0076411E" w:rsidRDefault="0076411E" w:rsidP="00C066AD">
      <w:pPr>
        <w:pStyle w:val="Text"/>
        <w:rPr>
          <w:color w:val="000000" w:themeColor="text1"/>
        </w:rPr>
      </w:pPr>
      <w:r w:rsidRPr="00FE162C">
        <w:rPr>
          <w:color w:val="000000" w:themeColor="text1"/>
        </w:rPr>
        <w:t>The importance of this research is underscored by the often ad hoc nature of policies seeking to move people from one location to another. By estimating the monetary value of an individual</w:t>
      </w:r>
      <w:r w:rsidR="00602830">
        <w:rPr>
          <w:color w:val="000000" w:themeColor="text1"/>
        </w:rPr>
        <w:t>’</w:t>
      </w:r>
      <w:r w:rsidRPr="00FE162C">
        <w:rPr>
          <w:color w:val="000000" w:themeColor="text1"/>
        </w:rPr>
        <w:t>s willingness to move, we would know whether such policies are economically feasible and if they are, for what kind of worker and for what kind of job offer.</w:t>
      </w:r>
    </w:p>
    <w:p w:rsidR="0076411E" w:rsidRPr="0027475F" w:rsidRDefault="0076411E" w:rsidP="0076411E">
      <w:pPr>
        <w:pStyle w:val="Heading2"/>
        <w:rPr>
          <w:color w:val="000000" w:themeColor="text1"/>
        </w:rPr>
      </w:pPr>
      <w:bookmarkStart w:id="43" w:name="_Toc386530483"/>
      <w:r w:rsidRPr="0027475F">
        <w:rPr>
          <w:color w:val="000000" w:themeColor="text1"/>
        </w:rPr>
        <w:t>Overview of contents</w:t>
      </w:r>
      <w:bookmarkEnd w:id="43"/>
    </w:p>
    <w:p w:rsidR="0076411E" w:rsidRPr="00C066AD" w:rsidRDefault="0076411E" w:rsidP="00C066AD">
      <w:pPr>
        <w:pStyle w:val="Text"/>
      </w:pPr>
      <w:r w:rsidRPr="00DC5671">
        <w:t xml:space="preserve">The next section provides a brief review of the literature on regional labour mobility. The </w:t>
      </w:r>
      <w:r>
        <w:t>third</w:t>
      </w:r>
      <w:r w:rsidRPr="00DC5671">
        <w:t xml:space="preserve"> section includes a general non-technical description of discrete </w:t>
      </w:r>
      <w:r w:rsidRPr="00C066AD">
        <w:t>choice</w:t>
      </w:r>
      <w:r w:rsidRPr="00DC5671">
        <w:t xml:space="preserve"> experiments, the design of this study and </w:t>
      </w:r>
      <w:r w:rsidR="00EE4B10">
        <w:t xml:space="preserve">a </w:t>
      </w:r>
      <w:r w:rsidRPr="00DC5671">
        <w:t xml:space="preserve">description of the data. The </w:t>
      </w:r>
      <w:r>
        <w:t>fourth</w:t>
      </w:r>
      <w:r w:rsidRPr="00DC5671">
        <w:t xml:space="preserve"> section discusses the results of fitting various econometric models to the data. The final section </w:t>
      </w:r>
      <w:r w:rsidR="00456B5F">
        <w:t>offers</w:t>
      </w:r>
      <w:r w:rsidRPr="00DC5671">
        <w:t xml:space="preserve"> some concluding comments.</w:t>
      </w:r>
    </w:p>
    <w:p w:rsidR="00C066AD" w:rsidRDefault="00C066AD">
      <w:pPr>
        <w:spacing w:before="0" w:line="240" w:lineRule="auto"/>
        <w:rPr>
          <w:rFonts w:ascii="Tahoma" w:hAnsi="Tahoma" w:cs="Tahoma"/>
          <w:color w:val="000000" w:themeColor="text1"/>
          <w:kern w:val="28"/>
          <w:sz w:val="56"/>
          <w:szCs w:val="56"/>
        </w:rPr>
      </w:pPr>
      <w:r>
        <w:rPr>
          <w:color w:val="000000" w:themeColor="text1"/>
        </w:rPr>
        <w:br w:type="page"/>
      </w:r>
    </w:p>
    <w:p w:rsidR="007B29C1" w:rsidRPr="00FE162C" w:rsidRDefault="007B29C1" w:rsidP="007B29C1">
      <w:pPr>
        <w:pStyle w:val="Heading1"/>
        <w:rPr>
          <w:color w:val="000000" w:themeColor="text1"/>
        </w:rPr>
      </w:pPr>
      <w:bookmarkStart w:id="44" w:name="_Toc386530484"/>
      <w:r w:rsidRPr="00FE162C">
        <w:rPr>
          <w:color w:val="000000" w:themeColor="text1"/>
        </w:rPr>
        <w:lastRenderedPageBreak/>
        <w:t>Previous studies</w:t>
      </w:r>
      <w:bookmarkEnd w:id="44"/>
    </w:p>
    <w:p w:rsidR="000226BA" w:rsidRPr="00C066AD" w:rsidRDefault="00807955" w:rsidP="00C066AD">
      <w:pPr>
        <w:pStyle w:val="Text"/>
      </w:pPr>
      <w:r w:rsidRPr="00FE162C">
        <w:t>The study of geographical labour mobility, which includes international and internal migration, often use</w:t>
      </w:r>
      <w:r w:rsidR="00456B5F">
        <w:t>s</w:t>
      </w:r>
      <w:r w:rsidRPr="00FE162C">
        <w:t xml:space="preserve"> </w:t>
      </w:r>
      <w:r w:rsidR="00912EA0" w:rsidRPr="00FE162C">
        <w:rPr>
          <w:i/>
          <w:iCs/>
        </w:rPr>
        <w:t>revealed</w:t>
      </w:r>
      <w:r w:rsidR="00912EA0" w:rsidRPr="00FE162C">
        <w:t xml:space="preserve"> preference data. </w:t>
      </w:r>
      <w:r w:rsidR="00084796" w:rsidRPr="00FE162C">
        <w:t>Revealed preference is based on the premise that an individual</w:t>
      </w:r>
      <w:r w:rsidR="00602830">
        <w:t>’</w:t>
      </w:r>
      <w:r w:rsidR="00084796" w:rsidRPr="00FE162C">
        <w:t>s preference can be inferred from their actions. A person who takes up a job offer in another region and moves there is therefore revealing their preference to move</w:t>
      </w:r>
      <w:r w:rsidR="001D7EDD" w:rsidRPr="00FE162C">
        <w:t xml:space="preserve">. </w:t>
      </w:r>
      <w:r w:rsidR="00FD764D" w:rsidRPr="00FE162C">
        <w:t>Some</w:t>
      </w:r>
      <w:r w:rsidR="00121B30" w:rsidRPr="00FE162C">
        <w:t xml:space="preserve"> </w:t>
      </w:r>
      <w:r w:rsidR="001D7EDD" w:rsidRPr="00FE162C">
        <w:t xml:space="preserve">such </w:t>
      </w:r>
      <w:r w:rsidR="00121B30" w:rsidRPr="00FE162C">
        <w:t>studies</w:t>
      </w:r>
      <w:r w:rsidR="00FD764D" w:rsidRPr="00FE162C">
        <w:t xml:space="preserve"> use</w:t>
      </w:r>
      <w:r w:rsidR="00CA53BE" w:rsidRPr="00FE162C">
        <w:t xml:space="preserve"> </w:t>
      </w:r>
      <w:r w:rsidR="00FD764D" w:rsidRPr="00FE162C">
        <w:t>gross or net flows</w:t>
      </w:r>
      <w:r w:rsidR="001D7EDD" w:rsidRPr="00FE162C">
        <w:t xml:space="preserve"> data</w:t>
      </w:r>
      <w:r w:rsidR="00CA53BE" w:rsidRPr="00FE162C">
        <w:t xml:space="preserve"> (</w:t>
      </w:r>
      <w:r w:rsidR="00406B75" w:rsidRPr="00FE162C">
        <w:fldChar w:fldCharType="begin"/>
      </w:r>
      <w:r w:rsidR="00CA754F">
        <w:instrText xml:space="preserve"> ADDIN EN.CITE &lt;EndNote&gt;&lt;Cite&gt;&lt;Author&gt;OECD&lt;/Author&gt;&lt;Year&gt;2005&lt;/Year&gt;&lt;RecNum&gt;919&lt;/RecNum&gt;&lt;DisplayText&gt;OECD (2005)&lt;/DisplayText&gt;&lt;record&gt;&lt;rec-number&gt;919&lt;/rec-number&gt;&lt;foreign-keys&gt;&lt;key app="EN" db-id="refafpv0nd2rd4e9e2qxeaf6rw5xxvv2ds22" timestamp="1322282290"&gt;919&lt;/key&gt;&lt;/foreign-keys&gt;&lt;ref-type name="Report"&gt;27&lt;/ref-type&gt;&lt;contributors&gt;&lt;authors&gt;&lt;author&gt;OECD,&lt;/author&gt;&lt;/authors&gt;&lt;/contributors&gt;&lt;titles&gt;&lt;title&gt;Employment Outlook 2005&lt;/title&gt;&lt;/titles&gt;&lt;dates&gt;&lt;year&gt;2005&lt;/year&gt;&lt;/dates&gt;&lt;pub-location&gt;Paris&lt;/pub-location&gt;&lt;publisher&gt;OECD&lt;/publisher&gt;&lt;urls&gt;&lt;/urls&gt;&lt;/record&gt;&lt;/Cite&gt;&lt;/EndNote&gt;</w:instrText>
      </w:r>
      <w:r w:rsidR="00406B75" w:rsidRPr="00FE162C">
        <w:fldChar w:fldCharType="separate"/>
      </w:r>
      <w:hyperlink w:anchor="_ENREF_51" w:tooltip="OECD, 2005 #919" w:history="1">
        <w:r w:rsidR="009F57D7">
          <w:rPr>
            <w:noProof/>
          </w:rPr>
          <w:t xml:space="preserve">OECD </w:t>
        </w:r>
        <w:r w:rsidR="00CA754F" w:rsidRPr="00FE162C">
          <w:rPr>
            <w:noProof/>
          </w:rPr>
          <w:t>2005</w:t>
        </w:r>
      </w:hyperlink>
      <w:r w:rsidR="00406B75" w:rsidRPr="00FE162C">
        <w:fldChar w:fldCharType="end"/>
      </w:r>
      <w:r w:rsidR="00A36951" w:rsidRPr="00FE162C">
        <w:t xml:space="preserve">; </w:t>
      </w:r>
      <w:r w:rsidR="00406B75" w:rsidRPr="00FE162C">
        <w:fldChar w:fldCharType="begin"/>
      </w:r>
      <w:r w:rsidR="00CA754F">
        <w:instrText xml:space="preserve"> ADDIN EN.CITE &lt;EndNote&gt;&lt;Cite&gt;&lt;Author&gt;Lawson&lt;/Author&gt;&lt;Year&gt;2002&lt;/Year&gt;&lt;RecNum&gt;1319&lt;/RecNum&gt;&lt;DisplayText&gt;Lawson and Dwyer (2002)&lt;/DisplayText&gt;&lt;record&gt;&lt;rec-number&gt;1319&lt;/rec-number&gt;&lt;foreign-keys&gt;&lt;key app="EN" db-id="refafpv0nd2rd4e9e2qxeaf6rw5xxvv2ds22" timestamp="1380264599"&gt;1319&lt;/key&gt;&lt;/foreign-keys&gt;&lt;ref-type name="Working paper"&gt;40&lt;/ref-type&gt;&lt;contributors&gt;&lt;authors&gt;&lt;author&gt;Lawson, J&lt;/author&gt;&lt;author&gt;Dwyer, J&lt;/author&gt;&lt;/authors&gt;&lt;/contributors&gt;&lt;titles&gt;&lt;title&gt;Labour market adjustment in regional Australia&lt;/title&gt;&lt;/titles&gt;&lt;number&gt;Research Discussion Paper 2002-04&lt;/number&gt;&lt;dates&gt;&lt;year&gt;2002&lt;/year&gt;&lt;/dates&gt;&lt;pub-location&gt;Sydney&lt;/pub-location&gt;&lt;publisher&gt;Economic Group, Reserve Bank of Australia&lt;/publisher&gt;&lt;urls&gt;&lt;/urls&gt;&lt;/record&gt;&lt;/Cite&gt;&lt;/EndNote&gt;</w:instrText>
      </w:r>
      <w:r w:rsidR="00406B75" w:rsidRPr="00FE162C">
        <w:fldChar w:fldCharType="separate"/>
      </w:r>
      <w:hyperlink w:anchor="_ENREF_37" w:tooltip="Lawson, 2002 #1319" w:history="1">
        <w:r w:rsidR="009F57D7">
          <w:rPr>
            <w:noProof/>
          </w:rPr>
          <w:t xml:space="preserve">Lawson </w:t>
        </w:r>
        <w:r w:rsidR="00EE4B10">
          <w:rPr>
            <w:noProof/>
          </w:rPr>
          <w:t>&amp;</w:t>
        </w:r>
        <w:r w:rsidR="009F57D7">
          <w:rPr>
            <w:noProof/>
          </w:rPr>
          <w:t xml:space="preserve"> Dwyer </w:t>
        </w:r>
        <w:r w:rsidR="00CA754F" w:rsidRPr="00FE162C">
          <w:rPr>
            <w:noProof/>
          </w:rPr>
          <w:t>2002</w:t>
        </w:r>
      </w:hyperlink>
      <w:r w:rsidR="00406B75" w:rsidRPr="00FE162C">
        <w:fldChar w:fldCharType="end"/>
      </w:r>
      <w:r w:rsidR="00DB16F9" w:rsidRPr="00FE162C">
        <w:t xml:space="preserve">; </w:t>
      </w:r>
      <w:r w:rsidR="00406B75" w:rsidRPr="00FE162C">
        <w:fldChar w:fldCharType="begin"/>
      </w:r>
      <w:r w:rsidR="00CA754F">
        <w:instrText xml:space="preserve"> ADDIN EN.CITE &lt;EndNote&gt;&lt;Cite&gt;&lt;Author&gt;Huber&lt;/Author&gt;&lt;Year&gt;2004&lt;/Year&gt;&lt;RecNum&gt;1323&lt;/RecNum&gt;&lt;DisplayText&gt;Huber (2004)&lt;/DisplayText&gt;&lt;record&gt;&lt;rec-number&gt;1323&lt;/rec-number&gt;&lt;foreign-keys&gt;&lt;key app="EN" db-id="refafpv0nd2rd4e9e2qxeaf6rw5xxvv2ds22" timestamp="1380337941"&gt;1323&lt;/key&gt;&lt;/foreign-keys&gt;&lt;ref-type name="Journal Article"&gt;17&lt;/ref-type&gt;&lt;contributors&gt;&lt;authors&gt;&lt;author&gt;Huber, P&lt;/author&gt;&lt;/authors&gt;&lt;/contributors&gt;&lt;titles&gt;&lt;title&gt;Inter-regional mobility in Europe: a note on the cross-country evidence&lt;/title&gt;&lt;secondary-title&gt;Applied Economics Letters&lt;/secondary-title&gt;&lt;tertiary-title&gt;Applied Economics Letters&lt;/tertiary-title&gt;&lt;/titles&gt;&lt;periodical&gt;&lt;full-title&gt;Applied Economics Letters&lt;/full-title&gt;&lt;/periodical&gt;&lt;pages&gt;619-624&lt;/pages&gt;&lt;volume&gt;11&lt;/volume&gt;&lt;number&gt;10&lt;/number&gt;&lt;dates&gt;&lt;year&gt;2004&lt;/year&gt;&lt;/dates&gt;&lt;publisher&gt;Taylor and Francis Journals&lt;/publisher&gt;&lt;urls&gt;&lt;related-urls&gt;&lt;url&gt;http://ideas.repec.org/a/taf/apeclt/v11y2004i10p619-624.html&lt;/url&gt;&lt;/related-urls&gt;&lt;/urls&gt;&lt;/record&gt;&lt;/Cite&gt;&lt;/EndNote&gt;</w:instrText>
      </w:r>
      <w:r w:rsidR="00406B75" w:rsidRPr="00FE162C">
        <w:fldChar w:fldCharType="separate"/>
      </w:r>
      <w:hyperlink w:anchor="_ENREF_30" w:tooltip="Huber, 2004 #1323" w:history="1">
        <w:r w:rsidR="009F57D7">
          <w:rPr>
            <w:noProof/>
          </w:rPr>
          <w:t xml:space="preserve">Huber </w:t>
        </w:r>
        <w:r w:rsidR="00CA754F" w:rsidRPr="00FE162C">
          <w:rPr>
            <w:noProof/>
          </w:rPr>
          <w:t>2004</w:t>
        </w:r>
      </w:hyperlink>
      <w:r w:rsidR="00406B75" w:rsidRPr="00FE162C">
        <w:fldChar w:fldCharType="end"/>
      </w:r>
      <w:r w:rsidR="003C15B1" w:rsidRPr="00FE162C">
        <w:t xml:space="preserve">; </w:t>
      </w:r>
      <w:r w:rsidR="00406B75" w:rsidRPr="00FE162C">
        <w:fldChar w:fldCharType="begin"/>
      </w:r>
      <w:r w:rsidR="00CA754F">
        <w:instrText xml:space="preserve"> ADDIN EN.CITE &lt;EndNote&gt;&lt;Cite&gt;&lt;Author&gt;Bonin&lt;/Author&gt;&lt;Year&gt;2008&lt;/Year&gt;&lt;RecNum&gt;1252&lt;/RecNum&gt;&lt;DisplayText&gt;Bonin et al. (2008)&lt;/DisplayText&gt;&lt;record&gt;&lt;rec-number&gt;1252&lt;/rec-number&gt;&lt;foreign-keys&gt;&lt;key app="EN" db-id="refafpv0nd2rd4e9e2qxeaf6rw5xxvv2ds22" timestamp="1371774892"&gt;1252&lt;/key&gt;&lt;/foreign-keys&gt;&lt;ref-type name="Report"&gt;27&lt;/ref-type&gt;&lt;contributors&gt;&lt;authors&gt;&lt;author&gt;Bonin, H&lt;/author&gt;&lt;author&gt;Eichhorst, W&lt;/author&gt;&lt;author&gt;Florman, C&lt;/author&gt;&lt;author&gt;Okkels Hansen, M&lt;/author&gt;&lt;author&gt;Skiöld, L&lt;/author&gt;&lt;author&gt;Stuhler, J&lt;/author&gt;&lt;author&gt;Tatsiramos, K&lt;/author&gt;&lt;author&gt;Thomasen, H&lt;/author&gt;&lt;author&gt;Zimmermann, K&lt;/author&gt;&lt;/authors&gt;&lt;/contributors&gt;&lt;titles&gt;&lt;title&gt;Geographic mobility in the European Union: Optimising its economic and social benefits&lt;/title&gt;&lt;/titles&gt;&lt;dates&gt;&lt;year&gt;2008&lt;/year&gt;&lt;/dates&gt;&lt;pub-location&gt;Bonn&lt;/pub-location&gt;&lt;isbn&gt;IZA Research Report No. 19&lt;/isbn&gt;&lt;urls&gt;&lt;related-urls&gt;&lt;url&gt;http://www.iza.org/en/webcontent/publications/reports/report_pdfs/iza_report_19.pdf&lt;/url&gt;&lt;/related-urls&gt;&lt;/urls&gt;&lt;access-date&gt;21 June 2013&lt;/access-date&gt;&lt;/record&gt;&lt;/Cite&gt;&lt;/EndNote&gt;</w:instrText>
      </w:r>
      <w:r w:rsidR="00406B75" w:rsidRPr="00FE162C">
        <w:fldChar w:fldCharType="separate"/>
      </w:r>
      <w:hyperlink w:anchor="_ENREF_11" w:tooltip="Bonin, 2008 #1252" w:history="1">
        <w:r w:rsidR="009F57D7">
          <w:rPr>
            <w:noProof/>
          </w:rPr>
          <w:t xml:space="preserve">Bonin et al. </w:t>
        </w:r>
        <w:r w:rsidR="00CA754F" w:rsidRPr="00FE162C">
          <w:rPr>
            <w:noProof/>
          </w:rPr>
          <w:t>2008</w:t>
        </w:r>
      </w:hyperlink>
      <w:r w:rsidR="00CE053F" w:rsidRPr="00FE162C">
        <w:rPr>
          <w:noProof/>
        </w:rPr>
        <w:t>)</w:t>
      </w:r>
      <w:r w:rsidR="00406B75" w:rsidRPr="00FE162C">
        <w:fldChar w:fldCharType="end"/>
      </w:r>
      <w:r w:rsidR="001D7EDD" w:rsidRPr="00FE162C">
        <w:t xml:space="preserve"> and o</w:t>
      </w:r>
      <w:r w:rsidR="00121B30" w:rsidRPr="00FE162C">
        <w:t xml:space="preserve">thers use </w:t>
      </w:r>
      <w:r w:rsidR="009F57D7">
        <w:t xml:space="preserve">cross-sectional and panel </w:t>
      </w:r>
      <w:r w:rsidR="00121B30" w:rsidRPr="00FE162C">
        <w:t>microdata</w:t>
      </w:r>
      <w:r w:rsidR="000C4ACA" w:rsidRPr="00FE162C">
        <w:t xml:space="preserve"> (</w:t>
      </w:r>
      <w:r w:rsidR="00406B75" w:rsidRPr="00C066AD">
        <w:fldChar w:fldCharType="begin"/>
      </w:r>
      <w:r w:rsidR="00CA754F" w:rsidRPr="00C066AD">
        <w:instrText xml:space="preserve"> ADDIN EN.CITE &lt;EndNote&gt;&lt;Cite&gt;&lt;Author&gt;Machin&lt;/Author&gt;&lt;Year&gt;2012&lt;/Year&gt;&lt;RecNum&gt;1253&lt;/RecNum&gt;&lt;DisplayText&gt;Machin, Salvanes and Pelkonen (2012)&lt;/DisplayText&gt;&lt;record&gt;&lt;rec-number&gt;1253&lt;/rec-number&gt;&lt;foreign-keys&gt;&lt;key app="EN" db-id="refafpv0nd2rd4e9e2qxeaf6rw5xxvv2ds22" timestamp="1371777222"&gt;1253&lt;/key&gt;&lt;/foreign-keys&gt;&lt;ref-type name="Journal Article"&gt;17&lt;/ref-type&gt;&lt;contributors&gt;&lt;authors&gt;&lt;author&gt;Machin, Stephen&lt;/author&gt;&lt;author&gt;Salvanes, Kjell G.&lt;/author&gt;&lt;author&gt;Pelkonen, Panu&lt;/author&gt;&lt;/authors&gt;&lt;/contributors&gt;&lt;titles&gt;&lt;title&gt;Education and mobility&lt;/title&gt;&lt;secondary-title&gt;Journal of the European Economic Association&lt;/secondary-title&gt;&lt;/titles&gt;&lt;periodical&gt;&lt;full-title&gt;Journal of the European Economic Association&lt;/full-title&gt;&lt;/periodical&gt;&lt;pages&gt;417-450&lt;/pages&gt;&lt;volume&gt;10&lt;/volume&gt;&lt;number&gt;2&lt;/number&gt;&lt;keywords&gt;&lt;keyword&gt;I28&lt;/keyword&gt;&lt;keyword&gt;J24&lt;/keyword&gt;&lt;keyword&gt;J61&lt;/keyword&gt;&lt;/keywords&gt;&lt;dates&gt;&lt;year&gt;2012&lt;/year&gt;&lt;/dates&gt;&lt;publisher&gt;Blackwell Publishing Inc&lt;/publisher&gt;&lt;isbn&gt;1542-4774&lt;/isbn&gt;&lt;urls&gt;&lt;related-urls&gt;&lt;url&gt;http://dx.doi.org/10.1111/j.1542-4774.2011.01048.x&lt;/url&gt;&lt;/related-urls&gt;&lt;/urls&gt;&lt;electronic-resource-num&gt;10.1111/j.1542-4774.2011.01048.x&lt;/electronic-resource-num&gt;&lt;/record&gt;&lt;/Cite&gt;&lt;/EndNote&gt;</w:instrText>
      </w:r>
      <w:r w:rsidR="00406B75" w:rsidRPr="00C066AD">
        <w:fldChar w:fldCharType="separate"/>
      </w:r>
      <w:hyperlink w:anchor="_ENREF_43" w:tooltip="Machin, 2012 #1253" w:history="1">
        <w:r w:rsidR="009F57D7" w:rsidRPr="00C066AD">
          <w:t xml:space="preserve">Machin, Salvanes </w:t>
        </w:r>
        <w:r w:rsidR="00EE4B10" w:rsidRPr="00C066AD">
          <w:t>&amp;</w:t>
        </w:r>
        <w:r w:rsidR="009F57D7" w:rsidRPr="00C066AD">
          <w:t xml:space="preserve"> Pelkonen </w:t>
        </w:r>
        <w:r w:rsidR="00CA754F" w:rsidRPr="00C066AD">
          <w:t>2012</w:t>
        </w:r>
      </w:hyperlink>
      <w:r w:rsidR="00406B75" w:rsidRPr="00C066AD">
        <w:fldChar w:fldCharType="end"/>
      </w:r>
      <w:r w:rsidR="00A7794D" w:rsidRPr="00C066AD">
        <w:t xml:space="preserve">; </w:t>
      </w:r>
      <w:r w:rsidR="00406B75" w:rsidRPr="00C066AD">
        <w:fldChar w:fldCharType="begin"/>
      </w:r>
      <w:r w:rsidR="00CA754F" w:rsidRPr="00C066AD">
        <w:instrText xml:space="preserve"> ADDIN EN.CITE &lt;EndNote&gt;&lt;Cite&gt;&lt;Author&gt;Bover&lt;/Author&gt;&lt;Year&gt;2002&lt;/Year&gt;&lt;RecNum&gt;1318&lt;/RecNum&gt;&lt;DisplayText&gt;Bover and Arellano (2002)&lt;/DisplayText&gt;&lt;record&gt;&lt;rec-number&gt;1318&lt;/rec-number&gt;&lt;foreign-keys&gt;&lt;key app="EN" db-id="refafpv0nd2rd4e9e2qxeaf6rw5xxvv2ds22" timestamp="1380195873"&gt;1318&lt;/key&gt;&lt;/foreign-keys&gt;&lt;ref-type name="Journal Article"&gt;17&lt;/ref-type&gt;&lt;contributors&gt;&lt;authors&gt;&lt;author&gt;Bover, Olympia&lt;/author&gt;&lt;author&gt;Arellano, Manuel&lt;/author&gt;&lt;/authors&gt;&lt;/contributors&gt;&lt;titles&gt;&lt;title&gt;Learning about migration decisions from the migrants: Using complementary datasets to model intra-regional migrations in Spain&lt;/title&gt;&lt;secondary-title&gt;Journal of Population Economics&lt;/secondary-title&gt;&lt;/titles&gt;&lt;periodical&gt;&lt;full-title&gt;Journal of Population Economics&lt;/full-title&gt;&lt;/periodical&gt;&lt;pages&gt;357-380&lt;/pages&gt;&lt;volume&gt;15&lt;/volume&gt;&lt;number&gt;2&lt;/number&gt;&lt;keywords&gt;&lt;keyword&gt;Intra-regional migration · endogenous sampling · employment in services&lt;/keyword&gt;&lt;/keywords&gt;&lt;dates&gt;&lt;year&gt;2002&lt;/year&gt;&lt;/dates&gt;&lt;urls&gt;&lt;related-urls&gt;&lt;url&gt;http://EconPapers.repec.org/RePEc:spr:jopoec:v:15:y:2002:i:2:p:357-380&lt;/url&gt;&lt;/related-urls&gt;&lt;/urls&gt;&lt;/record&gt;&lt;/Cite&gt;&lt;/EndNote&gt;</w:instrText>
      </w:r>
      <w:r w:rsidR="00406B75" w:rsidRPr="00C066AD">
        <w:fldChar w:fldCharType="separate"/>
      </w:r>
      <w:hyperlink w:anchor="_ENREF_12" w:tooltip="Bover, 2002 #1318" w:history="1">
        <w:r w:rsidR="009F57D7" w:rsidRPr="00C066AD">
          <w:t xml:space="preserve">Bover </w:t>
        </w:r>
        <w:r w:rsidR="00EE4B10" w:rsidRPr="00C066AD">
          <w:t>&amp;</w:t>
        </w:r>
        <w:r w:rsidR="009F57D7" w:rsidRPr="00C066AD">
          <w:t xml:space="preserve"> Arellano </w:t>
        </w:r>
        <w:r w:rsidR="00CA754F" w:rsidRPr="00C066AD">
          <w:t>2002</w:t>
        </w:r>
      </w:hyperlink>
      <w:r w:rsidR="00406B75" w:rsidRPr="00C066AD">
        <w:fldChar w:fldCharType="end"/>
      </w:r>
      <w:r w:rsidR="005A7284" w:rsidRPr="00C066AD">
        <w:t xml:space="preserve">; </w:t>
      </w:r>
      <w:r w:rsidR="00406B75" w:rsidRPr="00C066AD">
        <w:fldChar w:fldCharType="begin"/>
      </w:r>
      <w:r w:rsidR="00CA754F" w:rsidRPr="00C066AD">
        <w:instrText xml:space="preserve"> ADDIN EN.CITE &lt;EndNote&gt;&lt;Cite&gt;&lt;Author&gt;Tatsiramos&lt;/Author&gt;&lt;Year&gt;2009&lt;/Year&gt;&lt;RecNum&gt;1317&lt;/RecNum&gt;&lt;DisplayText&gt;Tatsiramos (2009)&lt;/DisplayText&gt;&lt;record&gt;&lt;rec-number&gt;1317&lt;/rec-number&gt;&lt;foreign-keys&gt;&lt;key app="EN" db-id="refafpv0nd2rd4e9e2qxeaf6rw5xxvv2ds22" timestamp="1380194809"&gt;1317&lt;/key&gt;&lt;/foreign-keys&gt;&lt;ref-type name="Journal Article"&gt;17&lt;/ref-type&gt;&lt;contributors&gt;&lt;authors&gt;&lt;author&gt;Tatsiramos, K&lt;/author&gt;&lt;/authors&gt;&lt;/contributors&gt;&lt;titles&gt;&lt;title&gt;Geographic labour mobility and unemployment insurance in Europe&lt;/title&gt;&lt;secondary-title&gt;Journal of Population Economics&lt;/secondary-title&gt;&lt;/titles&gt;&lt;periodical&gt;&lt;full-title&gt;Journal of Population Economics&lt;/full-title&gt;&lt;/periodical&gt;&lt;pages&gt;267-283&lt;/pages&gt;&lt;volume&gt;22&lt;/volume&gt;&lt;number&gt;2&lt;/number&gt;&lt;keywords&gt;&lt;keyword&gt;Mobility&lt;/keyword&gt;&lt;keyword&gt;Unemployment insurance&lt;/keyword&gt;&lt;keyword&gt;J61&lt;/keyword&gt;&lt;keyword&gt;C23&lt;/keyword&gt;&lt;keyword&gt;C25&lt;/keyword&gt;&lt;/keywords&gt;&lt;dates&gt;&lt;year&gt;2009&lt;/year&gt;&lt;/dates&gt;&lt;urls&gt;&lt;related-urls&gt;&lt;url&gt;http://EconPapers.repec.org/RePEc:spr:jopoec:v:22:y:2009:i:2:p:267-283&lt;/url&gt;&lt;/related-urls&gt;&lt;/urls&gt;&lt;/record&gt;&lt;/Cite&gt;&lt;/EndNote&gt;</w:instrText>
      </w:r>
      <w:r w:rsidR="00406B75" w:rsidRPr="00C066AD">
        <w:fldChar w:fldCharType="separate"/>
      </w:r>
      <w:hyperlink w:anchor="_ENREF_63" w:tooltip="Tatsiramos, 2009 #1317" w:history="1">
        <w:r w:rsidR="009F57D7" w:rsidRPr="00C066AD">
          <w:t xml:space="preserve">Tatsiramos </w:t>
        </w:r>
        <w:r w:rsidR="00CA754F" w:rsidRPr="00C066AD">
          <w:t>2009</w:t>
        </w:r>
      </w:hyperlink>
      <w:r w:rsidR="00406B75" w:rsidRPr="00C066AD">
        <w:fldChar w:fldCharType="end"/>
      </w:r>
      <w:r w:rsidR="00AB5716" w:rsidRPr="00C066AD">
        <w:t xml:space="preserve">; </w:t>
      </w:r>
      <w:r w:rsidR="00406B75" w:rsidRPr="00C066AD">
        <w:fldChar w:fldCharType="begin"/>
      </w:r>
      <w:r w:rsidR="00CA754F" w:rsidRPr="00C066AD">
        <w:instrText xml:space="preserve"> ADDIN EN.CITE &lt;EndNote&gt;&lt;Cite&gt;&lt;Author&gt;Carlsen&lt;/Author&gt;&lt;Year&gt;2013&lt;/Year&gt;&lt;RecNum&gt;1254&lt;/RecNum&gt;&lt;DisplayText&gt;Carlsen, Johansen and Stambøl (2013)&lt;/DisplayText&gt;&lt;record&gt;&lt;rec-number&gt;1254&lt;/rec-number&gt;&lt;foreign-keys&gt;&lt;key app="EN" db-id="refafpv0nd2rd4e9e2qxeaf6rw5xxvv2ds22" timestamp="1371778436"&gt;1254&lt;/key&gt;&lt;/foreign-keys&gt;&lt;ref-type name="Journal Article"&gt;17&lt;/ref-type&gt;&lt;contributors&gt;&lt;authors&gt;&lt;author&gt;Carlsen, Fredrik&lt;/author&gt;&lt;author&gt;Johansen, Kåre&lt;/author&gt;&lt;author&gt;Stambøl, Lasse Sigbjørn&lt;/author&gt;&lt;/authors&gt;&lt;/contributors&gt;&lt;titles&gt;&lt;title&gt;Effects of regional labour markets on migration flows, by education level&lt;/title&gt;&lt;secondary-title&gt;Labour&lt;/secondary-title&gt;&lt;/titles&gt;&lt;periodical&gt;&lt;full-title&gt;LABOUR&lt;/full-title&gt;&lt;/periodical&gt;&lt;pages&gt;80-92&lt;/pages&gt;&lt;volume&gt;27&lt;/volume&gt;&lt;number&gt;1&lt;/number&gt;&lt;keywords&gt;&lt;keyword&gt;JEL J61&lt;/keyword&gt;&lt;keyword&gt;R23&lt;/keyword&gt;&lt;/keywords&gt;&lt;dates&gt;&lt;year&gt;2013&lt;/year&gt;&lt;/dates&gt;&lt;isbn&gt;1467-9914&lt;/isbn&gt;&lt;urls&gt;&lt;related-urls&gt;&lt;url&gt;http://dx.doi.org/10.1111/labr.12004&lt;/url&gt;&lt;/related-urls&gt;&lt;/urls&gt;&lt;electronic-resource-num&gt;10.1111/labr.12004&lt;/electronic-resource-num&gt;&lt;/record&gt;&lt;/Cite&gt;&lt;/EndNote&gt;</w:instrText>
      </w:r>
      <w:r w:rsidR="00406B75" w:rsidRPr="00C066AD">
        <w:fldChar w:fldCharType="separate"/>
      </w:r>
      <w:hyperlink w:anchor="_ENREF_14" w:tooltip="Carlsen, 2013 #1254" w:history="1">
        <w:r w:rsidR="009F57D7" w:rsidRPr="00C066AD">
          <w:t>Carlsen, Johansen</w:t>
        </w:r>
        <w:r w:rsidR="00EE4B10" w:rsidRPr="00C066AD">
          <w:t xml:space="preserve"> &amp;</w:t>
        </w:r>
        <w:r w:rsidR="009F57D7" w:rsidRPr="00C066AD">
          <w:t xml:space="preserve"> Stambøl </w:t>
        </w:r>
        <w:r w:rsidR="00CA754F" w:rsidRPr="00C066AD">
          <w:t>2013</w:t>
        </w:r>
      </w:hyperlink>
      <w:r w:rsidR="00CE053F" w:rsidRPr="00C066AD">
        <w:t>)</w:t>
      </w:r>
      <w:r w:rsidR="00406B75" w:rsidRPr="00C066AD">
        <w:fldChar w:fldCharType="end"/>
      </w:r>
      <w:r w:rsidR="00AB5716" w:rsidRPr="00C066AD">
        <w:t>.</w:t>
      </w:r>
    </w:p>
    <w:p w:rsidR="009D425E" w:rsidRPr="00C066AD" w:rsidRDefault="00BD57B2" w:rsidP="00C066AD">
      <w:pPr>
        <w:pStyle w:val="Text"/>
        <w:ind w:right="-143"/>
      </w:pPr>
      <w:r w:rsidRPr="00C066AD">
        <w:t>I</w:t>
      </w:r>
      <w:r w:rsidR="001D7EDD" w:rsidRPr="00C066AD">
        <w:t>ncreasing</w:t>
      </w:r>
      <w:r w:rsidRPr="00C066AD">
        <w:t>ly</w:t>
      </w:r>
      <w:r w:rsidR="00EE4B10" w:rsidRPr="00C066AD">
        <w:t>,</w:t>
      </w:r>
      <w:r w:rsidRPr="00C066AD">
        <w:t xml:space="preserve"> researchers are using</w:t>
      </w:r>
      <w:r w:rsidR="001D7EDD" w:rsidRPr="00C066AD">
        <w:t xml:space="preserve"> </w:t>
      </w:r>
      <w:r w:rsidRPr="00C066AD">
        <w:t>stated prefe</w:t>
      </w:r>
      <w:r w:rsidR="009F57D7" w:rsidRPr="00C066AD">
        <w:t>rence data. A stated preference</w:t>
      </w:r>
      <w:r w:rsidRPr="00C066AD">
        <w:t xml:space="preserve"> is what individuals</w:t>
      </w:r>
      <w:r w:rsidR="008F7FC5" w:rsidRPr="00C066AD">
        <w:t xml:space="preserve"> </w:t>
      </w:r>
      <w:r w:rsidRPr="00C066AD">
        <w:t>say they would do</w:t>
      </w:r>
      <w:r w:rsidR="008F7FC5" w:rsidRPr="00C066AD">
        <w:t xml:space="preserve"> in a given context</w:t>
      </w:r>
      <w:r w:rsidR="00C652CF" w:rsidRPr="00C066AD">
        <w:t xml:space="preserve">, for example, </w:t>
      </w:r>
      <w:r w:rsidR="00EE4B10" w:rsidRPr="00C066AD">
        <w:t xml:space="preserve">the </w:t>
      </w:r>
      <w:r w:rsidR="00C652CF" w:rsidRPr="00C066AD">
        <w:t>intention to move under certain</w:t>
      </w:r>
      <w:r w:rsidR="00084796" w:rsidRPr="00C066AD">
        <w:t xml:space="preserve"> hypothetical</w:t>
      </w:r>
      <w:r w:rsidR="00C652CF" w:rsidRPr="00C066AD">
        <w:t xml:space="preserve"> circumstances</w:t>
      </w:r>
      <w:r w:rsidR="008F7FC5" w:rsidRPr="00C066AD">
        <w:t xml:space="preserve">. </w:t>
      </w:r>
      <w:r w:rsidR="007D6FDA" w:rsidRPr="00C066AD">
        <w:t>In</w:t>
      </w:r>
      <w:r w:rsidR="008F7FC5" w:rsidRPr="00C066AD">
        <w:t xml:space="preserve"> some instances the data on stated preferences </w:t>
      </w:r>
      <w:r w:rsidR="00EE4B10" w:rsidRPr="00C066AD">
        <w:t>are</w:t>
      </w:r>
      <w:r w:rsidR="008F7FC5" w:rsidRPr="00C066AD">
        <w:t xml:space="preserve"> collected using a single question embedded in </w:t>
      </w:r>
      <w:r w:rsidR="00E53C83" w:rsidRPr="00C066AD">
        <w:t>a</w:t>
      </w:r>
      <w:r w:rsidR="008F7FC5" w:rsidRPr="00C066AD">
        <w:t xml:space="preserve"> general survey</w:t>
      </w:r>
      <w:r w:rsidR="00A33EAA" w:rsidRPr="00C066AD">
        <w:t xml:space="preserve"> (</w:t>
      </w:r>
      <w:r w:rsidR="00406B75" w:rsidRPr="00C066AD">
        <w:fldChar w:fldCharType="begin"/>
      </w:r>
      <w:r w:rsidR="00CA754F" w:rsidRPr="00C066AD">
        <w:instrText xml:space="preserve"> ADDIN EN.CITE &lt;EndNote&gt;&lt;Cite&gt;&lt;Author&gt;Drinkwater&lt;/Author&gt;&lt;Year&gt;2009&lt;/Year&gt;&lt;RecNum&gt;1313&lt;/RecNum&gt;&lt;DisplayText&gt;Drinkwater and Ingram (2009)&lt;/DisplayText&gt;&lt;record&gt;&lt;rec-number&gt;1313&lt;/rec-number&gt;&lt;foreign-keys&gt;&lt;key app="EN" db-id="refafpv0nd2rd4e9e2qxeaf6rw5xxvv2ds22" timestamp="1380192727"&gt;1313&lt;/key&gt;&lt;/foreign-keys&gt;&lt;ref-type name="Journal Article"&gt;17&lt;/ref-type&gt;&lt;contributors&gt;&lt;authors&gt;&lt;author&gt;Drinkwater, S&lt;/author&gt;&lt;author&gt;Ingram, P&lt;/author&gt;&lt;/authors&gt;&lt;/contributors&gt;&lt;titles&gt;&lt;title&gt;How Different are the British in their Willingness to Move? Evidence from International Social Survey Data&lt;/title&gt;&lt;secondary-title&gt;Regional Studies&lt;/secondary-title&gt;&lt;/titles&gt;&lt;periodical&gt;&lt;full-title&gt;Regional Studies&lt;/full-title&gt;&lt;/periodical&gt;&lt;pages&gt;287-303&lt;/pages&gt;&lt;volume&gt;43&lt;/volume&gt;&lt;number&gt;2&lt;/number&gt;&lt;keywords&gt;&lt;keyword&gt;Great Britain&lt;/keyword&gt;&lt;keyword&gt;Willingness to move&lt;/keyword&gt;&lt;keyword&gt;International differences&lt;/keyword&gt;&lt;keyword&gt;Microdata&lt;/keyword&gt;&lt;/keywords&gt;&lt;dates&gt;&lt;year&gt;2009&lt;/year&gt;&lt;/dates&gt;&lt;urls&gt;&lt;related-urls&gt;&lt;url&gt;http://EconPapers.repec.org/RePEc:taf:regstd:v:43:y:2009:i:2:p:287-303&lt;/url&gt;&lt;/related-urls&gt;&lt;/urls&gt;&lt;/record&gt;&lt;/Cite&gt;&lt;/EndNote&gt;</w:instrText>
      </w:r>
      <w:r w:rsidR="00406B75" w:rsidRPr="00C066AD">
        <w:fldChar w:fldCharType="separate"/>
      </w:r>
      <w:hyperlink w:anchor="_ENREF_17" w:tooltip="Drinkwater, 2009 #1313" w:history="1">
        <w:r w:rsidR="009F57D7" w:rsidRPr="00C066AD">
          <w:t xml:space="preserve">Drinkwater </w:t>
        </w:r>
        <w:r w:rsidR="00EE4B10" w:rsidRPr="00C066AD">
          <w:t>&amp;</w:t>
        </w:r>
        <w:r w:rsidR="009F57D7" w:rsidRPr="00C066AD">
          <w:t xml:space="preserve"> Ingram </w:t>
        </w:r>
        <w:r w:rsidR="00CA754F" w:rsidRPr="00C066AD">
          <w:t>2009</w:t>
        </w:r>
      </w:hyperlink>
      <w:r w:rsidR="00406B75" w:rsidRPr="00C066AD">
        <w:fldChar w:fldCharType="end"/>
      </w:r>
      <w:r w:rsidR="00A33EAA" w:rsidRPr="00C066AD">
        <w:t xml:space="preserve">; </w:t>
      </w:r>
      <w:r w:rsidR="00406B75" w:rsidRPr="00C066AD">
        <w:fldChar w:fldCharType="begin"/>
      </w:r>
      <w:r w:rsidR="00CA754F" w:rsidRPr="00C066AD">
        <w:instrText xml:space="preserve"> ADDIN EN.CITE &lt;EndNote&gt;&lt;Cite&gt;&lt;Author&gt;Fouarge&lt;/Author&gt;&lt;Year&gt;2007&lt;/Year&gt;&lt;RecNum&gt;1257&lt;/RecNum&gt;&lt;DisplayText&gt;Fouarge and Ester (2007)&lt;/DisplayText&gt;&lt;record&gt;&lt;rec-number&gt;1257&lt;/rec-number&gt;&lt;foreign-keys&gt;&lt;key app="EN" db-id="refafpv0nd2rd4e9e2qxeaf6rw5xxvv2ds22" timestamp="1371789550"&gt;1257&lt;/key&gt;&lt;/foreign-keys&gt;&lt;ref-type name="Report"&gt;27&lt;/ref-type&gt;&lt;contributors&gt;&lt;authors&gt;&lt;author&gt;Fouarge, D&lt;/author&gt;&lt;author&gt;Ester, P&lt;/author&gt;&lt;/authors&gt;&lt;/contributors&gt;&lt;titles&gt;&lt;title&gt;Factors determining international and regional migration in Europe&lt;/title&gt;&lt;/titles&gt;&lt;dates&gt;&lt;year&gt;2007&lt;/year&gt;&lt;/dates&gt;&lt;pub-location&gt;Dublin&lt;/pub-location&gt;&lt;publisher&gt;European Foundation for the Improvement of Living and Working Conditions&lt;/publisher&gt;&lt;urls&gt;&lt;related-urls&gt;&lt;url&gt;http://www.eurofound.europa.eu/pubdocs/2007/09/en/1/ef0709en.pdf&lt;/url&gt;&lt;/related-urls&gt;&lt;/urls&gt;&lt;access-date&gt;21 June 2013&lt;/access-date&gt;&lt;/record&gt;&lt;/Cite&gt;&lt;/EndNote&gt;</w:instrText>
      </w:r>
      <w:r w:rsidR="00406B75" w:rsidRPr="00C066AD">
        <w:fldChar w:fldCharType="separate"/>
      </w:r>
      <w:hyperlink w:anchor="_ENREF_20" w:tooltip="Fouarge, 2007 #1257" w:history="1">
        <w:r w:rsidR="009F57D7" w:rsidRPr="00C066AD">
          <w:t xml:space="preserve">Fouarge </w:t>
        </w:r>
        <w:r w:rsidR="00EE4B10" w:rsidRPr="00C066AD">
          <w:t>&amp;</w:t>
        </w:r>
        <w:r w:rsidR="009F57D7" w:rsidRPr="00C066AD">
          <w:t xml:space="preserve"> Ester </w:t>
        </w:r>
        <w:r w:rsidR="00CA754F" w:rsidRPr="00C066AD">
          <w:t>2007</w:t>
        </w:r>
      </w:hyperlink>
      <w:r w:rsidR="00CE053F" w:rsidRPr="00C066AD">
        <w:t>)</w:t>
      </w:r>
      <w:r w:rsidR="00406B75" w:rsidRPr="00C066AD">
        <w:fldChar w:fldCharType="end"/>
      </w:r>
      <w:r w:rsidR="00EE4B10" w:rsidRPr="00C066AD">
        <w:t>;</w:t>
      </w:r>
      <w:r w:rsidR="00A33EAA" w:rsidRPr="00C066AD">
        <w:t xml:space="preserve"> in other instances discrete choice experiments</w:t>
      </w:r>
      <w:r w:rsidR="00C53AC6" w:rsidRPr="00C066AD">
        <w:t>, in which respondents are presented with a series of hypothetical scenarios,</w:t>
      </w:r>
      <w:r w:rsidR="00A33EAA" w:rsidRPr="00C066AD">
        <w:t xml:space="preserve"> are used for the purpose (</w:t>
      </w:r>
      <w:r w:rsidR="00406B75" w:rsidRPr="00C066AD">
        <w:fldChar w:fldCharType="begin"/>
      </w:r>
      <w:r w:rsidR="00CA754F" w:rsidRPr="00C066AD">
        <w:instrText xml:space="preserve"> ADDIN EN.CITE &lt;EndNote&gt;&lt;Cite&gt;&lt;Author&gt;Scott&lt;/Author&gt;&lt;Year&gt;2012&lt;/Year&gt;&lt;RecNum&gt;1097&lt;/RecNum&gt;&lt;DisplayText&gt;Scott et al. (2012)&lt;/DisplayText&gt;&lt;record&gt;&lt;rec-number&gt;1097&lt;/rec-number&gt;&lt;foreign-keys&gt;&lt;key app="EN" db-id="refafpv0nd2rd4e9e2qxeaf6rw5xxvv2ds22" timestamp="1353303153"&gt;1097&lt;/key&gt;&lt;/foreign-keys&gt;&lt;ref-type name="Working paper"&gt;40&lt;/ref-type&gt;&lt;contributors&gt;&lt;authors&gt;&lt;author&gt;Scott, A&lt;/author&gt;&lt;author&gt;Witt, J&lt;/author&gt;&lt;author&gt;Humphreys, J&lt;/author&gt;&lt;author&gt;Joyce, C&lt;/author&gt;&lt;author&gt;Kalb, G&lt;/author&gt;&lt;author&gt;Jeon, Sung-Hee&lt;/author&gt;&lt;author&gt;MacGrail, M&lt;/author&gt;&lt;/authors&gt;&lt;/contributors&gt;&lt;titles&gt;&lt;title&gt;Getting Doctors into the Bush: General Practitioners’ Preferences for Rural Location&lt;/title&gt;&lt;/titles&gt;&lt;number&gt;Working Paper Series 13/12&lt;/number&gt;&lt;dates&gt;&lt;year&gt;2012&lt;/year&gt;&lt;/dates&gt;&lt;pub-location&gt;Melbourne&lt;/pub-location&gt;&lt;publisher&gt;Melbourne Institute&lt;/publisher&gt;&lt;urls&gt;&lt;/urls&gt;&lt;/record&gt;&lt;/Cite&gt;&lt;/EndNote&gt;</w:instrText>
      </w:r>
      <w:r w:rsidR="00406B75" w:rsidRPr="00C066AD">
        <w:fldChar w:fldCharType="separate"/>
      </w:r>
      <w:hyperlink w:anchor="_ENREF_58" w:tooltip="Scott, 2012 #1097" w:history="1">
        <w:r w:rsidR="009F57D7" w:rsidRPr="00C066AD">
          <w:t xml:space="preserve">Scott et al. </w:t>
        </w:r>
        <w:r w:rsidR="00CA754F" w:rsidRPr="00C066AD">
          <w:t>2012</w:t>
        </w:r>
      </w:hyperlink>
      <w:r w:rsidR="00406B75" w:rsidRPr="00C066AD">
        <w:fldChar w:fldCharType="end"/>
      </w:r>
      <w:r w:rsidR="00C652CF" w:rsidRPr="00C066AD">
        <w:t xml:space="preserve">; </w:t>
      </w:r>
      <w:r w:rsidR="00406B75" w:rsidRPr="00C066AD">
        <w:fldChar w:fldCharType="begin"/>
      </w:r>
      <w:r w:rsidR="00CA754F" w:rsidRPr="00C066AD">
        <w:instrText xml:space="preserve"> ADDIN EN.CITE &lt;EndNote&gt;&lt;Cite&gt;&lt;Author&gt;Lagarde&lt;/Author&gt;&lt;Year&gt;2009&lt;/Year&gt;&lt;RecNum&gt;1320&lt;/RecNum&gt;&lt;DisplayText&gt;Lagarde and Blaauw (2009)&lt;/DisplayText&gt;&lt;record&gt;&lt;rec-number&gt;1320&lt;/rec-number&gt;&lt;foreign-keys&gt;&lt;key app="EN" db-id="refafpv0nd2rd4e9e2qxeaf6rw5xxvv2ds22" timestamp="1380265557"&gt;1320&lt;/key&gt;&lt;/foreign-keys&gt;&lt;ref-type name="Journal Article"&gt;17&lt;/ref-type&gt;&lt;contributors&gt;&lt;authors&gt;&lt;author&gt;Lagarde, M&lt;/author&gt;&lt;author&gt;Blaauw, D&lt;/author&gt;&lt;/authors&gt;&lt;/contributors&gt;&lt;titles&gt;&lt;title&gt;A review of the application and contribution of discrete choice experiments to inform human resources policy interventions&lt;/title&gt;&lt;secondary-title&gt;Human Resources for Health&lt;/secondary-title&gt;&lt;/titles&gt;&lt;periodical&gt;&lt;full-title&gt;Human Resources for Health&lt;/full-title&gt;&lt;/periodical&gt;&lt;pages&gt;62&lt;/pages&gt;&lt;volume&gt;7&lt;/volume&gt;&lt;number&gt;2009///&lt;/number&gt;&lt;keywords&gt;&lt;keyword&gt;health&lt;/keyword&gt;&lt;keyword&gt;human resources&lt;/keyword&gt;&lt;keyword&gt;human resource development&lt;/keyword&gt;&lt;keyword&gt;health care workers&lt;/keyword&gt;&lt;keyword&gt;health workers&lt;/keyword&gt;&lt;/keywords&gt;&lt;dates&gt;&lt;year&gt;2009&lt;/year&gt;&lt;/dates&gt;&lt;orig-pub&gt;Human Resources for Health&lt;/orig-pub&gt;&lt;isbn&gt;ISSN 1478-4491&lt;/isbn&gt;&lt;urls&gt;&lt;related-urls&gt;&lt;url&gt;http://dx.doi.org/10.1186/1478-4491-7-62&lt;/url&gt;&lt;/related-urls&gt;&lt;/urls&gt;&lt;electronic-resource-num&gt;10.1186/1478-4491-7-62&lt;/electronic-resource-num&gt;&lt;remote-database-name&gt;DfidR4dDatabase&lt;/remote-database-name&gt;&lt;access-date&gt;27 September 2013&lt;/access-date&gt;&lt;/record&gt;&lt;/Cite&gt;&lt;/EndNote&gt;</w:instrText>
      </w:r>
      <w:r w:rsidR="00406B75" w:rsidRPr="00C066AD">
        <w:fldChar w:fldCharType="separate"/>
      </w:r>
      <w:hyperlink w:anchor="_ENREF_36" w:tooltip="Lagarde, 2009 #1320" w:history="1">
        <w:r w:rsidR="009F57D7" w:rsidRPr="00C066AD">
          <w:t xml:space="preserve">Lagarde </w:t>
        </w:r>
        <w:r w:rsidR="00EE4B10" w:rsidRPr="00C066AD">
          <w:t>&amp;</w:t>
        </w:r>
        <w:r w:rsidR="009F57D7" w:rsidRPr="00C066AD">
          <w:t xml:space="preserve"> Blaauw </w:t>
        </w:r>
        <w:r w:rsidR="00CA754F" w:rsidRPr="00C066AD">
          <w:t>2009</w:t>
        </w:r>
      </w:hyperlink>
      <w:r w:rsidR="00CE053F" w:rsidRPr="00C066AD">
        <w:t>)</w:t>
      </w:r>
      <w:r w:rsidR="00406B75" w:rsidRPr="00C066AD">
        <w:fldChar w:fldCharType="end"/>
      </w:r>
      <w:r w:rsidRPr="00C066AD">
        <w:t xml:space="preserve">. </w:t>
      </w:r>
      <w:r w:rsidR="00ED6C16" w:rsidRPr="00C066AD">
        <w:t>Although</w:t>
      </w:r>
      <w:r w:rsidR="00C652CF" w:rsidRPr="00C066AD">
        <w:t xml:space="preserve"> intention to move</w:t>
      </w:r>
      <w:r w:rsidR="00AB5716" w:rsidRPr="00C066AD">
        <w:t xml:space="preserve"> is not a perfect predictor of actual</w:t>
      </w:r>
      <w:r w:rsidR="00C652CF" w:rsidRPr="00C066AD">
        <w:t xml:space="preserve"> mobility, it has been shown to be </w:t>
      </w:r>
      <w:r w:rsidR="007D6FDA" w:rsidRPr="00C066AD">
        <w:t xml:space="preserve">a </w:t>
      </w:r>
      <w:r w:rsidR="00C652CF" w:rsidRPr="00C066AD">
        <w:t>strong predictor of future behaviour (</w:t>
      </w:r>
      <w:r w:rsidR="00406B75" w:rsidRPr="00C066AD">
        <w:fldChar w:fldCharType="begin"/>
      </w:r>
      <w:r w:rsidR="00CA754F" w:rsidRPr="00C066AD">
        <w:instrText xml:space="preserve"> ADDIN EN.CITE &lt;EndNote&gt;&lt;Cite&gt;&lt;Author&gt;Böheim&lt;/Author&gt;&lt;Year&gt;2002&lt;/Year&gt;&lt;RecNum&gt;1324&lt;/RecNum&gt;&lt;DisplayText&gt;Böheim and Taylor (2002)&lt;/DisplayText&gt;&lt;record&gt;&lt;rec-number&gt;1324&lt;/rec-number&gt;&lt;foreign-keys&gt;&lt;key app="EN" db-id="refafpv0nd2rd4e9e2qxeaf6rw5xxvv2ds22" timestamp="1380459806"&gt;1324&lt;/key&gt;&lt;/foreign-keys&gt;&lt;ref-type name="Journal Article"&gt;17&lt;/ref-type&gt;&lt;contributors&gt;&lt;authors&gt;&lt;author&gt;Böheim, René&lt;/author&gt;&lt;author&gt;Taylor, Mark&lt;/author&gt;&lt;/authors&gt;&lt;/contributors&gt;&lt;titles&gt;&lt;title&gt;Tied Down Or Room To Move? Investigating The Relationships Between Housing Tenure, Employment Status And Residential Mobility In Britain&lt;/title&gt;&lt;secondary-title&gt;Scottish Journal of Political Economy&lt;/secondary-title&gt;&lt;/titles&gt;&lt;periodical&gt;&lt;full-title&gt;Scottish Journal of Political Economy&lt;/full-title&gt;&lt;/periodical&gt;&lt;pages&gt;369-392&lt;/pages&gt;&lt;volume&gt;49&lt;/volume&gt;&lt;number&gt;4&lt;/number&gt;&lt;dates&gt;&lt;year&gt;2002&lt;/year&gt;&lt;/dates&gt;&lt;publisher&gt;Blackwell Publishers Ltd&lt;/publisher&gt;&lt;isbn&gt;1467-9485&lt;/isbn&gt;&lt;urls&gt;&lt;related-urls&gt;&lt;url&gt;http://dx.doi.org/10.1111/1467-9485.00237&lt;/url&gt;&lt;/related-urls&gt;&lt;/urls&gt;&lt;electronic-resource-num&gt;10.1111/1467-9485.00237&lt;/electronic-resource-num&gt;&lt;/record&gt;&lt;/Cite&gt;&lt;/EndNote&gt;</w:instrText>
      </w:r>
      <w:r w:rsidR="00406B75" w:rsidRPr="00C066AD">
        <w:fldChar w:fldCharType="separate"/>
      </w:r>
      <w:hyperlink w:anchor="_ENREF_10" w:tooltip="Böheim, 2002 #1324" w:history="1">
        <w:r w:rsidR="00ED6C16" w:rsidRPr="00C066AD">
          <w:t xml:space="preserve">Böheim </w:t>
        </w:r>
        <w:r w:rsidR="00EE4B10" w:rsidRPr="00C066AD">
          <w:t>&amp;</w:t>
        </w:r>
        <w:r w:rsidR="00ED6C16" w:rsidRPr="00C066AD">
          <w:t xml:space="preserve"> Taylor </w:t>
        </w:r>
        <w:r w:rsidR="00CA754F" w:rsidRPr="00C066AD">
          <w:t>2002</w:t>
        </w:r>
      </w:hyperlink>
      <w:r w:rsidR="00406B75" w:rsidRPr="00C066AD">
        <w:fldChar w:fldCharType="end"/>
      </w:r>
      <w:r w:rsidR="008031E0" w:rsidRPr="00C066AD">
        <w:t xml:space="preserve">; </w:t>
      </w:r>
      <w:r w:rsidR="00406B75" w:rsidRPr="00C066AD">
        <w:fldChar w:fldCharType="begin"/>
      </w:r>
      <w:r w:rsidR="00CA754F" w:rsidRPr="00C066AD">
        <w:instrText xml:space="preserve"> ADDIN EN.CITE &lt;EndNote&gt;&lt;Cite&gt;&lt;Author&gt;Gordon&lt;/Author&gt;&lt;Year&gt;1995&lt;/Year&gt;&lt;RecNum&gt;1325&lt;/RecNum&gt;&lt;DisplayText&gt;Gordon and Molho (1995)&lt;/DisplayText&gt;&lt;record&gt;&lt;rec-number&gt;1325&lt;/rec-number&gt;&lt;foreign-keys&gt;&lt;key app="EN" db-id="refafpv0nd2rd4e9e2qxeaf6rw5xxvv2ds22" timestamp="1380460276"&gt;1325&lt;/key&gt;&lt;/foreign-keys&gt;&lt;ref-type name="Journal Article"&gt;17&lt;/ref-type&gt;&lt;contributors&gt;&lt;authors&gt;&lt;author&gt;Gordon, I&lt;/author&gt;&lt;author&gt;Molho, I&lt;/author&gt;&lt;/authors&gt;&lt;/contributors&gt;&lt;titles&gt;&lt;title&gt;Duration dependence in migration behaviour: cumulative inertia versus stochastic change&lt;/title&gt;&lt;secondary-title&gt;Environ Plan A&lt;/secondary-title&gt;&lt;/titles&gt;&lt;periodical&gt;&lt;full-title&gt;Environ Plan A&lt;/full-title&gt;&lt;/periodical&gt;&lt;pages&gt;1-75&lt;/pages&gt;&lt;volume&gt;27&lt;/volume&gt;&lt;number&gt;12&lt;/number&gt;&lt;keywords&gt;&lt;keyword&gt;Demography&lt;/keyword&gt;&lt;keyword&gt;Developed Countries&lt;/keyword&gt;&lt;keyword&gt;Emigration and Immigration&lt;/keyword&gt;&lt;keyword&gt;Europe&lt;/keyword&gt;&lt;keyword&gt;Great Britain&lt;/keyword&gt;&lt;keyword&gt;Models, Theoretical&lt;/keyword&gt;&lt;keyword&gt;Population&lt;/keyword&gt;&lt;keyword&gt;Population Dynamics&lt;/keyword&gt;&lt;/keywords&gt;&lt;dates&gt;&lt;year&gt;1995&lt;/year&gt;&lt;/dates&gt;&lt;isbn&gt;0308-518X&lt;/isbn&gt;&lt;urls&gt;&lt;related-urls&gt;&lt;url&gt;http://pubget.com/paper/12291218/duration-dependence-in-migration-behaviour-cumulative-inertia-versus-stochastic-change&lt;/url&gt;&lt;/related-urls&gt;&lt;/urls&gt;&lt;remote-database-provider&gt;Pubget&lt;/remote-database-provider&gt;&lt;language&gt;eng&lt;/language&gt;&lt;/record&gt;&lt;/Cite&gt;&lt;/EndNote&gt;</w:instrText>
      </w:r>
      <w:r w:rsidR="00406B75" w:rsidRPr="00C066AD">
        <w:fldChar w:fldCharType="separate"/>
      </w:r>
      <w:hyperlink w:anchor="_ENREF_21" w:tooltip="Gordon, 1995 #1325" w:history="1">
        <w:r w:rsidR="00ED6C16" w:rsidRPr="00C066AD">
          <w:t xml:space="preserve">Gordon </w:t>
        </w:r>
        <w:r w:rsidR="006D4EA7" w:rsidRPr="00C066AD">
          <w:t>&amp;</w:t>
        </w:r>
        <w:r w:rsidR="00ED6C16" w:rsidRPr="00C066AD">
          <w:t xml:space="preserve"> Molho </w:t>
        </w:r>
        <w:r w:rsidR="00CA754F" w:rsidRPr="00C066AD">
          <w:t>1995</w:t>
        </w:r>
      </w:hyperlink>
      <w:r w:rsidR="00CE053F" w:rsidRPr="00C066AD">
        <w:t>)</w:t>
      </w:r>
      <w:r w:rsidR="00406B75" w:rsidRPr="00C066AD">
        <w:fldChar w:fldCharType="end"/>
      </w:r>
      <w:r w:rsidR="00AB5716" w:rsidRPr="00C066AD">
        <w:t xml:space="preserve">. </w:t>
      </w:r>
      <w:r w:rsidR="00ED6C16" w:rsidRPr="00C066AD">
        <w:t>One important advantage of using stat</w:t>
      </w:r>
      <w:r w:rsidR="006D4EA7" w:rsidRPr="00C066AD">
        <w:t>ed preference data is that the data</w:t>
      </w:r>
      <w:r w:rsidR="00ED6C16" w:rsidRPr="00C066AD">
        <w:t xml:space="preserve"> include information on those who intend to move as well as those who do not, which then limits the problem of self-selection in the estimation</w:t>
      </w:r>
      <w:r w:rsidR="00C53AC6" w:rsidRPr="00C066AD">
        <w:t xml:space="preserve"> </w:t>
      </w:r>
      <w:r w:rsidR="00ED6C16" w:rsidRPr="00C066AD">
        <w:t>(</w:t>
      </w:r>
      <w:r w:rsidR="00406B75" w:rsidRPr="00C066AD">
        <w:fldChar w:fldCharType="begin"/>
      </w:r>
      <w:r w:rsidR="00CA754F" w:rsidRPr="00C066AD">
        <w:instrText xml:space="preserve"> ADDIN EN.CITE &lt;EndNote&gt;&lt;Cite&gt;&lt;Author&gt;Bonin&lt;/Author&gt;&lt;Year&gt;2008&lt;/Year&gt;&lt;RecNum&gt;1252&lt;/RecNum&gt;&lt;DisplayText&gt;Bonin et al. (2008)&lt;/DisplayText&gt;&lt;record&gt;&lt;rec-number&gt;1252&lt;/rec-number&gt;&lt;foreign-keys&gt;&lt;key app="EN" db-id="refafpv0nd2rd4e9e2qxeaf6rw5xxvv2ds22" timestamp="1371774892"&gt;1252&lt;/key&gt;&lt;/foreign-keys&gt;&lt;ref-type name="Report"&gt;27&lt;/ref-type&gt;&lt;contributors&gt;&lt;authors&gt;&lt;author&gt;Bonin, H&lt;/author&gt;&lt;author&gt;Eichhorst, W&lt;/author&gt;&lt;author&gt;Florman, C&lt;/author&gt;&lt;author&gt;Okkels Hansen, M&lt;/author&gt;&lt;author&gt;Skiöld, L&lt;/author&gt;&lt;author&gt;Stuhler, J&lt;/author&gt;&lt;author&gt;Tatsiramos, K&lt;/author&gt;&lt;author&gt;Thomasen, H&lt;/author&gt;&lt;author&gt;Zimmermann, K&lt;/author&gt;&lt;/authors&gt;&lt;/contributors&gt;&lt;titles&gt;&lt;title&gt;Geographic mobility in the European Union: Optimising its economic and social benefits&lt;/title&gt;&lt;/titles&gt;&lt;dates&gt;&lt;year&gt;2008&lt;/year&gt;&lt;/dates&gt;&lt;pub-location&gt;Bonn&lt;/pub-location&gt;&lt;isbn&gt;IZA Research Report No. 19&lt;/isbn&gt;&lt;urls&gt;&lt;related-urls&gt;&lt;url&gt;http://www.iza.org/en/webcontent/publications/reports/report_pdfs/iza_report_19.pdf&lt;/url&gt;&lt;/related-urls&gt;&lt;/urls&gt;&lt;access-date&gt;21 June 2013&lt;/access-date&gt;&lt;/record&gt;&lt;/Cite&gt;&lt;/EndNote&gt;</w:instrText>
      </w:r>
      <w:r w:rsidR="00406B75" w:rsidRPr="00C066AD">
        <w:fldChar w:fldCharType="separate"/>
      </w:r>
      <w:hyperlink w:anchor="_ENREF_11" w:tooltip="Bonin, 2008 #1252" w:history="1">
        <w:r w:rsidR="00ED6C16" w:rsidRPr="00C066AD">
          <w:t xml:space="preserve">Bonin et al. </w:t>
        </w:r>
        <w:r w:rsidR="00CA754F" w:rsidRPr="00C066AD">
          <w:t>2008</w:t>
        </w:r>
      </w:hyperlink>
      <w:r w:rsidR="00CE053F" w:rsidRPr="00C066AD">
        <w:t>)</w:t>
      </w:r>
      <w:r w:rsidR="00406B75" w:rsidRPr="00C066AD">
        <w:fldChar w:fldCharType="end"/>
      </w:r>
      <w:r w:rsidR="0072728B" w:rsidRPr="00C066AD">
        <w:t>.</w:t>
      </w:r>
    </w:p>
    <w:p w:rsidR="00B5202A" w:rsidRPr="00C066AD" w:rsidRDefault="00406B75" w:rsidP="00C066AD">
      <w:pPr>
        <w:pStyle w:val="Text"/>
      </w:pPr>
      <w:r w:rsidRPr="00C066AD">
        <w:fldChar w:fldCharType="begin"/>
      </w:r>
      <w:r w:rsidR="00CA754F" w:rsidRPr="00C066AD">
        <w:instrText xml:space="preserve"> ADDIN EN.CITE &lt;EndNote&gt;&lt;Cite&gt;&lt;Author&gt;Anh&lt;/Author&gt;&lt;Year&gt;1999&lt;/Year&gt;&lt;RecNum&gt;939&lt;/RecNum&gt;&lt;DisplayText&gt;Anh, de la Rica and Ugidos (1999)&lt;/DisplayText&gt;&lt;record&gt;&lt;rec-number&gt;939&lt;/rec-number&gt;&lt;foreign-keys&gt;&lt;key app="EN" db-id="refafpv0nd2rd4e9e2qxeaf6rw5xxvv2ds22" timestamp="1322656205"&gt;939&lt;/key&gt;&lt;/foreign-keys&gt;&lt;ref-type name="Journal Article"&gt;17&lt;/ref-type&gt;&lt;contributors&gt;&lt;authors&gt;&lt;author&gt;Anh, N&lt;/author&gt;&lt;author&gt;de la Rica, S&lt;/author&gt;&lt;author&gt;&lt;style face="normal" font="default" size="100%"&gt;Ugidos, A&lt;/style&gt;&lt;style face="normal" font="Times New Roman" size="100%"&gt; &lt;/style&gt;&lt;/author&gt;&lt;/authors&gt;&lt;/contributors&gt;&lt;titles&gt;&lt;title&gt;Willingness-to-move for work and unemployment duration in Spain&lt;/title&gt;&lt;secondary-title&gt;Economica&lt;/secondary-title&gt;&lt;/titles&gt;&lt;periodical&gt;&lt;full-title&gt;Economica&lt;/full-title&gt;&lt;/periodical&gt;&lt;pages&gt;&lt;style face="normal" font="Times New Roman" size="100%"&gt;335-57&lt;/style&gt;&lt;/pages&gt;&lt;volume&gt;66&lt;/volume&gt;&lt;dates&gt;&lt;year&gt;1999&lt;/year&gt;&lt;/dates&gt;&lt;urls&gt;&lt;/urls&gt;&lt;/record&gt;&lt;/Cite&gt;&lt;/EndNote&gt;</w:instrText>
      </w:r>
      <w:r w:rsidRPr="00C066AD">
        <w:fldChar w:fldCharType="separate"/>
      </w:r>
      <w:hyperlink w:anchor="_ENREF_3" w:tooltip="Anh, 1999 #939" w:history="1">
        <w:r w:rsidR="00CA754F" w:rsidRPr="00C066AD">
          <w:t>Anh, de la Rica and Ugidos (1999</w:t>
        </w:r>
      </w:hyperlink>
      <w:r w:rsidR="00CA754F" w:rsidRPr="00C066AD">
        <w:t>)</w:t>
      </w:r>
      <w:r w:rsidRPr="00C066AD">
        <w:fldChar w:fldCharType="end"/>
      </w:r>
      <w:r w:rsidR="007B29C1" w:rsidRPr="00C066AD">
        <w:t xml:space="preserve"> examined unemployed workers</w:t>
      </w:r>
      <w:r w:rsidR="00602830">
        <w:t>’</w:t>
      </w:r>
      <w:r w:rsidR="007B29C1" w:rsidRPr="00C066AD">
        <w:t xml:space="preserve"> willingness to move</w:t>
      </w:r>
      <w:r w:rsidR="0072728B" w:rsidRPr="00C066AD">
        <w:t xml:space="preserve"> </w:t>
      </w:r>
      <w:r w:rsidR="007B29C1" w:rsidRPr="00C066AD">
        <w:t xml:space="preserve">for work and its relationship with their unemployment duration in Spain using a single question in the Spanish Labour Force Survey: </w:t>
      </w:r>
      <w:r w:rsidR="00602830">
        <w:t>‘</w:t>
      </w:r>
      <w:r w:rsidR="007B29C1" w:rsidRPr="00C066AD">
        <w:t>Would you accept a job offer which implied a change of residence?</w:t>
      </w:r>
      <w:r w:rsidR="00602830">
        <w:t>’</w:t>
      </w:r>
      <w:r w:rsidR="007B29C1" w:rsidRPr="00C066AD">
        <w:t xml:space="preserve"> </w:t>
      </w:r>
      <w:r w:rsidR="006D49BD" w:rsidRPr="00C066AD">
        <w:t xml:space="preserve">This is an example of a stated preference. </w:t>
      </w:r>
      <w:r w:rsidR="00FD3C17" w:rsidRPr="00C066AD">
        <w:t>The study found</w:t>
      </w:r>
      <w:r w:rsidR="007B29C1" w:rsidRPr="00C066AD">
        <w:t xml:space="preserve"> </w:t>
      </w:r>
      <w:r w:rsidR="006D4EA7" w:rsidRPr="00C066AD">
        <w:t xml:space="preserve">that </w:t>
      </w:r>
      <w:r w:rsidR="007B29C1" w:rsidRPr="00C066AD">
        <w:t>family respons</w:t>
      </w:r>
      <w:r w:rsidR="00FD3C17" w:rsidRPr="00C066AD">
        <w:t>ibilities, age and education were important factors explaining</w:t>
      </w:r>
      <w:r w:rsidR="007B29C1" w:rsidRPr="00C066AD">
        <w:t xml:space="preserve"> individuals</w:t>
      </w:r>
      <w:r w:rsidR="00602830">
        <w:t>’</w:t>
      </w:r>
      <w:r w:rsidR="007B29C1" w:rsidRPr="00C066AD">
        <w:t xml:space="preserve"> willingness to move, </w:t>
      </w:r>
      <w:r w:rsidR="00FD3C17" w:rsidRPr="00C066AD">
        <w:t>but</w:t>
      </w:r>
      <w:r w:rsidR="007B29C1" w:rsidRPr="00C066AD">
        <w:t xml:space="preserve"> duration of unemployment was not. Workers</w:t>
      </w:r>
      <w:r w:rsidR="00602830">
        <w:t>’</w:t>
      </w:r>
      <w:r w:rsidR="007B29C1" w:rsidRPr="00C066AD">
        <w:t xml:space="preserve"> willingness to move</w:t>
      </w:r>
      <w:r w:rsidR="00FD3C17" w:rsidRPr="00C066AD">
        <w:t xml:space="preserve"> however</w:t>
      </w:r>
      <w:r w:rsidR="007B29C1" w:rsidRPr="00C066AD">
        <w:t xml:space="preserve"> increased substantially after their unemployment benefits were exhausted, suggesting that economic incentives could play an important role in the decision to move.</w:t>
      </w:r>
    </w:p>
    <w:p w:rsidR="007B29C1" w:rsidRPr="00C066AD" w:rsidRDefault="00406B75" w:rsidP="00C066AD">
      <w:pPr>
        <w:pStyle w:val="Text"/>
      </w:pPr>
      <w:r w:rsidRPr="00C066AD">
        <w:fldChar w:fldCharType="begin"/>
      </w:r>
      <w:r w:rsidR="00CA754F" w:rsidRPr="00C066AD">
        <w:instrText xml:space="preserve"> ADDIN EN.CITE &lt;EndNote&gt;&lt;Cite&gt;&lt;Author&gt;Tatsiramos&lt;/Author&gt;&lt;Year&gt;2009&lt;/Year&gt;&lt;RecNum&gt;1317&lt;/RecNum&gt;&lt;DisplayText&gt;Tatsiramos (2009)&lt;/DisplayText&gt;&lt;record&gt;&lt;rec-number&gt;1317&lt;/rec-number&gt;&lt;foreign-keys&gt;&lt;key app="EN" db-id="refafpv0nd2rd4e9e2qxeaf6rw5xxvv2ds22" timestamp="1380194809"&gt;1317&lt;/key&gt;&lt;/foreign-keys&gt;&lt;ref-type name="Journal Article"&gt;17&lt;/ref-type&gt;&lt;contributors&gt;&lt;authors&gt;&lt;author&gt;Tatsiramos, K&lt;/author&gt;&lt;/authors&gt;&lt;/contributors&gt;&lt;titles&gt;&lt;title&gt;Geographic labour mobility and unemployment insurance in Europe&lt;/title&gt;&lt;secondary-title&gt;Journal of Population Economics&lt;/secondary-title&gt;&lt;/titles&gt;&lt;periodical&gt;&lt;full-title&gt;Journal of Population Economics&lt;/full-title&gt;&lt;/periodical&gt;&lt;pages&gt;267-283&lt;/pages&gt;&lt;volume&gt;22&lt;/volume&gt;&lt;number&gt;2&lt;/number&gt;&lt;keywords&gt;&lt;keyword&gt;Mobility&lt;/keyword&gt;&lt;keyword&gt;Unemployment insurance&lt;/keyword&gt;&lt;keyword&gt;J61&lt;/keyword&gt;&lt;keyword&gt;C23&lt;/keyword&gt;&lt;keyword&gt;C25&lt;/keyword&gt;&lt;/keywords&gt;&lt;dates&gt;&lt;year&gt;2009&lt;/year&gt;&lt;/dates&gt;&lt;urls&gt;&lt;related-urls&gt;&lt;url&gt;http://EconPapers.repec.org/RePEc:spr:jopoec:v:22:y:2009:i:2:p:267-283&lt;/url&gt;&lt;/related-urls&gt;&lt;/urls&gt;&lt;/record&gt;&lt;/Cite&gt;&lt;/EndNote&gt;</w:instrText>
      </w:r>
      <w:r w:rsidRPr="00C066AD">
        <w:fldChar w:fldCharType="separate"/>
      </w:r>
      <w:hyperlink w:anchor="_ENREF_63" w:tooltip="Tatsiramos, 2009 #1317" w:history="1">
        <w:r w:rsidR="00CA754F" w:rsidRPr="00C066AD">
          <w:t>Tatsiramos (2009</w:t>
        </w:r>
      </w:hyperlink>
      <w:r w:rsidR="00CE053F" w:rsidRPr="00C066AD">
        <w:t>)</w:t>
      </w:r>
      <w:r w:rsidRPr="00C066AD">
        <w:fldChar w:fldCharType="end"/>
      </w:r>
      <w:r w:rsidR="00452906" w:rsidRPr="00C066AD">
        <w:t xml:space="preserve"> examined the relationship between unemployment insurance and geographic labour mobility in five European countries</w:t>
      </w:r>
      <w:r w:rsidR="006D4EA7" w:rsidRPr="00C066AD">
        <w:t>,</w:t>
      </w:r>
      <w:r w:rsidR="00452906" w:rsidRPr="00C066AD">
        <w:t xml:space="preserve"> albeit using revealed preference data. </w:t>
      </w:r>
      <w:r w:rsidR="00FD3C17" w:rsidRPr="00C066AD">
        <w:t>According to him, the common view</w:t>
      </w:r>
      <w:r w:rsidR="00452906" w:rsidRPr="00C066AD">
        <w:t xml:space="preserve"> that </w:t>
      </w:r>
      <w:r w:rsidR="006D4EA7" w:rsidRPr="00C066AD">
        <w:t xml:space="preserve">the </w:t>
      </w:r>
      <w:r w:rsidR="00452906" w:rsidRPr="00C066AD">
        <w:t>generous provis</w:t>
      </w:r>
      <w:r w:rsidR="00FD3C17" w:rsidRPr="00C066AD">
        <w:t>ion of unemployment benefits</w:t>
      </w:r>
      <w:r w:rsidR="00452906" w:rsidRPr="00C066AD">
        <w:t xml:space="preserve"> account</w:t>
      </w:r>
      <w:r w:rsidR="00FD3C17" w:rsidRPr="00C066AD">
        <w:t>s</w:t>
      </w:r>
      <w:r w:rsidR="00452906" w:rsidRPr="00C066AD">
        <w:t xml:space="preserve"> for the low mobility in Europe ignores </w:t>
      </w:r>
      <w:r w:rsidR="00AF56F4" w:rsidRPr="00C066AD">
        <w:t>the fact that the generous</w:t>
      </w:r>
      <w:r w:rsidR="008E79A5" w:rsidRPr="00C066AD">
        <w:t xml:space="preserve"> benefits might also have </w:t>
      </w:r>
      <w:r w:rsidR="00AF56F4" w:rsidRPr="00C066AD">
        <w:t xml:space="preserve">a positive </w:t>
      </w:r>
      <w:r w:rsidR="008E79A5" w:rsidRPr="00C066AD">
        <w:t>effect</w:t>
      </w:r>
      <w:r w:rsidR="00C53AC6" w:rsidRPr="00C066AD">
        <w:t xml:space="preserve"> by relaxing liquidity</w:t>
      </w:r>
      <w:r w:rsidR="008E79A5" w:rsidRPr="00C066AD">
        <w:t xml:space="preserve"> </w:t>
      </w:r>
      <w:r w:rsidR="00C53AC6" w:rsidRPr="00C066AD">
        <w:t>constraints in the presence of mobility and searc</w:t>
      </w:r>
      <w:r w:rsidR="00FD3C17" w:rsidRPr="00C066AD">
        <w:t>h costs. His analysis showed that receiving benefits was</w:t>
      </w:r>
      <w:r w:rsidR="00C53AC6" w:rsidRPr="00C066AD">
        <w:t xml:space="preserve"> not associated with lower</w:t>
      </w:r>
      <w:r w:rsidR="008E79A5" w:rsidRPr="00C066AD">
        <w:t xml:space="preserve"> </w:t>
      </w:r>
      <w:r w:rsidR="00C53AC6" w:rsidRPr="00C066AD">
        <w:t>mobi</w:t>
      </w:r>
      <w:r w:rsidR="008E79A5" w:rsidRPr="00C066AD">
        <w:t>lity, and that the</w:t>
      </w:r>
      <w:r w:rsidR="00AF1AA3" w:rsidRPr="00C066AD">
        <w:t xml:space="preserve"> effects varied</w:t>
      </w:r>
      <w:r w:rsidR="00456B5F" w:rsidRPr="00C066AD">
        <w:t>,</w:t>
      </w:r>
      <w:r w:rsidR="00C53AC6" w:rsidRPr="00C066AD">
        <w:t xml:space="preserve"> depending on the institutional</w:t>
      </w:r>
      <w:r w:rsidR="008E79A5" w:rsidRPr="00C066AD">
        <w:t xml:space="preserve"> </w:t>
      </w:r>
      <w:r w:rsidR="00C53AC6" w:rsidRPr="00C066AD">
        <w:t>characteristics and t</w:t>
      </w:r>
      <w:r w:rsidR="008E79A5" w:rsidRPr="00C066AD">
        <w:t>he incentive structure of the unemployment insurance</w:t>
      </w:r>
      <w:r w:rsidR="00C53AC6" w:rsidRPr="00C066AD">
        <w:t xml:space="preserve"> system of each country</w:t>
      </w:r>
      <w:r w:rsidR="008E79A5" w:rsidRPr="00C066AD">
        <w:t>.</w:t>
      </w:r>
    </w:p>
    <w:p w:rsidR="00405B61" w:rsidRPr="00FE162C" w:rsidRDefault="00406B75" w:rsidP="00C066AD">
      <w:pPr>
        <w:pStyle w:val="Text"/>
      </w:pPr>
      <w:r w:rsidRPr="00C066AD">
        <w:fldChar w:fldCharType="begin"/>
      </w:r>
      <w:r w:rsidR="00CA754F" w:rsidRPr="00C066AD">
        <w:instrText xml:space="preserve"> ADDIN EN.CITE &lt;EndNote&gt;&lt;Cite&gt;&lt;Author&gt;Drinkwater&lt;/Author&gt;&lt;Year&gt;2003&lt;/Year&gt;&lt;RecNum&gt;940&lt;/RecNum&gt;&lt;DisplayText&gt;Drinkwater (2003)&lt;/DisplayText&gt;&lt;record&gt;&lt;rec-number&gt;940&lt;/rec-number&gt;&lt;foreign-keys&gt;&lt;key app="EN" db-id="refafpv0nd2rd4e9e2qxeaf6rw5xxvv2ds22" timestamp="1322656388"&gt;940&lt;/key&gt;&lt;/foreign-keys&gt;&lt;ref-type name="Working paper"&gt;40&lt;/ref-type&gt;&lt;contributors&gt;&lt;authors&gt;&lt;author&gt;Drinkwater, S&lt;/author&gt;&lt;/authors&gt;&lt;/contributors&gt;&lt;titles&gt;&lt;title&gt;Estimating the willingness-to-move within Great Britain: Importance and implications&lt;/title&gt;&lt;/titles&gt;&lt;number&gt;Discussion paper No. 12&lt;/number&gt;&lt;dates&gt;&lt;year&gt;2003&lt;/year&gt;&lt;/dates&gt;&lt;publisher&gt;University of Surrey&lt;/publisher&gt;&lt;urls&gt;&lt;/urls&gt;&lt;/record&gt;&lt;/Cite&gt;&lt;/EndNote&gt;</w:instrText>
      </w:r>
      <w:r w:rsidRPr="00C066AD">
        <w:fldChar w:fldCharType="separate"/>
      </w:r>
      <w:hyperlink w:anchor="_ENREF_16" w:tooltip="Drinkwater, 2003 #940" w:history="1">
        <w:r w:rsidR="00CA754F" w:rsidRPr="00C066AD">
          <w:t>Drinkwater (2003</w:t>
        </w:r>
      </w:hyperlink>
      <w:r w:rsidR="00CE053F" w:rsidRPr="00C066AD">
        <w:t>)</w:t>
      </w:r>
      <w:r w:rsidRPr="00C066AD">
        <w:fldChar w:fldCharType="end"/>
      </w:r>
      <w:r w:rsidR="007B29C1" w:rsidRPr="00C066AD">
        <w:t xml:space="preserve"> use</w:t>
      </w:r>
      <w:r w:rsidR="00456B5F" w:rsidRPr="00C066AD">
        <w:t>d</w:t>
      </w:r>
      <w:r w:rsidR="007B29C1" w:rsidRPr="00C066AD">
        <w:t xml:space="preserve"> data from the 1995 British Social Attitudes Survey to study willingness to move among Britons. Direct questions were asked of respondents</w:t>
      </w:r>
      <w:r w:rsidR="00226411" w:rsidRPr="00C066AD">
        <w:t xml:space="preserve"> to ascertain</w:t>
      </w:r>
      <w:r w:rsidR="007B29C1" w:rsidRPr="00C066AD">
        <w:t xml:space="preserve"> </w:t>
      </w:r>
      <w:r w:rsidR="00456B5F" w:rsidRPr="00C066AD">
        <w:t xml:space="preserve">whether </w:t>
      </w:r>
      <w:r w:rsidR="007B29C1" w:rsidRPr="00C066AD">
        <w:t xml:space="preserve">they </w:t>
      </w:r>
      <w:r w:rsidR="00226411" w:rsidRPr="00C066AD">
        <w:t xml:space="preserve">were </w:t>
      </w:r>
      <w:r w:rsidR="007B29C1" w:rsidRPr="00C066AD">
        <w:t>willing to move away from their neighbourhood, town</w:t>
      </w:r>
      <w:r w:rsidR="007B29C1" w:rsidRPr="00FE162C">
        <w:t>/city, county, country and Europe if their living or working conditions</w:t>
      </w:r>
      <w:r w:rsidR="00226411">
        <w:t xml:space="preserve"> could be improved</w:t>
      </w:r>
      <w:r w:rsidR="007B29C1" w:rsidRPr="00FE162C">
        <w:t xml:space="preserve">. The study found </w:t>
      </w:r>
      <w:r w:rsidR="00226411">
        <w:t xml:space="preserve">that </w:t>
      </w:r>
      <w:r w:rsidR="007B29C1" w:rsidRPr="00FE162C">
        <w:t xml:space="preserve">willingness to move declines with </w:t>
      </w:r>
      <w:r w:rsidR="00226411">
        <w:t xml:space="preserve">the </w:t>
      </w:r>
      <w:r w:rsidR="007B29C1" w:rsidRPr="00FE162C">
        <w:t>distance of the mo</w:t>
      </w:r>
      <w:r w:rsidR="00AF56F4" w:rsidRPr="00FE162C">
        <w:t>ve. Personal characteristics were</w:t>
      </w:r>
      <w:r w:rsidR="007B29C1" w:rsidRPr="00FE162C">
        <w:t xml:space="preserve"> found to be important determinants of the willi</w:t>
      </w:r>
      <w:r w:rsidR="00226411">
        <w:t>ngness to move, with the lowest-</w:t>
      </w:r>
      <w:r w:rsidR="007B29C1" w:rsidRPr="00FE162C">
        <w:t>educated the least willing and recent migrants the most willing to move. It also fou</w:t>
      </w:r>
      <w:r w:rsidR="00226411">
        <w:t>nd that more-</w:t>
      </w:r>
      <w:r w:rsidR="00AF1AA3">
        <w:t>educated people were</w:t>
      </w:r>
      <w:r w:rsidR="007B29C1" w:rsidRPr="00FE162C">
        <w:t xml:space="preserve"> more willing to move l</w:t>
      </w:r>
      <w:r w:rsidR="00AF1AA3">
        <w:t>onger distances</w:t>
      </w:r>
      <w:r w:rsidR="00226411">
        <w:t>,</w:t>
      </w:r>
      <w:r w:rsidR="00AF1AA3">
        <w:t xml:space="preserve"> whereas there was</w:t>
      </w:r>
      <w:r w:rsidR="007B29C1" w:rsidRPr="00FE162C">
        <w:t xml:space="preserve"> less variation across qualifications over shorter distances.</w:t>
      </w:r>
      <w:r w:rsidR="00226411">
        <w:t xml:space="preserve"> </w:t>
      </w:r>
      <w:r w:rsidR="00AF1AA3">
        <w:t>Overall</w:t>
      </w:r>
      <w:r w:rsidR="00226411">
        <w:t>,</w:t>
      </w:r>
      <w:r w:rsidR="00AF1AA3">
        <w:t xml:space="preserve"> the paper found</w:t>
      </w:r>
      <w:r w:rsidR="00405B61" w:rsidRPr="00FE162C">
        <w:t xml:space="preserve"> a lack of a desire for people to move from the less prosperous parts of Britain.</w:t>
      </w:r>
    </w:p>
    <w:p w:rsidR="0059747F" w:rsidRPr="00F74F68" w:rsidRDefault="00AF56F4" w:rsidP="00F74F68">
      <w:pPr>
        <w:pStyle w:val="Text"/>
      </w:pPr>
      <w:r w:rsidRPr="00FE162C">
        <w:lastRenderedPageBreak/>
        <w:t xml:space="preserve">In a follow-up study, </w:t>
      </w:r>
      <w:r w:rsidR="00406B75" w:rsidRPr="00FE162C">
        <w:fldChar w:fldCharType="begin"/>
      </w:r>
      <w:r w:rsidR="00CA754F">
        <w:instrText xml:space="preserve"> ADDIN EN.CITE &lt;EndNote&gt;&lt;Cite&gt;&lt;Author&gt;Drinkwater&lt;/Author&gt;&lt;Year&gt;2009&lt;/Year&gt;&lt;RecNum&gt;1313&lt;/RecNum&gt;&lt;DisplayText&gt;Drinkwater and Ingram (2009)&lt;/DisplayText&gt;&lt;record&gt;&lt;rec-number&gt;1313&lt;/rec-number&gt;&lt;foreign-keys&gt;&lt;key app="EN" db-id="refafpv0nd2rd4e9e2qxeaf6rw5xxvv2ds22" timestamp="1380192727"&gt;1313&lt;/key&gt;&lt;/foreign-keys&gt;&lt;ref-type name="Journal Article"&gt;17&lt;/ref-type&gt;&lt;contributors&gt;&lt;authors&gt;&lt;author&gt;Drinkwater, S&lt;/author&gt;&lt;author&gt;Ingram, P&lt;/author&gt;&lt;/authors&gt;&lt;/contributors&gt;&lt;titles&gt;&lt;title&gt;How Different are the British in their Willingness to Move? Evidence from International Social Survey Data&lt;/title&gt;&lt;secondary-title&gt;Regional Studies&lt;/secondary-title&gt;&lt;/titles&gt;&lt;periodical&gt;&lt;full-title&gt;Regional Studies&lt;/full-title&gt;&lt;/periodical&gt;&lt;pages&gt;287-303&lt;/pages&gt;&lt;volume&gt;43&lt;/volume&gt;&lt;number&gt;2&lt;/number&gt;&lt;keywords&gt;&lt;keyword&gt;Great Britain&lt;/keyword&gt;&lt;keyword&gt;Willingness to move&lt;/keyword&gt;&lt;keyword&gt;International differences&lt;/keyword&gt;&lt;keyword&gt;Microdata&lt;/keyword&gt;&lt;/keywords&gt;&lt;dates&gt;&lt;year&gt;2009&lt;/year&gt;&lt;/dates&gt;&lt;urls&gt;&lt;related-urls&gt;&lt;url&gt;http://EconPapers.repec.org/RePEc:taf:regstd:v:43:y:2009:i:2:p:287-303&lt;/url&gt;&lt;/related-urls&gt;&lt;/urls&gt;&lt;/record&gt;&lt;/Cite&gt;&lt;/EndNote&gt;</w:instrText>
      </w:r>
      <w:r w:rsidR="00406B75" w:rsidRPr="00FE162C">
        <w:fldChar w:fldCharType="separate"/>
      </w:r>
      <w:hyperlink w:anchor="_ENREF_17" w:tooltip="Drinkwater, 2009 #1313" w:history="1">
        <w:r w:rsidR="00CA754F" w:rsidRPr="00FE162C">
          <w:rPr>
            <w:noProof/>
          </w:rPr>
          <w:t>Drinkwater and Ingram (2009</w:t>
        </w:r>
      </w:hyperlink>
      <w:r w:rsidR="00CE053F" w:rsidRPr="00FE162C">
        <w:rPr>
          <w:noProof/>
        </w:rPr>
        <w:t>)</w:t>
      </w:r>
      <w:r w:rsidR="00406B75" w:rsidRPr="00FE162C">
        <w:fldChar w:fldCharType="end"/>
      </w:r>
      <w:r w:rsidRPr="00FE162C">
        <w:t xml:space="preserve"> </w:t>
      </w:r>
      <w:r w:rsidR="0059747F" w:rsidRPr="00FE162C">
        <w:t>report a cross-country analysis of</w:t>
      </w:r>
      <w:r w:rsidRPr="00FE162C">
        <w:t xml:space="preserve"> willingness to move </w:t>
      </w:r>
      <w:r w:rsidR="0059747F" w:rsidRPr="00FE162C">
        <w:t xml:space="preserve">using data from the 1995 </w:t>
      </w:r>
      <w:r w:rsidR="0059747F" w:rsidRPr="00226411">
        <w:rPr>
          <w:iCs/>
        </w:rPr>
        <w:t>International Social Survey Programme</w:t>
      </w:r>
      <w:r w:rsidR="0059747F" w:rsidRPr="00226411">
        <w:t>.</w:t>
      </w:r>
      <w:r w:rsidR="0059747F" w:rsidRPr="00FE162C">
        <w:t xml:space="preserve"> They found that the willi</w:t>
      </w:r>
      <w:r w:rsidR="00AF1AA3">
        <w:t>ngness to move was</w:t>
      </w:r>
      <w:r w:rsidR="0059747F" w:rsidRPr="00FE162C">
        <w:t xml:space="preserve"> only higher in a few oth</w:t>
      </w:r>
      <w:r w:rsidR="00AF1AA3">
        <w:t>er countries, including the United States, than in Britain. Willingness to move</w:t>
      </w:r>
      <w:r w:rsidR="0059747F" w:rsidRPr="00FE162C">
        <w:t xml:space="preserve"> was found to be much lower in Eastern European countries and in several other European Union </w:t>
      </w:r>
      <w:r w:rsidR="00226411" w:rsidRPr="00FE162C">
        <w:t>member states</w:t>
      </w:r>
      <w:r w:rsidR="0059747F" w:rsidRPr="00FE162C">
        <w:t xml:space="preserve">. </w:t>
      </w:r>
      <w:r w:rsidR="00EA29FE" w:rsidRPr="00FE162C">
        <w:t>While c</w:t>
      </w:r>
      <w:r w:rsidR="0059747F" w:rsidRPr="00FE162C">
        <w:t>ompositional effects, such as age and educatio</w:t>
      </w:r>
      <w:r w:rsidR="00AF1AA3">
        <w:t>n, were</w:t>
      </w:r>
      <w:r w:rsidR="0059747F" w:rsidRPr="00FE162C">
        <w:t xml:space="preserve"> generally</w:t>
      </w:r>
      <w:r w:rsidR="00EA29FE" w:rsidRPr="00FE162C">
        <w:t xml:space="preserve"> </w:t>
      </w:r>
      <w:r w:rsidR="0059747F" w:rsidRPr="00FE162C">
        <w:t xml:space="preserve">important in explaining </w:t>
      </w:r>
      <w:r w:rsidR="00405B61" w:rsidRPr="00FE162C">
        <w:t>a large part of the variation in attitudes to willingness to move in Britain</w:t>
      </w:r>
      <w:r w:rsidR="00EA29FE" w:rsidRPr="00FE162C">
        <w:t>,</w:t>
      </w:r>
      <w:r w:rsidR="0059747F" w:rsidRPr="00FE162C">
        <w:t xml:space="preserve"> structural</w:t>
      </w:r>
      <w:r w:rsidR="00EA29FE" w:rsidRPr="00FE162C">
        <w:t xml:space="preserve"> </w:t>
      </w:r>
      <w:r w:rsidR="0059747F" w:rsidRPr="00FE162C">
        <w:t>effect</w:t>
      </w:r>
      <w:r w:rsidR="00AF1AA3">
        <w:t>s such as institutions, history</w:t>
      </w:r>
      <w:r w:rsidR="0059747F" w:rsidRPr="00FE162C">
        <w:t xml:space="preserve"> and culture tend</w:t>
      </w:r>
      <w:r w:rsidR="00AF1AA3">
        <w:t>ed</w:t>
      </w:r>
      <w:r w:rsidR="0059747F" w:rsidRPr="00FE162C">
        <w:t xml:space="preserve"> to play a </w:t>
      </w:r>
      <w:r w:rsidR="0059747F" w:rsidRPr="00F74F68">
        <w:t>more dominant role in expl</w:t>
      </w:r>
      <w:r w:rsidR="00405B61" w:rsidRPr="00F74F68">
        <w:t xml:space="preserve">aining differences in </w:t>
      </w:r>
      <w:r w:rsidR="0059747F" w:rsidRPr="00F74F68">
        <w:t>countries in Central and Eastern Europe.</w:t>
      </w:r>
    </w:p>
    <w:p w:rsidR="005140A8" w:rsidRPr="00F74F68" w:rsidRDefault="00406B75" w:rsidP="00F74F68">
      <w:pPr>
        <w:pStyle w:val="Text"/>
      </w:pPr>
      <w:r w:rsidRPr="00F74F68">
        <w:fldChar w:fldCharType="begin"/>
      </w:r>
      <w:r w:rsidR="00CA754F" w:rsidRPr="00F74F68">
        <w:instrText xml:space="preserve"> ADDIN EN.CITE &lt;EndNote&gt;&lt;Cite&gt;&lt;Author&gt;Fidrmuc&lt;/Author&gt;&lt;Year&gt;2007&lt;/Year&gt;&lt;RecNum&gt;941&lt;/RecNum&gt;&lt;DisplayText&gt;Fidrmuc and Huber (2007)&lt;/DisplayText&gt;&lt;record&gt;&lt;rec-number&gt;941&lt;/rec-number&gt;&lt;foreign-keys&gt;&lt;key app="EN" db-id="refafpv0nd2rd4e9e2qxeaf6rw5xxvv2ds22" timestamp="1322656555"&gt;941&lt;/key&gt;&lt;/foreign-keys&gt;&lt;ref-type name="Journal Article"&gt;17&lt;/ref-type&gt;&lt;contributors&gt;&lt;authors&gt;&lt;author&gt;Fidrmuc, J&lt;/author&gt;&lt;author&gt;Huber, P&lt;/author&gt;&lt;/authors&gt;&lt;/contributors&gt;&lt;titles&gt;&lt;title&gt;The willingness to migrate in CEEC: evidence from the Czech Republic&lt;/title&gt;&lt;secondary-title&gt;Empirica&lt;/secondary-title&gt;&lt;/titles&gt;&lt;periodical&gt;&lt;full-title&gt;Empirica&lt;/full-title&gt;&lt;/periodical&gt;&lt;pages&gt;&lt;style face="normal" font="Times New Roman" size="100%"&gt;351-69&lt;/style&gt;&lt;/pages&gt;&lt;volume&gt;34&lt;/volume&gt;&lt;dates&gt;&lt;year&gt;2007&lt;/year&gt;&lt;/dates&gt;&lt;urls&gt;&lt;/urls&gt;&lt;/record&gt;&lt;/Cite&gt;&lt;/EndNote&gt;</w:instrText>
      </w:r>
      <w:r w:rsidRPr="00F74F68">
        <w:fldChar w:fldCharType="separate"/>
      </w:r>
      <w:hyperlink w:anchor="_ENREF_19" w:tooltip="Fidrmuc, 2007 #941" w:history="1">
        <w:r w:rsidR="00CA754F" w:rsidRPr="00F74F68">
          <w:t>Fidrmuc and Huber (2007</w:t>
        </w:r>
      </w:hyperlink>
      <w:r w:rsidR="00CE053F" w:rsidRPr="00F74F68">
        <w:t>)</w:t>
      </w:r>
      <w:r w:rsidRPr="00F74F68">
        <w:fldChar w:fldCharType="end"/>
      </w:r>
      <w:r w:rsidR="007121A3" w:rsidRPr="00F74F68">
        <w:t xml:space="preserve"> used data from the 1998 Survey on Economic Expectations and Attitudes conducted in the Czech Republic to examine </w:t>
      </w:r>
      <w:r w:rsidR="00456B5F" w:rsidRPr="00F74F68">
        <w:t xml:space="preserve">the </w:t>
      </w:r>
      <w:r w:rsidR="007121A3" w:rsidRPr="00F74F68">
        <w:t xml:space="preserve">willingness </w:t>
      </w:r>
      <w:r w:rsidR="00456B5F" w:rsidRPr="00F74F68">
        <w:t>of</w:t>
      </w:r>
      <w:r w:rsidR="00226411" w:rsidRPr="00F74F68">
        <w:t xml:space="preserve"> the Czech population </w:t>
      </w:r>
      <w:r w:rsidR="007121A3" w:rsidRPr="00F74F68">
        <w:t>to move. Respondents to the survey were asked the fo</w:t>
      </w:r>
      <w:r w:rsidR="00AF1AA3" w:rsidRPr="00F74F68">
        <w:t xml:space="preserve">llowing hypothetical question: </w:t>
      </w:r>
      <w:r w:rsidR="00602830">
        <w:t>‘</w:t>
      </w:r>
      <w:r w:rsidR="00AF1AA3" w:rsidRPr="00F74F68">
        <w:t>I</w:t>
      </w:r>
      <w:r w:rsidR="007121A3" w:rsidRPr="00F74F68">
        <w:t>f you did not have a job but were offered one, together with accommodation in a flat, in another municipality, would you be willing to move?</w:t>
      </w:r>
      <w:r w:rsidR="00602830">
        <w:t>’</w:t>
      </w:r>
      <w:r w:rsidR="007121A3" w:rsidRPr="00F74F68">
        <w:t xml:space="preserve"> </w:t>
      </w:r>
      <w:r w:rsidR="005140A8" w:rsidRPr="00F74F68">
        <w:t xml:space="preserve">The study found </w:t>
      </w:r>
      <w:r w:rsidR="00226411" w:rsidRPr="00F74F68">
        <w:t xml:space="preserve">that </w:t>
      </w:r>
      <w:r w:rsidR="005140A8" w:rsidRPr="00F74F68">
        <w:t xml:space="preserve">personal and household characteristics were significant factors in explaining </w:t>
      </w:r>
      <w:r w:rsidR="00AF1AA3" w:rsidRPr="00F74F68">
        <w:t xml:space="preserve">the </w:t>
      </w:r>
      <w:r w:rsidR="005140A8" w:rsidRPr="00F74F68">
        <w:t>intention to move, but r</w:t>
      </w:r>
      <w:r w:rsidR="00096CCC" w:rsidRPr="00F74F68">
        <w:t>egional characteristics</w:t>
      </w:r>
      <w:r w:rsidR="005140A8" w:rsidRPr="00F74F68">
        <w:t xml:space="preserve"> and amenities were of little significance. </w:t>
      </w:r>
      <w:r w:rsidR="00AF1AA3" w:rsidRPr="00F74F68">
        <w:t>The least willing to migrate were found to be</w:t>
      </w:r>
      <w:r w:rsidR="00226411" w:rsidRPr="00F74F68">
        <w:t xml:space="preserve"> family-house owners, the less-</w:t>
      </w:r>
      <w:r w:rsidR="005140A8" w:rsidRPr="00F74F68">
        <w:t xml:space="preserve">educated and the </w:t>
      </w:r>
      <w:r w:rsidR="00AF1AA3" w:rsidRPr="00F74F68">
        <w:t>elderly</w:t>
      </w:r>
      <w:r w:rsidR="00456B5F" w:rsidRPr="00F74F68">
        <w:t>,</w:t>
      </w:r>
      <w:r w:rsidR="00AF1AA3" w:rsidRPr="00F74F68">
        <w:t xml:space="preserve"> as well as </w:t>
      </w:r>
      <w:r w:rsidR="00226411" w:rsidRPr="00F74F68">
        <w:t>those</w:t>
      </w:r>
      <w:r w:rsidR="00AF1AA3" w:rsidRPr="00F74F68">
        <w:t xml:space="preserve"> liv</w:t>
      </w:r>
      <w:r w:rsidR="005140A8" w:rsidRPr="00F74F68">
        <w:t>ing in regions with ab</w:t>
      </w:r>
      <w:r w:rsidR="00C73A26" w:rsidRPr="00F74F68">
        <w:t xml:space="preserve">ove-average unemployment rates. </w:t>
      </w:r>
      <w:r w:rsidR="005140A8" w:rsidRPr="00F74F68">
        <w:t>Improving the efficiency of</w:t>
      </w:r>
      <w:r w:rsidR="00C73A26" w:rsidRPr="00F74F68">
        <w:t xml:space="preserve"> the housing market and addressing</w:t>
      </w:r>
      <w:r w:rsidR="005140A8" w:rsidRPr="00F74F68">
        <w:t xml:space="preserve"> the problems of peripheral regions </w:t>
      </w:r>
      <w:r w:rsidR="00C73A26" w:rsidRPr="00F74F68">
        <w:t>could improve</w:t>
      </w:r>
      <w:r w:rsidR="005140A8" w:rsidRPr="00F74F68">
        <w:t xml:space="preserve"> labour-market adjustment through migration</w:t>
      </w:r>
      <w:r w:rsidR="00C73A26" w:rsidRPr="00F74F68">
        <w:t>, but the authors warn that such policies are</w:t>
      </w:r>
      <w:r w:rsidR="005140A8" w:rsidRPr="00F74F68">
        <w:t xml:space="preserve"> unlikely to yield rapid results, </w:t>
      </w:r>
      <w:r w:rsidR="00C73A26" w:rsidRPr="00F74F68">
        <w:t>since the willingness to move</w:t>
      </w:r>
      <w:r w:rsidR="005140A8" w:rsidRPr="00F74F68">
        <w:t xml:space="preserve"> of all subgroups analysed</w:t>
      </w:r>
      <w:r w:rsidR="006D49BD" w:rsidRPr="00F74F68">
        <w:t>,</w:t>
      </w:r>
      <w:r w:rsidR="00226411" w:rsidRPr="00F74F68">
        <w:t xml:space="preserve"> except for the less-</w:t>
      </w:r>
      <w:r w:rsidR="005140A8" w:rsidRPr="00F74F68">
        <w:t>educated</w:t>
      </w:r>
      <w:r w:rsidR="006D49BD" w:rsidRPr="00F74F68">
        <w:t>,</w:t>
      </w:r>
      <w:r w:rsidR="005140A8" w:rsidRPr="00F74F68">
        <w:t xml:space="preserve"> reacts only weakly to regional labour market incentives and amenities.</w:t>
      </w:r>
    </w:p>
    <w:p w:rsidR="00090F67" w:rsidRPr="00F74F68" w:rsidRDefault="00406B75" w:rsidP="00F74F68">
      <w:pPr>
        <w:pStyle w:val="Text"/>
        <w:ind w:right="-143"/>
      </w:pPr>
      <w:r w:rsidRPr="00F74F68">
        <w:fldChar w:fldCharType="begin"/>
      </w:r>
      <w:r w:rsidR="00CA754F" w:rsidRPr="00F74F68">
        <w:instrText xml:space="preserve"> ADDIN EN.CITE &lt;EndNote&gt;&lt;Cite&gt;&lt;Author&gt;Fouarge&lt;/Author&gt;&lt;Year&gt;2007&lt;/Year&gt;&lt;RecNum&gt;1257&lt;/RecNum&gt;&lt;DisplayText&gt;Fouarge and Ester (2007)&lt;/DisplayText&gt;&lt;record&gt;&lt;rec-number&gt;1257&lt;/rec-number&gt;&lt;foreign-keys&gt;&lt;key app="EN" db-id="refafpv0nd2rd4e9e2qxeaf6rw5xxvv2ds22" timestamp="1371789550"&gt;1257&lt;/key&gt;&lt;/foreign-keys&gt;&lt;ref-type name="Report"&gt;27&lt;/ref-type&gt;&lt;contributors&gt;&lt;authors&gt;&lt;author&gt;Fouarge, D&lt;/author&gt;&lt;author&gt;Ester, P&lt;/author&gt;&lt;/authors&gt;&lt;/contributors&gt;&lt;titles&gt;&lt;title&gt;Factors determining international and regional migration in Europe&lt;/title&gt;&lt;/titles&gt;&lt;dates&gt;&lt;year&gt;2007&lt;/year&gt;&lt;/dates&gt;&lt;pub-location&gt;Dublin&lt;/pub-location&gt;&lt;publisher&gt;European Foundation for the Improvement of Living and Working Conditions&lt;/publisher&gt;&lt;urls&gt;&lt;related-urls&gt;&lt;url&gt;http://www.eurofound.europa.eu/pubdocs/2007/09/en/1/ef0709en.pdf&lt;/url&gt;&lt;/related-urls&gt;&lt;/urls&gt;&lt;access-date&gt;21 June 2013&lt;/access-date&gt;&lt;/record&gt;&lt;/Cite&gt;&lt;/EndNote&gt;</w:instrText>
      </w:r>
      <w:r w:rsidRPr="00F74F68">
        <w:fldChar w:fldCharType="separate"/>
      </w:r>
      <w:hyperlink w:anchor="_ENREF_20" w:tooltip="Fouarge, 2007 #1257" w:history="1">
        <w:r w:rsidR="00CA754F" w:rsidRPr="00F74F68">
          <w:t>Fouarge and Ester (2007</w:t>
        </w:r>
      </w:hyperlink>
      <w:r w:rsidR="00CE053F" w:rsidRPr="00F74F68">
        <w:t>)</w:t>
      </w:r>
      <w:r w:rsidRPr="00F74F68">
        <w:fldChar w:fldCharType="end"/>
      </w:r>
      <w:r w:rsidR="00CC2BEB" w:rsidRPr="00F74F68">
        <w:t xml:space="preserve"> is another European-based study that examined intentions to move. It used data from the 2005 Eurobarometer Survey</w:t>
      </w:r>
      <w:r w:rsidR="00BE7104" w:rsidRPr="00F74F68">
        <w:t>, which covered EU25 countries</w:t>
      </w:r>
      <w:r w:rsidR="00782E5B">
        <w:t>.</w:t>
      </w:r>
      <w:r w:rsidR="006209CF" w:rsidRPr="00F74F68">
        <w:rPr>
          <w:rStyle w:val="FootnoteReference"/>
        </w:rPr>
        <w:footnoteReference w:id="4"/>
      </w:r>
      <w:r w:rsidR="00BE7104" w:rsidRPr="00F74F68">
        <w:t xml:space="preserve"> The question on intention to</w:t>
      </w:r>
      <w:r w:rsidR="00F74F68">
        <w:t> </w:t>
      </w:r>
      <w:r w:rsidR="00BE7104" w:rsidRPr="00F74F68">
        <w:t>move was structured to obtain information on mobility at various levels</w:t>
      </w:r>
      <w:r w:rsidR="00AF1216" w:rsidRPr="00F74F68">
        <w:t xml:space="preserve"> </w:t>
      </w:r>
      <w:r w:rsidR="00BE7104" w:rsidRPr="00F74F68">
        <w:t>—</w:t>
      </w:r>
      <w:r w:rsidR="00AF1216" w:rsidRPr="00F74F68">
        <w:t xml:space="preserve"> </w:t>
      </w:r>
      <w:r w:rsidR="00BE7104" w:rsidRPr="00F74F68">
        <w:t>within same city/town/</w:t>
      </w:r>
      <w:r w:rsidR="00F74F68">
        <w:t xml:space="preserve"> </w:t>
      </w:r>
      <w:r w:rsidR="00BE7104" w:rsidRPr="00F74F68">
        <w:t xml:space="preserve">village, intra-region, inter-region, across borders within the EU and across borders outside the </w:t>
      </w:r>
      <w:r w:rsidR="00AF1216" w:rsidRPr="00F74F68">
        <w:t>European</w:t>
      </w:r>
      <w:r w:rsidR="00F74F68">
        <w:t> </w:t>
      </w:r>
      <w:r w:rsidR="00AF1216" w:rsidRPr="00F74F68">
        <w:t>Union</w:t>
      </w:r>
      <w:r w:rsidR="00BE7104" w:rsidRPr="00F74F68">
        <w:t>.</w:t>
      </w:r>
      <w:r w:rsidR="001610C4" w:rsidRPr="00F74F68">
        <w:t xml:space="preserve"> The findings from the study suggest </w:t>
      </w:r>
      <w:r w:rsidR="00096CCC" w:rsidRPr="00F74F68">
        <w:t xml:space="preserve">that </w:t>
      </w:r>
      <w:r w:rsidR="001610C4" w:rsidRPr="00F74F68">
        <w:t>most Europeans have little inclination for inter-regional or international migration in the next five years</w:t>
      </w:r>
      <w:r w:rsidR="00AF1216" w:rsidRPr="00F74F68">
        <w:t xml:space="preserve"> </w:t>
      </w:r>
      <w:r w:rsidR="001610C4" w:rsidRPr="00F74F68">
        <w:t>—</w:t>
      </w:r>
      <w:r w:rsidR="00AF1216" w:rsidRPr="00F74F68">
        <w:t xml:space="preserve"> 8.6%</w:t>
      </w:r>
      <w:r w:rsidR="001610C4" w:rsidRPr="00F74F68">
        <w:t xml:space="preserve"> </w:t>
      </w:r>
      <w:r w:rsidR="00090F67" w:rsidRPr="00F74F68">
        <w:t>intend to move to another regi</w:t>
      </w:r>
      <w:r w:rsidR="00AF1216" w:rsidRPr="00F74F68">
        <w:t xml:space="preserve">on in their own country and 5.4% </w:t>
      </w:r>
      <w:r w:rsidR="00090F67" w:rsidRPr="00F74F68">
        <w:t>intend to move to another country.</w:t>
      </w:r>
      <w:r w:rsidR="001610C4" w:rsidRPr="00F74F68">
        <w:t xml:space="preserve"> </w:t>
      </w:r>
      <w:r w:rsidR="00096CCC" w:rsidRPr="00F74F68">
        <w:t>The</w:t>
      </w:r>
      <w:r w:rsidR="00090F67" w:rsidRPr="00F74F68">
        <w:t xml:space="preserve"> intention to move was</w:t>
      </w:r>
      <w:r w:rsidR="00AF1216" w:rsidRPr="00F74F68">
        <w:t>,</w:t>
      </w:r>
      <w:r w:rsidR="00090F67" w:rsidRPr="00F74F68">
        <w:t xml:space="preserve"> however</w:t>
      </w:r>
      <w:r w:rsidR="00AF1216" w:rsidRPr="00F74F68">
        <w:t>,</w:t>
      </w:r>
      <w:r w:rsidR="00090F67" w:rsidRPr="00F74F68">
        <w:t xml:space="preserve"> higher in the new member states but even within these countries the level of intention varied.</w:t>
      </w:r>
      <w:r w:rsidR="00AE59AA" w:rsidRPr="00F74F68">
        <w:t xml:space="preserve"> In common with</w:t>
      </w:r>
      <w:r w:rsidR="00AF1216" w:rsidRPr="00F74F68">
        <w:t xml:space="preserve"> many other studies, the highly-</w:t>
      </w:r>
      <w:r w:rsidR="00AE59AA" w:rsidRPr="00F74F68">
        <w:t>qualified and the young were more likely to consider moving</w:t>
      </w:r>
      <w:r w:rsidR="00AF1216" w:rsidRPr="00F74F68">
        <w:t>,</w:t>
      </w:r>
      <w:r w:rsidR="00AE59AA" w:rsidRPr="00F74F68">
        <w:t xml:space="preserve"> as were people who had </w:t>
      </w:r>
      <w:r w:rsidR="00096CCC" w:rsidRPr="00F74F68">
        <w:t>been mobile in the past. Interestingly</w:t>
      </w:r>
      <w:r w:rsidR="00AF1216" w:rsidRPr="00F74F68">
        <w:t>,</w:t>
      </w:r>
      <w:r w:rsidR="00AE59AA" w:rsidRPr="00F74F68">
        <w:t xml:space="preserve"> even the prospect of higher pay</w:t>
      </w:r>
      <w:r w:rsidR="00F74F68">
        <w:t> </w:t>
      </w:r>
      <w:r w:rsidR="00AE59AA" w:rsidRPr="00F74F68">
        <w:t>was insu</w:t>
      </w:r>
      <w:r w:rsidR="00AF1216" w:rsidRPr="00F74F68">
        <w:t>fficient to motivate the lesser-</w:t>
      </w:r>
      <w:r w:rsidR="00CE50A0" w:rsidRPr="00F74F68">
        <w:t>qualified to consider a move</w:t>
      </w:r>
      <w:r w:rsidR="00096CCC" w:rsidRPr="00F74F68">
        <w:t xml:space="preserve">. A possible explanation of </w:t>
      </w:r>
      <w:r w:rsidR="00AF1216" w:rsidRPr="00F74F68">
        <w:t>such behaviour is that the less-</w:t>
      </w:r>
      <w:r w:rsidR="00096CCC" w:rsidRPr="00F74F68">
        <w:t>educated are</w:t>
      </w:r>
      <w:r w:rsidR="00CE50A0" w:rsidRPr="00F74F68">
        <w:t xml:space="preserve"> more strongly rooted in local communities and families.</w:t>
      </w:r>
    </w:p>
    <w:p w:rsidR="0017313A" w:rsidRPr="00F74F68" w:rsidRDefault="003D289A" w:rsidP="00F74F68">
      <w:pPr>
        <w:pStyle w:val="Text"/>
      </w:pPr>
      <w:r w:rsidRPr="00F74F68">
        <w:t>The us</w:t>
      </w:r>
      <w:r w:rsidR="00764689" w:rsidRPr="00F74F68">
        <w:t>e of stated preference data</w:t>
      </w:r>
      <w:r w:rsidRPr="00F74F68">
        <w:t xml:space="preserve"> to study human resources issues </w:t>
      </w:r>
      <w:r w:rsidR="00BD0580" w:rsidRPr="00F74F68">
        <w:t xml:space="preserve">has been more common in the health workforce </w:t>
      </w:r>
      <w:r w:rsidRPr="00F74F68">
        <w:t>than in other sectors.</w:t>
      </w:r>
      <w:r w:rsidR="00141669" w:rsidRPr="00F74F68">
        <w:t xml:space="preserve"> </w:t>
      </w:r>
      <w:r w:rsidR="00406B75" w:rsidRPr="00F74F68">
        <w:fldChar w:fldCharType="begin"/>
      </w:r>
      <w:r w:rsidR="00CA754F" w:rsidRPr="00F74F68">
        <w:instrText xml:space="preserve"> ADDIN EN.CITE &lt;EndNote&gt;&lt;Cite&gt;&lt;Author&gt;Lagarde&lt;/Author&gt;&lt;Year&gt;2009&lt;/Year&gt;&lt;RecNum&gt;1320&lt;/RecNum&gt;&lt;DisplayText&gt;Lagarde and Blaauw (2009)&lt;/DisplayText&gt;&lt;record&gt;&lt;rec-number&gt;1320&lt;/rec-number&gt;&lt;foreign-keys&gt;&lt;key app="EN" db-id="refafpv0nd2rd4e9e2qxeaf6rw5xxvv2ds22" timestamp="1380265557"&gt;1320&lt;/key&gt;&lt;/foreign-keys&gt;&lt;ref-type name="Journal Article"&gt;17&lt;/ref-type&gt;&lt;contributors&gt;&lt;authors&gt;&lt;author&gt;Lagarde, M&lt;/author&gt;&lt;author&gt;Blaauw, D&lt;/author&gt;&lt;/authors&gt;&lt;/contributors&gt;&lt;titles&gt;&lt;title&gt;A review of the application and contribution of discrete choice experiments to inform human resources policy interventions&lt;/title&gt;&lt;secondary-title&gt;Human Resources for Health&lt;/secondary-title&gt;&lt;/titles&gt;&lt;periodical&gt;&lt;full-title&gt;Human Resources for Health&lt;/full-title&gt;&lt;/periodical&gt;&lt;pages&gt;62&lt;/pages&gt;&lt;volume&gt;7&lt;/volume&gt;&lt;number&gt;2009///&lt;/number&gt;&lt;keywords&gt;&lt;keyword&gt;health&lt;/keyword&gt;&lt;keyword&gt;human resources&lt;/keyword&gt;&lt;keyword&gt;human resource development&lt;/keyword&gt;&lt;keyword&gt;health care workers&lt;/keyword&gt;&lt;keyword&gt;health workers&lt;/keyword&gt;&lt;/keywords&gt;&lt;dates&gt;&lt;year&gt;2009&lt;/year&gt;&lt;/dates&gt;&lt;orig-pub&gt;Human Resources for Health&lt;/orig-pub&gt;&lt;isbn&gt;ISSN 1478-4491&lt;/isbn&gt;&lt;urls&gt;&lt;related-urls&gt;&lt;url&gt;http://dx.doi.org/10.1186/1478-4491-7-62&lt;/url&gt;&lt;/related-urls&gt;&lt;/urls&gt;&lt;electronic-resource-num&gt;10.1186/1478-4491-7-62&lt;/electronic-resource-num&gt;&lt;remote-database-name&gt;DfidR4dDatabase&lt;/remote-database-name&gt;&lt;access-date&gt;27 September 2013&lt;/access-date&gt;&lt;/record&gt;&lt;/Cite&gt;&lt;/EndNote&gt;</w:instrText>
      </w:r>
      <w:r w:rsidR="00406B75" w:rsidRPr="00F74F68">
        <w:fldChar w:fldCharType="separate"/>
      </w:r>
      <w:hyperlink w:anchor="_ENREF_36" w:tooltip="Lagarde, 2009 #1320" w:history="1">
        <w:r w:rsidR="00CA754F" w:rsidRPr="00F74F68">
          <w:t>Lagarde and Blaauw (2009</w:t>
        </w:r>
      </w:hyperlink>
      <w:r w:rsidR="00CE053F" w:rsidRPr="00F74F68">
        <w:t>)</w:t>
      </w:r>
      <w:r w:rsidR="00406B75" w:rsidRPr="00F74F68">
        <w:fldChar w:fldCharType="end"/>
      </w:r>
      <w:r w:rsidR="00141669" w:rsidRPr="00F74F68">
        <w:t xml:space="preserve"> provide a review </w:t>
      </w:r>
      <w:r w:rsidR="007D6FDA" w:rsidRPr="00F74F68">
        <w:t xml:space="preserve">of </w:t>
      </w:r>
      <w:r w:rsidR="00141669" w:rsidRPr="00F74F68">
        <w:t xml:space="preserve">ten studies, from developed and developing countries, </w:t>
      </w:r>
      <w:r w:rsidR="00782E5B">
        <w:t>which</w:t>
      </w:r>
      <w:r w:rsidR="00141669" w:rsidRPr="00F74F68">
        <w:t xml:space="preserve"> used discrete choice experiments to investigate the job preferences of health workers. </w:t>
      </w:r>
      <w:r w:rsidR="00BD0580" w:rsidRPr="00F74F68">
        <w:t>A number of these, especially</w:t>
      </w:r>
      <w:r w:rsidR="0017313A" w:rsidRPr="00F74F68">
        <w:t xml:space="preserve"> studies from</w:t>
      </w:r>
      <w:r w:rsidR="00BD0580" w:rsidRPr="00F74F68">
        <w:t xml:space="preserve"> developing countries, </w:t>
      </w:r>
      <w:r w:rsidR="004C6974" w:rsidRPr="00F74F68">
        <w:t>provided inf</w:t>
      </w:r>
      <w:r w:rsidR="0017313A" w:rsidRPr="00F74F68">
        <w:t>ormation on the locational prefe</w:t>
      </w:r>
      <w:r w:rsidR="004C6974" w:rsidRPr="00F74F68">
        <w:t>rences of workers. The overall results from the review demonstrate the relative importance of both pecunia</w:t>
      </w:r>
      <w:r w:rsidR="0017313A" w:rsidRPr="00F74F68">
        <w:t>ry and non-pecuniary incentives, with the</w:t>
      </w:r>
      <w:r w:rsidR="00AF1216" w:rsidRPr="00F74F68">
        <w:t xml:space="preserve"> latter sometimes more powerful</w:t>
      </w:r>
      <w:r w:rsidR="0017313A" w:rsidRPr="00F74F68">
        <w:t xml:space="preserve"> as determinants of preferences.</w:t>
      </w:r>
    </w:p>
    <w:p w:rsidR="00D411C6" w:rsidRPr="00F74F68" w:rsidRDefault="00D411C6" w:rsidP="00F74F68">
      <w:pPr>
        <w:pStyle w:val="Text"/>
      </w:pPr>
      <w:r w:rsidRPr="00F74F68">
        <w:t xml:space="preserve">Among other issues, </w:t>
      </w:r>
      <w:r w:rsidR="00406B75" w:rsidRPr="00F74F68">
        <w:fldChar w:fldCharType="begin"/>
      </w:r>
      <w:r w:rsidR="00CA754F" w:rsidRPr="00F74F68">
        <w:instrText xml:space="preserve"> ADDIN EN.CITE &lt;EndNote&gt;&lt;Cite&gt;&lt;Author&gt;Lievens&lt;/Author&gt;&lt;Year&gt;2010&lt;/Year&gt;&lt;RecNum&gt;1316&lt;/RecNum&gt;&lt;DisplayText&gt;Lievens et al. (2010)&lt;/DisplayText&gt;&lt;record&gt;&lt;rec-number&gt;1316&lt;/rec-number&gt;&lt;foreign-keys&gt;&lt;key app="EN" db-id="refafpv0nd2rd4e9e2qxeaf6rw5xxvv2ds22" timestamp="1380194054"&gt;1316&lt;/key&gt;&lt;/foreign-keys&gt;&lt;ref-type name="Working paper"&gt;40&lt;/ref-type&gt;&lt;contributors&gt;&lt;authors&gt;&lt;author&gt;Lievens, T&lt;/author&gt;&lt;author&gt;Serneels, P&lt;/author&gt;&lt;author&gt;Butera, J&lt;/author&gt;&lt;author&gt;Soucat, A&lt;/author&gt;&lt;/authors&gt;&lt;/contributors&gt;&lt;titles&gt;&lt;title&gt;Diversity in Career Preferences of Future Health Workers in Rwanda: Where, Why, and for How Much?&lt;/title&gt;&lt;/titles&gt;&lt;number&gt;World Bank Working paper No. 189&lt;/number&gt;&lt;keywords&gt;&lt;keyword&gt;Health&lt;/keyword&gt;&lt;keyword&gt;Nutrition and Population - Health Monitoring and Evaluation Health&lt;/keyword&gt;&lt;keyword&gt;Nutrition and Population - Disease Control &amp;amp; Prevention Tertiary Education Secondary Education Teaching and Learning Education Health&lt;/keyword&gt;&lt;keyword&gt;Nutrition and Population&lt;/keyword&gt;&lt;/keywords&gt;&lt;dates&gt;&lt;year&gt;2010&lt;/year&gt;&lt;/dates&gt;&lt;publisher&gt;The World Bank&lt;/publisher&gt;&lt;urls&gt;&lt;related-urls&gt;&lt;url&gt;http://EconPapers.repec.org/RePEc:wbk:wbpubs:2445&lt;/url&gt;&lt;/related-urls&gt;&lt;/urls&gt;&lt;access-date&gt;26 September 2013&lt;/access-date&gt;&lt;/record&gt;&lt;/Cite&gt;&lt;/EndNote&gt;</w:instrText>
      </w:r>
      <w:r w:rsidR="00406B75" w:rsidRPr="00F74F68">
        <w:fldChar w:fldCharType="separate"/>
      </w:r>
      <w:hyperlink w:anchor="_ENREF_38" w:tooltip="Lievens, 2010 #1316" w:history="1">
        <w:r w:rsidR="00CA754F" w:rsidRPr="00F74F68">
          <w:t>Lievens et al. (2010</w:t>
        </w:r>
      </w:hyperlink>
      <w:r w:rsidR="00CE053F" w:rsidRPr="00F74F68">
        <w:t>)</w:t>
      </w:r>
      <w:r w:rsidR="00406B75" w:rsidRPr="00F74F68">
        <w:fldChar w:fldCharType="end"/>
      </w:r>
      <w:r w:rsidR="001D3904" w:rsidRPr="00F74F68">
        <w:t xml:space="preserve"> investigated the willingness among</w:t>
      </w:r>
      <w:r w:rsidRPr="00F74F68">
        <w:t xml:space="preserve"> medical and nursi</w:t>
      </w:r>
      <w:r w:rsidR="00AF1216" w:rsidRPr="00F74F68">
        <w:t>ng students in Rwanda to practis</w:t>
      </w:r>
      <w:r w:rsidRPr="00F74F68">
        <w:t xml:space="preserve">e in rural areas. They found the willingness </w:t>
      </w:r>
      <w:r w:rsidR="0028087D" w:rsidRPr="00F74F68">
        <w:t xml:space="preserve">to </w:t>
      </w:r>
      <w:r w:rsidR="001D3904" w:rsidRPr="00F74F68">
        <w:t>work in rural areas varied, with medical students less inclined than nursing students to consider the option</w:t>
      </w:r>
      <w:r w:rsidR="00AF1216" w:rsidRPr="00F74F68">
        <w:t>. However,</w:t>
      </w:r>
      <w:r w:rsidR="001D3904" w:rsidRPr="00F74F68">
        <w:t xml:space="preserve"> all students were willing to consider the option early in their career. A simple s</w:t>
      </w:r>
      <w:r w:rsidR="00AF1216" w:rsidRPr="00F74F68">
        <w:t xml:space="preserve">imulation showed that to </w:t>
      </w:r>
      <w:r w:rsidR="00AF1216" w:rsidRPr="00F74F68">
        <w:lastRenderedPageBreak/>
        <w:t xml:space="preserve">get 80% </w:t>
      </w:r>
      <w:r w:rsidR="001D3904" w:rsidRPr="00F74F68">
        <w:t xml:space="preserve">of nursing students to take up a rural post the current average salary would need to increase </w:t>
      </w:r>
      <w:r w:rsidR="00AF1216" w:rsidRPr="00F74F68">
        <w:t>by 80%</w:t>
      </w:r>
      <w:r w:rsidR="0028087D" w:rsidRPr="00F74F68">
        <w:t>. The study also reported</w:t>
      </w:r>
      <w:r w:rsidR="001D3904" w:rsidRPr="00F74F68">
        <w:t xml:space="preserve"> that 24</w:t>
      </w:r>
      <w:r w:rsidR="00AF1216" w:rsidRPr="00F74F68">
        <w:t xml:space="preserve">% </w:t>
      </w:r>
      <w:r w:rsidR="0028087D" w:rsidRPr="00F74F68">
        <w:t>of nursing students were</w:t>
      </w:r>
      <w:r w:rsidR="001D3904" w:rsidRPr="00F74F68">
        <w:t xml:space="preserve"> willing to take up a rural post for </w:t>
      </w:r>
      <w:r w:rsidR="00CD40BD" w:rsidRPr="00F74F68">
        <w:t xml:space="preserve">a </w:t>
      </w:r>
      <w:r w:rsidR="001D3904" w:rsidRPr="00F74F68">
        <w:t xml:space="preserve">salary below the current starting salary. The </w:t>
      </w:r>
      <w:r w:rsidR="001D3904" w:rsidRPr="00782E5B">
        <w:t>reservation wages</w:t>
      </w:r>
      <w:r w:rsidR="00782E5B">
        <w:rPr>
          <w:rStyle w:val="FootnoteReference"/>
        </w:rPr>
        <w:footnoteReference w:id="5"/>
      </w:r>
      <w:r w:rsidR="001D3904" w:rsidRPr="00782E5B">
        <w:t xml:space="preserve"> </w:t>
      </w:r>
      <w:r w:rsidR="001D3904" w:rsidRPr="00F74F68">
        <w:t>were found to</w:t>
      </w:r>
      <w:r w:rsidR="0028087D" w:rsidRPr="00F74F68">
        <w:t xml:space="preserve"> be</w:t>
      </w:r>
      <w:r w:rsidR="001D3904" w:rsidRPr="00F74F68">
        <w:t xml:space="preserve"> lower for students whose first reason</w:t>
      </w:r>
      <w:r w:rsidR="0028087D" w:rsidRPr="00F74F68">
        <w:t xml:space="preserve"> for taking up the rural post was</w:t>
      </w:r>
      <w:r w:rsidR="001D3904" w:rsidRPr="00F74F68">
        <w:t xml:space="preserve"> to </w:t>
      </w:r>
      <w:r w:rsidR="00602830">
        <w:t>‘</w:t>
      </w:r>
      <w:r w:rsidR="001D3904" w:rsidRPr="00F74F68">
        <w:t>help the poor</w:t>
      </w:r>
      <w:r w:rsidR="00602830">
        <w:t>’</w:t>
      </w:r>
      <w:r w:rsidR="001D3904" w:rsidRPr="00F74F68">
        <w:t>.</w:t>
      </w:r>
    </w:p>
    <w:p w:rsidR="007B29C1" w:rsidRPr="00FE162C" w:rsidRDefault="00406B75" w:rsidP="00F74F68">
      <w:pPr>
        <w:pStyle w:val="Text"/>
      </w:pPr>
      <w:r w:rsidRPr="00F74F68">
        <w:fldChar w:fldCharType="begin"/>
      </w:r>
      <w:r w:rsidR="00CA754F" w:rsidRPr="00F74F68">
        <w:instrText xml:space="preserve"> ADDIN EN.CITE &lt;EndNote&gt;&lt;Cite&gt;&lt;Author&gt;Scott&lt;/Author&gt;&lt;Year&gt;2012&lt;/Year&gt;&lt;RecNum&gt;1097&lt;/RecNum&gt;&lt;DisplayText&gt;Scott et al. (2012)&lt;/DisplayText&gt;&lt;record&gt;&lt;rec-number&gt;1097&lt;/rec-number&gt;&lt;foreign-keys&gt;&lt;key app="EN" db-id="refafpv0nd2rd4e9e2qxeaf6rw5xxvv2ds22" timestamp="1353303153"&gt;1097&lt;/key&gt;&lt;/foreign-keys&gt;&lt;ref-type name="Working paper"&gt;40&lt;/ref-type&gt;&lt;contributors&gt;&lt;authors&gt;&lt;author&gt;Scott, A&lt;/author&gt;&lt;author&gt;Witt, J&lt;/author&gt;&lt;author&gt;Humphreys, J&lt;/author&gt;&lt;author&gt;Joyce, C&lt;/author&gt;&lt;author&gt;Kalb, G&lt;/author&gt;&lt;author&gt;Jeon, Sung-Hee&lt;/author&gt;&lt;author&gt;MacGrail, M&lt;/author&gt;&lt;/authors&gt;&lt;/contributors&gt;&lt;titles&gt;&lt;title&gt;Getting Doctors into the Bush: General Practitioners’ Preferences for Rural Location&lt;/title&gt;&lt;/titles&gt;&lt;number&gt;Working Paper Series 13/12&lt;/number&gt;&lt;dates&gt;&lt;year&gt;2012&lt;/year&gt;&lt;/dates&gt;&lt;pub-location&gt;Melbourne&lt;/pub-location&gt;&lt;publisher&gt;Melbourne Institute&lt;/publisher&gt;&lt;urls&gt;&lt;/urls&gt;&lt;/record&gt;&lt;/Cite&gt;&lt;/EndNote&gt;</w:instrText>
      </w:r>
      <w:r w:rsidRPr="00F74F68">
        <w:fldChar w:fldCharType="separate"/>
      </w:r>
      <w:hyperlink w:anchor="_ENREF_58" w:tooltip="Scott, 2012 #1097" w:history="1">
        <w:r w:rsidR="00CA754F" w:rsidRPr="00F74F68">
          <w:t>Scott et al. (2012</w:t>
        </w:r>
      </w:hyperlink>
      <w:r w:rsidR="00CE053F" w:rsidRPr="00F74F68">
        <w:t>)</w:t>
      </w:r>
      <w:r w:rsidRPr="00F74F68">
        <w:fldChar w:fldCharType="end"/>
      </w:r>
      <w:r w:rsidR="007B29C1" w:rsidRPr="00F74F68">
        <w:t xml:space="preserve"> </w:t>
      </w:r>
      <w:r w:rsidR="0028087D" w:rsidRPr="00F74F68">
        <w:t xml:space="preserve">is one of a very few Australian studies that has used a discrete choice experiment to investigate </w:t>
      </w:r>
      <w:r w:rsidR="00CD40BD" w:rsidRPr="00F74F68">
        <w:t xml:space="preserve">the </w:t>
      </w:r>
      <w:r w:rsidR="0028087D" w:rsidRPr="00F74F68">
        <w:t>willingness to move for work. They</w:t>
      </w:r>
      <w:r w:rsidR="007B29C1" w:rsidRPr="00F74F68">
        <w:t xml:space="preserve"> looked at general practitioners</w:t>
      </w:r>
      <w:r w:rsidR="00602830">
        <w:t>’</w:t>
      </w:r>
      <w:r w:rsidR="007B29C1" w:rsidRPr="00F74F68">
        <w:t xml:space="preserve"> preferences for moving</w:t>
      </w:r>
      <w:r w:rsidR="007B29C1" w:rsidRPr="00FE162C">
        <w:t xml:space="preserve"> to a rural location. </w:t>
      </w:r>
      <w:r w:rsidR="0028087D">
        <w:t>The</w:t>
      </w:r>
      <w:r w:rsidR="004613F4" w:rsidRPr="00FE162C">
        <w:t xml:space="preserve"> discrete choice experiment </w:t>
      </w:r>
      <w:r w:rsidR="0028087D">
        <w:t xml:space="preserve">was </w:t>
      </w:r>
      <w:r w:rsidR="00F4299B" w:rsidRPr="00FE162C">
        <w:t xml:space="preserve">conducted as part of </w:t>
      </w:r>
      <w:r w:rsidR="00CD40BD">
        <w:t xml:space="preserve">the </w:t>
      </w:r>
      <w:r w:rsidR="00F4299B" w:rsidRPr="00CD40BD">
        <w:rPr>
          <w:iCs/>
        </w:rPr>
        <w:t>Medicine in Australia: Balancing Employment and Life</w:t>
      </w:r>
      <w:r w:rsidR="00F4299B" w:rsidRPr="00FE162C">
        <w:rPr>
          <w:i/>
          <w:iCs/>
        </w:rPr>
        <w:t xml:space="preserve"> </w:t>
      </w:r>
      <w:r w:rsidR="00F4299B" w:rsidRPr="00FE162C">
        <w:t>(MABEL)</w:t>
      </w:r>
      <w:r w:rsidR="0028087D">
        <w:t xml:space="preserve"> survey</w:t>
      </w:r>
      <w:r w:rsidR="00F4299B" w:rsidRPr="00FE162C">
        <w:t xml:space="preserve">, a longitudinal survey of general practitioners. In the experiment, respondents were presented </w:t>
      </w:r>
      <w:r w:rsidR="00456B5F">
        <w:t xml:space="preserve">with </w:t>
      </w:r>
      <w:r w:rsidR="00F4299B" w:rsidRPr="00FE162C">
        <w:t xml:space="preserve">a number of scenarios </w:t>
      </w:r>
      <w:r w:rsidR="00CD40BD">
        <w:t>from</w:t>
      </w:r>
      <w:r w:rsidR="00F4299B" w:rsidRPr="00FE162C">
        <w:t xml:space="preserve"> which they had </w:t>
      </w:r>
      <w:r w:rsidR="007B29C1" w:rsidRPr="00FE162C">
        <w:t xml:space="preserve">to choose between two job options or to stay at their current job. The locational alternatives provided </w:t>
      </w:r>
      <w:r w:rsidR="001C6858" w:rsidRPr="00FE162C">
        <w:t xml:space="preserve">in the scenarios </w:t>
      </w:r>
      <w:r w:rsidR="007B29C1" w:rsidRPr="00FE162C">
        <w:t xml:space="preserve">ranged from an inland town with a population </w:t>
      </w:r>
      <w:r w:rsidR="00CD40BD">
        <w:t>of fewer than 5</w:t>
      </w:r>
      <w:r w:rsidR="007B29C1" w:rsidRPr="00FE162C">
        <w:t>000 to a city or large re</w:t>
      </w:r>
      <w:r w:rsidR="00CD40BD">
        <w:t xml:space="preserve">gional centre with more than 20 </w:t>
      </w:r>
      <w:r w:rsidR="007B29C1" w:rsidRPr="00FE162C">
        <w:t xml:space="preserve">000 people. </w:t>
      </w:r>
      <w:r w:rsidR="0028087D">
        <w:t>Only a third of</w:t>
      </w:r>
      <w:r w:rsidR="00CD40BD">
        <w:t xml:space="preserve"> some 3</w:t>
      </w:r>
      <w:r w:rsidR="00F4299B" w:rsidRPr="00FE162C">
        <w:t xml:space="preserve">700 respondents were </w:t>
      </w:r>
      <w:r w:rsidR="001C6858" w:rsidRPr="00FE162C">
        <w:t xml:space="preserve">found to be </w:t>
      </w:r>
      <w:r w:rsidR="00F4299B" w:rsidRPr="00FE162C">
        <w:t>willing to move.</w:t>
      </w:r>
      <w:r w:rsidR="00245A5B">
        <w:t xml:space="preserve"> </w:t>
      </w:r>
      <w:r w:rsidR="00CD40BD">
        <w:t xml:space="preserve">An incentive of $116 </w:t>
      </w:r>
      <w:r w:rsidR="00100FF1">
        <w:t>000, which is equivalent to 64</w:t>
      </w:r>
      <w:r w:rsidR="00AF1216">
        <w:t xml:space="preserve">% </w:t>
      </w:r>
      <w:r w:rsidR="00100FF1">
        <w:t xml:space="preserve">of average annual earnings, </w:t>
      </w:r>
      <w:r w:rsidR="007D749C">
        <w:t>was estimated for</w:t>
      </w:r>
      <w:r w:rsidR="00100FF1">
        <w:t xml:space="preserve"> e</w:t>
      </w:r>
      <w:r w:rsidR="007D749C">
        <w:t xml:space="preserve">ncouraging a GP to accept </w:t>
      </w:r>
      <w:r w:rsidR="00100FF1">
        <w:t xml:space="preserve">a job with </w:t>
      </w:r>
      <w:r w:rsidR="00602830">
        <w:t>‘</w:t>
      </w:r>
      <w:r w:rsidR="001C6858" w:rsidRPr="00FE162C">
        <w:t>reasonable</w:t>
      </w:r>
      <w:r w:rsidR="00602830">
        <w:t>’</w:t>
      </w:r>
      <w:r w:rsidR="00F430C1" w:rsidRPr="00FE162C">
        <w:rPr>
          <w:rStyle w:val="FootnoteReference"/>
          <w:color w:val="000000" w:themeColor="text1"/>
        </w:rPr>
        <w:footnoteReference w:id="6"/>
      </w:r>
      <w:r w:rsidR="0028087D">
        <w:t xml:space="preserve"> </w:t>
      </w:r>
      <w:r w:rsidR="00100FF1">
        <w:t>other c</w:t>
      </w:r>
      <w:r w:rsidR="007D749C">
        <w:t>onditions</w:t>
      </w:r>
      <w:r w:rsidR="0028087D">
        <w:t xml:space="preserve"> in</w:t>
      </w:r>
      <w:r w:rsidR="001C6858" w:rsidRPr="00FE162C">
        <w:t xml:space="preserve"> a small inland town</w:t>
      </w:r>
      <w:r w:rsidR="00D6757D" w:rsidRPr="00FE162C">
        <w:t xml:space="preserve">. </w:t>
      </w:r>
      <w:r w:rsidR="00100FF1">
        <w:t xml:space="preserve">The corresponding incentive for accepting a similar job in </w:t>
      </w:r>
      <w:r w:rsidR="00CD40BD">
        <w:t xml:space="preserve">a </w:t>
      </w:r>
      <w:r w:rsidR="00100FF1">
        <w:t xml:space="preserve">medium inland town was </w:t>
      </w:r>
      <w:r w:rsidR="00CD40BD">
        <w:t xml:space="preserve">estimated to be $68 </w:t>
      </w:r>
      <w:r w:rsidR="007D749C">
        <w:t xml:space="preserve">000. </w:t>
      </w:r>
      <w:r w:rsidR="007B29C1" w:rsidRPr="00FE162C">
        <w:t>The least a</w:t>
      </w:r>
      <w:r w:rsidR="0028087D">
        <w:t>ttractive rural package required</w:t>
      </w:r>
      <w:r w:rsidR="007B29C1" w:rsidRPr="00FE162C">
        <w:t xml:space="preserve"> incentives equivalent to 130</w:t>
      </w:r>
      <w:r w:rsidR="00AF1216">
        <w:t xml:space="preserve">% </w:t>
      </w:r>
      <w:r w:rsidR="007B29C1" w:rsidRPr="00FE162C">
        <w:t>of annual earnings. Thus both loca</w:t>
      </w:r>
      <w:r w:rsidR="0028087D">
        <w:t>tion and job characteristics were found to be</w:t>
      </w:r>
      <w:r w:rsidR="007B29C1" w:rsidRPr="00FE162C">
        <w:t xml:space="preserve"> important in the decision</w:t>
      </w:r>
      <w:r w:rsidR="0028087D">
        <w:t xml:space="preserve"> to relocate</w:t>
      </w:r>
      <w:r w:rsidR="007B29C1" w:rsidRPr="00FE162C">
        <w:t>.</w:t>
      </w:r>
    </w:p>
    <w:p w:rsidR="00994650" w:rsidRPr="00FE162C" w:rsidRDefault="00994650">
      <w:pPr>
        <w:spacing w:before="0" w:line="240" w:lineRule="auto"/>
        <w:rPr>
          <w:rFonts w:ascii="Tahoma" w:hAnsi="Tahoma" w:cs="Tahoma"/>
          <w:color w:val="000000" w:themeColor="text1"/>
          <w:kern w:val="28"/>
          <w:sz w:val="56"/>
          <w:szCs w:val="56"/>
        </w:rPr>
      </w:pPr>
      <w:r w:rsidRPr="00FE162C">
        <w:rPr>
          <w:color w:val="000000" w:themeColor="text1"/>
        </w:rPr>
        <w:br w:type="page"/>
      </w:r>
    </w:p>
    <w:p w:rsidR="00924C27" w:rsidRPr="00FE162C" w:rsidRDefault="00924C27" w:rsidP="00193F7F">
      <w:pPr>
        <w:pStyle w:val="Heading1"/>
        <w:rPr>
          <w:color w:val="000000" w:themeColor="text1"/>
        </w:rPr>
      </w:pPr>
      <w:bookmarkStart w:id="45" w:name="_Toc386530485"/>
      <w:r w:rsidRPr="00FE162C">
        <w:rPr>
          <w:color w:val="000000" w:themeColor="text1"/>
        </w:rPr>
        <w:lastRenderedPageBreak/>
        <w:t>Method</w:t>
      </w:r>
      <w:bookmarkEnd w:id="45"/>
    </w:p>
    <w:p w:rsidR="00616F5D" w:rsidRPr="00FE162C" w:rsidRDefault="00193F7F" w:rsidP="00924C27">
      <w:pPr>
        <w:pStyle w:val="Heading2"/>
        <w:rPr>
          <w:color w:val="000000" w:themeColor="text1"/>
        </w:rPr>
      </w:pPr>
      <w:bookmarkStart w:id="46" w:name="_Toc386530486"/>
      <w:r w:rsidRPr="00FE162C">
        <w:rPr>
          <w:color w:val="000000" w:themeColor="text1"/>
        </w:rPr>
        <w:t>D</w:t>
      </w:r>
      <w:r w:rsidR="00D870C0" w:rsidRPr="00FE162C">
        <w:rPr>
          <w:color w:val="000000" w:themeColor="text1"/>
        </w:rPr>
        <w:t>iscrete choice experiment</w:t>
      </w:r>
      <w:bookmarkEnd w:id="46"/>
    </w:p>
    <w:p w:rsidR="00DC4471" w:rsidRPr="00F74F68" w:rsidRDefault="001263F6" w:rsidP="00F74F68">
      <w:pPr>
        <w:pStyle w:val="Text"/>
      </w:pPr>
      <w:r w:rsidRPr="00FE162C">
        <w:t>The discrete choice experiment is a technique for investigating individual preferences</w:t>
      </w:r>
      <w:r w:rsidR="00087BAF" w:rsidRPr="00FE162C">
        <w:t xml:space="preserve"> </w:t>
      </w:r>
      <w:r w:rsidR="00CD40BD">
        <w:t xml:space="preserve">that </w:t>
      </w:r>
      <w:r w:rsidR="00087BAF" w:rsidRPr="00FE162C">
        <w:t>are otherwise difficult to identify, measure and compare</w:t>
      </w:r>
      <w:r w:rsidR="00CA428A" w:rsidRPr="00FE162C">
        <w:t xml:space="preserve">. </w:t>
      </w:r>
      <w:r w:rsidR="005F4001">
        <w:t>In the context of this study</w:t>
      </w:r>
      <w:r w:rsidR="00DC4471" w:rsidRPr="00FE162C">
        <w:t xml:space="preserve">, the method allows the valuation of different factors that influence job choices. </w:t>
      </w:r>
      <w:r w:rsidR="00456B5F">
        <w:t>The technique</w:t>
      </w:r>
      <w:r w:rsidR="00DC4471" w:rsidRPr="00FE162C">
        <w:t xml:space="preserve"> is attractive to researchers </w:t>
      </w:r>
      <w:r w:rsidR="001F4C08" w:rsidRPr="00FE162C">
        <w:t xml:space="preserve">and </w:t>
      </w:r>
      <w:r w:rsidR="00DC4471" w:rsidRPr="00FE162C">
        <w:t>policy analysts alike, because it provides quantitative information on the rel</w:t>
      </w:r>
      <w:r w:rsidR="005F4001">
        <w:t xml:space="preserve">ative importance of </w:t>
      </w:r>
      <w:r w:rsidR="00CD40BD">
        <w:t xml:space="preserve">the </w:t>
      </w:r>
      <w:r w:rsidR="005F4001">
        <w:t>various job</w:t>
      </w:r>
      <w:r w:rsidR="00DC4471" w:rsidRPr="00FE162C">
        <w:t xml:space="preserve"> characteristics that influence the </w:t>
      </w:r>
      <w:r w:rsidR="00DC4471" w:rsidRPr="00F74F68">
        <w:t>jo</w:t>
      </w:r>
      <w:r w:rsidR="005F4001" w:rsidRPr="00F74F68">
        <w:t>b choices of workers;</w:t>
      </w:r>
      <w:r w:rsidR="00DC4471" w:rsidRPr="00F74F68">
        <w:t xml:space="preserve"> the</w:t>
      </w:r>
      <w:r w:rsidR="005F4001" w:rsidRPr="00F74F68">
        <w:t xml:space="preserve"> trade-offs between these characteristic</w:t>
      </w:r>
      <w:r w:rsidR="00DC4471" w:rsidRPr="00F74F68">
        <w:t>s</w:t>
      </w:r>
      <w:r w:rsidR="005F4001" w:rsidRPr="00F74F68">
        <w:t>;</w:t>
      </w:r>
      <w:r w:rsidR="00DC4471" w:rsidRPr="00F74F68">
        <w:t xml:space="preserve"> and the p</w:t>
      </w:r>
      <w:r w:rsidR="001F4C08" w:rsidRPr="00F74F68">
        <w:t>robability of take-up of specific</w:t>
      </w:r>
      <w:r w:rsidR="00723B12" w:rsidRPr="00F74F68">
        <w:t xml:space="preserve"> jobs. It provides quantitative information, which is beyond the traditional qualitative</w:t>
      </w:r>
      <w:r w:rsidR="005F4001" w:rsidRPr="00F74F68">
        <w:t xml:space="preserve"> or ranking and rating</w:t>
      </w:r>
      <w:r w:rsidR="00723B12" w:rsidRPr="00F74F68">
        <w:t xml:space="preserve"> assessments, to better guide the adoption of</w:t>
      </w:r>
      <w:r w:rsidR="00DC4471" w:rsidRPr="00F74F68">
        <w:t xml:space="preserve"> the </w:t>
      </w:r>
      <w:r w:rsidR="00723B12" w:rsidRPr="00F74F68">
        <w:t>most appropriate policie</w:t>
      </w:r>
      <w:r w:rsidR="00DC4471" w:rsidRPr="00F74F68">
        <w:t>s for recruitm</w:t>
      </w:r>
      <w:r w:rsidR="00723B12" w:rsidRPr="00F74F68">
        <w:t xml:space="preserve">ent and retention in </w:t>
      </w:r>
      <w:r w:rsidR="000D33C1" w:rsidRPr="00F74F68">
        <w:t>location</w:t>
      </w:r>
      <w:r w:rsidR="005F4001" w:rsidRPr="00F74F68">
        <w:t>s with skill</w:t>
      </w:r>
      <w:r w:rsidR="00782E5B">
        <w:t>-</w:t>
      </w:r>
      <w:r w:rsidR="005F4001" w:rsidRPr="00F74F68">
        <w:t xml:space="preserve">shortage problems </w:t>
      </w:r>
      <w:r w:rsidR="001F4C08" w:rsidRPr="00F74F68">
        <w:t>(</w:t>
      </w:r>
      <w:r w:rsidR="00406B75" w:rsidRPr="00F74F68">
        <w:fldChar w:fldCharType="begin"/>
      </w:r>
      <w:r w:rsidR="00CA754F" w:rsidRPr="00F74F68">
        <w:instrText xml:space="preserve"> ADDIN EN.CITE &lt;EndNote&gt;&lt;Cite&gt;&lt;Author&gt;WHO&lt;/Author&gt;&lt;Year&gt;2012&lt;/Year&gt;&lt;RecNum&gt;1261&lt;/RecNum&gt;&lt;DisplayText&gt;WHO (2012)&lt;/DisplayText&gt;&lt;record&gt;&lt;rec-number&gt;1261&lt;/rec-number&gt;&lt;foreign-keys&gt;&lt;key app="EN" db-id="refafpv0nd2rd4e9e2qxeaf6rw5xxvv2ds22" timestamp="1371970113"&gt;1261&lt;/key&gt;&lt;/foreign-keys&gt;&lt;ref-type name="Report"&gt;27&lt;/ref-type&gt;&lt;contributors&gt;&lt;authors&gt;&lt;author&gt;WHO,&lt;/author&gt;&lt;/authors&gt;&lt;/contributors&gt;&lt;titles&gt;&lt;title&gt;How to conduct a discrete choice experiment for health workforce recruitment and retention in remote and rural areas: A user guide with case studies&lt;/title&gt;&lt;/titles&gt;&lt;dates&gt;&lt;year&gt;2012&lt;/year&gt;&lt;/dates&gt;&lt;pub-location&gt;Geneva&lt;/pub-location&gt;&lt;publisher&gt;World Health Organisation&lt;/publisher&gt;&lt;urls&gt;&lt;related-urls&gt;&lt;url&gt;http://www.who.int/hrh/resources/DCE_UserGuide_WEB.pdf&lt;/url&gt;&lt;/related-urls&gt;&lt;/urls&gt;&lt;access-date&gt;23 June 2013&lt;/access-date&gt;&lt;/record&gt;&lt;/Cite&gt;&lt;/EndNote&gt;</w:instrText>
      </w:r>
      <w:r w:rsidR="00406B75" w:rsidRPr="00F74F68">
        <w:fldChar w:fldCharType="separate"/>
      </w:r>
      <w:hyperlink w:anchor="_ENREF_66" w:tooltip="WHO, 2012 #1261" w:history="1">
        <w:r w:rsidR="00CD40BD" w:rsidRPr="00F74F68">
          <w:t>World Health Organization</w:t>
        </w:r>
        <w:r w:rsidR="005F4001" w:rsidRPr="00F74F68">
          <w:t xml:space="preserve"> </w:t>
        </w:r>
        <w:r w:rsidR="00CA754F" w:rsidRPr="00F74F68">
          <w:t>2012</w:t>
        </w:r>
      </w:hyperlink>
      <w:r w:rsidR="00CA754F" w:rsidRPr="00F74F68">
        <w:t>)</w:t>
      </w:r>
      <w:r w:rsidR="00406B75" w:rsidRPr="00F74F68">
        <w:fldChar w:fldCharType="end"/>
      </w:r>
      <w:r w:rsidR="00DC4471" w:rsidRPr="00F74F68">
        <w:t>.</w:t>
      </w:r>
    </w:p>
    <w:p w:rsidR="00CA428A" w:rsidRPr="00F74F68" w:rsidRDefault="00D45F12" w:rsidP="00F74F68">
      <w:pPr>
        <w:pStyle w:val="Text"/>
      </w:pPr>
      <w:r w:rsidRPr="00F74F68">
        <w:t>Discrete choice experiments are</w:t>
      </w:r>
      <w:r w:rsidR="00CA428A" w:rsidRPr="00F74F68">
        <w:t xml:space="preserve"> used in many disciplines</w:t>
      </w:r>
      <w:r w:rsidR="00CD40BD" w:rsidRPr="00F74F68">
        <w:t>,</w:t>
      </w:r>
      <w:r w:rsidR="00CA428A" w:rsidRPr="00F74F68">
        <w:t xml:space="preserve"> including health economics (</w:t>
      </w:r>
      <w:r w:rsidR="00406B75" w:rsidRPr="00F74F68">
        <w:fldChar w:fldCharType="begin"/>
      </w:r>
      <w:r w:rsidR="00CA754F" w:rsidRPr="00F74F68">
        <w:instrText xml:space="preserve"> ADDIN EN.CITE &lt;EndNote&gt;&lt;Cite&gt;&lt;Author&gt;de Bekker-Grob&lt;/Author&gt;&lt;Year&gt;2012&lt;/Year&gt;&lt;RecNum&gt;1327&lt;/RecNum&gt;&lt;DisplayText&gt;de Bekker-Grob, Ryan and Gerard (2012)&lt;/DisplayText&gt;&lt;record&gt;&lt;rec-number&gt;1327&lt;/rec-number&gt;&lt;foreign-keys&gt;&lt;key app="EN" db-id="refafpv0nd2rd4e9e2qxeaf6rw5xxvv2ds22" timestamp="1380587288"&gt;1327&lt;/key&gt;&lt;/foreign-keys&gt;&lt;ref-type name="Journal Article"&gt;17&lt;/ref-type&gt;&lt;contributors&gt;&lt;authors&gt;&lt;author&gt;de Bekker-Grob, Esther W.&lt;/author&gt;&lt;author&gt;Ryan, Mandy&lt;/author&gt;&lt;author&gt;Gerard, Karen&lt;/author&gt;&lt;/authors&gt;&lt;/contributors&gt;&lt;titles&gt;&lt;title&gt;Discrete choice experiments in health economics: a review of the literature&lt;/title&gt;&lt;secondary-title&gt;Health Economics&lt;/secondary-title&gt;&lt;/titles&gt;&lt;periodical&gt;&lt;full-title&gt;Health Economics&lt;/full-title&gt;&lt;/periodical&gt;&lt;pages&gt;145-172&lt;/pages&gt;&lt;volume&gt;21&lt;/volume&gt;&lt;number&gt;2&lt;/number&gt;&lt;keywords&gt;&lt;keyword&gt;discrete choice experiments&lt;/keyword&gt;&lt;keyword&gt;review&lt;/keyword&gt;&lt;keyword&gt;methodology&lt;/keyword&gt;&lt;/keywords&gt;&lt;dates&gt;&lt;year&gt;2012&lt;/year&gt;&lt;/dates&gt;&lt;publisher&gt;John Wiley &amp;amp; Sons Ltd&lt;/publisher&gt;&lt;isbn&gt;1099-1050&lt;/isbn&gt;&lt;urls&gt;&lt;related-urls&gt;&lt;url&gt;http://dx.doi.org/10.1002/hec.1697&lt;/url&gt;&lt;/related-urls&gt;&lt;/urls&gt;&lt;electronic-resource-num&gt;10.1002/hec.1697&lt;/electronic-resource-num&gt;&lt;/record&gt;&lt;/Cite&gt;&lt;/EndNote&gt;</w:instrText>
      </w:r>
      <w:r w:rsidR="00406B75" w:rsidRPr="00F74F68">
        <w:fldChar w:fldCharType="separate"/>
      </w:r>
      <w:hyperlink w:anchor="_ENREF_15" w:tooltip="de Bekker-Grob, 2012 #1327" w:history="1">
        <w:r w:rsidR="00CA754F" w:rsidRPr="00F74F68">
          <w:t>d</w:t>
        </w:r>
        <w:r w:rsidR="005F4001" w:rsidRPr="00F74F68">
          <w:t xml:space="preserve">e Bekker-Grob, Ryan </w:t>
        </w:r>
        <w:r w:rsidR="00491041" w:rsidRPr="00F74F68">
          <w:t>&amp;</w:t>
        </w:r>
        <w:r w:rsidR="005F4001" w:rsidRPr="00F74F68">
          <w:t xml:space="preserve"> Gerard </w:t>
        </w:r>
        <w:r w:rsidR="00CA754F" w:rsidRPr="00F74F68">
          <w:t>2012</w:t>
        </w:r>
      </w:hyperlink>
      <w:r w:rsidR="00406B75" w:rsidRPr="00F74F68">
        <w:fldChar w:fldCharType="end"/>
      </w:r>
      <w:r w:rsidR="00CA428A" w:rsidRPr="00F74F68">
        <w:t xml:space="preserve">; </w:t>
      </w:r>
      <w:r w:rsidR="00406B75" w:rsidRPr="00F74F68">
        <w:fldChar w:fldCharType="begin"/>
      </w:r>
      <w:r w:rsidR="00CA754F" w:rsidRPr="00F74F68">
        <w:instrText xml:space="preserve"> ADDIN EN.CITE &lt;EndNote&gt;&lt;Cite&gt;&lt;Author&gt;Ryan&lt;/Author&gt;&lt;Year&gt;2010&lt;/Year&gt;&lt;RecNum&gt;1330&lt;/RecNum&gt;&lt;DisplayText&gt;Ryan, Gerard and Amaya-Amaya (2010)&lt;/DisplayText&gt;&lt;record&gt;&lt;rec-number&gt;1330&lt;/rec-number&gt;&lt;foreign-keys&gt;&lt;key app="EN" db-id="refafpv0nd2rd4e9e2qxeaf6rw5xxvv2ds22" timestamp="1380601533"&gt;1330&lt;/key&gt;&lt;/foreign-keys&gt;&lt;ref-type name="Book"&gt;6&lt;/ref-type&gt;&lt;contributors&gt;&lt;authors&gt;&lt;author&gt;Ryan, M.&lt;/author&gt;&lt;author&gt;Gerard, K.&lt;/author&gt;&lt;author&gt;Amaya-Amaya, M.&lt;/author&gt;&lt;/authors&gt;&lt;/contributors&gt;&lt;titles&gt;&lt;title&gt;Using Discrete Choice Experiments to Value Health and Health Care&lt;/title&gt;&lt;/titles&gt;&lt;dates&gt;&lt;year&gt;2010&lt;/year&gt;&lt;/dates&gt;&lt;pub-location&gt;Dordrecht, The Netherlands&lt;/pub-location&gt;&lt;publisher&gt;Springer&lt;/publisher&gt;&lt;isbn&gt;9789048170364&lt;/isbn&gt;&lt;urls&gt;&lt;related-urls&gt;&lt;url&gt;http://books.google.com.au/books?id=ov6bcQAACAAJ&lt;/url&gt;&lt;/related-urls&gt;&lt;/urls&gt;&lt;/record&gt;&lt;/Cite&gt;&lt;/EndNote&gt;</w:instrText>
      </w:r>
      <w:r w:rsidR="00406B75" w:rsidRPr="00F74F68">
        <w:fldChar w:fldCharType="separate"/>
      </w:r>
      <w:hyperlink w:anchor="_ENREF_56" w:tooltip="Ryan, 2010 #1330" w:history="1">
        <w:r w:rsidR="005F4001" w:rsidRPr="00F74F68">
          <w:t xml:space="preserve">Ryan, Gerard </w:t>
        </w:r>
        <w:r w:rsidR="00491041" w:rsidRPr="00F74F68">
          <w:t>&amp;</w:t>
        </w:r>
        <w:r w:rsidR="005F4001" w:rsidRPr="00F74F68">
          <w:t xml:space="preserve"> Amaya-Amaya </w:t>
        </w:r>
        <w:r w:rsidR="00CA754F" w:rsidRPr="00F74F68">
          <w:t>2010</w:t>
        </w:r>
      </w:hyperlink>
      <w:r w:rsidR="00406B75" w:rsidRPr="00F74F68">
        <w:fldChar w:fldCharType="end"/>
      </w:r>
      <w:r w:rsidR="00CA428A" w:rsidRPr="00F74F68">
        <w:t xml:space="preserve">; </w:t>
      </w:r>
      <w:r w:rsidR="00406B75" w:rsidRPr="00F74F68">
        <w:fldChar w:fldCharType="begin"/>
      </w:r>
      <w:r w:rsidR="00CA754F" w:rsidRPr="00F74F68">
        <w:instrText xml:space="preserve"> ADDIN EN.CITE &lt;EndNote&gt;&lt;Cite&gt;&lt;Author&gt;Scott&lt;/Author&gt;&lt;Year&gt;2001&lt;/Year&gt;&lt;RecNum&gt;1341&lt;/RecNum&gt;&lt;DisplayText&gt;Scott (2001)&lt;/DisplayText&gt;&lt;record&gt;&lt;rec-number&gt;1341&lt;/rec-number&gt;&lt;foreign-keys&gt;&lt;key app="EN" db-id="refafpv0nd2rd4e9e2qxeaf6rw5xxvv2ds22" timestamp="1380799219"&gt;1341&lt;/key&gt;&lt;/foreign-keys&gt;&lt;ref-type name="Journal Article"&gt;17&lt;/ref-type&gt;&lt;contributors&gt;&lt;authors&gt;&lt;author&gt;Scott, Anthony&lt;/author&gt;&lt;/authors&gt;&lt;/contributors&gt;&lt;titles&gt;&lt;title&gt;Eliciting GPs&amp;apos; preferences for pecuniary and non-pecuniary job characteristics&lt;/title&gt;&lt;secondary-title&gt;Journal of Health Economics&lt;/secondary-title&gt;&lt;/titles&gt;&lt;periodical&gt;&lt;full-title&gt;Journal of Health Economics&lt;/full-title&gt;&lt;/periodical&gt;&lt;pages&gt;329-347&lt;/pages&gt;&lt;volume&gt;20&lt;/volume&gt;&lt;number&gt;3&lt;/number&gt;&lt;dates&gt;&lt;year&gt;2001&lt;/year&gt;&lt;/dates&gt;&lt;urls&gt;&lt;related-urls&gt;&lt;url&gt;http://EconPapers.repec.org/RePEc:eee:jhecon:v:20:y:2001:i:3:p:329-347&lt;/url&gt;&lt;/related-urls&gt;&lt;/urls&gt;&lt;/record&gt;&lt;/Cite&gt;&lt;/EndNote&gt;</w:instrText>
      </w:r>
      <w:r w:rsidR="00406B75" w:rsidRPr="00F74F68">
        <w:fldChar w:fldCharType="separate"/>
      </w:r>
      <w:hyperlink w:anchor="_ENREF_57" w:tooltip="Scott, 2001 #1341" w:history="1">
        <w:r w:rsidR="005F4001" w:rsidRPr="00F74F68">
          <w:t xml:space="preserve">Scott </w:t>
        </w:r>
        <w:r w:rsidR="00CA754F" w:rsidRPr="00F74F68">
          <w:t>2001</w:t>
        </w:r>
      </w:hyperlink>
      <w:r w:rsidR="00406B75" w:rsidRPr="00F74F68">
        <w:fldChar w:fldCharType="end"/>
      </w:r>
      <w:r w:rsidR="00CA428A" w:rsidRPr="00F74F68">
        <w:t xml:space="preserve">; </w:t>
      </w:r>
      <w:r w:rsidR="00406B75" w:rsidRPr="00F74F68">
        <w:fldChar w:fldCharType="begin"/>
      </w:r>
      <w:r w:rsidR="00CA754F" w:rsidRPr="00F74F68">
        <w:instrText xml:space="preserve"> ADDIN EN.CITE &lt;EndNote&gt;&lt;Cite&gt;&lt;Author&gt;Kolstad&lt;/Author&gt;&lt;Year&gt;2011&lt;/Year&gt;&lt;RecNum&gt;1340&lt;/RecNum&gt;&lt;DisplayText&gt;Kolstad (2011)&lt;/DisplayText&gt;&lt;record&gt;&lt;rec-number&gt;1340&lt;/rec-number&gt;&lt;foreign-keys&gt;&lt;key app="EN" db-id="refafpv0nd2rd4e9e2qxeaf6rw5xxvv2ds22" timestamp="1380798206"&gt;1340&lt;/key&gt;&lt;/foreign-keys&gt;&lt;ref-type name="Journal Article"&gt;17&lt;/ref-type&gt;&lt;contributors&gt;&lt;authors&gt;&lt;author&gt;Kolstad, J&lt;/author&gt;&lt;/authors&gt;&lt;/contributors&gt;&lt;titles&gt;&lt;title&gt;How to make rural jobs more attractive to health workers. Findings from a discrete choice experiment in Tanzania&lt;/title&gt;&lt;secondary-title&gt;Health Economics&lt;/secondary-title&gt;&lt;/titles&gt;&lt;periodical&gt;&lt;full-title&gt;Health Economics&lt;/full-title&gt;&lt;/periodical&gt;&lt;pages&gt;196-211&lt;/pages&gt;&lt;volume&gt;20&lt;/volume&gt;&lt;number&gt;2&lt;/number&gt;&lt;keywords&gt;&lt;keyword&gt;human resources for health&lt;/keyword&gt;&lt;keyword&gt;discrete choice experiments&lt;/keyword&gt;&lt;keyword&gt;rural-urban imbalances&lt;/keyword&gt;&lt;keyword&gt;Tanzania&lt;/keyword&gt;&lt;/keywords&gt;&lt;dates&gt;&lt;year&gt;2011&lt;/year&gt;&lt;/dates&gt;&lt;publisher&gt;John Wiley &amp;amp; Sons, Ltd.&lt;/publisher&gt;&lt;isbn&gt;1099-1050&lt;/isbn&gt;&lt;urls&gt;&lt;related-urls&gt;&lt;url&gt;http://dx.doi.org/10.1002/hec.1581&lt;/url&gt;&lt;/related-urls&gt;&lt;/urls&gt;&lt;electronic-resource-num&gt;10.1002/hec.1581&lt;/electronic-resource-num&gt;&lt;/record&gt;&lt;/Cite&gt;&lt;/EndNote&gt;</w:instrText>
      </w:r>
      <w:r w:rsidR="00406B75" w:rsidRPr="00F74F68">
        <w:fldChar w:fldCharType="separate"/>
      </w:r>
      <w:hyperlink w:anchor="_ENREF_33" w:tooltip="Kolstad, 2011 #1340" w:history="1">
        <w:r w:rsidR="005F4001" w:rsidRPr="00F74F68">
          <w:t xml:space="preserve">Kolstad </w:t>
        </w:r>
        <w:r w:rsidR="00CA754F" w:rsidRPr="00F74F68">
          <w:t>2011</w:t>
        </w:r>
      </w:hyperlink>
      <w:r w:rsidR="00CA428A" w:rsidRPr="00F74F68">
        <w:t>)</w:t>
      </w:r>
      <w:r w:rsidR="00406B75" w:rsidRPr="00F74F68">
        <w:fldChar w:fldCharType="end"/>
      </w:r>
      <w:r w:rsidR="00CA428A" w:rsidRPr="00F74F68">
        <w:t xml:space="preserve"> marketing and consumer choice (</w:t>
      </w:r>
      <w:r w:rsidR="00406B75" w:rsidRPr="00F74F68">
        <w:fldChar w:fldCharType="begin"/>
      </w:r>
      <w:r w:rsidR="00CA754F" w:rsidRPr="00F74F68">
        <w:instrText xml:space="preserve"> ADDIN EN.CITE &lt;EndNote&gt;&lt;Cite&gt;&lt;Author&gt;Revelt&lt;/Author&gt;&lt;Year&gt;1998&lt;/Year&gt;&lt;RecNum&gt;921&lt;/RecNum&gt;&lt;DisplayText&gt;Revelt and Train (1998)&lt;/DisplayText&gt;&lt;record&gt;&lt;rec-number&gt;921&lt;/rec-number&gt;&lt;foreign-keys&gt;&lt;key app="EN" db-id="refafpv0nd2rd4e9e2qxeaf6rw5xxvv2ds22" timestamp="1322291211"&gt;921&lt;/key&gt;&lt;/foreign-keys&gt;&lt;ref-type name="Journal Article"&gt;17&lt;/ref-type&gt;&lt;contributors&gt;&lt;authors&gt;&lt;author&gt;Revelt, D&lt;/author&gt;&lt;author&gt;Train, K&lt;/author&gt;&lt;/authors&gt;&lt;/contributors&gt;&lt;titles&gt;&lt;title&gt;Mixed logit with repeated choices of appliance efficiency levels&lt;/title&gt;&lt;secondary-title&gt;Review of Economics and Statistics&lt;/secondary-title&gt;&lt;/titles&gt;&lt;periodical&gt;&lt;full-title&gt;Review of Economics and Statistics&lt;/full-title&gt;&lt;/periodical&gt;&lt;pages&gt;647-657&lt;/pages&gt;&lt;volume&gt;80&lt;/volume&gt;&lt;number&gt;4&lt;/number&gt;&lt;dates&gt;&lt;year&gt;1998&lt;/year&gt;&lt;/dates&gt;&lt;urls&gt;&lt;/urls&gt;&lt;/record&gt;&lt;/Cite&gt;&lt;/EndNote&gt;</w:instrText>
      </w:r>
      <w:r w:rsidR="00406B75" w:rsidRPr="00F74F68">
        <w:fldChar w:fldCharType="separate"/>
      </w:r>
      <w:hyperlink w:anchor="_ENREF_53" w:tooltip="Revelt, 1998 #921" w:history="1">
        <w:r w:rsidR="005F4001" w:rsidRPr="00F74F68">
          <w:t xml:space="preserve">Revelt </w:t>
        </w:r>
        <w:r w:rsidR="00491041" w:rsidRPr="00F74F68">
          <w:t>&amp;</w:t>
        </w:r>
        <w:r w:rsidR="005F4001" w:rsidRPr="00F74F68">
          <w:t xml:space="preserve"> Train </w:t>
        </w:r>
        <w:r w:rsidR="00CA754F" w:rsidRPr="00F74F68">
          <w:t>1998</w:t>
        </w:r>
      </w:hyperlink>
      <w:r w:rsidR="00CA428A" w:rsidRPr="00F74F68">
        <w:t>)</w:t>
      </w:r>
      <w:r w:rsidR="00406B75" w:rsidRPr="00F74F68">
        <w:fldChar w:fldCharType="end"/>
      </w:r>
      <w:r w:rsidR="00CA428A" w:rsidRPr="00F74F68">
        <w:t>, transport economics (</w:t>
      </w:r>
      <w:r w:rsidR="00406B75" w:rsidRPr="00F74F68">
        <w:fldChar w:fldCharType="begin"/>
      </w:r>
      <w:r w:rsidR="00CA754F" w:rsidRPr="00F74F68">
        <w:instrText xml:space="preserve"> ADDIN EN.CITE &lt;EndNote&gt;&lt;Cite&gt;&lt;Author&gt;Louviere&lt;/Author&gt;&lt;Year&gt;2000&lt;/Year&gt;&lt;RecNum&gt;1329&lt;/RecNum&gt;&lt;DisplayText&gt;Louviere, Hensher and Swait (2000a)&lt;/DisplayText&gt;&lt;record&gt;&lt;rec-number&gt;1329&lt;/rec-number&gt;&lt;foreign-keys&gt;&lt;key app="EN" db-id="refafpv0nd2rd4e9e2qxeaf6rw5xxvv2ds22" timestamp="1380596059"&gt;1329&lt;/key&gt;&lt;/foreign-keys&gt;&lt;ref-type name="Book"&gt;6&lt;/ref-type&gt;&lt;contributors&gt;&lt;authors&gt;&lt;author&gt;Louviere, J&lt;/author&gt;&lt;author&gt;Hensher, D&lt;/author&gt;&lt;author&gt;Swait, J (2000)&lt;/author&gt;&lt;/authors&gt;&lt;/contributors&gt;&lt;titles&gt;&lt;title&gt;Stated Choice Methods: Analysis and Applications in Marketing, Transportation and Environmental Valuation&lt;/title&gt;&lt;/titles&gt;&lt;dates&gt;&lt;year&gt;2000&lt;/year&gt;&lt;/dates&gt;&lt;pub-location&gt;Cambridge&lt;/pub-location&gt;&lt;publisher&gt;Cambridge University Press&lt;/publisher&gt;&lt;urls&gt;&lt;/urls&gt;&lt;/record&gt;&lt;/Cite&gt;&lt;/EndNote&gt;</w:instrText>
      </w:r>
      <w:r w:rsidR="00406B75" w:rsidRPr="00F74F68">
        <w:fldChar w:fldCharType="separate"/>
      </w:r>
      <w:hyperlink w:anchor="_ENREF_40" w:tooltip="Louviere, 2000 #1329" w:history="1">
        <w:r w:rsidR="005F4001" w:rsidRPr="00F74F68">
          <w:t xml:space="preserve">Louviere, Hensher </w:t>
        </w:r>
        <w:r w:rsidR="00491041" w:rsidRPr="00F74F68">
          <w:t>&amp;</w:t>
        </w:r>
        <w:r w:rsidR="005F4001" w:rsidRPr="00F74F68">
          <w:t xml:space="preserve"> Swait </w:t>
        </w:r>
        <w:r w:rsidR="00CA754F" w:rsidRPr="00F74F68">
          <w:t>2000a</w:t>
        </w:r>
      </w:hyperlink>
      <w:r w:rsidR="00CA428A" w:rsidRPr="00F74F68">
        <w:t>)</w:t>
      </w:r>
      <w:r w:rsidR="00406B75" w:rsidRPr="00F74F68">
        <w:fldChar w:fldCharType="end"/>
      </w:r>
      <w:r w:rsidR="00CA428A" w:rsidRPr="00F74F68">
        <w:t xml:space="preserve"> and valuation of non-market goods such as environmental assets (</w:t>
      </w:r>
      <w:r w:rsidR="00406B75" w:rsidRPr="00F74F68">
        <w:fldChar w:fldCharType="begin"/>
      </w:r>
      <w:r w:rsidR="00CA754F" w:rsidRPr="00F74F68">
        <w:instrText xml:space="preserve"> ADDIN EN.CITE &lt;EndNote&gt;&lt;Cite&gt;&lt;Author&gt;Alpizar&lt;/Author&gt;&lt;Year&gt;2003&lt;/Year&gt;&lt;RecNum&gt;1328&lt;/RecNum&gt;&lt;DisplayText&gt;Alpizar, Carlsson and Martinsson (2003)&lt;/DisplayText&gt;&lt;record&gt;&lt;rec-number&gt;1328&lt;/rec-number&gt;&lt;foreign-keys&gt;&lt;key app="EN" db-id="refafpv0nd2rd4e9e2qxeaf6rw5xxvv2ds22" timestamp="1380590830"&gt;1328&lt;/key&gt;&lt;/foreign-keys&gt;&lt;ref-type name="Journal Article"&gt;17&lt;/ref-type&gt;&lt;contributors&gt;&lt;authors&gt;&lt;author&gt;F. Alpizar&lt;/author&gt;&lt;author&gt;F. Carlsson&lt;/author&gt;&lt;author&gt;P. Martinsson&lt;/author&gt;&lt;/authors&gt;&lt;/contributors&gt;&lt;titles&gt;&lt;title&gt;Using Choice Experiments for Non-Market Valuation&lt;/title&gt;&lt;secondary-title&gt;Economic Issues Journal Articles&lt;/secondary-title&gt;&lt;tertiary-title&gt;Economic Issues Journal Articles&lt;/tertiary-title&gt;&lt;/titles&gt;&lt;periodical&gt;&lt;full-title&gt;Economic Issues Journal Articles&lt;/full-title&gt;&lt;/periodical&gt;&lt;pages&gt;83-110&lt;/pages&gt;&lt;volume&gt;8&lt;/volume&gt;&lt;number&gt;1&lt;/number&gt;&lt;dates&gt;&lt;year&gt;2003&lt;/year&gt;&lt;/dates&gt;&lt;publisher&gt;Economic Issues&lt;/publisher&gt;&lt;urls&gt;&lt;related-urls&gt;&lt;url&gt;http://ideas.repec.org/a/eis/articl/103alpizar.html&lt;/url&gt;&lt;/related-urls&gt;&lt;/urls&gt;&lt;/record&gt;&lt;/Cite&gt;&lt;/EndNote&gt;</w:instrText>
      </w:r>
      <w:r w:rsidR="00406B75" w:rsidRPr="00F74F68">
        <w:fldChar w:fldCharType="separate"/>
      </w:r>
      <w:hyperlink w:anchor="_ENREF_2" w:tooltip="Alpizar, 2003 #1328" w:history="1">
        <w:r w:rsidR="00CA754F" w:rsidRPr="00F74F68">
          <w:t>Al</w:t>
        </w:r>
        <w:r w:rsidR="005F4001" w:rsidRPr="00F74F68">
          <w:t xml:space="preserve">pizar, Carlsson </w:t>
        </w:r>
        <w:r w:rsidR="00491041" w:rsidRPr="00F74F68">
          <w:t>&amp;</w:t>
        </w:r>
        <w:r w:rsidR="005F4001" w:rsidRPr="00F74F68">
          <w:t xml:space="preserve"> Martinsson </w:t>
        </w:r>
        <w:r w:rsidR="00CA754F" w:rsidRPr="00F74F68">
          <w:t>2003</w:t>
        </w:r>
      </w:hyperlink>
      <w:r w:rsidR="00406B75" w:rsidRPr="00F74F68">
        <w:fldChar w:fldCharType="end"/>
      </w:r>
      <w:r w:rsidR="00CA428A" w:rsidRPr="00F74F68">
        <w:t xml:space="preserve">; </w:t>
      </w:r>
      <w:r w:rsidR="00406B75" w:rsidRPr="00F74F68">
        <w:fldChar w:fldCharType="begin"/>
      </w:r>
      <w:r w:rsidR="00CA754F" w:rsidRPr="00F74F68">
        <w:instrText xml:space="preserve"> ADDIN EN.CITE &lt;EndNote&gt;&lt;Cite&gt;&lt;Author&gt;Rolfe&lt;/Author&gt;&lt;Year&gt;2011&lt;/Year&gt;&lt;RecNum&gt;922&lt;/RecNum&gt;&lt;DisplayText&gt;Rolfe and Windle (2011)&lt;/DisplayText&gt;&lt;record&gt;&lt;rec-number&gt;922&lt;/rec-number&gt;&lt;foreign-keys&gt;&lt;key app="EN" db-id="refafpv0nd2rd4e9e2qxeaf6rw5xxvv2ds22" timestamp="1322291756"&gt;922&lt;/key&gt;&lt;/foreign-keys&gt;&lt;ref-type name="Conference Paper"&gt;47&lt;/ref-type&gt;&lt;contributors&gt;&lt;authors&gt;&lt;author&gt;Rolfe, J&lt;/author&gt;&lt;author&gt;Windle, J&lt;/author&gt;&lt;/authors&gt;&lt;/contributors&gt;&lt;titles&gt;&lt;title&gt;Assessing national values to protect the health of the Great Barrier Reef &lt;/title&gt;&lt;secondary-title&gt;55th Annual Australian Agricultural and Resource Economics Society Conference&lt;/secondary-title&gt;&lt;/titles&gt;&lt;dates&gt;&lt;year&gt;2011&lt;/year&gt;&lt;pub-dates&gt;&lt;date&gt;8-11 February 2011&lt;/date&gt;&lt;/pub-dates&gt;&lt;/dates&gt;&lt;pub-location&gt;Melbourne&lt;/pub-location&gt;&lt;urls&gt;&lt;/urls&gt;&lt;/record&gt;&lt;/Cite&gt;&lt;/EndNote&gt;</w:instrText>
      </w:r>
      <w:r w:rsidR="00406B75" w:rsidRPr="00F74F68">
        <w:fldChar w:fldCharType="separate"/>
      </w:r>
      <w:hyperlink w:anchor="_ENREF_54" w:tooltip="Rolfe, 2011 #922" w:history="1">
        <w:r w:rsidR="005F4001" w:rsidRPr="00F74F68">
          <w:t xml:space="preserve">Rolfe </w:t>
        </w:r>
        <w:r w:rsidR="00491041" w:rsidRPr="00F74F68">
          <w:t>&amp;</w:t>
        </w:r>
        <w:r w:rsidR="005F4001" w:rsidRPr="00F74F68">
          <w:t xml:space="preserve"> Windle </w:t>
        </w:r>
        <w:r w:rsidR="00CA754F" w:rsidRPr="00F74F68">
          <w:t>2011</w:t>
        </w:r>
      </w:hyperlink>
      <w:r w:rsidR="00CA428A" w:rsidRPr="00F74F68">
        <w:t>)</w:t>
      </w:r>
      <w:r w:rsidR="00406B75" w:rsidRPr="00F74F68">
        <w:fldChar w:fldCharType="end"/>
      </w:r>
      <w:r w:rsidR="00CA428A" w:rsidRPr="00F74F68">
        <w:t xml:space="preserve">. </w:t>
      </w:r>
      <w:r w:rsidR="00E36ADA" w:rsidRPr="00F74F68">
        <w:t xml:space="preserve">With the exception of </w:t>
      </w:r>
      <w:r w:rsidR="00406B75" w:rsidRPr="00F74F68">
        <w:fldChar w:fldCharType="begin"/>
      </w:r>
      <w:r w:rsidR="00CA754F" w:rsidRPr="00F74F68">
        <w:instrText xml:space="preserve"> ADDIN EN.CITE &lt;EndNote&gt;&lt;Cite&gt;&lt;Author&gt;Scott&lt;/Author&gt;&lt;Year&gt;2012&lt;/Year&gt;&lt;RecNum&gt;1097&lt;/RecNum&gt;&lt;DisplayText&gt;Scott et al. (2012)&lt;/DisplayText&gt;&lt;record&gt;&lt;rec-number&gt;1097&lt;/rec-number&gt;&lt;foreign-keys&gt;&lt;key app="EN" db-id="refafpv0nd2rd4e9e2qxeaf6rw5xxvv2ds22" timestamp="1353303153"&gt;1097&lt;/key&gt;&lt;/foreign-keys&gt;&lt;ref-type name="Working paper"&gt;40&lt;/ref-type&gt;&lt;contributors&gt;&lt;authors&gt;&lt;author&gt;Scott, A&lt;/author&gt;&lt;author&gt;Witt, J&lt;/author&gt;&lt;author&gt;Humphreys, J&lt;/author&gt;&lt;author&gt;Joyce, C&lt;/author&gt;&lt;author&gt;Kalb, G&lt;/author&gt;&lt;author&gt;Jeon, Sung-Hee&lt;/author&gt;&lt;author&gt;MacGrail, M&lt;/author&gt;&lt;/authors&gt;&lt;/contributors&gt;&lt;titles&gt;&lt;title&gt;Getting Doctors into the Bush: General Practitioners’ Preferences for Rural Location&lt;/title&gt;&lt;/titles&gt;&lt;number&gt;Working Paper Series 13/12&lt;/number&gt;&lt;dates&gt;&lt;year&gt;2012&lt;/year&gt;&lt;/dates&gt;&lt;pub-location&gt;Melbourne&lt;/pub-location&gt;&lt;publisher&gt;Melbourne Institute&lt;/publisher&gt;&lt;urls&gt;&lt;/urls&gt;&lt;/record&gt;&lt;/Cite&gt;&lt;/EndNote&gt;</w:instrText>
      </w:r>
      <w:r w:rsidR="00406B75" w:rsidRPr="00F74F68">
        <w:fldChar w:fldCharType="separate"/>
      </w:r>
      <w:hyperlink w:anchor="_ENREF_58" w:tooltip="Scott, 2012 #1097" w:history="1">
        <w:r w:rsidR="00CA754F" w:rsidRPr="00F74F68">
          <w:t>Scott et al. (2012</w:t>
        </w:r>
      </w:hyperlink>
      <w:r w:rsidR="00E36ADA" w:rsidRPr="00F74F68">
        <w:t>)</w:t>
      </w:r>
      <w:r w:rsidR="00406B75" w:rsidRPr="00F74F68">
        <w:fldChar w:fldCharType="end"/>
      </w:r>
      <w:r w:rsidR="00491041" w:rsidRPr="00F74F68">
        <w:t>,</w:t>
      </w:r>
      <w:r w:rsidR="00E36ADA" w:rsidRPr="00F74F68">
        <w:t xml:space="preserve"> who used discrete choice experiments to study general practitioners</w:t>
      </w:r>
      <w:r w:rsidR="00602830">
        <w:t>’</w:t>
      </w:r>
      <w:r w:rsidR="00E36ADA" w:rsidRPr="00F74F68">
        <w:t xml:space="preserve"> willingness to move to regional Australia for work</w:t>
      </w:r>
      <w:r w:rsidR="00717946" w:rsidRPr="00F74F68">
        <w:t>, the technique</w:t>
      </w:r>
      <w:r w:rsidR="00E36ADA" w:rsidRPr="00F74F68">
        <w:t xml:space="preserve"> has</w:t>
      </w:r>
      <w:r w:rsidR="00CA428A" w:rsidRPr="00F74F68">
        <w:t xml:space="preserve"> seldom been used in Australia to study an individual</w:t>
      </w:r>
      <w:r w:rsidR="00602830">
        <w:t>’</w:t>
      </w:r>
      <w:r w:rsidR="00CA428A" w:rsidRPr="00F74F68">
        <w:t>s willingness to move for work.</w:t>
      </w:r>
    </w:p>
    <w:p w:rsidR="004257F7" w:rsidRPr="00FE162C" w:rsidRDefault="0004684C" w:rsidP="00F74F68">
      <w:pPr>
        <w:pStyle w:val="Text"/>
      </w:pPr>
      <w:r w:rsidRPr="00F74F68">
        <w:t>The technique combines random utility theory with consumer theory, experimental</w:t>
      </w:r>
      <w:r w:rsidRPr="00FE162C">
        <w:t xml:space="preserve"> design and econometric analysis (</w:t>
      </w:r>
      <w:r w:rsidR="00406B75" w:rsidRPr="00FE162C">
        <w:fldChar w:fldCharType="begin"/>
      </w:r>
      <w:r w:rsidR="00CA754F">
        <w:instrText xml:space="preserve"> ADDIN EN.CITE &lt;EndNote&gt;&lt;Cite&gt;&lt;Author&gt;Thurstone&lt;/Author&gt;&lt;Year&gt;1927&lt;/Year&gt;&lt;RecNum&gt;1332&lt;/RecNum&gt;&lt;DisplayText&gt;Thurstone (1927)&lt;/DisplayText&gt;&lt;record&gt;&lt;rec-number&gt;1332&lt;/rec-number&gt;&lt;foreign-keys&gt;&lt;key app="EN" db-id="refafpv0nd2rd4e9e2qxeaf6rw5xxvv2ds22" timestamp="1380680642"&gt;1332&lt;/key&gt;&lt;/foreign-keys&gt;&lt;ref-type name="Journal Article"&gt;17&lt;/ref-type&gt;&lt;contributors&gt;&lt;authors&gt;&lt;author&gt;Thurstone, L&lt;/author&gt;&lt;/authors&gt;&lt;/contributors&gt;&lt;titles&gt;&lt;title&gt;A law of comparative judgment&lt;/title&gt;&lt;secondary-title&gt;Psychological Review&lt;/secondary-title&gt;&lt;/titles&gt;&lt;periodical&gt;&lt;full-title&gt;Psychological Review&lt;/full-title&gt;&lt;/periodical&gt;&lt;pages&gt;273-286&lt;/pages&gt;&lt;volume&gt;34&lt;/volume&gt;&lt;number&gt;4&lt;/number&gt;&lt;keywords&gt;&lt;keyword&gt;*Judgment&lt;/keyword&gt;&lt;keyword&gt;Values&lt;/keyword&gt;&lt;/keywords&gt;&lt;dates&gt;&lt;year&gt;1927&lt;/year&gt;&lt;/dates&gt;&lt;pub-location&gt;US&lt;/pub-location&gt;&lt;publisher&gt;Psychological Review Company&lt;/publisher&gt;&lt;isbn&gt;1939-1471(Electronic);0033-295X(Print)&lt;/isbn&gt;&lt;urls&gt;&lt;/urls&gt;&lt;electronic-resource-num&gt;10.1037/h0070288&lt;/electronic-resource-num&gt;&lt;/record&gt;&lt;/Cite&gt;&lt;/EndNote&gt;</w:instrText>
      </w:r>
      <w:r w:rsidR="00406B75" w:rsidRPr="00FE162C">
        <w:fldChar w:fldCharType="separate"/>
      </w:r>
      <w:hyperlink w:anchor="_ENREF_64" w:tooltip="Thurstone, 1927 #1332" w:history="1">
        <w:r w:rsidR="00AE5C10">
          <w:rPr>
            <w:noProof/>
          </w:rPr>
          <w:t xml:space="preserve">Thurstone </w:t>
        </w:r>
        <w:r w:rsidR="00CA754F">
          <w:rPr>
            <w:noProof/>
          </w:rPr>
          <w:t>1927</w:t>
        </w:r>
      </w:hyperlink>
      <w:r w:rsidR="00406B75" w:rsidRPr="00FE162C">
        <w:fldChar w:fldCharType="end"/>
      </w:r>
      <w:r w:rsidRPr="00FE162C">
        <w:t xml:space="preserve">; </w:t>
      </w:r>
      <w:r w:rsidR="00406B75" w:rsidRPr="00FE162C">
        <w:fldChar w:fldCharType="begin"/>
      </w:r>
      <w:r w:rsidR="00CA754F">
        <w:instrText xml:space="preserve"> ADDIN EN.CITE &lt;EndNote&gt;&lt;Cite&gt;&lt;Author&gt;Marschak&lt;/Author&gt;&lt;Year&gt;1960&lt;/Year&gt;&lt;RecNum&gt;1333&lt;/RecNum&gt;&lt;DisplayText&gt;Marschak (1960)&lt;/DisplayText&gt;&lt;record&gt;&lt;rec-number&gt;1333&lt;/rec-number&gt;&lt;foreign-keys&gt;&lt;key app="EN" db-id="refafpv0nd2rd4e9e2qxeaf6rw5xxvv2ds22" timestamp="1380686483"&gt;1333&lt;/key&gt;&lt;/foreign-keys&gt;&lt;ref-type name="Book Section"&gt;5&lt;/ref-type&gt;&lt;contributors&gt;&lt;authors&gt;&lt;author&gt;Marschak, Jacob&lt;/author&gt;&lt;/authors&gt;&lt;secondary-authors&gt;&lt;author&gt;Arrow, Kenneth&lt;/author&gt;&lt;/secondary-authors&gt;&lt;/contributors&gt;&lt;titles&gt;&lt;title&gt;Binary-Choice Constraints and Random Utility Indicators (1960)&lt;/title&gt;&lt;secondary-title&gt;Standord Symposium on Mathematical Methods in the Social Sciences&lt;/secondary-title&gt;&lt;tertiary-title&gt;Theory and Decision Library&lt;/tertiary-title&gt;&lt;/titles&gt;&lt;dates&gt;&lt;year&gt;1960&lt;/year&gt;&lt;pub-dates&gt;&lt;date&gt;1974/01/01&lt;/date&gt;&lt;/pub-dates&gt;&lt;/dates&gt;&lt;pub-location&gt;Stanford&lt;/pub-location&gt;&lt;publisher&gt;Stanford University Press&lt;/publisher&gt;&lt;urls&gt;&lt;/urls&gt;&lt;/record&gt;&lt;/Cite&gt;&lt;/EndNote&gt;</w:instrText>
      </w:r>
      <w:r w:rsidR="00406B75" w:rsidRPr="00FE162C">
        <w:fldChar w:fldCharType="separate"/>
      </w:r>
      <w:hyperlink w:anchor="_ENREF_46" w:tooltip="Marschak, 1960 #1333" w:history="1">
        <w:r w:rsidR="00CA754F">
          <w:rPr>
            <w:noProof/>
          </w:rPr>
          <w:t>Mars</w:t>
        </w:r>
        <w:r w:rsidR="00AE5C10">
          <w:rPr>
            <w:noProof/>
          </w:rPr>
          <w:t xml:space="preserve">chak </w:t>
        </w:r>
        <w:r w:rsidR="00CA754F">
          <w:rPr>
            <w:noProof/>
          </w:rPr>
          <w:t>1960</w:t>
        </w:r>
      </w:hyperlink>
      <w:r w:rsidR="00406B75" w:rsidRPr="00FE162C">
        <w:fldChar w:fldCharType="end"/>
      </w:r>
      <w:r w:rsidRPr="00FE162C">
        <w:t xml:space="preserve">; </w:t>
      </w:r>
      <w:r w:rsidR="00406B75" w:rsidRPr="00FE162C">
        <w:fldChar w:fldCharType="begin"/>
      </w:r>
      <w:r w:rsidR="00CA754F">
        <w:instrText xml:space="preserve"> ADDIN EN.CITE &lt;EndNote&gt;&lt;Cite&gt;&lt;Author&gt;McFadden&lt;/Author&gt;&lt;Year&gt;1974&lt;/Year&gt;&lt;RecNum&gt;1334&lt;/RecNum&gt;&lt;DisplayText&gt;McFadden (1974)&lt;/DisplayText&gt;&lt;record&gt;&lt;rec-number&gt;1334&lt;/rec-number&gt;&lt;foreign-keys&gt;&lt;key app="EN" db-id="refafpv0nd2rd4e9e2qxeaf6rw5xxvv2ds22" timestamp="1380687785"&gt;1334&lt;/key&gt;&lt;/foreign-keys&gt;&lt;ref-type name="Book Section"&gt;5&lt;/ref-type&gt;&lt;contributors&gt;&lt;authors&gt;&lt;author&gt;McFadden, Daniel&lt;/author&gt;&lt;/authors&gt;&lt;secondary-authors&gt;&lt;author&gt;Zarembka, P.&lt;/author&gt;&lt;/secondary-authors&gt;&lt;/contributors&gt;&lt;auth-address&gt;New York&lt;/auth-address&gt;&lt;titles&gt;&lt;title&gt;Conditional Logit Analysis of Qualitative Choice Behavior&lt;/title&gt;&lt;secondary-title&gt;Frontiers in econometrics&lt;/secondary-title&gt;&lt;/titles&gt;&lt;pages&gt;105-142&lt;/pages&gt;&lt;keywords&gt;&lt;keyword&gt;discrete_choice&lt;/keyword&gt;&lt;/keywords&gt;&lt;dates&gt;&lt;year&gt;1974&lt;/year&gt;&lt;/dates&gt;&lt;pub-location&gt;New York&lt;/pub-location&gt;&lt;publisher&gt;Academic Press&lt;/publisher&gt;&lt;urls&gt;&lt;/urls&gt;&lt;electronic-resource-num&gt;citeulike-article-id:912734&lt;/electronic-resource-num&gt;&lt;/record&gt;&lt;/Cite&gt;&lt;/EndNote&gt;</w:instrText>
      </w:r>
      <w:r w:rsidR="00406B75" w:rsidRPr="00FE162C">
        <w:fldChar w:fldCharType="separate"/>
      </w:r>
      <w:hyperlink w:anchor="_ENREF_49" w:tooltip="McFadden, 1974 #1334" w:history="1">
        <w:r w:rsidR="00AE5C10">
          <w:rPr>
            <w:noProof/>
          </w:rPr>
          <w:t xml:space="preserve">McFadden </w:t>
        </w:r>
        <w:r w:rsidR="00CA754F">
          <w:rPr>
            <w:noProof/>
          </w:rPr>
          <w:t>1974</w:t>
        </w:r>
      </w:hyperlink>
      <w:r w:rsidR="00406B75" w:rsidRPr="00FE162C">
        <w:fldChar w:fldCharType="end"/>
      </w:r>
      <w:r w:rsidRPr="00FE162C">
        <w:t xml:space="preserve">; </w:t>
      </w:r>
      <w:r w:rsidR="00406B75" w:rsidRPr="00FE162C">
        <w:fldChar w:fldCharType="begin"/>
      </w:r>
      <w:r w:rsidR="00CA754F">
        <w:instrText xml:space="preserve"> ADDIN EN.CITE &lt;EndNote&gt;&lt;Cite&gt;&lt;Author&gt;Manski&lt;/Author&gt;&lt;Year&gt;1977&lt;/Year&gt;&lt;RecNum&gt;1335&lt;/RecNum&gt;&lt;DisplayText&gt;Manski (1977)&lt;/DisplayText&gt;&lt;record&gt;&lt;rec-number&gt;1335&lt;/rec-number&gt;&lt;foreign-keys&gt;&lt;key app="EN" db-id="refafpv0nd2rd4e9e2qxeaf6rw5xxvv2ds22" timestamp="1380688939"&gt;1335&lt;/key&gt;&lt;/foreign-keys&gt;&lt;ref-type name="Book"&gt;6&lt;/ref-type&gt;&lt;contributors&gt;&lt;authors&gt;&lt;author&gt;Manski, C&lt;/author&gt;&lt;/authors&gt;&lt;/contributors&gt;&lt;titles&gt;&lt;title&gt;The structure of random utility models&lt;/title&gt;&lt;secondary-title&gt;Theory and Decision&lt;/secondary-title&gt;&lt;alt-title&gt;Theor Decis&lt;/alt-title&gt;&lt;/titles&gt;&lt;periodical&gt;&lt;full-title&gt;Theory and Decision&lt;/full-title&gt;&lt;abbr-1&gt;Theor Decis&lt;/abbr-1&gt;&lt;/periodical&gt;&lt;alt-periodical&gt;&lt;full-title&gt;Theory and Decision&lt;/full-title&gt;&lt;abbr-1&gt;Theor Decis&lt;/abbr-1&gt;&lt;/alt-periodical&gt;&lt;pages&gt;229-254&lt;/pages&gt;&lt;volume&gt;8&lt;/volume&gt;&lt;number&gt;3&lt;/number&gt;&lt;dates&gt;&lt;year&gt;1977&lt;/year&gt;&lt;pub-dates&gt;&lt;date&gt;1977/07/01&lt;/date&gt;&lt;/pub-dates&gt;&lt;/dates&gt;&lt;pub-location&gt;Dordrecht, The Netherlands&lt;/pub-location&gt;&lt;publisher&gt;Kluwer Academic Publishers&lt;/publisher&gt;&lt;isbn&gt;0040-5833&lt;/isbn&gt;&lt;urls&gt;&lt;related-urls&gt;&lt;url&gt;http://dx.doi.org/10.1007/BF00133443&lt;/url&gt;&lt;/related-urls&gt;&lt;/urls&gt;&lt;electronic-resource-num&gt;10.1007/bf00133443&lt;/electronic-resource-num&gt;&lt;language&gt;English&lt;/language&gt;&lt;/record&gt;&lt;/Cite&gt;&lt;/EndNote&gt;</w:instrText>
      </w:r>
      <w:r w:rsidR="00406B75" w:rsidRPr="00FE162C">
        <w:fldChar w:fldCharType="separate"/>
      </w:r>
      <w:hyperlink w:anchor="_ENREF_45" w:tooltip="Manski, 1977 #1335" w:history="1">
        <w:r w:rsidR="00AE5C10">
          <w:rPr>
            <w:noProof/>
          </w:rPr>
          <w:t xml:space="preserve">Manski </w:t>
        </w:r>
        <w:r w:rsidR="00CA754F">
          <w:rPr>
            <w:noProof/>
          </w:rPr>
          <w:t>1977</w:t>
        </w:r>
      </w:hyperlink>
      <w:r w:rsidR="00CA754F">
        <w:rPr>
          <w:noProof/>
        </w:rPr>
        <w:t>)</w:t>
      </w:r>
      <w:r w:rsidR="00406B75" w:rsidRPr="00FE162C">
        <w:fldChar w:fldCharType="end"/>
      </w:r>
      <w:r w:rsidRPr="00FE162C">
        <w:t xml:space="preserve">. The concepts underlying these theories and how they are combined in a discrete choice experiment are difficult to explain in a report </w:t>
      </w:r>
      <w:r w:rsidR="004257F7" w:rsidRPr="00FE162C">
        <w:t xml:space="preserve">whose audience includes many policy analysts. For this reason, we provide below </w:t>
      </w:r>
      <w:r w:rsidR="00AE5C10">
        <w:t xml:space="preserve">only </w:t>
      </w:r>
      <w:r w:rsidR="004257F7" w:rsidRPr="00FE162C">
        <w:t xml:space="preserve">a simple description of the method </w:t>
      </w:r>
      <w:r w:rsidR="00491041">
        <w:t>by way of an</w:t>
      </w:r>
      <w:r w:rsidR="004257F7" w:rsidRPr="00FE162C">
        <w:t xml:space="preserve"> example</w:t>
      </w:r>
      <w:r w:rsidR="00491041">
        <w:t>. For the interested reader</w:t>
      </w:r>
      <w:r w:rsidR="00456B5F">
        <w:t>,</w:t>
      </w:r>
      <w:r w:rsidR="00491041">
        <w:t xml:space="preserve"> further details are provided in a</w:t>
      </w:r>
      <w:r w:rsidR="00606F16" w:rsidRPr="00FE162C">
        <w:t xml:space="preserve">ppendix A and in </w:t>
      </w:r>
      <w:r w:rsidR="00406B75" w:rsidRPr="00FE162C">
        <w:fldChar w:fldCharType="begin"/>
      </w:r>
      <w:r w:rsidR="00CA754F">
        <w:instrText xml:space="preserve"> ADDIN EN.CITE &lt;EndNote&gt;&lt;Cite&gt;&lt;Author&gt;Hanneman&lt;/Author&gt;&lt;Year&gt;1999&lt;/Year&gt;&lt;RecNum&gt;938&lt;/RecNum&gt;&lt;DisplayText&gt;Hanneman (1999)&lt;/DisplayText&gt;&lt;record&gt;&lt;rec-number&gt;938&lt;/rec-number&gt;&lt;foreign-keys&gt;&lt;key app="EN" db-id="refafpv0nd2rd4e9e2qxeaf6rw5xxvv2ds22" timestamp="1322655741"&gt;938&lt;/key&gt;&lt;/foreign-keys&gt;&lt;ref-type name="Book Section"&gt;5&lt;/ref-type&gt;&lt;contributors&gt;&lt;authors&gt;&lt;author&gt;Hanneman, M&lt;/author&gt;&lt;/authors&gt;&lt;secondary-authors&gt;&lt;author&gt;Herriges, J&lt;/author&gt;&lt;author&gt;Kling, C&lt;/author&gt;&lt;/secondary-authors&gt;&lt;/contributors&gt;&lt;titles&gt;&lt;title&gt;Welfare analysis with discrete choice models&lt;/title&gt;&lt;secondary-title&gt;Valuing recreation and the environment&lt;/secondary-title&gt;&lt;/titles&gt;&lt;dates&gt;&lt;year&gt;1999&lt;/year&gt;&lt;/dates&gt;&lt;pub-location&gt;Cheltenham, UK&lt;/pub-location&gt;&lt;publisher&gt;Edward Elgar&lt;/publisher&gt;&lt;urls&gt;&lt;/urls&gt;&lt;/record&gt;&lt;/Cite&gt;&lt;/EndNote&gt;</w:instrText>
      </w:r>
      <w:r w:rsidR="00406B75" w:rsidRPr="00FE162C">
        <w:fldChar w:fldCharType="separate"/>
      </w:r>
      <w:hyperlink w:anchor="_ENREF_25" w:tooltip="Hanneman, 1999 #938" w:history="1">
        <w:r w:rsidR="00CA754F" w:rsidRPr="00FE162C">
          <w:rPr>
            <w:noProof/>
          </w:rPr>
          <w:t>Hanneman (1999</w:t>
        </w:r>
      </w:hyperlink>
      <w:r w:rsidR="00606F16" w:rsidRPr="00FE162C">
        <w:rPr>
          <w:noProof/>
        </w:rPr>
        <w:t>)</w:t>
      </w:r>
      <w:r w:rsidR="00406B75" w:rsidRPr="00FE162C">
        <w:fldChar w:fldCharType="end"/>
      </w:r>
      <w:r w:rsidR="00E36ADA" w:rsidRPr="00FE162C">
        <w:t>.</w:t>
      </w:r>
    </w:p>
    <w:p w:rsidR="004257F7" w:rsidRPr="00FE162C" w:rsidRDefault="005174CD" w:rsidP="00F74F68">
      <w:pPr>
        <w:pStyle w:val="Text"/>
      </w:pPr>
      <w:r w:rsidRPr="00FE162C">
        <w:t>First</w:t>
      </w:r>
      <w:r w:rsidR="004257F7" w:rsidRPr="00FE162C">
        <w:t xml:space="preserve"> we introduce some terminology. Typically, a discrete choice experiment is </w:t>
      </w:r>
      <w:r w:rsidR="004257F7" w:rsidRPr="00F74F68">
        <w:t>conducted</w:t>
      </w:r>
      <w:r w:rsidR="004257F7" w:rsidRPr="00FE162C">
        <w:t xml:space="preserve"> on a representative sample of individuals in the population of interest. Individuals are presented with a set of hypothetical scenarios or </w:t>
      </w:r>
      <w:r w:rsidR="004257F7" w:rsidRPr="00FE162C">
        <w:rPr>
          <w:i/>
        </w:rPr>
        <w:t>choice sets</w:t>
      </w:r>
      <w:r w:rsidR="004257F7" w:rsidRPr="00FE162C">
        <w:t xml:space="preserve">. In each choice set, individuals are offered the choice of several </w:t>
      </w:r>
      <w:r w:rsidR="004257F7" w:rsidRPr="00FE162C">
        <w:rPr>
          <w:i/>
          <w:iCs/>
        </w:rPr>
        <w:t>alternatives</w:t>
      </w:r>
      <w:r w:rsidR="00491041">
        <w:t>, from</w:t>
      </w:r>
      <w:r w:rsidR="004257F7" w:rsidRPr="00FE162C">
        <w:t xml:space="preserve"> which they have to select one. Each alternative is generally characterised by a number of </w:t>
      </w:r>
      <w:r w:rsidR="004257F7" w:rsidRPr="00FE162C">
        <w:rPr>
          <w:i/>
          <w:iCs/>
        </w:rPr>
        <w:t>attributes</w:t>
      </w:r>
      <w:r w:rsidR="004257F7" w:rsidRPr="00FE162C">
        <w:t xml:space="preserve"> </w:t>
      </w:r>
      <w:r w:rsidR="00AE5C10">
        <w:t>and</w:t>
      </w:r>
      <w:r w:rsidR="00FE4D17" w:rsidRPr="00FE162C">
        <w:t xml:space="preserve"> </w:t>
      </w:r>
      <w:r w:rsidR="00FE4D17" w:rsidRPr="00FE162C">
        <w:rPr>
          <w:i/>
          <w:iCs/>
        </w:rPr>
        <w:t>levels</w:t>
      </w:r>
      <w:r w:rsidR="00FE4D17" w:rsidRPr="00FE162C">
        <w:t xml:space="preserve"> of those attributes</w:t>
      </w:r>
      <w:r w:rsidR="004257F7" w:rsidRPr="00FE162C">
        <w:t>.</w:t>
      </w:r>
    </w:p>
    <w:p w:rsidR="0023581F" w:rsidRPr="00FE162C" w:rsidRDefault="0023581F" w:rsidP="00F74F68">
      <w:pPr>
        <w:pStyle w:val="Text"/>
      </w:pPr>
      <w:r w:rsidRPr="00FE162C">
        <w:t>Assuming</w:t>
      </w:r>
      <w:r w:rsidR="006D49BD" w:rsidRPr="00FE162C">
        <w:t xml:space="preserve"> </w:t>
      </w:r>
      <w:r w:rsidR="00491041">
        <w:t xml:space="preserve">that </w:t>
      </w:r>
      <w:r w:rsidR="006D49BD" w:rsidRPr="00FE162C">
        <w:t xml:space="preserve">individuals behave rationally, </w:t>
      </w:r>
      <w:r w:rsidRPr="00FE162C">
        <w:t>in the sense that they make consistent cho</w:t>
      </w:r>
      <w:r w:rsidR="006D49BD" w:rsidRPr="00FE162C">
        <w:t>ices</w:t>
      </w:r>
      <w:r w:rsidRPr="00FE162C">
        <w:t>, the data from the experiment allow an an</w:t>
      </w:r>
      <w:r w:rsidR="006D49BD" w:rsidRPr="00FE162C">
        <w:t>alyst to infer an individual</w:t>
      </w:r>
      <w:r w:rsidR="00602830">
        <w:t>’</w:t>
      </w:r>
      <w:r w:rsidR="006D49BD" w:rsidRPr="00FE162C">
        <w:t>s otherwise unobservable</w:t>
      </w:r>
      <w:r w:rsidRPr="00FE162C">
        <w:t xml:space="preserve"> preferences.</w:t>
      </w:r>
    </w:p>
    <w:p w:rsidR="00193F7F" w:rsidRPr="00FE162C" w:rsidRDefault="008807E7" w:rsidP="00F74F68">
      <w:pPr>
        <w:pStyle w:val="Text"/>
      </w:pPr>
      <w:r w:rsidRPr="00FE162C">
        <w:t>I</w:t>
      </w:r>
      <w:r w:rsidR="00193F7F" w:rsidRPr="00FE162C">
        <w:t xml:space="preserve">n a </w:t>
      </w:r>
      <w:r w:rsidR="00FE4D17" w:rsidRPr="00FE162C">
        <w:t xml:space="preserve">discrete </w:t>
      </w:r>
      <w:r w:rsidR="00193F7F" w:rsidRPr="00FE162C">
        <w:t xml:space="preserve">choice experiment on </w:t>
      </w:r>
      <w:r w:rsidR="00491041">
        <w:t xml:space="preserve">the </w:t>
      </w:r>
      <w:r w:rsidR="00193F7F" w:rsidRPr="00F74F68">
        <w:t>willingness</w:t>
      </w:r>
      <w:r w:rsidR="00193F7F" w:rsidRPr="00FE162C">
        <w:t xml:space="preserve"> to pay for housing,</w:t>
      </w:r>
      <w:r w:rsidRPr="00FE162C">
        <w:t xml:space="preserve"> for instance,</w:t>
      </w:r>
      <w:r w:rsidR="00193F7F" w:rsidRPr="00FE162C">
        <w:t xml:space="preserve"> the </w:t>
      </w:r>
      <w:r w:rsidR="00193F7F" w:rsidRPr="00FE162C">
        <w:rPr>
          <w:i/>
          <w:iCs/>
        </w:rPr>
        <w:t>alternatives</w:t>
      </w:r>
      <w:r w:rsidR="00193F7F" w:rsidRPr="00FE162C">
        <w:t xml:space="preserve"> are houses. The </w:t>
      </w:r>
      <w:r w:rsidR="00193F7F" w:rsidRPr="00FE162C">
        <w:rPr>
          <w:i/>
          <w:iCs/>
        </w:rPr>
        <w:t>attributes</w:t>
      </w:r>
      <w:r w:rsidR="00193F7F" w:rsidRPr="00FE162C">
        <w:t xml:space="preserve"> of the houses could be the construction material of the house, the number of rooms </w:t>
      </w:r>
      <w:r w:rsidR="00782E5B">
        <w:t xml:space="preserve">in </w:t>
      </w:r>
      <w:r w:rsidR="00491041">
        <w:t>the house</w:t>
      </w:r>
      <w:r w:rsidR="00193F7F" w:rsidRPr="00FE162C">
        <w:t xml:space="preserve"> and its price. The </w:t>
      </w:r>
      <w:r w:rsidR="00193F7F" w:rsidRPr="00FE162C">
        <w:rPr>
          <w:i/>
          <w:iCs/>
        </w:rPr>
        <w:t>levels</w:t>
      </w:r>
      <w:r w:rsidR="00193F7F" w:rsidRPr="00FE162C">
        <w:t xml:space="preserve"> of the construction material could be bricks or wood; the number of rooms c</w:t>
      </w:r>
      <w:r w:rsidR="00491041">
        <w:t>ould</w:t>
      </w:r>
      <w:r w:rsidR="00193F7F" w:rsidRPr="00FE162C">
        <w:t xml:space="preserve"> range from two to six; and price could range</w:t>
      </w:r>
      <w:r w:rsidR="00AE5C10">
        <w:t xml:space="preserve"> from</w:t>
      </w:r>
      <w:r w:rsidR="00491041">
        <w:t xml:space="preserve"> $300 000 to $700 000 in $100 </w:t>
      </w:r>
      <w:r w:rsidR="00193F7F" w:rsidRPr="00FE162C">
        <w:t>000 increments. Different combination</w:t>
      </w:r>
      <w:r w:rsidR="007D6FDA">
        <w:t>s</w:t>
      </w:r>
      <w:r w:rsidR="00193F7F" w:rsidRPr="00FE162C">
        <w:t xml:space="preserve"> of attribute</w:t>
      </w:r>
      <w:r w:rsidR="001A22F5" w:rsidRPr="00FE162C">
        <w:t xml:space="preserve"> levels</w:t>
      </w:r>
      <w:r w:rsidR="00AE5C10">
        <w:t xml:space="preserve"> define an alternative.</w:t>
      </w:r>
    </w:p>
    <w:p w:rsidR="00193F7F" w:rsidRPr="00FE162C" w:rsidRDefault="00531C82" w:rsidP="00F74F68">
      <w:pPr>
        <w:pStyle w:val="Text"/>
      </w:pPr>
      <w:r w:rsidRPr="00FE162C">
        <w:t>By choosing one alternati</w:t>
      </w:r>
      <w:r w:rsidR="00C45FB6" w:rsidRPr="00FE162C">
        <w:t>ve over all others from a choice set</w:t>
      </w:r>
      <w:r w:rsidRPr="00FE162C">
        <w:t>, the respondent is</w:t>
      </w:r>
      <w:r w:rsidR="00193F7F" w:rsidRPr="00FE162C">
        <w:t xml:space="preserve"> reveal</w:t>
      </w:r>
      <w:r w:rsidRPr="00FE162C">
        <w:t>ing</w:t>
      </w:r>
      <w:r w:rsidR="00193F7F" w:rsidRPr="00FE162C">
        <w:t xml:space="preserve"> their will</w:t>
      </w:r>
      <w:r w:rsidR="00713D03">
        <w:t xml:space="preserve">ingness to trade </w:t>
      </w:r>
      <w:r w:rsidR="00193F7F" w:rsidRPr="00FE162C">
        <w:t>off the various attributes associated with the alternative</w:t>
      </w:r>
      <w:r w:rsidR="00FE4D17" w:rsidRPr="00FE162C">
        <w:t>s</w:t>
      </w:r>
      <w:r w:rsidR="00193F7F" w:rsidRPr="00FE162C">
        <w:t xml:space="preserve">. In the case of the house, for example, an individual may choose a wooden house with </w:t>
      </w:r>
      <w:r w:rsidR="00713D03">
        <w:t>five</w:t>
      </w:r>
      <w:r w:rsidR="00456B5F">
        <w:t xml:space="preserve"> bedrooms</w:t>
      </w:r>
      <w:r w:rsidR="00713D03">
        <w:t xml:space="preserve"> </w:t>
      </w:r>
      <w:r w:rsidR="00713D03" w:rsidRPr="00F74F68">
        <w:t>costing</w:t>
      </w:r>
      <w:r w:rsidR="00713D03">
        <w:t xml:space="preserve"> $400 </w:t>
      </w:r>
      <w:r w:rsidR="00193F7F" w:rsidRPr="00FE162C">
        <w:t xml:space="preserve">000 over a brick house with </w:t>
      </w:r>
      <w:r w:rsidR="00713D03">
        <w:t>four</w:t>
      </w:r>
      <w:r w:rsidR="00193F7F" w:rsidRPr="00FE162C">
        <w:t xml:space="preserve"> bedrooms</w:t>
      </w:r>
      <w:r w:rsidR="00456B5F">
        <w:t xml:space="preserve"> costing $500 </w:t>
      </w:r>
      <w:r w:rsidR="00193F7F" w:rsidRPr="00FE162C">
        <w:t>000</w:t>
      </w:r>
      <w:r w:rsidR="00660A2C" w:rsidRPr="00FE162C">
        <w:t>, thus implicitly revealing a preference for</w:t>
      </w:r>
      <w:r w:rsidR="00B857EE" w:rsidRPr="00FE162C">
        <w:t xml:space="preserve"> an</w:t>
      </w:r>
      <w:r w:rsidR="00F74F68">
        <w:t> </w:t>
      </w:r>
      <w:r w:rsidR="00B857EE" w:rsidRPr="00FE162C">
        <w:t>additional bedroom and a wooden</w:t>
      </w:r>
      <w:r w:rsidR="00660A2C" w:rsidRPr="00FE162C">
        <w:t xml:space="preserve"> house. By observing the same individual</w:t>
      </w:r>
      <w:r w:rsidR="00602830">
        <w:t>’</w:t>
      </w:r>
      <w:r w:rsidR="00660A2C" w:rsidRPr="00FE162C">
        <w:t xml:space="preserve">s choice over many </w:t>
      </w:r>
      <w:r w:rsidR="00AE5C10">
        <w:lastRenderedPageBreak/>
        <w:t>different</w:t>
      </w:r>
      <w:r w:rsidR="001A22F5" w:rsidRPr="00FE162C">
        <w:t xml:space="preserve"> choice sets, we can statistically pin down</w:t>
      </w:r>
      <w:r w:rsidR="00660A2C" w:rsidRPr="00FE162C">
        <w:t xml:space="preserve"> the monetary value of each attribute</w:t>
      </w:r>
      <w:r w:rsidR="00FE4D17" w:rsidRPr="00FE162C">
        <w:t xml:space="preserve"> (see</w:t>
      </w:r>
      <w:r w:rsidR="00713D03">
        <w:t xml:space="preserve"> a</w:t>
      </w:r>
      <w:r w:rsidR="00660A2C" w:rsidRPr="00FE162C">
        <w:t>ppendix A</w:t>
      </w:r>
      <w:r w:rsidR="00FE4D17" w:rsidRPr="00FE162C">
        <w:t xml:space="preserve"> for further details)</w:t>
      </w:r>
      <w:r w:rsidR="00660A2C" w:rsidRPr="00FE162C">
        <w:t>.</w:t>
      </w:r>
    </w:p>
    <w:p w:rsidR="00193F7F" w:rsidRPr="00F74F68" w:rsidRDefault="002D105D" w:rsidP="00F74F68">
      <w:pPr>
        <w:pStyle w:val="Text"/>
        <w:ind w:right="-143"/>
      </w:pPr>
      <w:r w:rsidRPr="00FE162C">
        <w:t xml:space="preserve">In the </w:t>
      </w:r>
      <w:r w:rsidR="00AE5C10">
        <w:t>choice experiment,</w:t>
      </w:r>
      <w:r w:rsidRPr="00FE162C">
        <w:t xml:space="preserve"> </w:t>
      </w:r>
      <w:r w:rsidR="00713D03">
        <w:t xml:space="preserve">the </w:t>
      </w:r>
      <w:r w:rsidRPr="00FE162C">
        <w:t>indiv</w:t>
      </w:r>
      <w:r w:rsidR="007A230C">
        <w:t>iduals taking part</w:t>
      </w:r>
      <w:r w:rsidRPr="00FE162C">
        <w:t xml:space="preserve"> are t</w:t>
      </w:r>
      <w:r w:rsidR="00FF1B5B" w:rsidRPr="00FE162C">
        <w:t xml:space="preserve">ypically presented with </w:t>
      </w:r>
      <w:r w:rsidR="00EE0F35" w:rsidRPr="00FE162C">
        <w:t>a number of</w:t>
      </w:r>
      <w:r w:rsidR="00C45FB6" w:rsidRPr="00FE162C">
        <w:t xml:space="preserve"> choice sets</w:t>
      </w:r>
      <w:r w:rsidR="00EE0F35" w:rsidRPr="00FE162C">
        <w:t>, with</w:t>
      </w:r>
      <w:r w:rsidR="00FF1B5B" w:rsidRPr="00FE162C">
        <w:t xml:space="preserve"> the alternatives </w:t>
      </w:r>
      <w:r w:rsidR="00C45FB6" w:rsidRPr="00FE162C">
        <w:t xml:space="preserve">varying </w:t>
      </w:r>
      <w:r w:rsidRPr="00FE162C">
        <w:t xml:space="preserve">by level </w:t>
      </w:r>
      <w:r w:rsidR="00482B03" w:rsidRPr="00FE162C">
        <w:t>from set to set</w:t>
      </w:r>
      <w:r w:rsidR="00FF1B5B" w:rsidRPr="00FE162C">
        <w:t xml:space="preserve">. </w:t>
      </w:r>
      <w:r w:rsidR="00193F7F" w:rsidRPr="00FE162C">
        <w:t xml:space="preserve">Econometric methods are then used to analyse all </w:t>
      </w:r>
      <w:r w:rsidR="00782E5B">
        <w:t xml:space="preserve">the </w:t>
      </w:r>
      <w:r w:rsidR="00193F7F" w:rsidRPr="00FE162C">
        <w:t xml:space="preserve">responses of all </w:t>
      </w:r>
      <w:r w:rsidR="00782E5B">
        <w:t xml:space="preserve">the </w:t>
      </w:r>
      <w:r w:rsidR="00193F7F" w:rsidRPr="00FE162C">
        <w:t xml:space="preserve">individuals in the sample. The results provide estimates of, for instance, the average value placed on an additional room in a house or the difference in the value placed on a brick compared </w:t>
      </w:r>
      <w:r w:rsidR="00713D03">
        <w:t>with</w:t>
      </w:r>
      <w:r w:rsidR="00193F7F" w:rsidRPr="00FE162C">
        <w:t xml:space="preserve"> a wooden house.</w:t>
      </w:r>
      <w:r w:rsidR="00F03E4A" w:rsidRPr="00FE162C">
        <w:t xml:space="preserve"> </w:t>
      </w:r>
      <w:r w:rsidR="00F03E4A" w:rsidRPr="00F74F68">
        <w:t xml:space="preserve">Ultimately the aim is to estimate the </w:t>
      </w:r>
      <w:r w:rsidR="00C45FB6" w:rsidRPr="00F74F68">
        <w:t xml:space="preserve">relative </w:t>
      </w:r>
      <w:r w:rsidR="00F03E4A" w:rsidRPr="00F74F68">
        <w:t xml:space="preserve">value </w:t>
      </w:r>
      <w:r w:rsidR="00C45FB6" w:rsidRPr="00F74F68">
        <w:t xml:space="preserve">of </w:t>
      </w:r>
      <w:r w:rsidR="00F03E4A" w:rsidRPr="00F74F68">
        <w:t>each attribute.</w:t>
      </w:r>
    </w:p>
    <w:p w:rsidR="007672AB" w:rsidRPr="00F74F68" w:rsidRDefault="009E56A6" w:rsidP="00F74F68">
      <w:pPr>
        <w:pStyle w:val="Text"/>
      </w:pPr>
      <w:r w:rsidRPr="00F74F68">
        <w:t>T</w:t>
      </w:r>
      <w:r w:rsidR="003921C9" w:rsidRPr="00F74F68">
        <w:t>he advantage of a choice experiment over asking a direct question</w:t>
      </w:r>
      <w:r w:rsidR="003A1F42" w:rsidRPr="00F74F68">
        <w:t xml:space="preserve">, such as asking a person the amount </w:t>
      </w:r>
      <w:r w:rsidR="007A230C" w:rsidRPr="00F74F68">
        <w:t>they would be willing to pay</w:t>
      </w:r>
      <w:r w:rsidR="003921C9" w:rsidRPr="00F74F68">
        <w:t xml:space="preserve"> for</w:t>
      </w:r>
      <w:r w:rsidR="003A1F42" w:rsidRPr="00F74F68">
        <w:t xml:space="preserve"> a brick house with five rooms,</w:t>
      </w:r>
      <w:r w:rsidRPr="00F74F68">
        <w:t xml:space="preserve"> is that it allows </w:t>
      </w:r>
      <w:r w:rsidR="00713D03" w:rsidRPr="00F74F68">
        <w:t>an estimation of</w:t>
      </w:r>
      <w:r w:rsidRPr="00F74F68">
        <w:t xml:space="preserve"> the</w:t>
      </w:r>
      <w:r w:rsidR="007A230C" w:rsidRPr="00F74F68">
        <w:t xml:space="preserve"> relative</w:t>
      </w:r>
      <w:r w:rsidRPr="00F74F68">
        <w:t xml:space="preserve"> value of each level of an attribute.</w:t>
      </w:r>
      <w:r w:rsidR="00713D03" w:rsidRPr="00F74F68">
        <w:t xml:space="preserve"> </w:t>
      </w:r>
      <w:r w:rsidRPr="00F74F68">
        <w:t>I</w:t>
      </w:r>
      <w:r w:rsidR="003921C9" w:rsidRPr="00F74F68">
        <w:t>ndividual</w:t>
      </w:r>
      <w:r w:rsidRPr="00F74F68">
        <w:t>s generally have difficulty placing a value on a level of an</w:t>
      </w:r>
      <w:r w:rsidR="003921C9" w:rsidRPr="00F74F68">
        <w:t xml:space="preserve"> attribute because </w:t>
      </w:r>
      <w:r w:rsidRPr="00F74F68">
        <w:t>it is not</w:t>
      </w:r>
      <w:r w:rsidR="003921C9" w:rsidRPr="00F74F68">
        <w:t xml:space="preserve"> </w:t>
      </w:r>
      <w:r w:rsidRPr="00F74F68">
        <w:t>natural to consider an</w:t>
      </w:r>
      <w:r w:rsidR="003921C9" w:rsidRPr="00F74F68">
        <w:t xml:space="preserve"> attribute </w:t>
      </w:r>
      <w:r w:rsidRPr="00F74F68">
        <w:t xml:space="preserve">in isolation </w:t>
      </w:r>
      <w:r w:rsidR="00713D03" w:rsidRPr="00F74F68">
        <w:t xml:space="preserve">from </w:t>
      </w:r>
      <w:r w:rsidRPr="00F74F68">
        <w:t>other attributes</w:t>
      </w:r>
      <w:r w:rsidR="003921C9" w:rsidRPr="00F74F68">
        <w:t>.</w:t>
      </w:r>
      <w:r w:rsidR="00193F7F" w:rsidRPr="00F74F68">
        <w:t xml:space="preserve"> </w:t>
      </w:r>
      <w:r w:rsidRPr="00F74F68">
        <w:t>In a</w:t>
      </w:r>
      <w:r w:rsidR="00193F7F" w:rsidRPr="00F74F68">
        <w:t xml:space="preserve"> choice experiment </w:t>
      </w:r>
      <w:r w:rsidRPr="00F74F68">
        <w:t>this problem is ove</w:t>
      </w:r>
      <w:r w:rsidR="007A230C" w:rsidRPr="00F74F68">
        <w:t xml:space="preserve">rcome by </w:t>
      </w:r>
      <w:r w:rsidR="00713D03" w:rsidRPr="00F74F68">
        <w:t xml:space="preserve">an </w:t>
      </w:r>
      <w:r w:rsidR="007A230C" w:rsidRPr="00F74F68">
        <w:t>appropriate design</w:t>
      </w:r>
      <w:r w:rsidR="00193F7F" w:rsidRPr="00F74F68">
        <w:t xml:space="preserve"> and </w:t>
      </w:r>
      <w:r w:rsidR="00D45F12" w:rsidRPr="00F74F68">
        <w:t xml:space="preserve">the use of appropriate </w:t>
      </w:r>
      <w:r w:rsidR="00193F7F" w:rsidRPr="00F74F68">
        <w:t>stat</w:t>
      </w:r>
      <w:r w:rsidR="00F03E4A" w:rsidRPr="00F74F68">
        <w:t>istical methods</w:t>
      </w:r>
      <w:r w:rsidR="00713D03" w:rsidRPr="00F74F68">
        <w:t xml:space="preserve"> for </w:t>
      </w:r>
      <w:r w:rsidR="00782E5B">
        <w:t xml:space="preserve">the </w:t>
      </w:r>
      <w:r w:rsidR="00713D03" w:rsidRPr="00F74F68">
        <w:t>analyse</w:t>
      </w:r>
      <w:r w:rsidR="00D45F12" w:rsidRPr="00F74F68">
        <w:t>s</w:t>
      </w:r>
      <w:r w:rsidR="007672AB" w:rsidRPr="00F74F68">
        <w:t>.</w:t>
      </w:r>
    </w:p>
    <w:p w:rsidR="00F03E4A" w:rsidRPr="00FE162C" w:rsidRDefault="00E323FF" w:rsidP="00F74F68">
      <w:pPr>
        <w:pStyle w:val="Text"/>
      </w:pPr>
      <w:r w:rsidRPr="00F74F68">
        <w:t>The following section outlines the design</w:t>
      </w:r>
      <w:r w:rsidRPr="00FE162C">
        <w:t xml:space="preserve"> of</w:t>
      </w:r>
      <w:r w:rsidR="00F03E4A" w:rsidRPr="00FE162C">
        <w:t xml:space="preserve"> the discrete choice experiment to investigate</w:t>
      </w:r>
      <w:r w:rsidR="007A230C">
        <w:t xml:space="preserve"> the</w:t>
      </w:r>
      <w:r w:rsidR="00F03E4A" w:rsidRPr="00FE162C">
        <w:t xml:space="preserve"> willingness to move locati</w:t>
      </w:r>
      <w:r w:rsidR="007A230C">
        <w:t>on for a job.</w:t>
      </w:r>
    </w:p>
    <w:p w:rsidR="00EA5956" w:rsidRPr="00FE162C" w:rsidRDefault="00D91D47" w:rsidP="00924C27">
      <w:pPr>
        <w:pStyle w:val="Heading2"/>
        <w:rPr>
          <w:color w:val="000000" w:themeColor="text1"/>
        </w:rPr>
      </w:pPr>
      <w:bookmarkStart w:id="47" w:name="_Toc386530487"/>
      <w:r w:rsidRPr="00FE162C">
        <w:rPr>
          <w:color w:val="000000" w:themeColor="text1"/>
        </w:rPr>
        <w:t>Selection of experimental d</w:t>
      </w:r>
      <w:r w:rsidR="00924C27" w:rsidRPr="00FE162C">
        <w:rPr>
          <w:color w:val="000000" w:themeColor="text1"/>
        </w:rPr>
        <w:t xml:space="preserve">esign </w:t>
      </w:r>
      <w:r w:rsidRPr="00FE162C">
        <w:rPr>
          <w:color w:val="000000" w:themeColor="text1"/>
        </w:rPr>
        <w:t xml:space="preserve">and construction </w:t>
      </w:r>
      <w:r w:rsidR="00924C27" w:rsidRPr="00FE162C">
        <w:rPr>
          <w:color w:val="000000" w:themeColor="text1"/>
        </w:rPr>
        <w:t>of</w:t>
      </w:r>
      <w:r w:rsidR="00EA5956" w:rsidRPr="00FE162C">
        <w:rPr>
          <w:color w:val="000000" w:themeColor="text1"/>
        </w:rPr>
        <w:t xml:space="preserve"> </w:t>
      </w:r>
      <w:r w:rsidRPr="00FE162C">
        <w:rPr>
          <w:color w:val="000000" w:themeColor="text1"/>
        </w:rPr>
        <w:t>choice sets</w:t>
      </w:r>
      <w:bookmarkEnd w:id="47"/>
    </w:p>
    <w:p w:rsidR="00785419" w:rsidRPr="00F74F68" w:rsidRDefault="00E323FF" w:rsidP="00F74F68">
      <w:pPr>
        <w:pStyle w:val="Text"/>
      </w:pPr>
      <w:r w:rsidRPr="00FE162C">
        <w:t>The aim of this study is to p</w:t>
      </w:r>
      <w:r w:rsidR="00713D03">
        <w:t>rovide policy-</w:t>
      </w:r>
      <w:r w:rsidRPr="00FE162C">
        <w:t xml:space="preserve">makers with quantitative measures of the relative importance of </w:t>
      </w:r>
      <w:r w:rsidR="00713D03">
        <w:t xml:space="preserve">the </w:t>
      </w:r>
      <w:r w:rsidRPr="00FE162C">
        <w:t xml:space="preserve">different job characteristics that influence the choice of workers </w:t>
      </w:r>
      <w:r w:rsidR="00456B5F">
        <w:t>to move</w:t>
      </w:r>
      <w:r w:rsidRPr="00FE162C">
        <w:t xml:space="preserve"> to work in </w:t>
      </w:r>
      <w:r w:rsidR="00713D03">
        <w:t xml:space="preserve">those areas of </w:t>
      </w:r>
      <w:r w:rsidRPr="00FE162C">
        <w:t>regional Australia where th</w:t>
      </w:r>
      <w:r w:rsidR="00B46D83" w:rsidRPr="00FE162C">
        <w:t>ere have been reports of skill shortages and high levels of job vacancies</w:t>
      </w:r>
      <w:r w:rsidRPr="00FE162C">
        <w:t>.</w:t>
      </w:r>
      <w:r w:rsidR="00B46D83" w:rsidRPr="00FE162C">
        <w:t xml:space="preserve"> We consider </w:t>
      </w:r>
      <w:r w:rsidR="00713D03">
        <w:t xml:space="preserve">the </w:t>
      </w:r>
      <w:r w:rsidR="00B46D83" w:rsidRPr="00FE162C">
        <w:t>willingness to move</w:t>
      </w:r>
      <w:r w:rsidR="007A230C">
        <w:t xml:space="preserve"> for work</w:t>
      </w:r>
      <w:r w:rsidR="00B46D83" w:rsidRPr="00FE162C">
        <w:t xml:space="preserve"> of people living in New South Wales and South Australia, two states which at the time of the study had pockets of high unemployment. Each person in the experiment is offered </w:t>
      </w:r>
      <w:r w:rsidR="007A230C">
        <w:t xml:space="preserve">a </w:t>
      </w:r>
      <w:r w:rsidR="00606F16" w:rsidRPr="00FE162C">
        <w:t xml:space="preserve">choice of jobs in just </w:t>
      </w:r>
      <w:r w:rsidR="00606F16" w:rsidRPr="00FE162C">
        <w:rPr>
          <w:i/>
          <w:iCs/>
        </w:rPr>
        <w:t>one</w:t>
      </w:r>
      <w:r w:rsidR="00606F16" w:rsidRPr="00FE162C">
        <w:t xml:space="preserve"> of two regional locations: Karratha in Western </w:t>
      </w:r>
      <w:r w:rsidR="00606F16" w:rsidRPr="00F74F68">
        <w:t>Australia or Emerald in Queensland.</w:t>
      </w:r>
      <w:r w:rsidR="00595CFC" w:rsidRPr="00F74F68">
        <w:t xml:space="preserve"> </w:t>
      </w:r>
      <w:r w:rsidR="007A230C" w:rsidRPr="00F74F68">
        <w:t>This will allow</w:t>
      </w:r>
      <w:r w:rsidR="00BF3886" w:rsidRPr="00F74F68">
        <w:t xml:space="preserve"> us to determine </w:t>
      </w:r>
      <w:r w:rsidR="00713D03" w:rsidRPr="00F74F68">
        <w:t>whether</w:t>
      </w:r>
      <w:r w:rsidR="00BF3886" w:rsidRPr="00F74F68">
        <w:t xml:space="preserve"> the location</w:t>
      </w:r>
      <w:r w:rsidR="004C61FA" w:rsidRPr="00F74F68">
        <w:t xml:space="preserve"> is a factor in the willingness-to-</w:t>
      </w:r>
      <w:r w:rsidR="00BF3886" w:rsidRPr="00F74F68">
        <w:t>move decision.</w:t>
      </w:r>
    </w:p>
    <w:p w:rsidR="00DE1C00" w:rsidRPr="00FE162C" w:rsidRDefault="00EA5956" w:rsidP="00F74F68">
      <w:pPr>
        <w:pStyle w:val="Text"/>
      </w:pPr>
      <w:r w:rsidRPr="00F74F68">
        <w:t xml:space="preserve">The study is </w:t>
      </w:r>
      <w:r w:rsidR="000907F6" w:rsidRPr="00F74F68">
        <w:t>designed</w:t>
      </w:r>
      <w:r w:rsidR="000907F6" w:rsidRPr="00FE162C">
        <w:t xml:space="preserve"> </w:t>
      </w:r>
      <w:r w:rsidRPr="00FE162C">
        <w:t>to investigate:</w:t>
      </w:r>
    </w:p>
    <w:p w:rsidR="00EA5956" w:rsidRPr="00FE162C" w:rsidRDefault="00D45F12" w:rsidP="00F74F68">
      <w:pPr>
        <w:pStyle w:val="Dotpoint1"/>
      </w:pPr>
      <w:r w:rsidRPr="00FE162C">
        <w:t>How wage incentives</w:t>
      </w:r>
      <w:r w:rsidR="00494AF0">
        <w:t xml:space="preserve"> to accept a job in one of these locations</w:t>
      </w:r>
      <w:r w:rsidR="00DE1C00" w:rsidRPr="00FE162C">
        <w:t xml:space="preserve"> vary </w:t>
      </w:r>
      <w:r w:rsidR="00ED5164">
        <w:t>with individual characteristics.</w:t>
      </w:r>
    </w:p>
    <w:p w:rsidR="00EA5956" w:rsidRPr="00FE162C" w:rsidRDefault="00DE1C00" w:rsidP="00F74F68">
      <w:pPr>
        <w:pStyle w:val="Dotpoint1"/>
      </w:pPr>
      <w:r w:rsidRPr="00FE162C">
        <w:t xml:space="preserve">How </w:t>
      </w:r>
      <w:r w:rsidR="00494AF0">
        <w:t>individuals value</w:t>
      </w:r>
      <w:r w:rsidR="009B1A74">
        <w:t>,</w:t>
      </w:r>
      <w:r w:rsidR="00494AF0">
        <w:t xml:space="preserve"> in </w:t>
      </w:r>
      <w:r w:rsidRPr="00FE162C">
        <w:t>wage</w:t>
      </w:r>
      <w:r w:rsidR="00494AF0">
        <w:t>-equivalent terms</w:t>
      </w:r>
      <w:r w:rsidR="009B1A74">
        <w:t>,</w:t>
      </w:r>
      <w:r w:rsidR="00494AF0">
        <w:t xml:space="preserve"> the relative importance of the different</w:t>
      </w:r>
      <w:r w:rsidR="00D45F12" w:rsidRPr="00FE162C">
        <w:t xml:space="preserve"> job characteristics?</w:t>
      </w:r>
      <w:r w:rsidR="000E5321" w:rsidRPr="00FE162C">
        <w:t xml:space="preserve"> </w:t>
      </w:r>
      <w:r w:rsidR="00513B93" w:rsidRPr="00FE162C">
        <w:t>We focus</w:t>
      </w:r>
      <w:r w:rsidR="00EA5956" w:rsidRPr="00FE162C">
        <w:t xml:space="preserve"> on the following job characteristics:</w:t>
      </w:r>
    </w:p>
    <w:p w:rsidR="00EA5956" w:rsidRPr="00FE162C" w:rsidRDefault="00EA5956" w:rsidP="00F74F68">
      <w:pPr>
        <w:pStyle w:val="Dotpoint2"/>
      </w:pPr>
      <w:r w:rsidRPr="00FE162C">
        <w:t>geographical location of work</w:t>
      </w:r>
    </w:p>
    <w:p w:rsidR="00EA5956" w:rsidRPr="00FE162C" w:rsidRDefault="00657067" w:rsidP="00F74F68">
      <w:pPr>
        <w:pStyle w:val="Dotpoint2"/>
      </w:pPr>
      <w:r w:rsidRPr="00FE162C">
        <w:t>fly-in/fly</w:t>
      </w:r>
      <w:r w:rsidR="008A3172" w:rsidRPr="00FE162C">
        <w:t>-out</w:t>
      </w:r>
      <w:r w:rsidR="00513B93" w:rsidRPr="00FE162C">
        <w:t xml:space="preserve"> </w:t>
      </w:r>
      <w:r w:rsidR="00EA5956" w:rsidRPr="00FE162C">
        <w:t>versus permanent relocation</w:t>
      </w:r>
    </w:p>
    <w:p w:rsidR="00B31273" w:rsidRPr="00FE162C" w:rsidRDefault="00B31273" w:rsidP="00F74F68">
      <w:pPr>
        <w:pStyle w:val="Dotpoint2"/>
      </w:pPr>
      <w:r w:rsidRPr="00FE162C">
        <w:t>ongoing versus fixed-term contract</w:t>
      </w:r>
    </w:p>
    <w:p w:rsidR="00EA5956" w:rsidRPr="00FE162C" w:rsidRDefault="00B31273" w:rsidP="00F74F68">
      <w:pPr>
        <w:pStyle w:val="Dotpoint2"/>
      </w:pPr>
      <w:r w:rsidRPr="00FE162C">
        <w:t xml:space="preserve">an </w:t>
      </w:r>
      <w:r w:rsidR="00EA5956" w:rsidRPr="00FE162C">
        <w:t>initial training requirement</w:t>
      </w:r>
      <w:r w:rsidR="00F71A29" w:rsidRPr="00FE162C">
        <w:t xml:space="preserve"> versus no training requirement</w:t>
      </w:r>
      <w:r w:rsidR="00EA5956" w:rsidRPr="00FE162C">
        <w:t>.</w:t>
      </w:r>
    </w:p>
    <w:p w:rsidR="004A0BF1" w:rsidRPr="00FE162C" w:rsidRDefault="000E5321" w:rsidP="00F74F68">
      <w:pPr>
        <w:pStyle w:val="Text"/>
      </w:pPr>
      <w:r w:rsidRPr="00FE162C">
        <w:t xml:space="preserve">The job characteristics </w:t>
      </w:r>
      <w:r w:rsidR="004C61FA">
        <w:t xml:space="preserve">given above </w:t>
      </w:r>
      <w:r w:rsidRPr="00FE162C">
        <w:t>are some of the most important</w:t>
      </w:r>
      <w:r w:rsidR="00D91D47" w:rsidRPr="00FE162C">
        <w:t xml:space="preserve"> in the context</w:t>
      </w:r>
      <w:r w:rsidR="00494AF0">
        <w:t xml:space="preserve"> of where</w:t>
      </w:r>
      <w:r w:rsidR="00A13D63" w:rsidRPr="00FE162C">
        <w:t xml:space="preserve"> jobs are</w:t>
      </w:r>
      <w:r w:rsidRPr="00FE162C">
        <w:t xml:space="preserve"> offere</w:t>
      </w:r>
      <w:r w:rsidR="00D91D47" w:rsidRPr="00FE162C">
        <w:t>d</w:t>
      </w:r>
      <w:r w:rsidR="00855597" w:rsidRPr="00FE162C">
        <w:t>,</w:t>
      </w:r>
      <w:r w:rsidR="00B9246F" w:rsidRPr="00FE162C">
        <w:t xml:space="preserve"> </w:t>
      </w:r>
      <w:r w:rsidR="00D91D47" w:rsidRPr="00FE162C">
        <w:t>and to whom</w:t>
      </w:r>
      <w:r w:rsidR="00855597" w:rsidRPr="00FE162C">
        <w:t>,</w:t>
      </w:r>
      <w:r w:rsidR="00D91D47" w:rsidRPr="00FE162C">
        <w:t xml:space="preserve"> </w:t>
      </w:r>
      <w:r w:rsidR="008445F3">
        <w:t>in this study</w:t>
      </w:r>
      <w:r w:rsidRPr="00FE162C">
        <w:t xml:space="preserve">. </w:t>
      </w:r>
      <w:r w:rsidR="004F14FE" w:rsidRPr="00FE162C">
        <w:t xml:space="preserve">For instance, </w:t>
      </w:r>
      <w:r w:rsidR="00406B75">
        <w:fldChar w:fldCharType="begin"/>
      </w:r>
      <w:r w:rsidR="008445F3">
        <w:instrText xml:space="preserve"> ADDIN EN.CITE &lt;EndNote&gt;&lt;Cite&gt;&lt;Author&gt;Bahn&lt;/Author&gt;&lt;Year&gt;2012&lt;/Year&gt;&lt;RecNum&gt;1362&lt;/RecNum&gt;&lt;DisplayText&gt;Bahn, Yap and Barratt-Pugh (2012)&lt;/DisplayText&gt;&lt;record&gt;&lt;rec-number&gt;1362&lt;/rec-number&gt;&lt;foreign-keys&gt;&lt;key app="EN" db-id="refafpv0nd2rd4e9e2qxeaf6rw5xxvv2ds22" timestamp="1392094154"&gt;1362&lt;/key&gt;&lt;/foreign-keys&gt;&lt;ref-type name="Report"&gt;27&lt;/ref-type&gt;&lt;contributors&gt;&lt;authors&gt;&lt;author&gt;Bahn, S&lt;/author&gt;&lt;author&gt;Yap, G&lt;/author&gt;&lt;author&gt;Barratt-Pugh, L&lt;/author&gt;&lt;/authors&gt;&lt;/contributors&gt;&lt;titles&gt;&lt;title&gt;457 visa workers in the Western Australian resources industry&lt;/title&gt;&lt;/titles&gt;&lt;dates&gt;&lt;year&gt;2012&lt;/year&gt;&lt;/dates&gt;&lt;pub-location&gt;Perth&lt;/pub-location&gt;&lt;publisher&gt;Centre for Innovative Practice, Edith Cowan University&lt;/publisher&gt;&lt;urls&gt;&lt;related-urls&gt;&lt;url&gt;https://www.ecu.edu.au/__data/assets/pdf_file/0003/406353/FINAL-34028-ECU_Research_Report-Web.pdf&lt;/url&gt;&lt;/related-urls&gt;&lt;/urls&gt;&lt;access-date&gt;11 February 2014&lt;/access-date&gt;&lt;/record&gt;&lt;/Cite&gt;&lt;/EndNote&gt;</w:instrText>
      </w:r>
      <w:r w:rsidR="00406B75">
        <w:fldChar w:fldCharType="separate"/>
      </w:r>
      <w:hyperlink w:anchor="_ENREF_7" w:tooltip="Bahn, 2012 #1362" w:history="1">
        <w:r w:rsidR="008445F3">
          <w:rPr>
            <w:noProof/>
          </w:rPr>
          <w:t>Bahn, Yap and Barratt-Pugh (2012</w:t>
        </w:r>
      </w:hyperlink>
      <w:r w:rsidR="008445F3">
        <w:rPr>
          <w:noProof/>
        </w:rPr>
        <w:t>)</w:t>
      </w:r>
      <w:r w:rsidR="00406B75">
        <w:fldChar w:fldCharType="end"/>
      </w:r>
      <w:r w:rsidR="008445F3">
        <w:t xml:space="preserve"> reported</w:t>
      </w:r>
      <w:r w:rsidR="004F14FE" w:rsidRPr="00FE162C">
        <w:t xml:space="preserve"> </w:t>
      </w:r>
      <w:r w:rsidR="00602830">
        <w:t>‘</w:t>
      </w:r>
      <w:r w:rsidR="004F14FE" w:rsidRPr="00FE162C">
        <w:t>a genuine reluctance by skilled and experienced workers to move from Australia</w:t>
      </w:r>
      <w:r w:rsidR="00602830">
        <w:t>’</w:t>
      </w:r>
      <w:r w:rsidR="004F14FE" w:rsidRPr="00FE162C">
        <w:t>s east to remote locations in Western Australia</w:t>
      </w:r>
      <w:r w:rsidR="00602830">
        <w:t>’</w:t>
      </w:r>
      <w:r w:rsidR="004F14FE" w:rsidRPr="00FE162C">
        <w:t xml:space="preserve">. As already discussed, fly-in/fly-out contracts are frequently used in the resources sector but they have become a cause of concern lately in terms of the risk they pose for the sustainability of regional </w:t>
      </w:r>
      <w:r w:rsidR="006C1461" w:rsidRPr="00FE162C">
        <w:t>communities</w:t>
      </w:r>
      <w:r w:rsidR="00C02077" w:rsidRPr="00FE162C">
        <w:t xml:space="preserve"> (</w:t>
      </w:r>
      <w:r w:rsidR="00406B75">
        <w:fldChar w:fldCharType="begin"/>
      </w:r>
      <w:r w:rsidR="00CA754F">
        <w:instrText xml:space="preserve"> ADDIN EN.CITE &lt;EndNote&gt;&lt;Cite&gt;&lt;Author&gt;House of Representatives Standing Committee on Regional Australia&lt;/Author&gt;&lt;Year&gt;2013&lt;/Year&gt;&lt;RecNum&gt;1359&lt;/RecNum&gt;&lt;DisplayText&gt;House of Representatives Standing Committee on Regional Australia (2013)&lt;/DisplayText&gt;&lt;record&gt;&lt;rec-number&gt;1359&lt;/rec-number&gt;&lt;foreign-keys&gt;&lt;key app="EN" db-id="refafpv0nd2rd4e9e2qxeaf6rw5xxvv2ds22" timestamp="1391062828"&gt;1359&lt;/key&gt;&lt;/foreign-keys&gt;&lt;ref-type name="Report"&gt;27&lt;/ref-type&gt;&lt;contributors&gt;&lt;authors&gt;&lt;author&gt;House of Representatives Standing Committee on Regional Australia,&lt;/author&gt;&lt;/authors&gt;&lt;/contributors&gt;&lt;titles&gt;&lt;title&gt;Cancer of the bush or salvation for our cities? Fly-in, fly-out and drive-in, drive-out workforce practices in Regional Australia&lt;/title&gt;&lt;/titles&gt;&lt;dates&gt;&lt;year&gt;2013&lt;/year&gt;&lt;/dates&gt;&lt;pub-location&gt;Canberra&lt;/pub-location&gt;&lt;publisher&gt;Commonwealth of Australia&lt;/publisher&gt;&lt;urls&gt;&lt;related-urls&gt;&lt;url&gt;http://www.aph.gov.au/parliamentary_business/committees/house_of_representatives_committees?url=ra/fifodido/index.htm&lt;/url&gt;&lt;/related-urls&gt;&lt;/urls&gt;&lt;access-date&gt;30 January 2014&lt;/access-date&gt;&lt;/record&gt;&lt;/Cite&gt;&lt;/EndNote&gt;</w:instrText>
      </w:r>
      <w:r w:rsidR="00406B75">
        <w:fldChar w:fldCharType="separate"/>
      </w:r>
      <w:hyperlink w:anchor="_ENREF_29" w:tooltip="House of Representatives Standing Committee on Regional Australia, 2013 #1359" w:history="1">
        <w:r w:rsidR="00CA754F">
          <w:rPr>
            <w:noProof/>
          </w:rPr>
          <w:t xml:space="preserve">House of Representatives Standing Committee on </w:t>
        </w:r>
        <w:r w:rsidR="008445F3">
          <w:rPr>
            <w:noProof/>
          </w:rPr>
          <w:t xml:space="preserve">Regional Australia </w:t>
        </w:r>
        <w:r w:rsidR="00CA754F">
          <w:rPr>
            <w:noProof/>
          </w:rPr>
          <w:t>2013</w:t>
        </w:r>
      </w:hyperlink>
      <w:r w:rsidR="00406B75">
        <w:fldChar w:fldCharType="end"/>
      </w:r>
      <w:r w:rsidR="00C02077" w:rsidRPr="00FE162C">
        <w:t xml:space="preserve">; </w:t>
      </w:r>
      <w:r w:rsidR="00406B75">
        <w:fldChar w:fldCharType="begin"/>
      </w:r>
      <w:r w:rsidR="00CA754F">
        <w:instrText xml:space="preserve"> ADDIN EN.CITE &lt;EndNote&gt;&lt;Cite&gt;&lt;Author&gt;Barclay&lt;/Author&gt;&lt;Year&gt;2011&lt;/Year&gt;&lt;RecNum&gt;1094&lt;/RecNum&gt;&lt;DisplayText&gt;Barclay (2011)&lt;/DisplayText&gt;&lt;record&gt;&lt;rec-number&gt;1094&lt;/rec-number&gt;&lt;foreign-keys&gt;&lt;key app="EN" db-id="refafpv0nd2rd4e9e2qxeaf6rw5xxvv2ds22" timestamp="1353221526"&gt;1094&lt;/key&gt;&lt;/foreign-keys&gt;&lt;ref-type name="Film or Broadcast"&gt;21&lt;/ref-type&gt;&lt;contributors&gt;&lt;authors&gt;&lt;author&gt;Barclay, P&lt;/author&gt;&lt;/authors&gt;&lt;/contributors&gt;&lt;titles&gt;&lt;title&gt;Fly in / fly out workforce&lt;/title&gt;&lt;secondary-title&gt;Australia Talks&lt;/secondary-title&gt;&lt;/titles&gt;&lt;dates&gt;&lt;year&gt;2011&lt;/year&gt;&lt;/dates&gt;&lt;publisher&gt;ABC&lt;/publisher&gt;&lt;urls&gt;&lt;related-urls&gt;&lt;url&gt;http://www.abc.net.au/radionational/programs/australiatalks/2011-12-06/3696032&lt;/url&gt;&lt;/related-urls&gt;&lt;/urls&gt;&lt;access-date&gt;18 November 2011&lt;/access-date&gt;&lt;/record&gt;&lt;/Cite&gt;&lt;/EndNote&gt;</w:instrText>
      </w:r>
      <w:r w:rsidR="00406B75">
        <w:fldChar w:fldCharType="separate"/>
      </w:r>
      <w:hyperlink w:anchor="_ENREF_9" w:tooltip="Barclay, 2011 #1094" w:history="1">
        <w:r w:rsidR="008445F3">
          <w:rPr>
            <w:noProof/>
          </w:rPr>
          <w:t xml:space="preserve">Barclay </w:t>
        </w:r>
        <w:r w:rsidR="00CA754F">
          <w:rPr>
            <w:noProof/>
          </w:rPr>
          <w:t>2011</w:t>
        </w:r>
      </w:hyperlink>
      <w:r w:rsidR="00406B75">
        <w:fldChar w:fldCharType="end"/>
      </w:r>
      <w:r w:rsidR="00C02077" w:rsidRPr="00FE162C">
        <w:t xml:space="preserve">; </w:t>
      </w:r>
      <w:r w:rsidR="00406B75">
        <w:fldChar w:fldCharType="begin"/>
      </w:r>
      <w:r w:rsidR="00CA754F">
        <w:instrText xml:space="preserve"> ADDIN EN.CITE &lt;EndNote&gt;&lt;Cite&gt;&lt;Author&gt;Buchanan&lt;/Author&gt;&lt;Year&gt;2011&lt;/Year&gt;&lt;RecNum&gt;1093&lt;/RecNum&gt;&lt;DisplayText&gt;Buchanan, Baldwin and Wright (2011)&lt;/DisplayText&gt;&lt;record&gt;&lt;rec-number&gt;1093&lt;/rec-number&gt;&lt;foreign-keys&gt;&lt;key app="EN" db-id="refafpv0nd2rd4e9e2qxeaf6rw5xxvv2ds22" timestamp="1353221028"&gt;1093&lt;/key&gt;&lt;/foreign-keys&gt;&lt;ref-type name="Working paper"&gt;40&lt;/ref-type&gt;&lt;contributors&gt;&lt;authors&gt;&lt;author&gt;Buchanan, J&lt;/author&gt;&lt;author&gt;Baldwin, S&lt;/author&gt;&lt;author&gt;Wright, S&lt;/author&gt;&lt;/authors&gt;&lt;/contributors&gt;&lt;titles&gt;&lt;title&gt;Understanding and improving labour mobility: a scoping paper &lt;/title&gt;&lt;/titles&gt;&lt;number&gt;Occasional paper&lt;/number&gt;&lt;dates&gt;&lt;year&gt;2011&lt;/year&gt;&lt;/dates&gt;&lt;pub-location&gt;Adelaide&lt;/pub-location&gt;&lt;publisher&gt;NCVER&lt;/publisher&gt;&lt;urls&gt;&lt;/urls&gt;&lt;/record&gt;&lt;/Cite&gt;&lt;/EndNote&gt;</w:instrText>
      </w:r>
      <w:r w:rsidR="00406B75">
        <w:fldChar w:fldCharType="separate"/>
      </w:r>
      <w:hyperlink w:anchor="_ENREF_13" w:tooltip="Buchanan, 2011 #1093" w:history="1">
        <w:r w:rsidR="008445F3">
          <w:rPr>
            <w:noProof/>
          </w:rPr>
          <w:t xml:space="preserve">Buchanan, Baldwin </w:t>
        </w:r>
        <w:r w:rsidR="00ED5164">
          <w:rPr>
            <w:noProof/>
          </w:rPr>
          <w:t>&amp;</w:t>
        </w:r>
        <w:r w:rsidR="008445F3">
          <w:rPr>
            <w:noProof/>
          </w:rPr>
          <w:t xml:space="preserve"> Wright </w:t>
        </w:r>
        <w:r w:rsidR="00CA754F">
          <w:rPr>
            <w:noProof/>
          </w:rPr>
          <w:t>2011</w:t>
        </w:r>
      </w:hyperlink>
      <w:r w:rsidR="00CA754F">
        <w:rPr>
          <w:noProof/>
        </w:rPr>
        <w:t>)</w:t>
      </w:r>
      <w:r w:rsidR="00406B75">
        <w:fldChar w:fldCharType="end"/>
      </w:r>
      <w:r w:rsidR="006C1461" w:rsidRPr="00FE162C">
        <w:t>.</w:t>
      </w:r>
      <w:r w:rsidR="00B9246F" w:rsidRPr="00FE162C">
        <w:t xml:space="preserve"> The inclusion of initial training as a </w:t>
      </w:r>
      <w:r w:rsidR="00B9246F" w:rsidRPr="00FE162C">
        <w:lastRenderedPageBreak/>
        <w:t xml:space="preserve">job characteristic is to </w:t>
      </w:r>
      <w:r w:rsidR="009B1A74">
        <w:t>investigate whether training is important for job seekers</w:t>
      </w:r>
      <w:r w:rsidR="00B9246F" w:rsidRPr="00FE162C">
        <w:t xml:space="preserve">, </w:t>
      </w:r>
      <w:r w:rsidR="009B1A74">
        <w:t>especially for</w:t>
      </w:r>
      <w:r w:rsidR="00BF3C78" w:rsidRPr="00FE162C">
        <w:t xml:space="preserve"> workers </w:t>
      </w:r>
      <w:r w:rsidR="009B1A74">
        <w:t>who may be changing industry sector</w:t>
      </w:r>
      <w:r w:rsidR="00BF3C78" w:rsidRPr="00FE162C">
        <w:t>.</w:t>
      </w:r>
    </w:p>
    <w:p w:rsidR="00A4566E" w:rsidRPr="00F74F68" w:rsidRDefault="00EE0B9B" w:rsidP="00F74F68">
      <w:pPr>
        <w:pStyle w:val="Text"/>
        <w:ind w:right="141"/>
      </w:pPr>
      <w:r>
        <w:t xml:space="preserve">In the </w:t>
      </w:r>
      <w:r w:rsidR="00455F79" w:rsidRPr="00FE162C">
        <w:t>experiment</w:t>
      </w:r>
      <w:r>
        <w:t>, each person is asked to complete</w:t>
      </w:r>
      <w:r w:rsidR="00455F79" w:rsidRPr="00FE162C">
        <w:t xml:space="preserve"> a two-</w:t>
      </w:r>
      <w:r>
        <w:t>part survey</w:t>
      </w:r>
      <w:r w:rsidR="00455F79" w:rsidRPr="00FE162C">
        <w:t xml:space="preserve">. </w:t>
      </w:r>
      <w:r>
        <w:t>The first part</w:t>
      </w:r>
      <w:r w:rsidR="00455F79" w:rsidRPr="00FE162C">
        <w:t xml:space="preserve"> </w:t>
      </w:r>
      <w:r w:rsidR="00A4566E" w:rsidRPr="00FE162C">
        <w:t xml:space="preserve">includes questions </w:t>
      </w:r>
      <w:r w:rsidR="004C61FA">
        <w:t xml:space="preserve">designed </w:t>
      </w:r>
      <w:r w:rsidR="00C80D15" w:rsidRPr="00FE162C">
        <w:t>to collect data</w:t>
      </w:r>
      <w:r w:rsidR="00D91D47" w:rsidRPr="00FE162C">
        <w:t xml:space="preserve"> on</w:t>
      </w:r>
      <w:r w:rsidR="00C80D15" w:rsidRPr="00FE162C">
        <w:t xml:space="preserve"> individual</w:t>
      </w:r>
      <w:r w:rsidR="00A4566E" w:rsidRPr="00FE162C">
        <w:t xml:space="preserve"> characteristics,</w:t>
      </w:r>
      <w:r w:rsidR="00513B93" w:rsidRPr="00FE162C">
        <w:t xml:space="preserve"> employment status and</w:t>
      </w:r>
      <w:r w:rsidR="00A4566E" w:rsidRPr="00FE162C">
        <w:t xml:space="preserve"> factors that are known to influence decisions on </w:t>
      </w:r>
      <w:r w:rsidR="00513B93" w:rsidRPr="00FE162C">
        <w:t>(</w:t>
      </w:r>
      <w:r w:rsidR="00513B93" w:rsidRPr="00F74F68">
        <w:t xml:space="preserve">internal) </w:t>
      </w:r>
      <w:r w:rsidR="00A4566E" w:rsidRPr="00F74F68">
        <w:t>migration such as house ownership and past migration</w:t>
      </w:r>
      <w:r w:rsidR="00F74F68">
        <w:t> </w:t>
      </w:r>
      <w:r w:rsidR="00A4566E" w:rsidRPr="00F74F68">
        <w:t>experiences.</w:t>
      </w:r>
    </w:p>
    <w:p w:rsidR="00CF40A3" w:rsidRPr="00F74F68" w:rsidRDefault="00B31273" w:rsidP="00F74F68">
      <w:pPr>
        <w:pStyle w:val="Text"/>
      </w:pPr>
      <w:r w:rsidRPr="00F74F68">
        <w:t xml:space="preserve">The second part of the survey </w:t>
      </w:r>
      <w:r w:rsidR="00D91D47" w:rsidRPr="00F74F68">
        <w:t>is</w:t>
      </w:r>
      <w:r w:rsidRPr="00F74F68">
        <w:t xml:space="preserve"> the discrete choice experiment</w:t>
      </w:r>
      <w:r w:rsidR="00455F79" w:rsidRPr="00F74F68">
        <w:t>. Here</w:t>
      </w:r>
      <w:r w:rsidRPr="00F74F68">
        <w:t xml:space="preserve"> each respondent </w:t>
      </w:r>
      <w:r w:rsidR="00D91D47" w:rsidRPr="00F74F68">
        <w:t xml:space="preserve">is </w:t>
      </w:r>
      <w:r w:rsidR="00724E8D" w:rsidRPr="00F74F68">
        <w:t xml:space="preserve">sequentially </w:t>
      </w:r>
      <w:r w:rsidR="00D91D47" w:rsidRPr="00F74F68">
        <w:t>presented with five choi</w:t>
      </w:r>
      <w:r w:rsidR="00855597" w:rsidRPr="00F74F68">
        <w:t>ce sets</w:t>
      </w:r>
      <w:r w:rsidR="00D91D47" w:rsidRPr="00F74F68">
        <w:t xml:space="preserve"> </w:t>
      </w:r>
      <w:r w:rsidR="00782E5B">
        <w:t>relating to</w:t>
      </w:r>
      <w:r w:rsidR="00D91D47" w:rsidRPr="00F74F68">
        <w:t xml:space="preserve"> jobs offers in one</w:t>
      </w:r>
      <w:r w:rsidR="00606F16" w:rsidRPr="00F74F68">
        <w:t xml:space="preserve"> of the two</w:t>
      </w:r>
      <w:r w:rsidR="00D91D47" w:rsidRPr="00F74F68">
        <w:t xml:space="preserve"> regional location</w:t>
      </w:r>
      <w:r w:rsidR="00606F16" w:rsidRPr="00F74F68">
        <w:t>s</w:t>
      </w:r>
      <w:r w:rsidR="00D91D47" w:rsidRPr="00F74F68">
        <w:t xml:space="preserve">. </w:t>
      </w:r>
      <w:r w:rsidR="00606F16" w:rsidRPr="00F74F68">
        <w:t>They are also presented with</w:t>
      </w:r>
      <w:r w:rsidR="00455F79" w:rsidRPr="00F74F68">
        <w:t xml:space="preserve"> background </w:t>
      </w:r>
      <w:r w:rsidR="00855597" w:rsidRPr="00F74F68">
        <w:t>information about the</w:t>
      </w:r>
      <w:r w:rsidR="00606F16" w:rsidRPr="00F74F68">
        <w:t xml:space="preserve"> reg</w:t>
      </w:r>
      <w:r w:rsidR="00724E8D" w:rsidRPr="00F74F68">
        <w:t>ional location (s</w:t>
      </w:r>
      <w:r w:rsidR="004C61FA" w:rsidRPr="00F74F68">
        <w:t>ee a</w:t>
      </w:r>
      <w:r w:rsidR="00724E8D" w:rsidRPr="00F74F68">
        <w:t>ppendix B</w:t>
      </w:r>
      <w:r w:rsidR="00855597" w:rsidRPr="00F74F68">
        <w:t xml:space="preserve"> for details</w:t>
      </w:r>
      <w:r w:rsidR="00724E8D" w:rsidRPr="00F74F68">
        <w:t>)</w:t>
      </w:r>
      <w:r w:rsidR="00455F79" w:rsidRPr="00F74F68">
        <w:t xml:space="preserve">. </w:t>
      </w:r>
      <w:r w:rsidR="00CF40A3" w:rsidRPr="00F74F68">
        <w:t>While the two locations differ to a small extent in the social, retail, education and health</w:t>
      </w:r>
      <w:r w:rsidR="00ED5164" w:rsidRPr="00F74F68">
        <w:t xml:space="preserve"> services they offer, by design</w:t>
      </w:r>
      <w:r w:rsidR="00CF40A3" w:rsidRPr="00F74F68">
        <w:t xml:space="preserve"> the cost of renting or buying a house is the same in both locations. This allows us to control for the </w:t>
      </w:r>
      <w:r w:rsidR="005C1608" w:rsidRPr="00F74F68">
        <w:t xml:space="preserve">major part of the </w:t>
      </w:r>
      <w:r w:rsidR="00CF40A3" w:rsidRPr="00F74F68">
        <w:t xml:space="preserve">cost-of-living effects. </w:t>
      </w:r>
      <w:r w:rsidR="00BF3886" w:rsidRPr="00F74F68">
        <w:t xml:space="preserve">People who have previously visited either of these two locations may perceive the information we provide differently </w:t>
      </w:r>
      <w:r w:rsidR="00A90348" w:rsidRPr="00F74F68">
        <w:t>from</w:t>
      </w:r>
      <w:r w:rsidR="00BF3886" w:rsidRPr="00F74F68">
        <w:t xml:space="preserve"> those who have never </w:t>
      </w:r>
      <w:r w:rsidR="00020E10">
        <w:t>been to these two locations</w:t>
      </w:r>
      <w:r w:rsidR="00BF3886" w:rsidRPr="00F74F68">
        <w:t>. However</w:t>
      </w:r>
      <w:r w:rsidR="00A90348" w:rsidRPr="00F74F68">
        <w:t>,</w:t>
      </w:r>
      <w:r w:rsidR="00BF3886" w:rsidRPr="00F74F68">
        <w:t xml:space="preserve"> </w:t>
      </w:r>
      <w:r w:rsidR="00855597" w:rsidRPr="00F74F68">
        <w:t xml:space="preserve">the </w:t>
      </w:r>
      <w:r w:rsidR="005C1608" w:rsidRPr="00F74F68">
        <w:t>former can be identified from</w:t>
      </w:r>
      <w:r w:rsidR="00BF3886" w:rsidRPr="00F74F68">
        <w:t xml:space="preserve"> the first part of the survey</w:t>
      </w:r>
      <w:r w:rsidR="00CF40A3" w:rsidRPr="00F74F68">
        <w:t xml:space="preserve"> and any bias due to differences in perception</w:t>
      </w:r>
      <w:r w:rsidR="00BF3886" w:rsidRPr="00F74F68">
        <w:t xml:space="preserve"> of the</w:t>
      </w:r>
      <w:r w:rsidR="00CF40A3" w:rsidRPr="00F74F68">
        <w:t xml:space="preserve"> location</w:t>
      </w:r>
      <w:r w:rsidR="005C1608" w:rsidRPr="00F74F68">
        <w:t xml:space="preserve"> can be detect</w:t>
      </w:r>
      <w:r w:rsidR="00855597" w:rsidRPr="00F74F68">
        <w:t>ed.</w:t>
      </w:r>
    </w:p>
    <w:p w:rsidR="00EE0B9B" w:rsidRPr="00F74F68" w:rsidRDefault="00EE0B9B" w:rsidP="00F74F68">
      <w:pPr>
        <w:pStyle w:val="Text"/>
      </w:pPr>
      <w:r w:rsidRPr="00F74F68">
        <w:t>In each choice set, the</w:t>
      </w:r>
      <w:r w:rsidR="00724E8D" w:rsidRPr="00F74F68">
        <w:t xml:space="preserve"> respondent is </w:t>
      </w:r>
      <w:r w:rsidR="00A13D63" w:rsidRPr="00F74F68">
        <w:t>as</w:t>
      </w:r>
      <w:r w:rsidRPr="00F74F68">
        <w:t>ked to choose</w:t>
      </w:r>
      <w:r w:rsidR="00724E8D" w:rsidRPr="00F74F68">
        <w:t xml:space="preserve"> one of two</w:t>
      </w:r>
      <w:r w:rsidR="00A13D63" w:rsidRPr="00F74F68">
        <w:t xml:space="preserve"> job</w:t>
      </w:r>
      <w:r w:rsidR="00724E8D" w:rsidRPr="00F74F68">
        <w:t>s</w:t>
      </w:r>
      <w:r w:rsidRPr="00F74F68">
        <w:t xml:space="preserve"> offered</w:t>
      </w:r>
      <w:r w:rsidR="00B31273" w:rsidRPr="00F74F68">
        <w:t>.</w:t>
      </w:r>
      <w:r w:rsidR="00B9571C" w:rsidRPr="00F74F68">
        <w:t xml:space="preserve"> If they wish they may decline both job offers.</w:t>
      </w:r>
      <w:r w:rsidR="00B31273" w:rsidRPr="00F74F68">
        <w:t xml:space="preserve"> An example of a choice set is shown</w:t>
      </w:r>
      <w:r w:rsidR="00A90348" w:rsidRPr="00F74F68">
        <w:t xml:space="preserve"> in b</w:t>
      </w:r>
      <w:r w:rsidR="00B31273" w:rsidRPr="00F74F68">
        <w:t xml:space="preserve">ox 1. It shows </w:t>
      </w:r>
      <w:r w:rsidR="00724E8D" w:rsidRPr="00F74F68">
        <w:t xml:space="preserve">the </w:t>
      </w:r>
      <w:r w:rsidR="00B31273" w:rsidRPr="00F74F68">
        <w:t xml:space="preserve">descriptions of </w:t>
      </w:r>
      <w:r w:rsidRPr="00F74F68">
        <w:t>two job offers</w:t>
      </w:r>
      <w:r w:rsidR="00A90348" w:rsidRPr="00F74F68">
        <w:t xml:space="preserve"> </w:t>
      </w:r>
      <w:r w:rsidRPr="00F74F68">
        <w:t>—</w:t>
      </w:r>
      <w:r w:rsidR="00A90348" w:rsidRPr="00F74F68">
        <w:t xml:space="preserve"> </w:t>
      </w:r>
      <w:r w:rsidRPr="00F74F68">
        <w:t>Job A and Job B.</w:t>
      </w:r>
    </w:p>
    <w:p w:rsidR="00B31273" w:rsidRPr="00FE162C" w:rsidRDefault="00B31273" w:rsidP="00F74F68">
      <w:pPr>
        <w:pStyle w:val="Text"/>
      </w:pPr>
      <w:r w:rsidRPr="00F74F68">
        <w:t>The job offers in each choice set vary ac</w:t>
      </w:r>
      <w:r w:rsidRPr="00FE162C">
        <w:t>cording to three attributes:</w:t>
      </w:r>
    </w:p>
    <w:p w:rsidR="00A4566E" w:rsidRPr="00FE162C" w:rsidRDefault="00A4566E" w:rsidP="00F74F68">
      <w:pPr>
        <w:pStyle w:val="Dotpoint1"/>
      </w:pPr>
      <w:r w:rsidRPr="00FE162C">
        <w:t>wage</w:t>
      </w:r>
    </w:p>
    <w:p w:rsidR="00A4566E" w:rsidRPr="00FE162C" w:rsidRDefault="00A4566E" w:rsidP="00F74F68">
      <w:pPr>
        <w:pStyle w:val="Dotpoint1"/>
      </w:pPr>
      <w:r w:rsidRPr="00FE162C">
        <w:t>relocation type</w:t>
      </w:r>
    </w:p>
    <w:p w:rsidR="00A4566E" w:rsidRPr="00FE162C" w:rsidRDefault="00A4566E" w:rsidP="00F74F68">
      <w:pPr>
        <w:pStyle w:val="Dotpoint1"/>
      </w:pPr>
      <w:r w:rsidRPr="00FE162C">
        <w:t>type of contract</w:t>
      </w:r>
      <w:r w:rsidR="00502B4F" w:rsidRPr="00FE162C">
        <w:t>.</w:t>
      </w:r>
    </w:p>
    <w:p w:rsidR="006B2579" w:rsidRPr="00F74F68" w:rsidRDefault="006B2579" w:rsidP="00F74F68">
      <w:pPr>
        <w:pStyle w:val="Text"/>
      </w:pPr>
      <w:r w:rsidRPr="00FE162C">
        <w:t xml:space="preserve">The </w:t>
      </w:r>
      <w:r w:rsidR="00EE0B9B">
        <w:t xml:space="preserve">possible </w:t>
      </w:r>
      <w:r w:rsidRPr="00FE162C">
        <w:t xml:space="preserve">levels of </w:t>
      </w:r>
      <w:r w:rsidR="005D7A29">
        <w:t xml:space="preserve">each of </w:t>
      </w:r>
      <w:r w:rsidR="00A90348">
        <w:t xml:space="preserve">these attributes are </w:t>
      </w:r>
      <w:r w:rsidR="00A90348" w:rsidRPr="00F74F68">
        <w:t>shown in b</w:t>
      </w:r>
      <w:r w:rsidRPr="00F74F68">
        <w:t>ox 2</w:t>
      </w:r>
      <w:r w:rsidR="004C7B58" w:rsidRPr="00F74F68">
        <w:t>, with fu</w:t>
      </w:r>
      <w:r w:rsidR="00A90348" w:rsidRPr="00F74F68">
        <w:t>rther details in a</w:t>
      </w:r>
      <w:r w:rsidR="004C7B58" w:rsidRPr="00F74F68">
        <w:t>ppendix B</w:t>
      </w:r>
      <w:r w:rsidRPr="00F74F68">
        <w:t>.</w:t>
      </w:r>
    </w:p>
    <w:p w:rsidR="004127E5" w:rsidRPr="00F74F68" w:rsidRDefault="005D7A29" w:rsidP="00F74F68">
      <w:pPr>
        <w:pStyle w:val="Text"/>
      </w:pPr>
      <w:r w:rsidRPr="00F74F68">
        <w:t>T</w:t>
      </w:r>
      <w:r w:rsidR="00EA5956" w:rsidRPr="00F74F68">
        <w:t>he wa</w:t>
      </w:r>
      <w:r w:rsidR="00014BFC" w:rsidRPr="00F74F68">
        <w:t>ge</w:t>
      </w:r>
      <w:r w:rsidR="005716D2" w:rsidRPr="00F74F68">
        <w:t xml:space="preserve"> for each respon</w:t>
      </w:r>
      <w:r w:rsidRPr="00F74F68">
        <w:t>dent</w:t>
      </w:r>
      <w:r w:rsidR="00014BFC" w:rsidRPr="00F74F68">
        <w:t xml:space="preserve"> </w:t>
      </w:r>
      <w:r w:rsidR="00B9571C" w:rsidRPr="00F74F68">
        <w:t>is set at</w:t>
      </w:r>
      <w:r w:rsidR="00842F95" w:rsidRPr="00F74F68">
        <w:t xml:space="preserve"> 40, 90 or</w:t>
      </w:r>
      <w:r w:rsidR="00EA5956" w:rsidRPr="00F74F68">
        <w:t xml:space="preserve"> 140</w:t>
      </w:r>
      <w:r w:rsidR="00AF1216" w:rsidRPr="00F74F68">
        <w:t xml:space="preserve">% </w:t>
      </w:r>
      <w:r w:rsidR="00EA5956" w:rsidRPr="00F74F68">
        <w:t xml:space="preserve">higher than </w:t>
      </w:r>
      <w:r w:rsidRPr="00F74F68">
        <w:t>the respondent</w:t>
      </w:r>
      <w:r w:rsidR="00602830">
        <w:t>’</w:t>
      </w:r>
      <w:r w:rsidRPr="00F74F68">
        <w:t>s current wage</w:t>
      </w:r>
      <w:r w:rsidR="00EA5956" w:rsidRPr="00F74F68">
        <w:t xml:space="preserve">. </w:t>
      </w:r>
      <w:r w:rsidR="00B9571C" w:rsidRPr="00F74F68">
        <w:t>The wage</w:t>
      </w:r>
      <w:r w:rsidR="00724E8D" w:rsidRPr="00F74F68">
        <w:t xml:space="preserve"> offer</w:t>
      </w:r>
      <w:r w:rsidR="00FF3C63" w:rsidRPr="00F74F68">
        <w:t>s</w:t>
      </w:r>
      <w:r w:rsidR="00B9571C" w:rsidRPr="00F74F68">
        <w:t xml:space="preserve"> f</w:t>
      </w:r>
      <w:r w:rsidR="00EA5956" w:rsidRPr="00F74F68">
        <w:t>or those who are looking</w:t>
      </w:r>
      <w:r w:rsidR="00FC183E" w:rsidRPr="00F74F68">
        <w:t xml:space="preserve"> for</w:t>
      </w:r>
      <w:r w:rsidR="00EA5956" w:rsidRPr="00F74F68">
        <w:t xml:space="preserve"> work</w:t>
      </w:r>
      <w:r w:rsidR="00595CFC" w:rsidRPr="00F74F68">
        <w:t>, regardless of whether they are currently employed or not,</w:t>
      </w:r>
      <w:r w:rsidR="00EA5956" w:rsidRPr="00F74F68">
        <w:t xml:space="preserve"> </w:t>
      </w:r>
      <w:r w:rsidR="00FF3C63" w:rsidRPr="00F74F68">
        <w:t>are</w:t>
      </w:r>
      <w:r w:rsidR="00EA5956" w:rsidRPr="00F74F68">
        <w:t xml:space="preserve"> based on their expected </w:t>
      </w:r>
      <w:r w:rsidR="00B9571C" w:rsidRPr="00F74F68">
        <w:t>wage</w:t>
      </w:r>
      <w:r w:rsidR="00EA5956" w:rsidRPr="00F74F68">
        <w:t>.</w:t>
      </w:r>
      <w:r w:rsidR="00595CFC" w:rsidRPr="00F74F68">
        <w:t xml:space="preserve"> The information on expected wage is obtained in the first part of the survey.</w:t>
      </w:r>
    </w:p>
    <w:p w:rsidR="00FC183E" w:rsidRPr="00F74F68" w:rsidRDefault="00FF3C63" w:rsidP="00F74F68">
      <w:pPr>
        <w:pStyle w:val="Text"/>
      </w:pPr>
      <w:r w:rsidRPr="00F74F68">
        <w:t>An i</w:t>
      </w:r>
      <w:r w:rsidR="00FC183E" w:rsidRPr="00F74F68">
        <w:t xml:space="preserve">ndividual not currently looking for work </w:t>
      </w:r>
      <w:r w:rsidRPr="00F74F68">
        <w:t>is</w:t>
      </w:r>
      <w:r w:rsidR="00FC183E" w:rsidRPr="00F74F68">
        <w:t xml:space="preserve"> offered jobs in the same occupa</w:t>
      </w:r>
      <w:r w:rsidR="00BE4D22" w:rsidRPr="00F74F68">
        <w:t>tion they are currently in</w:t>
      </w:r>
      <w:r w:rsidR="00FC183E" w:rsidRPr="00F74F68">
        <w:t>; otherwise</w:t>
      </w:r>
      <w:r w:rsidR="00A90348" w:rsidRPr="00F74F68">
        <w:t>,</w:t>
      </w:r>
      <w:r w:rsidR="00FC183E" w:rsidRPr="00F74F68">
        <w:t xml:space="preserve"> they are offered jobs in </w:t>
      </w:r>
      <w:r w:rsidRPr="00F74F68">
        <w:t>the</w:t>
      </w:r>
      <w:r w:rsidR="00AE6758" w:rsidRPr="00F74F68">
        <w:t xml:space="preserve"> occupation</w:t>
      </w:r>
      <w:r w:rsidRPr="00F74F68">
        <w:t xml:space="preserve"> for which they have indicated a preference in the first part of the survey</w:t>
      </w:r>
      <w:r w:rsidR="00FC183E" w:rsidRPr="00F74F68">
        <w:t>. This ensure</w:t>
      </w:r>
      <w:r w:rsidRPr="00F74F68">
        <w:t>s</w:t>
      </w:r>
      <w:r w:rsidR="00FC183E" w:rsidRPr="00F74F68">
        <w:t xml:space="preserve"> that job offers are consistent with the skill</w:t>
      </w:r>
      <w:r w:rsidR="007F0186" w:rsidRPr="00F74F68">
        <w:t>s and</w:t>
      </w:r>
      <w:r w:rsidR="00FC183E" w:rsidRPr="00F74F68">
        <w:t xml:space="preserve"> expectations </w:t>
      </w:r>
      <w:r w:rsidR="007F0186" w:rsidRPr="00F74F68">
        <w:t>of the</w:t>
      </w:r>
      <w:r w:rsidR="00FC183E" w:rsidRPr="00F74F68">
        <w:t xml:space="preserve"> individual.</w:t>
      </w:r>
    </w:p>
    <w:p w:rsidR="00AF2E5F" w:rsidRPr="00FE162C" w:rsidRDefault="00D27EE3" w:rsidP="00F74F68">
      <w:pPr>
        <w:pStyle w:val="Text"/>
      </w:pPr>
      <w:r w:rsidRPr="00F74F68">
        <w:t>Based on the number of alternatives, attributes and levels</w:t>
      </w:r>
      <w:r>
        <w:t xml:space="preserve">, </w:t>
      </w:r>
      <w:r w:rsidR="00A90348">
        <w:t>153</w:t>
      </w:r>
      <w:r w:rsidR="001B0E62" w:rsidRPr="00FE162C">
        <w:t xml:space="preserve"> possible choice sets</w:t>
      </w:r>
      <w:r>
        <w:t xml:space="preserve"> can be presented to</w:t>
      </w:r>
      <w:r w:rsidR="007137EF">
        <w:t xml:space="preserve"> each individual</w:t>
      </w:r>
      <w:r w:rsidR="00AF2E5F" w:rsidRPr="00FE162C">
        <w:t xml:space="preserve">. </w:t>
      </w:r>
      <w:r w:rsidR="007137EF">
        <w:t>T</w:t>
      </w:r>
      <w:r w:rsidR="001B0E62" w:rsidRPr="00FE162C">
        <w:t xml:space="preserve">his is </w:t>
      </w:r>
      <w:r w:rsidR="007137EF">
        <w:t xml:space="preserve">clearly </w:t>
      </w:r>
      <w:r w:rsidR="001B0E62" w:rsidRPr="00FE162C">
        <w:t>impractical to implement and, therefore,</w:t>
      </w:r>
      <w:r w:rsidR="009A54CB" w:rsidRPr="00FE162C">
        <w:t xml:space="preserve"> </w:t>
      </w:r>
      <w:r w:rsidR="001B0E62" w:rsidRPr="00FE162C">
        <w:t xml:space="preserve">in the actual experiment </w:t>
      </w:r>
      <w:r w:rsidR="007137EF">
        <w:t>only five</w:t>
      </w:r>
      <w:r w:rsidR="009A54CB" w:rsidRPr="00FE162C">
        <w:t xml:space="preserve"> cho</w:t>
      </w:r>
      <w:r w:rsidR="007137EF">
        <w:t>ice sets are presented to each person.</w:t>
      </w:r>
      <w:r w:rsidR="002B7C43" w:rsidRPr="00FE162C">
        <w:t xml:space="preserve"> </w:t>
      </w:r>
      <w:r w:rsidR="00BC241A" w:rsidRPr="00FE162C">
        <w:t>The choi</w:t>
      </w:r>
      <w:r w:rsidR="00DA4048" w:rsidRPr="00FE162C">
        <w:t>c</w:t>
      </w:r>
      <w:r w:rsidR="007137EF">
        <w:t>e of these</w:t>
      </w:r>
      <w:r w:rsidR="00DA4048" w:rsidRPr="00FE162C">
        <w:t xml:space="preserve"> sets is made</w:t>
      </w:r>
      <w:r w:rsidR="00855597" w:rsidRPr="00FE162C">
        <w:t xml:space="preserve"> </w:t>
      </w:r>
      <w:r w:rsidR="001B0E62" w:rsidRPr="00FE162C">
        <w:t xml:space="preserve">in such a way as </w:t>
      </w:r>
      <w:r w:rsidR="00BC241A" w:rsidRPr="00FE162C">
        <w:t>to maximise</w:t>
      </w:r>
      <w:r w:rsidR="00833108" w:rsidRPr="00FE162C">
        <w:t xml:space="preserve"> statistical efficiency</w:t>
      </w:r>
      <w:r w:rsidR="00435CD3" w:rsidRPr="00FE162C">
        <w:t xml:space="preserve"> (D-efficiency)</w:t>
      </w:r>
      <w:r w:rsidR="00A90348">
        <w:t>,</w:t>
      </w:r>
      <w:r w:rsidR="00BC241A" w:rsidRPr="00FE162C">
        <w:t xml:space="preserve"> although other criteria may also be used for the selection</w:t>
      </w:r>
      <w:r w:rsidR="00833108" w:rsidRPr="00FE162C">
        <w:t xml:space="preserve"> (</w:t>
      </w:r>
      <w:r w:rsidR="00406B75">
        <w:fldChar w:fldCharType="begin"/>
      </w:r>
      <w:r w:rsidR="00CA754F">
        <w:instrText xml:space="preserve"> ADDIN EN.CITE &lt;EndNote&gt;&lt;Cite&gt;&lt;Author&gt;WHO&lt;/Author&gt;&lt;Year&gt;2012&lt;/Year&gt;&lt;RecNum&gt;1261&lt;/RecNum&gt;&lt;DisplayText&gt;WHO (2012)&lt;/DisplayText&gt;&lt;record&gt;&lt;rec-number&gt;1261&lt;/rec-number&gt;&lt;foreign-keys&gt;&lt;key app="EN" db-id="refafpv0nd2rd4e9e2qxeaf6rw5xxvv2ds22" timestamp="1371970113"&gt;1261&lt;/key&gt;&lt;/foreign-keys&gt;&lt;ref-type name="Report"&gt;27&lt;/ref-type&gt;&lt;contributors&gt;&lt;authors&gt;&lt;author&gt;WHO,&lt;/author&gt;&lt;/authors&gt;&lt;/contributors&gt;&lt;titles&gt;&lt;title&gt;How to conduct a discrete choice experiment for health workforce recruitment and retention in remote and rural areas: A user guide with case studies&lt;/title&gt;&lt;/titles&gt;&lt;dates&gt;&lt;year&gt;2012&lt;/year&gt;&lt;/dates&gt;&lt;pub-location&gt;Geneva&lt;/pub-location&gt;&lt;publisher&gt;World Health Organisation&lt;/publisher&gt;&lt;urls&gt;&lt;related-urls&gt;&lt;url&gt;http://www.who.int/hrh/resources/DCE_UserGuide_WEB.pdf&lt;/url&gt;&lt;/related-urls&gt;&lt;/urls&gt;&lt;access-date&gt;23 June 2013&lt;/access-date&gt;&lt;/record&gt;&lt;/Cite&gt;&lt;/EndNote&gt;</w:instrText>
      </w:r>
      <w:r w:rsidR="00406B75">
        <w:fldChar w:fldCharType="separate"/>
      </w:r>
      <w:hyperlink w:anchor="_ENREF_66" w:tooltip="WHO, 2012 #1261" w:history="1">
        <w:r w:rsidR="004C61FA">
          <w:rPr>
            <w:noProof/>
          </w:rPr>
          <w:t>World Health Organization</w:t>
        </w:r>
        <w:r w:rsidR="005716D2">
          <w:rPr>
            <w:noProof/>
          </w:rPr>
          <w:t xml:space="preserve"> </w:t>
        </w:r>
        <w:r w:rsidR="00CA754F">
          <w:rPr>
            <w:noProof/>
          </w:rPr>
          <w:t>2012</w:t>
        </w:r>
      </w:hyperlink>
      <w:r w:rsidR="00CA754F">
        <w:rPr>
          <w:noProof/>
        </w:rPr>
        <w:t>)</w:t>
      </w:r>
      <w:r w:rsidR="00406B75">
        <w:fldChar w:fldCharType="end"/>
      </w:r>
      <w:r w:rsidR="00BC241A" w:rsidRPr="00FE162C">
        <w:t>.</w:t>
      </w:r>
    </w:p>
    <w:p w:rsidR="00C20ED6" w:rsidRDefault="00C20ED6">
      <w:pPr>
        <w:spacing w:before="0" w:line="240" w:lineRule="auto"/>
        <w:rPr>
          <w:color w:val="000000" w:themeColor="text1"/>
        </w:rPr>
      </w:pPr>
      <w:r>
        <w:rPr>
          <w:color w:val="000000" w:themeColor="text1"/>
        </w:rPr>
        <w:br w:type="page"/>
      </w:r>
    </w:p>
    <w:p w:rsidR="002530AD" w:rsidRPr="00FE162C" w:rsidRDefault="00F74F68" w:rsidP="00F74F68">
      <w:pPr>
        <w:pStyle w:val="tabletitle"/>
      </w:pPr>
      <w:bookmarkStart w:id="48" w:name="_Toc386530548"/>
      <w:r w:rsidRPr="00FE162C">
        <w:lastRenderedPageBreak/>
        <w:t>Box1</w:t>
      </w:r>
      <w:r>
        <w:tab/>
      </w:r>
      <w:r w:rsidRPr="00FE162C">
        <w:t>An example of a choice set</w:t>
      </w:r>
      <w:bookmarkEnd w:id="48"/>
    </w:p>
    <w:tbl>
      <w:tblPr>
        <w:tblStyle w:val="TableGrid"/>
        <w:tblW w:w="8789" w:type="dxa"/>
        <w:tblInd w:w="170" w:type="dxa"/>
        <w:tblLayout w:type="fixed"/>
        <w:tblCellMar>
          <w:left w:w="170" w:type="dxa"/>
          <w:right w:w="170" w:type="dxa"/>
        </w:tblCellMar>
        <w:tblLook w:val="04A0" w:firstRow="1" w:lastRow="0" w:firstColumn="1" w:lastColumn="0" w:noHBand="0" w:noVBand="1"/>
      </w:tblPr>
      <w:tblGrid>
        <w:gridCol w:w="1997"/>
        <w:gridCol w:w="2264"/>
        <w:gridCol w:w="2264"/>
        <w:gridCol w:w="2264"/>
      </w:tblGrid>
      <w:tr w:rsidR="00B6029D" w:rsidRPr="00FE162C" w:rsidTr="00337812">
        <w:tc>
          <w:tcPr>
            <w:tcW w:w="1997" w:type="dxa"/>
            <w:tcBorders>
              <w:top w:val="nil"/>
              <w:left w:val="nil"/>
              <w:bottom w:val="nil"/>
              <w:right w:val="nil"/>
            </w:tcBorders>
            <w:shd w:val="clear" w:color="auto" w:fill="000000" w:themeFill="text1"/>
          </w:tcPr>
          <w:p w:rsidR="00B6029D" w:rsidRPr="00FE162C" w:rsidRDefault="00B6029D" w:rsidP="00C53D65">
            <w:pPr>
              <w:pStyle w:val="Tablehead1"/>
              <w:spacing w:before="160" w:after="120"/>
              <w:jc w:val="center"/>
            </w:pPr>
          </w:p>
        </w:tc>
        <w:tc>
          <w:tcPr>
            <w:tcW w:w="6792" w:type="dxa"/>
            <w:gridSpan w:val="3"/>
            <w:tcBorders>
              <w:top w:val="nil"/>
              <w:left w:val="nil"/>
              <w:bottom w:val="nil"/>
              <w:right w:val="nil"/>
            </w:tcBorders>
            <w:shd w:val="clear" w:color="auto" w:fill="000000" w:themeFill="text1"/>
          </w:tcPr>
          <w:p w:rsidR="00B6029D" w:rsidRPr="00FE162C" w:rsidRDefault="00B6029D" w:rsidP="00C53D65">
            <w:pPr>
              <w:pStyle w:val="Tablehead1"/>
              <w:spacing w:before="160" w:after="120"/>
              <w:jc w:val="center"/>
              <w:rPr>
                <w:bCs/>
              </w:rPr>
            </w:pPr>
            <w:r w:rsidRPr="00FE162C">
              <w:rPr>
                <w:bCs/>
              </w:rPr>
              <w:t>Alternative</w:t>
            </w:r>
          </w:p>
        </w:tc>
      </w:tr>
      <w:tr w:rsidR="00014BFC" w:rsidRPr="00FE162C" w:rsidTr="00337812">
        <w:tc>
          <w:tcPr>
            <w:tcW w:w="1997" w:type="dxa"/>
            <w:tcBorders>
              <w:top w:val="nil"/>
              <w:left w:val="nil"/>
              <w:bottom w:val="nil"/>
              <w:right w:val="nil"/>
            </w:tcBorders>
          </w:tcPr>
          <w:p w:rsidR="00014BFC" w:rsidRPr="00FE162C" w:rsidRDefault="00014BFC" w:rsidP="00337812">
            <w:pPr>
              <w:pStyle w:val="Tablehead2"/>
              <w:spacing w:before="120" w:after="60"/>
            </w:pPr>
            <w:r w:rsidRPr="00FE162C">
              <w:t>Attribute</w:t>
            </w:r>
          </w:p>
        </w:tc>
        <w:tc>
          <w:tcPr>
            <w:tcW w:w="2264" w:type="dxa"/>
            <w:tcBorders>
              <w:top w:val="nil"/>
              <w:left w:val="nil"/>
              <w:bottom w:val="nil"/>
              <w:right w:val="nil"/>
            </w:tcBorders>
          </w:tcPr>
          <w:p w:rsidR="00014BFC" w:rsidRPr="00FE162C" w:rsidRDefault="009B06B6" w:rsidP="00337812">
            <w:pPr>
              <w:pStyle w:val="Tablehead2"/>
              <w:spacing w:before="120" w:after="60"/>
            </w:pPr>
            <w:r w:rsidRPr="00FE162C">
              <w:t xml:space="preserve">Accept </w:t>
            </w:r>
            <w:r w:rsidR="00014BFC" w:rsidRPr="00FE162C">
              <w:t>Job A</w:t>
            </w:r>
          </w:p>
        </w:tc>
        <w:tc>
          <w:tcPr>
            <w:tcW w:w="2264" w:type="dxa"/>
            <w:tcBorders>
              <w:top w:val="nil"/>
              <w:left w:val="nil"/>
              <w:bottom w:val="nil"/>
              <w:right w:val="nil"/>
            </w:tcBorders>
          </w:tcPr>
          <w:p w:rsidR="00014BFC" w:rsidRPr="00FE162C" w:rsidRDefault="009B06B6" w:rsidP="00337812">
            <w:pPr>
              <w:pStyle w:val="Tablehead2"/>
              <w:spacing w:before="120" w:after="60"/>
            </w:pPr>
            <w:r w:rsidRPr="00FE162C">
              <w:t xml:space="preserve">Accept </w:t>
            </w:r>
            <w:r w:rsidR="00014BFC" w:rsidRPr="00FE162C">
              <w:t>Job B</w:t>
            </w:r>
          </w:p>
        </w:tc>
        <w:tc>
          <w:tcPr>
            <w:tcW w:w="2264" w:type="dxa"/>
            <w:tcBorders>
              <w:top w:val="nil"/>
              <w:left w:val="nil"/>
              <w:bottom w:val="nil"/>
              <w:right w:val="nil"/>
            </w:tcBorders>
          </w:tcPr>
          <w:p w:rsidR="00014BFC" w:rsidRPr="00FE162C" w:rsidRDefault="00014BFC" w:rsidP="00337812">
            <w:pPr>
              <w:pStyle w:val="Tablehead2"/>
              <w:spacing w:before="120" w:after="60"/>
            </w:pPr>
            <w:r w:rsidRPr="00FE162C">
              <w:t>Reject A and B</w:t>
            </w:r>
            <w:r w:rsidR="00B8521E" w:rsidRPr="00FE162C">
              <w:t xml:space="preserve"> </w:t>
            </w:r>
            <w:r w:rsidR="00337812">
              <w:br/>
            </w:r>
            <w:r w:rsidR="00B8521E" w:rsidRPr="00FE162C">
              <w:t>(status quo)</w:t>
            </w:r>
          </w:p>
        </w:tc>
      </w:tr>
      <w:tr w:rsidR="00755F94" w:rsidRPr="00FE162C" w:rsidTr="00337812">
        <w:tc>
          <w:tcPr>
            <w:tcW w:w="1997" w:type="dxa"/>
            <w:tcBorders>
              <w:top w:val="nil"/>
              <w:left w:val="nil"/>
              <w:bottom w:val="nil"/>
              <w:right w:val="nil"/>
            </w:tcBorders>
          </w:tcPr>
          <w:p w:rsidR="00755F94" w:rsidRPr="00FE162C" w:rsidRDefault="00755F94" w:rsidP="00337812">
            <w:pPr>
              <w:pStyle w:val="Tabletext"/>
              <w:spacing w:before="120" w:after="80"/>
            </w:pPr>
            <w:r w:rsidRPr="00FE162C">
              <w:t>Wage (before taxes)</w:t>
            </w:r>
          </w:p>
        </w:tc>
        <w:tc>
          <w:tcPr>
            <w:tcW w:w="2264" w:type="dxa"/>
            <w:tcBorders>
              <w:top w:val="nil"/>
              <w:left w:val="nil"/>
              <w:bottom w:val="nil"/>
              <w:right w:val="nil"/>
            </w:tcBorders>
          </w:tcPr>
          <w:p w:rsidR="00755F94" w:rsidRPr="00FE162C" w:rsidRDefault="00755F94" w:rsidP="00337812">
            <w:pPr>
              <w:pStyle w:val="Tabletext"/>
              <w:spacing w:before="120" w:after="80"/>
            </w:pPr>
            <w:r w:rsidRPr="00FE162C">
              <w:t>140% more than current/</w:t>
            </w:r>
            <w:r w:rsidR="00337812">
              <w:t xml:space="preserve"> </w:t>
            </w:r>
            <w:r w:rsidRPr="00FE162C">
              <w:t>expected wages</w:t>
            </w:r>
          </w:p>
        </w:tc>
        <w:tc>
          <w:tcPr>
            <w:tcW w:w="2264" w:type="dxa"/>
            <w:tcBorders>
              <w:top w:val="nil"/>
              <w:left w:val="nil"/>
              <w:bottom w:val="nil"/>
              <w:right w:val="nil"/>
            </w:tcBorders>
          </w:tcPr>
          <w:p w:rsidR="00755F94" w:rsidRPr="00FE162C" w:rsidRDefault="00755F94" w:rsidP="00337812">
            <w:pPr>
              <w:pStyle w:val="Tabletext"/>
              <w:spacing w:before="120" w:after="80"/>
            </w:pPr>
            <w:r w:rsidRPr="00FE162C">
              <w:t>40% more than current/</w:t>
            </w:r>
            <w:r w:rsidR="00337812">
              <w:t xml:space="preserve"> </w:t>
            </w:r>
            <w:r w:rsidRPr="00FE162C">
              <w:t>expected wages</w:t>
            </w:r>
          </w:p>
        </w:tc>
        <w:tc>
          <w:tcPr>
            <w:tcW w:w="2264" w:type="dxa"/>
            <w:vMerge w:val="restart"/>
            <w:tcBorders>
              <w:top w:val="nil"/>
              <w:left w:val="nil"/>
              <w:bottom w:val="nil"/>
              <w:right w:val="nil"/>
            </w:tcBorders>
            <w:vAlign w:val="center"/>
          </w:tcPr>
          <w:p w:rsidR="00755F94" w:rsidRPr="00FE162C" w:rsidRDefault="00755F94" w:rsidP="00337812">
            <w:pPr>
              <w:pStyle w:val="Tabletext"/>
            </w:pPr>
            <w:r w:rsidRPr="00FE162C">
              <w:t>Reject both job offers and stay with current employment situation</w:t>
            </w:r>
          </w:p>
        </w:tc>
      </w:tr>
      <w:tr w:rsidR="00755F94" w:rsidRPr="00FE162C" w:rsidTr="00337812">
        <w:tc>
          <w:tcPr>
            <w:tcW w:w="1997" w:type="dxa"/>
            <w:tcBorders>
              <w:top w:val="nil"/>
              <w:left w:val="nil"/>
              <w:bottom w:val="nil"/>
              <w:right w:val="nil"/>
            </w:tcBorders>
          </w:tcPr>
          <w:p w:rsidR="00755F94" w:rsidRPr="00FE162C" w:rsidRDefault="00755F94" w:rsidP="00337812">
            <w:pPr>
              <w:pStyle w:val="Tabletext"/>
              <w:spacing w:before="120" w:after="80"/>
            </w:pPr>
            <w:r w:rsidRPr="00FE162C">
              <w:t>Relocation</w:t>
            </w:r>
          </w:p>
        </w:tc>
        <w:tc>
          <w:tcPr>
            <w:tcW w:w="2264" w:type="dxa"/>
            <w:tcBorders>
              <w:top w:val="nil"/>
              <w:left w:val="nil"/>
              <w:bottom w:val="nil"/>
              <w:right w:val="nil"/>
            </w:tcBorders>
          </w:tcPr>
          <w:p w:rsidR="00755F94" w:rsidRPr="00FE162C" w:rsidRDefault="00755F94" w:rsidP="00337812">
            <w:pPr>
              <w:pStyle w:val="Tabletext"/>
              <w:spacing w:before="120" w:after="80"/>
            </w:pPr>
            <w:r w:rsidRPr="00FE162C">
              <w:t>Full relocation</w:t>
            </w:r>
            <w:r w:rsidR="00337812">
              <w:br/>
            </w:r>
          </w:p>
        </w:tc>
        <w:tc>
          <w:tcPr>
            <w:tcW w:w="2264" w:type="dxa"/>
            <w:tcBorders>
              <w:top w:val="nil"/>
              <w:left w:val="nil"/>
              <w:bottom w:val="nil"/>
              <w:right w:val="nil"/>
            </w:tcBorders>
          </w:tcPr>
          <w:p w:rsidR="00755F94" w:rsidRPr="00FE162C" w:rsidRDefault="00755F94" w:rsidP="00337812">
            <w:pPr>
              <w:pStyle w:val="Tabletext"/>
              <w:spacing w:before="120" w:after="80"/>
            </w:pPr>
            <w:r w:rsidRPr="00FE162C">
              <w:t>Fly-in/fly-out</w:t>
            </w:r>
          </w:p>
        </w:tc>
        <w:tc>
          <w:tcPr>
            <w:tcW w:w="2264" w:type="dxa"/>
            <w:vMerge/>
            <w:tcBorders>
              <w:top w:val="nil"/>
              <w:left w:val="nil"/>
              <w:bottom w:val="nil"/>
              <w:right w:val="nil"/>
            </w:tcBorders>
            <w:vAlign w:val="center"/>
          </w:tcPr>
          <w:p w:rsidR="00755F94" w:rsidRPr="00FE162C" w:rsidRDefault="00755F94" w:rsidP="00337812">
            <w:pPr>
              <w:pStyle w:val="Tabletext"/>
            </w:pPr>
          </w:p>
        </w:tc>
      </w:tr>
      <w:tr w:rsidR="00755F94" w:rsidRPr="00FE162C" w:rsidTr="00337812">
        <w:tc>
          <w:tcPr>
            <w:tcW w:w="1997" w:type="dxa"/>
            <w:tcBorders>
              <w:top w:val="nil"/>
              <w:left w:val="nil"/>
              <w:bottom w:val="nil"/>
              <w:right w:val="nil"/>
            </w:tcBorders>
          </w:tcPr>
          <w:p w:rsidR="00755F94" w:rsidRPr="00FE162C" w:rsidRDefault="00755F94" w:rsidP="00337812">
            <w:pPr>
              <w:pStyle w:val="Tabletext"/>
              <w:spacing w:before="120" w:after="80"/>
            </w:pPr>
            <w:r w:rsidRPr="00FE162C">
              <w:t>Contract</w:t>
            </w:r>
          </w:p>
        </w:tc>
        <w:tc>
          <w:tcPr>
            <w:tcW w:w="2264" w:type="dxa"/>
            <w:tcBorders>
              <w:top w:val="nil"/>
              <w:left w:val="nil"/>
              <w:bottom w:val="nil"/>
              <w:right w:val="nil"/>
            </w:tcBorders>
          </w:tcPr>
          <w:p w:rsidR="00755F94" w:rsidRPr="00FE162C" w:rsidRDefault="00755F94" w:rsidP="00337812">
            <w:pPr>
              <w:pStyle w:val="Tabletext"/>
              <w:spacing w:before="120" w:after="80"/>
            </w:pPr>
            <w:r w:rsidRPr="00FE162C">
              <w:t>Fixed six</w:t>
            </w:r>
            <w:r w:rsidR="00971284" w:rsidRPr="00FE162C">
              <w:t xml:space="preserve"> </w:t>
            </w:r>
            <w:r w:rsidRPr="00FE162C">
              <w:t xml:space="preserve">months, </w:t>
            </w:r>
            <w:r w:rsidR="00337812">
              <w:br/>
            </w:r>
            <w:r w:rsidRPr="00FE162C">
              <w:t>no training</w:t>
            </w:r>
          </w:p>
        </w:tc>
        <w:tc>
          <w:tcPr>
            <w:tcW w:w="2264" w:type="dxa"/>
            <w:tcBorders>
              <w:top w:val="nil"/>
              <w:left w:val="nil"/>
              <w:bottom w:val="nil"/>
              <w:right w:val="nil"/>
            </w:tcBorders>
          </w:tcPr>
          <w:p w:rsidR="00755F94" w:rsidRPr="00FE162C" w:rsidRDefault="00965475" w:rsidP="00337812">
            <w:pPr>
              <w:pStyle w:val="Tabletext"/>
              <w:spacing w:before="120" w:after="80"/>
            </w:pPr>
            <w:r>
              <w:t>Ongoing</w:t>
            </w:r>
            <w:r w:rsidR="00755F94" w:rsidRPr="00FE162C">
              <w:t xml:space="preserve"> with training</w:t>
            </w:r>
          </w:p>
        </w:tc>
        <w:tc>
          <w:tcPr>
            <w:tcW w:w="2264" w:type="dxa"/>
            <w:vMerge/>
            <w:tcBorders>
              <w:top w:val="nil"/>
              <w:left w:val="nil"/>
              <w:bottom w:val="nil"/>
              <w:right w:val="nil"/>
            </w:tcBorders>
            <w:vAlign w:val="center"/>
          </w:tcPr>
          <w:p w:rsidR="00755F94" w:rsidRPr="00FE162C" w:rsidRDefault="00755F94" w:rsidP="00337812">
            <w:pPr>
              <w:pStyle w:val="Tabletext"/>
            </w:pPr>
          </w:p>
        </w:tc>
      </w:tr>
      <w:tr w:rsidR="00014BFC" w:rsidRPr="00FE162C" w:rsidTr="00337812">
        <w:tc>
          <w:tcPr>
            <w:tcW w:w="1997" w:type="dxa"/>
            <w:tcBorders>
              <w:top w:val="nil"/>
              <w:left w:val="nil"/>
              <w:bottom w:val="single" w:sz="12" w:space="0" w:color="auto"/>
              <w:right w:val="nil"/>
            </w:tcBorders>
          </w:tcPr>
          <w:p w:rsidR="00014BFC" w:rsidRPr="00337812" w:rsidRDefault="0083094D" w:rsidP="00337812">
            <w:pPr>
              <w:pStyle w:val="Tabletext"/>
              <w:spacing w:before="120" w:after="80"/>
              <w:rPr>
                <w:b/>
              </w:rPr>
            </w:pPr>
            <w:r w:rsidRPr="00337812">
              <w:rPr>
                <w:b/>
              </w:rPr>
              <w:t xml:space="preserve">Your choice </w:t>
            </w:r>
            <w:r w:rsidR="00337812">
              <w:rPr>
                <w:b/>
              </w:rPr>
              <w:br/>
            </w:r>
            <w:r w:rsidRPr="00337812">
              <w:rPr>
                <w:b/>
              </w:rPr>
              <w:t>(tick one box)</w:t>
            </w:r>
          </w:p>
        </w:tc>
        <w:tc>
          <w:tcPr>
            <w:tcW w:w="2264" w:type="dxa"/>
            <w:tcBorders>
              <w:top w:val="nil"/>
              <w:left w:val="nil"/>
              <w:bottom w:val="single" w:sz="12" w:space="0" w:color="auto"/>
              <w:right w:val="nil"/>
            </w:tcBorders>
            <w:vAlign w:val="center"/>
          </w:tcPr>
          <w:p w:rsidR="00014BFC" w:rsidRPr="00FE162C" w:rsidRDefault="008E4EE9" w:rsidP="00337812">
            <w:pPr>
              <w:pStyle w:val="Tabletext"/>
              <w:spacing w:before="120" w:after="80"/>
            </w:pPr>
            <w:r w:rsidRPr="00FE162C">
              <w:sym w:font="Wingdings" w:char="F06F"/>
            </w:r>
          </w:p>
        </w:tc>
        <w:tc>
          <w:tcPr>
            <w:tcW w:w="2264" w:type="dxa"/>
            <w:tcBorders>
              <w:top w:val="nil"/>
              <w:left w:val="nil"/>
              <w:bottom w:val="single" w:sz="12" w:space="0" w:color="auto"/>
              <w:right w:val="nil"/>
            </w:tcBorders>
            <w:vAlign w:val="center"/>
          </w:tcPr>
          <w:p w:rsidR="00014BFC" w:rsidRPr="00FE162C" w:rsidRDefault="00B6029D" w:rsidP="00337812">
            <w:pPr>
              <w:pStyle w:val="Tabletext"/>
              <w:spacing w:before="120" w:after="80"/>
            </w:pPr>
            <w:r w:rsidRPr="00FE162C">
              <w:sym w:font="Wingdings" w:char="F06F"/>
            </w:r>
          </w:p>
        </w:tc>
        <w:tc>
          <w:tcPr>
            <w:tcW w:w="2264" w:type="dxa"/>
            <w:tcBorders>
              <w:top w:val="nil"/>
              <w:left w:val="nil"/>
              <w:bottom w:val="single" w:sz="12" w:space="0" w:color="auto"/>
              <w:right w:val="nil"/>
            </w:tcBorders>
            <w:vAlign w:val="center"/>
          </w:tcPr>
          <w:p w:rsidR="00014BFC" w:rsidRPr="00FE162C" w:rsidRDefault="00B6029D" w:rsidP="00337812">
            <w:pPr>
              <w:pStyle w:val="Tabletext"/>
            </w:pPr>
            <w:r w:rsidRPr="00FE162C">
              <w:sym w:font="Wingdings" w:char="F06F"/>
            </w:r>
          </w:p>
        </w:tc>
      </w:tr>
    </w:tbl>
    <w:p w:rsidR="009B6524" w:rsidRPr="00FE162C" w:rsidRDefault="00F74F68" w:rsidP="00F74F68">
      <w:pPr>
        <w:pStyle w:val="tabletitle"/>
      </w:pPr>
      <w:bookmarkStart w:id="49" w:name="_Toc386530549"/>
      <w:r w:rsidRPr="00FE162C">
        <w:t>Box 2</w:t>
      </w:r>
      <w:r>
        <w:tab/>
      </w:r>
      <w:r w:rsidRPr="00FE162C">
        <w:t>Attributes and their levels</w:t>
      </w:r>
      <w:bookmarkEnd w:id="49"/>
    </w:p>
    <w:tbl>
      <w:tblPr>
        <w:tblStyle w:val="TableGrid"/>
        <w:tblW w:w="6521" w:type="dxa"/>
        <w:tblInd w:w="17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170" w:type="dxa"/>
          <w:right w:w="170" w:type="dxa"/>
        </w:tblCellMar>
        <w:tblLook w:val="04A0" w:firstRow="1" w:lastRow="0" w:firstColumn="1" w:lastColumn="0" w:noHBand="0" w:noVBand="1"/>
      </w:tblPr>
      <w:tblGrid>
        <w:gridCol w:w="2067"/>
        <w:gridCol w:w="4454"/>
      </w:tblGrid>
      <w:tr w:rsidR="0011185B" w:rsidRPr="00FE162C" w:rsidTr="003B04AC">
        <w:tc>
          <w:tcPr>
            <w:tcW w:w="2067" w:type="dxa"/>
            <w:shd w:val="clear" w:color="auto" w:fill="000000" w:themeFill="text1"/>
          </w:tcPr>
          <w:p w:rsidR="0011185B" w:rsidRPr="00FE162C" w:rsidRDefault="0011185B" w:rsidP="00C53D65">
            <w:pPr>
              <w:pStyle w:val="Tablehead1"/>
              <w:spacing w:before="160" w:after="120"/>
            </w:pPr>
            <w:r w:rsidRPr="00FE162C">
              <w:t>Attribute</w:t>
            </w:r>
          </w:p>
        </w:tc>
        <w:tc>
          <w:tcPr>
            <w:tcW w:w="4454" w:type="dxa"/>
            <w:shd w:val="clear" w:color="auto" w:fill="000000" w:themeFill="text1"/>
          </w:tcPr>
          <w:p w:rsidR="0011185B" w:rsidRPr="00FE162C" w:rsidRDefault="0011185B" w:rsidP="00C53D65">
            <w:pPr>
              <w:pStyle w:val="Tablehead1"/>
              <w:spacing w:before="160" w:after="120"/>
            </w:pPr>
            <w:r w:rsidRPr="00FE162C">
              <w:t>Level</w:t>
            </w:r>
          </w:p>
        </w:tc>
      </w:tr>
      <w:tr w:rsidR="00C06109" w:rsidRPr="00FE162C" w:rsidTr="003B04AC">
        <w:tc>
          <w:tcPr>
            <w:tcW w:w="2067" w:type="dxa"/>
            <w:vMerge w:val="restart"/>
          </w:tcPr>
          <w:p w:rsidR="00C06109" w:rsidRPr="00FE162C" w:rsidRDefault="00C06109" w:rsidP="00C53D65">
            <w:pPr>
              <w:pStyle w:val="Tabletext"/>
              <w:spacing w:before="120" w:after="80"/>
              <w:rPr>
                <w:b/>
                <w:bCs/>
              </w:rPr>
            </w:pPr>
            <w:r w:rsidRPr="00FE162C">
              <w:t>Wage (before tax)</w:t>
            </w:r>
          </w:p>
        </w:tc>
        <w:tc>
          <w:tcPr>
            <w:tcW w:w="4454" w:type="dxa"/>
          </w:tcPr>
          <w:p w:rsidR="00C06109" w:rsidRPr="00FE162C" w:rsidRDefault="00C06109" w:rsidP="00C53D65">
            <w:pPr>
              <w:pStyle w:val="Tabletext"/>
              <w:spacing w:before="120" w:after="80"/>
            </w:pPr>
            <w:r w:rsidRPr="00FE162C">
              <w:t>40% above current wage</w:t>
            </w:r>
          </w:p>
        </w:tc>
      </w:tr>
      <w:tr w:rsidR="00C06109" w:rsidRPr="00FE162C" w:rsidTr="003B04AC">
        <w:tc>
          <w:tcPr>
            <w:tcW w:w="2067" w:type="dxa"/>
            <w:vMerge/>
          </w:tcPr>
          <w:p w:rsidR="00C06109" w:rsidRPr="00FE162C" w:rsidRDefault="00C06109" w:rsidP="00C53D65">
            <w:pPr>
              <w:pStyle w:val="Tabletext"/>
              <w:spacing w:before="120" w:after="80"/>
            </w:pPr>
          </w:p>
        </w:tc>
        <w:tc>
          <w:tcPr>
            <w:tcW w:w="4454" w:type="dxa"/>
          </w:tcPr>
          <w:p w:rsidR="00C06109" w:rsidRPr="00FE162C" w:rsidRDefault="00C06109" w:rsidP="00C53D65">
            <w:pPr>
              <w:pStyle w:val="Tabletext"/>
              <w:spacing w:before="120" w:after="80"/>
            </w:pPr>
            <w:r w:rsidRPr="00FE162C">
              <w:t>90% above current wage</w:t>
            </w:r>
          </w:p>
        </w:tc>
      </w:tr>
      <w:tr w:rsidR="00C06109" w:rsidRPr="00FE162C" w:rsidTr="003B04AC">
        <w:tc>
          <w:tcPr>
            <w:tcW w:w="2067" w:type="dxa"/>
            <w:vMerge/>
          </w:tcPr>
          <w:p w:rsidR="00C06109" w:rsidRPr="00FE162C" w:rsidRDefault="00C06109" w:rsidP="00C53D65">
            <w:pPr>
              <w:pStyle w:val="Tabletext"/>
              <w:spacing w:before="120" w:after="80"/>
              <w:rPr>
                <w:b/>
                <w:bCs/>
              </w:rPr>
            </w:pPr>
          </w:p>
        </w:tc>
        <w:tc>
          <w:tcPr>
            <w:tcW w:w="4454" w:type="dxa"/>
          </w:tcPr>
          <w:p w:rsidR="00C06109" w:rsidRPr="00FE162C" w:rsidRDefault="00C06109" w:rsidP="00C53D65">
            <w:pPr>
              <w:pStyle w:val="Tabletext"/>
              <w:spacing w:before="120" w:after="80"/>
            </w:pPr>
            <w:r w:rsidRPr="00FE162C">
              <w:t>140% above current wage</w:t>
            </w:r>
          </w:p>
        </w:tc>
      </w:tr>
      <w:tr w:rsidR="00C06109" w:rsidRPr="00FE162C" w:rsidTr="003B04AC">
        <w:tc>
          <w:tcPr>
            <w:tcW w:w="2067" w:type="dxa"/>
            <w:vMerge w:val="restart"/>
          </w:tcPr>
          <w:p w:rsidR="00C06109" w:rsidRPr="00FE162C" w:rsidRDefault="00C06109" w:rsidP="00C53D65">
            <w:pPr>
              <w:pStyle w:val="Tabletext"/>
              <w:spacing w:before="120" w:after="80"/>
            </w:pPr>
            <w:r w:rsidRPr="00FE162C">
              <w:t>Relocation</w:t>
            </w:r>
          </w:p>
        </w:tc>
        <w:tc>
          <w:tcPr>
            <w:tcW w:w="4454" w:type="dxa"/>
          </w:tcPr>
          <w:p w:rsidR="00C06109" w:rsidRPr="00FE162C" w:rsidRDefault="00C06109" w:rsidP="00C53D65">
            <w:pPr>
              <w:pStyle w:val="Tabletext"/>
              <w:spacing w:before="120" w:after="80"/>
            </w:pPr>
            <w:r w:rsidRPr="00FE162C">
              <w:t>Full relocation</w:t>
            </w:r>
          </w:p>
        </w:tc>
      </w:tr>
      <w:tr w:rsidR="00C06109" w:rsidRPr="00FE162C" w:rsidTr="003B04AC">
        <w:tc>
          <w:tcPr>
            <w:tcW w:w="2067" w:type="dxa"/>
            <w:vMerge/>
          </w:tcPr>
          <w:p w:rsidR="00C06109" w:rsidRPr="00FE162C" w:rsidRDefault="00C06109" w:rsidP="00C53D65">
            <w:pPr>
              <w:pStyle w:val="Tabletext"/>
              <w:spacing w:before="120" w:after="80"/>
            </w:pPr>
          </w:p>
        </w:tc>
        <w:tc>
          <w:tcPr>
            <w:tcW w:w="4454" w:type="dxa"/>
          </w:tcPr>
          <w:p w:rsidR="00C06109" w:rsidRPr="00FE162C" w:rsidRDefault="00C06109" w:rsidP="00C53D65">
            <w:pPr>
              <w:pStyle w:val="Tabletext"/>
              <w:spacing w:before="120" w:after="80"/>
            </w:pPr>
            <w:r w:rsidRPr="00FE162C">
              <w:t>Fly-in/fly-out</w:t>
            </w:r>
          </w:p>
        </w:tc>
      </w:tr>
      <w:tr w:rsidR="00C06109" w:rsidRPr="00FE162C" w:rsidTr="003B04AC">
        <w:tc>
          <w:tcPr>
            <w:tcW w:w="2067" w:type="dxa"/>
            <w:vMerge w:val="restart"/>
          </w:tcPr>
          <w:p w:rsidR="00C06109" w:rsidRPr="00FE162C" w:rsidRDefault="00C06109" w:rsidP="00C53D65">
            <w:pPr>
              <w:pStyle w:val="Tabletext"/>
              <w:spacing w:before="120" w:after="80"/>
            </w:pPr>
            <w:r w:rsidRPr="00FE162C">
              <w:t>Contract</w:t>
            </w:r>
          </w:p>
        </w:tc>
        <w:tc>
          <w:tcPr>
            <w:tcW w:w="4454" w:type="dxa"/>
          </w:tcPr>
          <w:p w:rsidR="00C06109" w:rsidRPr="00FE162C" w:rsidRDefault="00C06109" w:rsidP="00C53D65">
            <w:pPr>
              <w:pStyle w:val="Tabletext"/>
              <w:spacing w:before="120" w:after="80"/>
            </w:pPr>
            <w:r w:rsidRPr="00FE162C">
              <w:t xml:space="preserve">Fixed-term, </w:t>
            </w:r>
            <w:r w:rsidR="00971284" w:rsidRPr="00FE162C">
              <w:t xml:space="preserve">six </w:t>
            </w:r>
            <w:r w:rsidRPr="00FE162C">
              <w:t>months</w:t>
            </w:r>
            <w:r w:rsidR="003A1F42" w:rsidRPr="00FE162C">
              <w:t xml:space="preserve"> with</w:t>
            </w:r>
            <w:r w:rsidRPr="00FE162C">
              <w:t xml:space="preserve"> </w:t>
            </w:r>
            <w:r w:rsidR="00971284" w:rsidRPr="00FE162C">
              <w:t xml:space="preserve">no </w:t>
            </w:r>
            <w:r w:rsidRPr="00FE162C">
              <w:t>training</w:t>
            </w:r>
          </w:p>
        </w:tc>
      </w:tr>
      <w:tr w:rsidR="00C06109" w:rsidRPr="00FE162C" w:rsidTr="003B04AC">
        <w:tc>
          <w:tcPr>
            <w:tcW w:w="2067" w:type="dxa"/>
            <w:vMerge/>
          </w:tcPr>
          <w:p w:rsidR="00C06109" w:rsidRPr="00FE162C" w:rsidRDefault="00C06109" w:rsidP="00C53D65">
            <w:pPr>
              <w:pStyle w:val="Tabletext"/>
              <w:spacing w:before="120" w:after="80"/>
            </w:pPr>
          </w:p>
        </w:tc>
        <w:tc>
          <w:tcPr>
            <w:tcW w:w="4454" w:type="dxa"/>
          </w:tcPr>
          <w:p w:rsidR="00C06109" w:rsidRPr="00FE162C" w:rsidRDefault="00965475" w:rsidP="00C53D65">
            <w:pPr>
              <w:pStyle w:val="Tabletext"/>
              <w:spacing w:before="120" w:after="80"/>
            </w:pPr>
            <w:r>
              <w:t>Ongoing</w:t>
            </w:r>
            <w:r w:rsidR="00C06109" w:rsidRPr="00FE162C">
              <w:t xml:space="preserve"> with training</w:t>
            </w:r>
          </w:p>
        </w:tc>
      </w:tr>
      <w:tr w:rsidR="00C06109" w:rsidRPr="00FE162C" w:rsidTr="003B04AC">
        <w:tc>
          <w:tcPr>
            <w:tcW w:w="2067" w:type="dxa"/>
            <w:vMerge/>
          </w:tcPr>
          <w:p w:rsidR="00C06109" w:rsidRPr="00FE162C" w:rsidRDefault="00C06109" w:rsidP="00C53D65">
            <w:pPr>
              <w:pStyle w:val="Tabletext"/>
              <w:spacing w:before="120" w:after="80"/>
            </w:pPr>
          </w:p>
        </w:tc>
        <w:tc>
          <w:tcPr>
            <w:tcW w:w="4454" w:type="dxa"/>
          </w:tcPr>
          <w:p w:rsidR="00C06109" w:rsidRPr="00FE162C" w:rsidRDefault="00965475" w:rsidP="00C53D65">
            <w:pPr>
              <w:pStyle w:val="Tabletext"/>
              <w:spacing w:before="120" w:after="80"/>
            </w:pPr>
            <w:r>
              <w:t>Ongoing</w:t>
            </w:r>
            <w:r w:rsidR="00C06109" w:rsidRPr="00FE162C">
              <w:t xml:space="preserve"> without training</w:t>
            </w:r>
          </w:p>
        </w:tc>
      </w:tr>
    </w:tbl>
    <w:p w:rsidR="0011185B" w:rsidRPr="00FE162C" w:rsidRDefault="00C06109" w:rsidP="00C06109">
      <w:pPr>
        <w:pStyle w:val="Heading2"/>
        <w:rPr>
          <w:color w:val="000000" w:themeColor="text1"/>
        </w:rPr>
      </w:pPr>
      <w:bookmarkStart w:id="50" w:name="_Toc386530488"/>
      <w:r w:rsidRPr="00FE162C">
        <w:rPr>
          <w:color w:val="000000" w:themeColor="text1"/>
        </w:rPr>
        <w:t>Data</w:t>
      </w:r>
      <w:bookmarkEnd w:id="50"/>
    </w:p>
    <w:p w:rsidR="00E71116" w:rsidRPr="00FE162C" w:rsidRDefault="007137EF" w:rsidP="00C53D65">
      <w:pPr>
        <w:pStyle w:val="Text"/>
      </w:pPr>
      <w:r>
        <w:t>We used a</w:t>
      </w:r>
      <w:r w:rsidR="009B6524" w:rsidRPr="00FE162C">
        <w:t xml:space="preserve">n online survey </w:t>
      </w:r>
      <w:r>
        <w:t xml:space="preserve">to conduct the discrete choice experiment. This </w:t>
      </w:r>
      <w:r w:rsidR="009B6524" w:rsidRPr="00FE162C">
        <w:t xml:space="preserve">was </w:t>
      </w:r>
      <w:r w:rsidR="00020E10">
        <w:t>undertaken</w:t>
      </w:r>
      <w:r w:rsidR="00592E39" w:rsidRPr="00FE162C">
        <w:t xml:space="preserve"> </w:t>
      </w:r>
      <w:r w:rsidR="008F4E0E" w:rsidRPr="00FE162C">
        <w:t xml:space="preserve">between May and July 2012 </w:t>
      </w:r>
      <w:r w:rsidR="00592E39" w:rsidRPr="00FE162C">
        <w:t xml:space="preserve">by </w:t>
      </w:r>
      <w:r w:rsidR="00592E39" w:rsidRPr="00A90348">
        <w:rPr>
          <w:iCs/>
        </w:rPr>
        <w:t>Pure Profile</w:t>
      </w:r>
      <w:r w:rsidR="009B6524" w:rsidRPr="00FE162C">
        <w:t xml:space="preserve">, a market research company </w:t>
      </w:r>
      <w:r w:rsidR="005C1608" w:rsidRPr="00FE162C">
        <w:t>with experience</w:t>
      </w:r>
      <w:r w:rsidR="002E46D3" w:rsidRPr="00FE162C">
        <w:t xml:space="preserve"> in discrete choice experiments.</w:t>
      </w:r>
      <w:r w:rsidR="00592E39" w:rsidRPr="00FE162C">
        <w:t xml:space="preserve"> </w:t>
      </w:r>
      <w:r w:rsidR="002E46D3" w:rsidRPr="00FE162C">
        <w:t>The company</w:t>
      </w:r>
      <w:r w:rsidR="00602830">
        <w:t>’</w:t>
      </w:r>
      <w:r w:rsidR="002E46D3" w:rsidRPr="00FE162C">
        <w:t>s Austral</w:t>
      </w:r>
      <w:r w:rsidR="00A90348">
        <w:t xml:space="preserve">ian database contains about 300 </w:t>
      </w:r>
      <w:r w:rsidR="002E46D3" w:rsidRPr="00FE162C">
        <w:t xml:space="preserve">000 registered members in Australia. </w:t>
      </w:r>
      <w:r w:rsidR="001E4F3F" w:rsidRPr="00FE162C">
        <w:t xml:space="preserve">Our survey </w:t>
      </w:r>
      <w:r w:rsidR="005E6064" w:rsidRPr="00FE162C">
        <w:t xml:space="preserve">was </w:t>
      </w:r>
      <w:r w:rsidR="00592E39" w:rsidRPr="00FE162C">
        <w:t>restricted to people f</w:t>
      </w:r>
      <w:r w:rsidR="00A90348">
        <w:t>rom this panel who were aged 18—</w:t>
      </w:r>
      <w:r w:rsidR="00592E39" w:rsidRPr="00FE162C">
        <w:t>64 years</w:t>
      </w:r>
      <w:r w:rsidR="00947A86" w:rsidRPr="00FE162C">
        <w:t>, in the labour force</w:t>
      </w:r>
      <w:r w:rsidR="00592E39" w:rsidRPr="00FE162C">
        <w:t xml:space="preserve">, </w:t>
      </w:r>
      <w:r w:rsidR="008F4E0E" w:rsidRPr="00FE162C">
        <w:t>not studying full-time</w:t>
      </w:r>
      <w:r w:rsidR="00592E39" w:rsidRPr="00FE162C">
        <w:t xml:space="preserve"> and resident in New Sout</w:t>
      </w:r>
      <w:r w:rsidR="008F4E0E" w:rsidRPr="00FE162C">
        <w:t>h Wales or</w:t>
      </w:r>
      <w:r w:rsidR="00592E39" w:rsidRPr="00FE162C">
        <w:t xml:space="preserve"> South Australia.</w:t>
      </w:r>
      <w:r w:rsidR="008F4E0E" w:rsidRPr="00FE162C">
        <w:rPr>
          <w:rStyle w:val="FootnoteReference"/>
          <w:color w:val="000000" w:themeColor="text1"/>
        </w:rPr>
        <w:footnoteReference w:id="7"/>
      </w:r>
      <w:r w:rsidR="00AE4305" w:rsidRPr="00FE162C">
        <w:t xml:space="preserve"> </w:t>
      </w:r>
      <w:r w:rsidR="008F4E0E" w:rsidRPr="00FE162C">
        <w:t>Quotas were imposed</w:t>
      </w:r>
      <w:r w:rsidR="00AE4305" w:rsidRPr="00FE162C">
        <w:t xml:space="preserve"> to ensure</w:t>
      </w:r>
      <w:r w:rsidR="00333C39">
        <w:t xml:space="preserve"> that</w:t>
      </w:r>
      <w:r w:rsidR="00AE4305" w:rsidRPr="00FE162C">
        <w:t xml:space="preserve"> the final sample</w:t>
      </w:r>
      <w:r w:rsidR="005E6064" w:rsidRPr="00FE162C">
        <w:t xml:space="preserve"> of responses</w:t>
      </w:r>
      <w:r w:rsidR="00AE4305" w:rsidRPr="00FE162C">
        <w:t xml:space="preserve"> reflected each state</w:t>
      </w:r>
      <w:r w:rsidR="00602830">
        <w:t>’</w:t>
      </w:r>
      <w:r w:rsidR="00AE4305" w:rsidRPr="00FE162C">
        <w:t xml:space="preserve">s </w:t>
      </w:r>
      <w:r w:rsidR="008F4E0E" w:rsidRPr="00FE162C">
        <w:t xml:space="preserve">demographic profile in terms </w:t>
      </w:r>
      <w:r w:rsidR="00020E10">
        <w:t xml:space="preserve">of </w:t>
      </w:r>
      <w:r w:rsidR="00AE4305" w:rsidRPr="00FE162C">
        <w:t xml:space="preserve">age, </w:t>
      </w:r>
      <w:r w:rsidR="00AE4305" w:rsidRPr="00C53D65">
        <w:t>gender</w:t>
      </w:r>
      <w:r w:rsidR="00AE4305" w:rsidRPr="00FE162C">
        <w:t>,</w:t>
      </w:r>
      <w:r w:rsidR="008F4E0E" w:rsidRPr="00FE162C">
        <w:t xml:space="preserve"> region and labour force status</w:t>
      </w:r>
      <w:r w:rsidR="00AE4305" w:rsidRPr="00FE162C">
        <w:t>.</w:t>
      </w:r>
      <w:r w:rsidR="00871720" w:rsidRPr="00FE162C">
        <w:t xml:space="preserve"> </w:t>
      </w:r>
      <w:r w:rsidR="00F34BB5" w:rsidRPr="00FE162C">
        <w:t>One-third of the quota was reserved for respondents from</w:t>
      </w:r>
      <w:r w:rsidR="005E6064" w:rsidRPr="00FE162C">
        <w:t xml:space="preserve"> South Australia </w:t>
      </w:r>
      <w:r w:rsidR="00F34BB5" w:rsidRPr="00FE162C">
        <w:t>and the rest</w:t>
      </w:r>
      <w:r w:rsidR="005E6064" w:rsidRPr="00FE162C">
        <w:t xml:space="preserve"> </w:t>
      </w:r>
      <w:r w:rsidR="008F4E0E" w:rsidRPr="00FE162C">
        <w:t xml:space="preserve">for </w:t>
      </w:r>
      <w:r w:rsidR="00F34BB5" w:rsidRPr="00FE162C">
        <w:t xml:space="preserve">respondents from </w:t>
      </w:r>
      <w:r w:rsidR="005E6064" w:rsidRPr="00FE162C">
        <w:t xml:space="preserve">New South Wales. </w:t>
      </w:r>
      <w:r w:rsidR="00F34BB5" w:rsidRPr="00FE162C">
        <w:t>Although</w:t>
      </w:r>
      <w:r w:rsidR="005E6064" w:rsidRPr="00FE162C">
        <w:t xml:space="preserve"> this leads to over-sampling from South Australia, it </w:t>
      </w:r>
      <w:r w:rsidR="00F34BB5" w:rsidRPr="00FE162C">
        <w:t>does</w:t>
      </w:r>
      <w:r w:rsidR="00871720" w:rsidRPr="00FE162C">
        <w:t xml:space="preserve"> </w:t>
      </w:r>
      <w:r w:rsidR="005E6064" w:rsidRPr="00FE162C">
        <w:t>ensure that</w:t>
      </w:r>
      <w:r w:rsidR="003D3795" w:rsidRPr="00FE162C">
        <w:t xml:space="preserve"> the</w:t>
      </w:r>
      <w:r w:rsidR="005E6064" w:rsidRPr="00FE162C">
        <w:t xml:space="preserve"> estimates </w:t>
      </w:r>
      <w:r w:rsidR="003D3795" w:rsidRPr="00FE162C">
        <w:t>are</w:t>
      </w:r>
      <w:r w:rsidR="00F34BB5" w:rsidRPr="00FE162C">
        <w:t xml:space="preserve"> reliable</w:t>
      </w:r>
      <w:r w:rsidR="005E6064" w:rsidRPr="00FE162C">
        <w:t>.</w:t>
      </w:r>
      <w:r w:rsidR="00871720" w:rsidRPr="00FE162C">
        <w:rPr>
          <w:rStyle w:val="FootnoteReference"/>
          <w:color w:val="000000" w:themeColor="text1"/>
        </w:rPr>
        <w:footnoteReference w:id="8"/>
      </w:r>
    </w:p>
    <w:p w:rsidR="002E46D3" w:rsidRPr="00FE162C" w:rsidRDefault="00A90348" w:rsidP="00C53D65">
      <w:pPr>
        <w:pStyle w:val="Text"/>
      </w:pPr>
      <w:r>
        <w:t>Using their panel-</w:t>
      </w:r>
      <w:r w:rsidR="001C4B71" w:rsidRPr="00FE162C">
        <w:t xml:space="preserve">filtering software, Pure Profile ensured </w:t>
      </w:r>
      <w:r>
        <w:t xml:space="preserve">that </w:t>
      </w:r>
      <w:r w:rsidR="001C4B71" w:rsidRPr="00FE162C">
        <w:t xml:space="preserve">the stipulated quotas were approximately </w:t>
      </w:r>
      <w:r w:rsidR="001C4B71" w:rsidRPr="00C53D65">
        <w:t>achieved</w:t>
      </w:r>
      <w:r w:rsidR="00F34BB5" w:rsidRPr="00FE162C">
        <w:t>.</w:t>
      </w:r>
      <w:r w:rsidR="002A01C1" w:rsidRPr="00FE162C">
        <w:t xml:space="preserve"> Of </w:t>
      </w:r>
      <w:r>
        <w:t>the 3</w:t>
      </w:r>
      <w:r w:rsidR="00871720" w:rsidRPr="00FE162C">
        <w:t>185 completed responses,</w:t>
      </w:r>
      <w:r w:rsidR="007137EF">
        <w:t xml:space="preserve"> 243 were </w:t>
      </w:r>
      <w:r w:rsidR="002A01C1" w:rsidRPr="00FE162C">
        <w:t xml:space="preserve">considered unreliable because the respondents took </w:t>
      </w:r>
      <w:r>
        <w:t>fewer</w:t>
      </w:r>
      <w:r w:rsidR="002A01C1" w:rsidRPr="00FE162C">
        <w:t xml:space="preserve"> than five minutes to complete the survey.</w:t>
      </w:r>
      <w:r w:rsidR="002A01C1" w:rsidRPr="00FE162C">
        <w:rPr>
          <w:rStyle w:val="FootnoteReference"/>
          <w:color w:val="000000" w:themeColor="text1"/>
        </w:rPr>
        <w:footnoteReference w:id="9"/>
      </w:r>
      <w:r w:rsidR="001E4F3F" w:rsidRPr="00FE162C">
        <w:t xml:space="preserve"> </w:t>
      </w:r>
      <w:r w:rsidR="007137EF">
        <w:t>I</w:t>
      </w:r>
      <w:r w:rsidR="002E46D3" w:rsidRPr="00FE162C">
        <w:t>ndividuals</w:t>
      </w:r>
      <w:r w:rsidR="000A6BD3" w:rsidRPr="00FE162C">
        <w:t xml:space="preserve"> who </w:t>
      </w:r>
      <w:r w:rsidR="007137EF">
        <w:t>reported</w:t>
      </w:r>
      <w:r w:rsidR="002E46D3" w:rsidRPr="00FE162C">
        <w:t xml:space="preserve"> </w:t>
      </w:r>
      <w:r w:rsidR="00600148" w:rsidRPr="00FE162C">
        <w:lastRenderedPageBreak/>
        <w:t>earning</w:t>
      </w:r>
      <w:r w:rsidR="002E46D3" w:rsidRPr="00FE162C">
        <w:t xml:space="preserve"> less than $2</w:t>
      </w:r>
      <w:r w:rsidR="00E42FA8" w:rsidRPr="00FE162C">
        <w:t>4 000</w:t>
      </w:r>
      <w:r w:rsidR="00600148" w:rsidRPr="00FE162C">
        <w:rPr>
          <w:rStyle w:val="FootnoteReference"/>
          <w:color w:val="000000" w:themeColor="text1"/>
        </w:rPr>
        <w:footnoteReference w:id="10"/>
      </w:r>
      <w:r w:rsidR="00E42FA8" w:rsidRPr="00FE162C">
        <w:t xml:space="preserve"> or more than $300 000</w:t>
      </w:r>
      <w:r w:rsidR="000A6BD3" w:rsidRPr="00FE162C">
        <w:t xml:space="preserve"> per annum</w:t>
      </w:r>
      <w:r w:rsidR="007137EF">
        <w:t xml:space="preserve"> were removed from the analysis</w:t>
      </w:r>
      <w:r w:rsidR="00600148" w:rsidRPr="00FE162C">
        <w:t>,</w:t>
      </w:r>
      <w:r w:rsidR="00E42FA8" w:rsidRPr="00FE162C">
        <w:t xml:space="preserve"> </w:t>
      </w:r>
      <w:r w:rsidR="007137EF">
        <w:t>as were those individuals who reported</w:t>
      </w:r>
      <w:r w:rsidR="00600148" w:rsidRPr="00FE162C">
        <w:t xml:space="preserve"> </w:t>
      </w:r>
      <w:r w:rsidR="00E42FA8" w:rsidRPr="00FE162C">
        <w:t>working</w:t>
      </w:r>
      <w:r w:rsidR="002E46D3" w:rsidRPr="00FE162C">
        <w:t xml:space="preserve"> </w:t>
      </w:r>
      <w:r>
        <w:t xml:space="preserve">fewer </w:t>
      </w:r>
      <w:r w:rsidR="002E46D3" w:rsidRPr="00FE162C">
        <w:t>than 30 hours per week</w:t>
      </w:r>
      <w:r w:rsidR="00E71116" w:rsidRPr="00FE162C">
        <w:t xml:space="preserve">. A similar </w:t>
      </w:r>
      <w:r w:rsidR="000A6BD3" w:rsidRPr="00FE162C">
        <w:t xml:space="preserve">exclusion </w:t>
      </w:r>
      <w:r w:rsidR="00E71116" w:rsidRPr="00FE162C">
        <w:t>rule</w:t>
      </w:r>
      <w:r>
        <w:t>,</w:t>
      </w:r>
      <w:r w:rsidR="00E71116" w:rsidRPr="00FE162C">
        <w:t xml:space="preserve"> based on expected earnings and expected hours of work</w:t>
      </w:r>
      <w:r>
        <w:t>,</w:t>
      </w:r>
      <w:r w:rsidR="00E71116" w:rsidRPr="00FE162C">
        <w:t xml:space="preserve"> </w:t>
      </w:r>
      <w:r w:rsidR="00333C39">
        <w:t xml:space="preserve">was </w:t>
      </w:r>
      <w:r w:rsidR="00E71116" w:rsidRPr="00FE162C">
        <w:t>applied to those who were looking for work</w:t>
      </w:r>
      <w:r w:rsidR="000A6BD3" w:rsidRPr="00FE162C">
        <w:t>.</w:t>
      </w:r>
      <w:r w:rsidR="002E46D3" w:rsidRPr="00FE162C">
        <w:t xml:space="preserve"> </w:t>
      </w:r>
      <w:r w:rsidR="000A6BD3" w:rsidRPr="00FE162C">
        <w:t>The final usable</w:t>
      </w:r>
      <w:r w:rsidR="002E46D3" w:rsidRPr="00FE162C">
        <w:t xml:space="preserve"> sample </w:t>
      </w:r>
      <w:r w:rsidR="000A6BD3" w:rsidRPr="00FE162C">
        <w:t xml:space="preserve">consisted </w:t>
      </w:r>
      <w:r w:rsidR="00FE3365">
        <w:t>of</w:t>
      </w:r>
      <w:r w:rsidR="000A6BD3" w:rsidRPr="00FE162C">
        <w:t xml:space="preserve"> </w:t>
      </w:r>
      <w:r w:rsidR="002E46D3" w:rsidRPr="00FE162C">
        <w:t>2331</w:t>
      </w:r>
      <w:r w:rsidR="000A6BD3" w:rsidRPr="00FE162C">
        <w:t xml:space="preserve"> individuals</w:t>
      </w:r>
      <w:r w:rsidR="002E46D3" w:rsidRPr="00FE162C">
        <w:t>.</w:t>
      </w:r>
    </w:p>
    <w:p w:rsidR="002A01C1" w:rsidRPr="00FE162C" w:rsidRDefault="002A01C1" w:rsidP="00C53D65">
      <w:pPr>
        <w:pStyle w:val="Text"/>
      </w:pPr>
      <w:r w:rsidRPr="00FE162C">
        <w:t>Table 1 shows selected c</w:t>
      </w:r>
      <w:r w:rsidR="00871720" w:rsidRPr="00FE162C">
        <w:t>haracteristics of the final sample of</w:t>
      </w:r>
      <w:r w:rsidR="00550C1E" w:rsidRPr="00FE162C">
        <w:t xml:space="preserve"> </w:t>
      </w:r>
      <w:r w:rsidRPr="00FE162C">
        <w:t xml:space="preserve">respondents. </w:t>
      </w:r>
      <w:r w:rsidR="0098185A" w:rsidRPr="00FE162C">
        <w:t>These are generally consistent with</w:t>
      </w:r>
      <w:r w:rsidRPr="00FE162C">
        <w:t xml:space="preserve"> the</w:t>
      </w:r>
      <w:r w:rsidR="0098185A" w:rsidRPr="00FE162C">
        <w:t xml:space="preserve"> study</w:t>
      </w:r>
      <w:r w:rsidR="00602830">
        <w:t>’</w:t>
      </w:r>
      <w:r w:rsidR="0098185A" w:rsidRPr="00FE162C">
        <w:t>s</w:t>
      </w:r>
      <w:r w:rsidRPr="00FE162C">
        <w:t xml:space="preserve"> design criteria</w:t>
      </w:r>
      <w:r w:rsidR="00550C1E" w:rsidRPr="00FE162C">
        <w:t xml:space="preserve">. In </w:t>
      </w:r>
      <w:r w:rsidR="00550C1E" w:rsidRPr="00C53D65">
        <w:t>other</w:t>
      </w:r>
      <w:r w:rsidR="00550C1E" w:rsidRPr="00FE162C">
        <w:t xml:space="preserve"> words, the profile of the respondents in the sample reflects the population with respect to</w:t>
      </w:r>
      <w:r w:rsidRPr="00FE162C">
        <w:t xml:space="preserve"> sta</w:t>
      </w:r>
      <w:r w:rsidR="00550C1E" w:rsidRPr="00FE162C">
        <w:t>te, gender, labour force status and</w:t>
      </w:r>
      <w:r w:rsidRPr="00FE162C">
        <w:t xml:space="preserve"> </w:t>
      </w:r>
      <w:r w:rsidR="00550C1E" w:rsidRPr="00FE162C">
        <w:t>region</w:t>
      </w:r>
      <w:r w:rsidR="00A726E6" w:rsidRPr="00FE162C">
        <w:t xml:space="preserve">. </w:t>
      </w:r>
      <w:r w:rsidR="0098185A" w:rsidRPr="00FE162C">
        <w:t>For instance, t</w:t>
      </w:r>
      <w:r w:rsidR="00333C39">
        <w:t>he 2011 c</w:t>
      </w:r>
      <w:r w:rsidR="00A90348">
        <w:t>ensus shows the 18 to 64-</w:t>
      </w:r>
      <w:r w:rsidR="00203C2A" w:rsidRPr="00FE162C">
        <w:t>year-old cohort in the labour force in Australia to be</w:t>
      </w:r>
      <w:r w:rsidRPr="00FE162C">
        <w:t>:</w:t>
      </w:r>
    </w:p>
    <w:p w:rsidR="002A01C1" w:rsidRPr="00C53D65" w:rsidRDefault="002A01C1" w:rsidP="00C53D65">
      <w:pPr>
        <w:pStyle w:val="Dotpoint1"/>
      </w:pPr>
      <w:r w:rsidRPr="00FE162C">
        <w:t>40 years</w:t>
      </w:r>
      <w:r w:rsidR="00203C2A" w:rsidRPr="00FE162C">
        <w:t xml:space="preserve"> old</w:t>
      </w:r>
      <w:r w:rsidR="00BC0366" w:rsidRPr="00FE162C">
        <w:t xml:space="preserve"> (</w:t>
      </w:r>
      <w:r w:rsidR="00BC0366" w:rsidRPr="00C53D65">
        <w:t>average age)</w:t>
      </w:r>
    </w:p>
    <w:p w:rsidR="002A01C1" w:rsidRPr="00C53D65" w:rsidRDefault="00203C2A" w:rsidP="00C53D65">
      <w:pPr>
        <w:pStyle w:val="Dotpoint1"/>
      </w:pPr>
      <w:r w:rsidRPr="00C53D65">
        <w:t>53</w:t>
      </w:r>
      <w:r w:rsidR="00AF1216" w:rsidRPr="00C53D65">
        <w:t xml:space="preserve">% </w:t>
      </w:r>
      <w:r w:rsidR="002A01C1" w:rsidRPr="00C53D65">
        <w:t>male</w:t>
      </w:r>
    </w:p>
    <w:p w:rsidR="002A01C1" w:rsidRPr="00C53D65" w:rsidRDefault="00203C2A" w:rsidP="00C53D65">
      <w:pPr>
        <w:pStyle w:val="Dotpoint1"/>
      </w:pPr>
      <w:r w:rsidRPr="00C53D65">
        <w:t>95</w:t>
      </w:r>
      <w:r w:rsidR="00AF1216" w:rsidRPr="00C53D65">
        <w:t xml:space="preserve">% </w:t>
      </w:r>
      <w:r w:rsidRPr="00C53D65">
        <w:t>in employment</w:t>
      </w:r>
    </w:p>
    <w:p w:rsidR="002A01C1" w:rsidRPr="00C53D65" w:rsidRDefault="00203C2A" w:rsidP="00C53D65">
      <w:pPr>
        <w:pStyle w:val="Dotpoint1"/>
      </w:pPr>
      <w:r w:rsidRPr="00C53D65">
        <w:t>68</w:t>
      </w:r>
      <w:r w:rsidR="00AF1216" w:rsidRPr="00C53D65">
        <w:t xml:space="preserve">% </w:t>
      </w:r>
      <w:r w:rsidRPr="00C53D65">
        <w:t>living</w:t>
      </w:r>
      <w:r w:rsidR="002A01C1" w:rsidRPr="00C53D65">
        <w:t xml:space="preserve"> in capital cities.</w:t>
      </w:r>
    </w:p>
    <w:p w:rsidR="001F0E82" w:rsidRPr="00C53D65" w:rsidRDefault="00FE3365" w:rsidP="00020E10">
      <w:pPr>
        <w:pStyle w:val="Text"/>
      </w:pPr>
      <w:r w:rsidRPr="00C53D65">
        <w:t>Our</w:t>
      </w:r>
      <w:r w:rsidR="00A726E6" w:rsidRPr="00C53D65">
        <w:t xml:space="preserve"> sample </w:t>
      </w:r>
      <w:r w:rsidR="00203C2A" w:rsidRPr="00C53D65">
        <w:t xml:space="preserve">also </w:t>
      </w:r>
      <w:r w:rsidR="001E0F6F" w:rsidRPr="00C53D65">
        <w:t>roughly reflects</w:t>
      </w:r>
      <w:r w:rsidR="00A726E6" w:rsidRPr="00C53D65">
        <w:t xml:space="preserve"> </w:t>
      </w:r>
      <w:r w:rsidR="0098185A" w:rsidRPr="00C53D65">
        <w:t xml:space="preserve">the </w:t>
      </w:r>
      <w:r w:rsidR="00A726E6" w:rsidRPr="00C53D65">
        <w:t>Australian population</w:t>
      </w:r>
      <w:r w:rsidR="001F0E82" w:rsidRPr="00C53D65">
        <w:t xml:space="preserve"> in 2011</w:t>
      </w:r>
      <w:r w:rsidR="00A726E6" w:rsidRPr="00C53D65">
        <w:t xml:space="preserve"> </w:t>
      </w:r>
      <w:r w:rsidR="001E0F6F" w:rsidRPr="00C53D65">
        <w:t>in terms of the prop</w:t>
      </w:r>
      <w:r w:rsidR="00203C2A" w:rsidRPr="00C53D65">
        <w:t xml:space="preserve">ortion </w:t>
      </w:r>
      <w:r w:rsidR="00020E10">
        <w:t>who</w:t>
      </w:r>
      <w:r w:rsidR="00203C2A" w:rsidRPr="00C53D65">
        <w:t xml:space="preserve"> i</w:t>
      </w:r>
      <w:r w:rsidR="001E0F6F" w:rsidRPr="00C53D65">
        <w:t>s</w:t>
      </w:r>
      <w:r w:rsidR="00A726E6" w:rsidRPr="00C53D65">
        <w:t xml:space="preserve"> m</w:t>
      </w:r>
      <w:r w:rsidR="001E0F6F" w:rsidRPr="00C53D65">
        <w:t>arried</w:t>
      </w:r>
      <w:r w:rsidR="00DC278E" w:rsidRPr="00C53D65">
        <w:t>, including in a de facto relationship,</w:t>
      </w:r>
      <w:r w:rsidR="00A90348" w:rsidRPr="00C53D65">
        <w:t xml:space="preserve"> (64%</w:t>
      </w:r>
      <w:r w:rsidR="001E0F6F" w:rsidRPr="00C53D65">
        <w:t>)</w:t>
      </w:r>
      <w:r w:rsidR="00A726E6" w:rsidRPr="00C53D65">
        <w:t xml:space="preserve"> and </w:t>
      </w:r>
      <w:r w:rsidR="001E0F6F" w:rsidRPr="00C53D65">
        <w:t xml:space="preserve">the proportion </w:t>
      </w:r>
      <w:r w:rsidR="00A90348" w:rsidRPr="00C53D65">
        <w:t>born overseas (29%</w:t>
      </w:r>
      <w:r w:rsidR="001F0E82" w:rsidRPr="00C53D65">
        <w:t>).</w:t>
      </w:r>
    </w:p>
    <w:p w:rsidR="00A726E6" w:rsidRPr="00C53D65" w:rsidRDefault="001943A2" w:rsidP="00020E10">
      <w:pPr>
        <w:pStyle w:val="Text"/>
      </w:pPr>
      <w:r w:rsidRPr="00C53D65">
        <w:t>P</w:t>
      </w:r>
      <w:r w:rsidR="00A726E6" w:rsidRPr="00C53D65">
        <w:t>eople without qualifications</w:t>
      </w:r>
      <w:r w:rsidR="00A90348" w:rsidRPr="00C53D65">
        <w:t xml:space="preserve"> (38</w:t>
      </w:r>
      <w:r w:rsidR="00A01702" w:rsidRPr="00C53D65">
        <w:t>%</w:t>
      </w:r>
      <w:r w:rsidR="001E0F6F" w:rsidRPr="00C53D65">
        <w:t>); people</w:t>
      </w:r>
      <w:r w:rsidR="00A726E6" w:rsidRPr="00C53D65">
        <w:t xml:space="preserve"> </w:t>
      </w:r>
      <w:r w:rsidR="0098185A" w:rsidRPr="00C53D65">
        <w:t>with less than Year 12 completion</w:t>
      </w:r>
      <w:r w:rsidR="00A726E6" w:rsidRPr="00C53D65">
        <w:t xml:space="preserve"> </w:t>
      </w:r>
      <w:r w:rsidR="00A01702" w:rsidRPr="00C53D65">
        <w:t>(37%</w:t>
      </w:r>
      <w:r w:rsidR="001E0F6F" w:rsidRPr="00C53D65">
        <w:t xml:space="preserve">); and people who </w:t>
      </w:r>
      <w:r w:rsidRPr="00C53D65">
        <w:t>are</w:t>
      </w:r>
      <w:r w:rsidR="00A01702" w:rsidRPr="00C53D65">
        <w:t xml:space="preserve"> not studying (93%</w:t>
      </w:r>
      <w:r w:rsidR="00A726E6" w:rsidRPr="00C53D65">
        <w:t>)</w:t>
      </w:r>
      <w:r w:rsidRPr="00C53D65">
        <w:t xml:space="preserve"> in the population are</w:t>
      </w:r>
      <w:r w:rsidR="00A01702" w:rsidRPr="00C53D65">
        <w:t>,</w:t>
      </w:r>
      <w:r w:rsidRPr="00C53D65">
        <w:t xml:space="preserve"> however</w:t>
      </w:r>
      <w:r w:rsidR="00A01702" w:rsidRPr="00C53D65">
        <w:t>,</w:t>
      </w:r>
      <w:r w:rsidRPr="00C53D65">
        <w:t xml:space="preserve"> under-represented in the sample</w:t>
      </w:r>
      <w:r w:rsidR="00A726E6" w:rsidRPr="00C53D65">
        <w:t>.</w:t>
      </w:r>
      <w:r w:rsidR="005C1608" w:rsidRPr="00C53D65">
        <w:t xml:space="preserve"> </w:t>
      </w:r>
      <w:r w:rsidR="00A01702" w:rsidRPr="00C53D65">
        <w:t>While the proportion holding a b</w:t>
      </w:r>
      <w:r w:rsidR="001F0E82" w:rsidRPr="00C53D65">
        <w:t xml:space="preserve">achelor or higher degree is much higher in our sample than in the general population, the proportion holding </w:t>
      </w:r>
      <w:r w:rsidR="00A01702" w:rsidRPr="00C53D65">
        <w:t xml:space="preserve">advanced diploma </w:t>
      </w:r>
      <w:r w:rsidR="00333C39" w:rsidRPr="00C53D65">
        <w:t>or lower-</w:t>
      </w:r>
      <w:r w:rsidR="001F0E82" w:rsidRPr="00C53D65">
        <w:t>level qualifications is about the same.</w:t>
      </w:r>
    </w:p>
    <w:p w:rsidR="00A726E6" w:rsidRPr="00FE162C" w:rsidRDefault="00B52A10" w:rsidP="00020E10">
      <w:pPr>
        <w:pStyle w:val="Text"/>
      </w:pPr>
      <w:r w:rsidRPr="00C53D65">
        <w:t xml:space="preserve">Finally, </w:t>
      </w:r>
      <w:r w:rsidR="00A84AD5" w:rsidRPr="00C53D65">
        <w:t>about a third of</w:t>
      </w:r>
      <w:r w:rsidR="00A84AD5" w:rsidRPr="00FE162C">
        <w:t xml:space="preserve"> all</w:t>
      </w:r>
      <w:r w:rsidR="00A726E6" w:rsidRPr="00FE162C">
        <w:t xml:space="preserve"> respondents </w:t>
      </w:r>
      <w:r w:rsidR="00187F00" w:rsidRPr="00FE162C">
        <w:t>in the survey</w:t>
      </w:r>
      <w:r w:rsidR="003A1F42" w:rsidRPr="00FE162C">
        <w:t>, including all who were unemployed,</w:t>
      </w:r>
      <w:r w:rsidR="00A84AD5" w:rsidRPr="00FE162C">
        <w:t xml:space="preserve"> </w:t>
      </w:r>
      <w:r w:rsidR="00187F00" w:rsidRPr="00FE162C">
        <w:t>were</w:t>
      </w:r>
      <w:r w:rsidR="00A726E6" w:rsidRPr="00FE162C">
        <w:t xml:space="preserve"> looking for a new job and </w:t>
      </w:r>
      <w:r w:rsidR="00A84AD5" w:rsidRPr="00FE162C">
        <w:t>just over a quarter were</w:t>
      </w:r>
      <w:r w:rsidR="00A726E6" w:rsidRPr="00FE162C">
        <w:t xml:space="preserve"> looking for a job </w:t>
      </w:r>
      <w:r w:rsidR="00187F00" w:rsidRPr="00FE162C">
        <w:t>interstate</w:t>
      </w:r>
      <w:r w:rsidR="00A726E6" w:rsidRPr="00FE162C">
        <w:t>.</w:t>
      </w:r>
    </w:p>
    <w:p w:rsidR="00C20ED6" w:rsidRDefault="00C20ED6">
      <w:pPr>
        <w:spacing w:before="0" w:line="240" w:lineRule="auto"/>
        <w:rPr>
          <w:rFonts w:ascii="Tahoma" w:hAnsi="Tahoma"/>
          <w:b/>
          <w:color w:val="000000" w:themeColor="text1"/>
          <w:sz w:val="17"/>
        </w:rPr>
      </w:pPr>
      <w:r>
        <w:rPr>
          <w:color w:val="000000" w:themeColor="text1"/>
        </w:rPr>
        <w:br w:type="page"/>
      </w:r>
    </w:p>
    <w:p w:rsidR="005029BB" w:rsidRPr="00FE162C" w:rsidRDefault="005029BB" w:rsidP="00C53D65">
      <w:pPr>
        <w:pStyle w:val="tabletitle"/>
      </w:pPr>
      <w:bookmarkStart w:id="51" w:name="_Toc386530550"/>
      <w:r w:rsidRPr="00FE162C">
        <w:lastRenderedPageBreak/>
        <w:t>Table 1</w:t>
      </w:r>
      <w:r w:rsidRPr="00FE162C">
        <w:tab/>
        <w:t xml:space="preserve">Selected </w:t>
      </w:r>
      <w:r w:rsidRPr="00C53D65">
        <w:t>characteristics</w:t>
      </w:r>
      <w:r w:rsidRPr="00FE162C">
        <w:t xml:space="preserve"> of respondents</w:t>
      </w:r>
      <w:bookmarkEnd w:id="51"/>
    </w:p>
    <w:tbl>
      <w:tblPr>
        <w:tblW w:w="8789" w:type="dxa"/>
        <w:tblInd w:w="108" w:type="dxa"/>
        <w:tblBorders>
          <w:top w:val="single" w:sz="4" w:space="0" w:color="auto"/>
          <w:bottom w:val="single" w:sz="4" w:space="0" w:color="auto"/>
        </w:tblBorders>
        <w:tblLayout w:type="fixed"/>
        <w:tblLook w:val="0000" w:firstRow="0" w:lastRow="0" w:firstColumn="0" w:lastColumn="0" w:noHBand="0" w:noVBand="0"/>
      </w:tblPr>
      <w:tblGrid>
        <w:gridCol w:w="3095"/>
        <w:gridCol w:w="1547"/>
        <w:gridCol w:w="2600"/>
        <w:gridCol w:w="1547"/>
      </w:tblGrid>
      <w:tr w:rsidR="005029BB" w:rsidRPr="00C53D65" w:rsidTr="00187F00">
        <w:trPr>
          <w:cantSplit/>
        </w:trPr>
        <w:tc>
          <w:tcPr>
            <w:tcW w:w="3095" w:type="dxa"/>
            <w:tcBorders>
              <w:top w:val="single" w:sz="4" w:space="0" w:color="auto"/>
              <w:bottom w:val="single" w:sz="4" w:space="0" w:color="auto"/>
              <w:right w:val="nil"/>
            </w:tcBorders>
          </w:tcPr>
          <w:p w:rsidR="005029BB" w:rsidRPr="00C53D65" w:rsidRDefault="005029BB" w:rsidP="00C53D65">
            <w:pPr>
              <w:pStyle w:val="Tablehead1"/>
            </w:pPr>
            <w:r w:rsidRPr="00C53D65">
              <w:t>Characteristic</w:t>
            </w:r>
          </w:p>
        </w:tc>
        <w:tc>
          <w:tcPr>
            <w:tcW w:w="1547" w:type="dxa"/>
            <w:tcBorders>
              <w:top w:val="single" w:sz="4" w:space="0" w:color="auto"/>
              <w:left w:val="nil"/>
              <w:bottom w:val="single" w:sz="4" w:space="0" w:color="auto"/>
            </w:tcBorders>
          </w:tcPr>
          <w:p w:rsidR="005029BB" w:rsidRPr="00C53D65" w:rsidRDefault="005029BB" w:rsidP="00C53D65">
            <w:pPr>
              <w:pStyle w:val="Tablehead1"/>
              <w:jc w:val="center"/>
            </w:pPr>
            <w:r w:rsidRPr="00C53D65">
              <w:t>% of respondents</w:t>
            </w:r>
          </w:p>
        </w:tc>
        <w:tc>
          <w:tcPr>
            <w:tcW w:w="2600" w:type="dxa"/>
            <w:tcBorders>
              <w:top w:val="single" w:sz="4" w:space="0" w:color="auto"/>
              <w:left w:val="nil"/>
              <w:bottom w:val="single" w:sz="4" w:space="0" w:color="auto"/>
            </w:tcBorders>
          </w:tcPr>
          <w:p w:rsidR="005029BB" w:rsidRPr="00C53D65" w:rsidRDefault="005029BB" w:rsidP="00C53D65">
            <w:pPr>
              <w:pStyle w:val="Tablehead1"/>
            </w:pPr>
            <w:r w:rsidRPr="00C53D65">
              <w:t>Characteristic</w:t>
            </w:r>
          </w:p>
        </w:tc>
        <w:tc>
          <w:tcPr>
            <w:tcW w:w="1547" w:type="dxa"/>
            <w:tcBorders>
              <w:top w:val="single" w:sz="4" w:space="0" w:color="auto"/>
              <w:left w:val="nil"/>
              <w:bottom w:val="single" w:sz="4" w:space="0" w:color="auto"/>
            </w:tcBorders>
          </w:tcPr>
          <w:p w:rsidR="005029BB" w:rsidRPr="00C53D65" w:rsidRDefault="005029BB" w:rsidP="00C53D65">
            <w:pPr>
              <w:pStyle w:val="Tablehead1"/>
              <w:jc w:val="center"/>
            </w:pPr>
            <w:r w:rsidRPr="00C53D65">
              <w:t>% of respondents</w:t>
            </w:r>
          </w:p>
        </w:tc>
      </w:tr>
      <w:tr w:rsidR="00B24007" w:rsidRPr="002F554E" w:rsidTr="00187F00">
        <w:trPr>
          <w:cantSplit/>
        </w:trPr>
        <w:tc>
          <w:tcPr>
            <w:tcW w:w="3095" w:type="dxa"/>
            <w:tcBorders>
              <w:top w:val="single" w:sz="4" w:space="0" w:color="auto"/>
              <w:bottom w:val="nil"/>
              <w:right w:val="nil"/>
            </w:tcBorders>
          </w:tcPr>
          <w:p w:rsidR="00B24007" w:rsidRPr="002F554E" w:rsidRDefault="00B24007" w:rsidP="00C53D65">
            <w:pPr>
              <w:pStyle w:val="Tabletext"/>
            </w:pPr>
            <w:r w:rsidRPr="002F554E">
              <w:t>State of residence</w:t>
            </w:r>
          </w:p>
        </w:tc>
        <w:tc>
          <w:tcPr>
            <w:tcW w:w="1547" w:type="dxa"/>
            <w:tcBorders>
              <w:top w:val="single" w:sz="4" w:space="0" w:color="auto"/>
              <w:left w:val="nil"/>
              <w:bottom w:val="nil"/>
              <w:right w:val="nil"/>
            </w:tcBorders>
          </w:tcPr>
          <w:p w:rsidR="00B24007" w:rsidRPr="002F554E" w:rsidRDefault="00B24007" w:rsidP="00C53D65">
            <w:pPr>
              <w:pStyle w:val="Tabletext"/>
            </w:pPr>
          </w:p>
        </w:tc>
        <w:tc>
          <w:tcPr>
            <w:tcW w:w="2600" w:type="dxa"/>
            <w:tcBorders>
              <w:top w:val="single" w:sz="4" w:space="0" w:color="auto"/>
              <w:left w:val="nil"/>
              <w:bottom w:val="nil"/>
              <w:right w:val="nil"/>
            </w:tcBorders>
          </w:tcPr>
          <w:p w:rsidR="00B24007" w:rsidRPr="002F554E" w:rsidRDefault="00B24007" w:rsidP="00C53D65">
            <w:pPr>
              <w:pStyle w:val="Tabletext"/>
            </w:pPr>
            <w:r w:rsidRPr="002F554E">
              <w:t>Highest qualification</w:t>
            </w:r>
          </w:p>
        </w:tc>
        <w:tc>
          <w:tcPr>
            <w:tcW w:w="1547" w:type="dxa"/>
            <w:tcBorders>
              <w:top w:val="single" w:sz="4" w:space="0" w:color="auto"/>
              <w:left w:val="nil"/>
              <w:bottom w:val="nil"/>
              <w:right w:val="nil"/>
            </w:tcBorders>
          </w:tcPr>
          <w:p w:rsidR="00B24007" w:rsidRPr="002F554E" w:rsidRDefault="00B24007" w:rsidP="00C53D65">
            <w:pPr>
              <w:pStyle w:val="Tabletext"/>
            </w:pPr>
          </w:p>
        </w:tc>
      </w:tr>
      <w:tr w:rsidR="00187F00" w:rsidRPr="002F554E" w:rsidTr="00187F00">
        <w:trPr>
          <w:cantSplit/>
        </w:trPr>
        <w:tc>
          <w:tcPr>
            <w:tcW w:w="3095" w:type="dxa"/>
            <w:tcBorders>
              <w:top w:val="nil"/>
              <w:bottom w:val="nil"/>
              <w:right w:val="nil"/>
            </w:tcBorders>
          </w:tcPr>
          <w:p w:rsidR="00187F00" w:rsidRPr="002F554E" w:rsidRDefault="00187F00" w:rsidP="00C53D65">
            <w:pPr>
              <w:pStyle w:val="Tabletext"/>
              <w:ind w:left="227"/>
              <w:rPr>
                <w:iCs/>
              </w:rPr>
            </w:pPr>
            <w:r w:rsidRPr="002F554E">
              <w:rPr>
                <w:iCs/>
              </w:rPr>
              <w:t>New South Wales</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71</w:t>
            </w:r>
          </w:p>
        </w:tc>
        <w:tc>
          <w:tcPr>
            <w:tcW w:w="2600" w:type="dxa"/>
            <w:tcBorders>
              <w:top w:val="nil"/>
              <w:left w:val="nil"/>
              <w:bottom w:val="nil"/>
              <w:right w:val="nil"/>
            </w:tcBorders>
          </w:tcPr>
          <w:p w:rsidR="00187F00" w:rsidRPr="002F554E" w:rsidRDefault="00187F00" w:rsidP="00C53D65">
            <w:pPr>
              <w:pStyle w:val="Tabletext"/>
              <w:ind w:left="227"/>
              <w:rPr>
                <w:iCs/>
              </w:rPr>
            </w:pPr>
            <w:r w:rsidRPr="002F554E">
              <w:rPr>
                <w:iCs/>
              </w:rPr>
              <w:t>Bachelor or higher</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47</w:t>
            </w:r>
          </w:p>
        </w:tc>
      </w:tr>
      <w:tr w:rsidR="00187F00" w:rsidRPr="002F554E" w:rsidTr="00187F00">
        <w:trPr>
          <w:cantSplit/>
        </w:trPr>
        <w:tc>
          <w:tcPr>
            <w:tcW w:w="3095" w:type="dxa"/>
            <w:tcBorders>
              <w:top w:val="nil"/>
              <w:bottom w:val="nil"/>
              <w:right w:val="nil"/>
            </w:tcBorders>
          </w:tcPr>
          <w:p w:rsidR="00187F00" w:rsidRPr="002F554E" w:rsidRDefault="00187F00" w:rsidP="00C53D65">
            <w:pPr>
              <w:pStyle w:val="Tabletext"/>
              <w:ind w:left="227"/>
              <w:rPr>
                <w:iCs/>
              </w:rPr>
            </w:pPr>
            <w:r w:rsidRPr="002F554E">
              <w:rPr>
                <w:iCs/>
              </w:rPr>
              <w:t>South Australia</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29</w:t>
            </w:r>
          </w:p>
        </w:tc>
        <w:tc>
          <w:tcPr>
            <w:tcW w:w="2600" w:type="dxa"/>
            <w:tcBorders>
              <w:top w:val="nil"/>
              <w:left w:val="nil"/>
              <w:bottom w:val="nil"/>
              <w:right w:val="nil"/>
            </w:tcBorders>
          </w:tcPr>
          <w:p w:rsidR="00187F00" w:rsidRPr="002F554E" w:rsidRDefault="00187F00" w:rsidP="00C53D65">
            <w:pPr>
              <w:pStyle w:val="Tabletext"/>
              <w:ind w:left="227"/>
              <w:rPr>
                <w:iCs/>
              </w:rPr>
            </w:pPr>
            <w:r w:rsidRPr="002F554E">
              <w:rPr>
                <w:iCs/>
              </w:rPr>
              <w:t>Adv</w:t>
            </w:r>
            <w:r w:rsidR="00DD2E62" w:rsidRPr="002F554E">
              <w:rPr>
                <w:iCs/>
              </w:rPr>
              <w:t>anced</w:t>
            </w:r>
            <w:r w:rsidRPr="002F554E">
              <w:rPr>
                <w:iCs/>
              </w:rPr>
              <w:t xml:space="preserve"> </w:t>
            </w:r>
            <w:r w:rsidR="00A01702" w:rsidRPr="002F554E">
              <w:rPr>
                <w:iCs/>
              </w:rPr>
              <w:t>diploma/diploma</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14</w:t>
            </w:r>
          </w:p>
        </w:tc>
      </w:tr>
      <w:tr w:rsidR="00187F00" w:rsidRPr="002F554E" w:rsidTr="00187F00">
        <w:trPr>
          <w:cantSplit/>
        </w:trPr>
        <w:tc>
          <w:tcPr>
            <w:tcW w:w="3095" w:type="dxa"/>
            <w:tcBorders>
              <w:top w:val="nil"/>
              <w:bottom w:val="nil"/>
              <w:right w:val="nil"/>
            </w:tcBorders>
          </w:tcPr>
          <w:p w:rsidR="00187F00" w:rsidRPr="002F554E" w:rsidRDefault="00187F00" w:rsidP="00C53D65">
            <w:pPr>
              <w:pStyle w:val="Tabletext"/>
            </w:pPr>
            <w:r w:rsidRPr="002F554E">
              <w:t>Region</w:t>
            </w:r>
          </w:p>
        </w:tc>
        <w:tc>
          <w:tcPr>
            <w:tcW w:w="1547" w:type="dxa"/>
            <w:tcBorders>
              <w:top w:val="nil"/>
              <w:left w:val="nil"/>
              <w:bottom w:val="nil"/>
              <w:right w:val="nil"/>
            </w:tcBorders>
          </w:tcPr>
          <w:p w:rsidR="00187F00" w:rsidRPr="002F554E" w:rsidRDefault="00187F00" w:rsidP="00C53D65">
            <w:pPr>
              <w:pStyle w:val="Tabletext"/>
              <w:tabs>
                <w:tab w:val="decimal" w:pos="737"/>
              </w:tabs>
            </w:pPr>
          </w:p>
        </w:tc>
        <w:tc>
          <w:tcPr>
            <w:tcW w:w="2600" w:type="dxa"/>
            <w:tcBorders>
              <w:top w:val="nil"/>
              <w:left w:val="nil"/>
              <w:bottom w:val="nil"/>
              <w:right w:val="nil"/>
            </w:tcBorders>
          </w:tcPr>
          <w:p w:rsidR="00187F00" w:rsidRPr="002F554E" w:rsidRDefault="00187F00" w:rsidP="00C53D65">
            <w:pPr>
              <w:pStyle w:val="Tabletext"/>
              <w:ind w:left="227"/>
              <w:rPr>
                <w:iCs/>
              </w:rPr>
            </w:pPr>
            <w:r w:rsidRPr="002F554E">
              <w:rPr>
                <w:iCs/>
              </w:rPr>
              <w:t>Certificate III/IV</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16</w:t>
            </w:r>
          </w:p>
        </w:tc>
      </w:tr>
      <w:tr w:rsidR="00187F00" w:rsidRPr="002F554E" w:rsidTr="00187F00">
        <w:trPr>
          <w:cantSplit/>
        </w:trPr>
        <w:tc>
          <w:tcPr>
            <w:tcW w:w="3095" w:type="dxa"/>
            <w:tcBorders>
              <w:top w:val="nil"/>
              <w:bottom w:val="nil"/>
              <w:right w:val="nil"/>
            </w:tcBorders>
          </w:tcPr>
          <w:p w:rsidR="00187F00" w:rsidRPr="002F554E" w:rsidRDefault="00187F00" w:rsidP="00C53D65">
            <w:pPr>
              <w:pStyle w:val="Tabletext"/>
              <w:ind w:left="227"/>
              <w:rPr>
                <w:iCs/>
              </w:rPr>
            </w:pPr>
            <w:r w:rsidRPr="002F554E">
              <w:rPr>
                <w:iCs/>
              </w:rPr>
              <w:t>Metropolitan</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72</w:t>
            </w:r>
          </w:p>
        </w:tc>
        <w:tc>
          <w:tcPr>
            <w:tcW w:w="2600" w:type="dxa"/>
            <w:tcBorders>
              <w:top w:val="nil"/>
              <w:left w:val="nil"/>
              <w:bottom w:val="nil"/>
              <w:right w:val="nil"/>
            </w:tcBorders>
          </w:tcPr>
          <w:p w:rsidR="00187F00" w:rsidRPr="002F554E" w:rsidRDefault="00187F00" w:rsidP="00C53D65">
            <w:pPr>
              <w:pStyle w:val="Tabletext"/>
              <w:ind w:left="227"/>
              <w:rPr>
                <w:iCs/>
              </w:rPr>
            </w:pPr>
            <w:r w:rsidRPr="002F554E">
              <w:rPr>
                <w:iCs/>
              </w:rPr>
              <w:t>Certificate I/II</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4</w:t>
            </w:r>
          </w:p>
        </w:tc>
      </w:tr>
      <w:tr w:rsidR="00187F00" w:rsidRPr="002F554E" w:rsidTr="00187F00">
        <w:trPr>
          <w:cantSplit/>
        </w:trPr>
        <w:tc>
          <w:tcPr>
            <w:tcW w:w="3095" w:type="dxa"/>
            <w:tcBorders>
              <w:top w:val="nil"/>
              <w:bottom w:val="nil"/>
              <w:right w:val="nil"/>
            </w:tcBorders>
          </w:tcPr>
          <w:p w:rsidR="00187F00" w:rsidRPr="002F554E" w:rsidRDefault="00187F00" w:rsidP="00C53D65">
            <w:pPr>
              <w:pStyle w:val="Tabletext"/>
              <w:ind w:left="227"/>
              <w:rPr>
                <w:iCs/>
              </w:rPr>
            </w:pPr>
            <w:r w:rsidRPr="002F554E">
              <w:rPr>
                <w:iCs/>
              </w:rPr>
              <w:t>Non-metropolitan</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28</w:t>
            </w:r>
          </w:p>
        </w:tc>
        <w:tc>
          <w:tcPr>
            <w:tcW w:w="2600" w:type="dxa"/>
            <w:tcBorders>
              <w:top w:val="nil"/>
              <w:left w:val="nil"/>
              <w:bottom w:val="nil"/>
              <w:right w:val="nil"/>
            </w:tcBorders>
          </w:tcPr>
          <w:p w:rsidR="00187F00" w:rsidRPr="002F554E" w:rsidRDefault="00187F00" w:rsidP="00C53D65">
            <w:pPr>
              <w:pStyle w:val="Tabletext"/>
              <w:ind w:left="227"/>
            </w:pPr>
            <w:r w:rsidRPr="002F554E">
              <w:rPr>
                <w:iCs/>
              </w:rPr>
              <w:t>No</w:t>
            </w:r>
            <w:r w:rsidRPr="002F554E">
              <w:t xml:space="preserve"> qualification</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19</w:t>
            </w:r>
          </w:p>
        </w:tc>
      </w:tr>
      <w:tr w:rsidR="00187F00" w:rsidRPr="002F554E" w:rsidTr="00187F00">
        <w:trPr>
          <w:cantSplit/>
        </w:trPr>
        <w:tc>
          <w:tcPr>
            <w:tcW w:w="3095" w:type="dxa"/>
            <w:tcBorders>
              <w:top w:val="nil"/>
              <w:bottom w:val="nil"/>
              <w:right w:val="nil"/>
            </w:tcBorders>
          </w:tcPr>
          <w:p w:rsidR="00187F00" w:rsidRPr="002F554E" w:rsidRDefault="00187F00" w:rsidP="00C53D65">
            <w:pPr>
              <w:pStyle w:val="Tabletext"/>
            </w:pPr>
            <w:r w:rsidRPr="002F554E">
              <w:t>Sex</w:t>
            </w:r>
          </w:p>
        </w:tc>
        <w:tc>
          <w:tcPr>
            <w:tcW w:w="1547" w:type="dxa"/>
            <w:tcBorders>
              <w:top w:val="nil"/>
              <w:left w:val="nil"/>
              <w:bottom w:val="nil"/>
              <w:right w:val="nil"/>
            </w:tcBorders>
          </w:tcPr>
          <w:p w:rsidR="00187F00" w:rsidRPr="002F554E" w:rsidRDefault="00187F00" w:rsidP="00C53D65">
            <w:pPr>
              <w:pStyle w:val="Tabletext"/>
              <w:tabs>
                <w:tab w:val="decimal" w:pos="737"/>
              </w:tabs>
            </w:pPr>
          </w:p>
        </w:tc>
        <w:tc>
          <w:tcPr>
            <w:tcW w:w="2600" w:type="dxa"/>
            <w:tcBorders>
              <w:top w:val="nil"/>
              <w:left w:val="nil"/>
              <w:bottom w:val="nil"/>
              <w:right w:val="nil"/>
            </w:tcBorders>
          </w:tcPr>
          <w:p w:rsidR="00187F00" w:rsidRPr="002F554E" w:rsidRDefault="00187F00" w:rsidP="00C53D65">
            <w:pPr>
              <w:pStyle w:val="Tabletext"/>
            </w:pPr>
            <w:r w:rsidRPr="002F554E">
              <w:t>Highest level of schooling</w:t>
            </w:r>
          </w:p>
        </w:tc>
        <w:tc>
          <w:tcPr>
            <w:tcW w:w="1547" w:type="dxa"/>
            <w:tcBorders>
              <w:top w:val="nil"/>
              <w:left w:val="nil"/>
              <w:bottom w:val="nil"/>
              <w:right w:val="nil"/>
            </w:tcBorders>
          </w:tcPr>
          <w:p w:rsidR="00187F00" w:rsidRPr="002F554E" w:rsidRDefault="00187F00" w:rsidP="00C53D65">
            <w:pPr>
              <w:pStyle w:val="Tabletext"/>
              <w:tabs>
                <w:tab w:val="decimal" w:pos="737"/>
              </w:tabs>
            </w:pPr>
          </w:p>
        </w:tc>
      </w:tr>
      <w:tr w:rsidR="00187F00" w:rsidRPr="002F554E" w:rsidTr="00187F00">
        <w:trPr>
          <w:cantSplit/>
        </w:trPr>
        <w:tc>
          <w:tcPr>
            <w:tcW w:w="3095" w:type="dxa"/>
            <w:tcBorders>
              <w:top w:val="nil"/>
              <w:bottom w:val="nil"/>
              <w:right w:val="nil"/>
            </w:tcBorders>
          </w:tcPr>
          <w:p w:rsidR="00187F00" w:rsidRPr="002F554E" w:rsidRDefault="00187F00" w:rsidP="00C53D65">
            <w:pPr>
              <w:pStyle w:val="Tabletext"/>
              <w:ind w:left="227"/>
              <w:rPr>
                <w:iCs/>
              </w:rPr>
            </w:pPr>
            <w:r w:rsidRPr="002F554E">
              <w:rPr>
                <w:iCs/>
              </w:rPr>
              <w:t>Male</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57</w:t>
            </w:r>
          </w:p>
        </w:tc>
        <w:tc>
          <w:tcPr>
            <w:tcW w:w="2600" w:type="dxa"/>
            <w:tcBorders>
              <w:top w:val="nil"/>
              <w:left w:val="nil"/>
              <w:bottom w:val="nil"/>
              <w:right w:val="nil"/>
            </w:tcBorders>
          </w:tcPr>
          <w:p w:rsidR="00187F00" w:rsidRPr="002F554E" w:rsidRDefault="00187F00" w:rsidP="00C53D65">
            <w:pPr>
              <w:pStyle w:val="Tabletext"/>
              <w:ind w:left="227"/>
              <w:rPr>
                <w:iCs/>
              </w:rPr>
            </w:pPr>
            <w:r w:rsidRPr="002F554E">
              <w:rPr>
                <w:iCs/>
              </w:rPr>
              <w:t>Year 12</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79</w:t>
            </w:r>
          </w:p>
        </w:tc>
      </w:tr>
      <w:tr w:rsidR="00187F00" w:rsidRPr="002F554E" w:rsidTr="00187F00">
        <w:trPr>
          <w:cantSplit/>
        </w:trPr>
        <w:tc>
          <w:tcPr>
            <w:tcW w:w="3095" w:type="dxa"/>
            <w:tcBorders>
              <w:top w:val="nil"/>
              <w:bottom w:val="nil"/>
              <w:right w:val="nil"/>
            </w:tcBorders>
          </w:tcPr>
          <w:p w:rsidR="00187F00" w:rsidRPr="002F554E" w:rsidRDefault="00187F00" w:rsidP="00C53D65">
            <w:pPr>
              <w:pStyle w:val="Tabletext"/>
              <w:ind w:left="227"/>
              <w:rPr>
                <w:iCs/>
              </w:rPr>
            </w:pPr>
            <w:r w:rsidRPr="002F554E">
              <w:rPr>
                <w:iCs/>
              </w:rPr>
              <w:t>Female</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43</w:t>
            </w:r>
          </w:p>
        </w:tc>
        <w:tc>
          <w:tcPr>
            <w:tcW w:w="2600" w:type="dxa"/>
            <w:tcBorders>
              <w:top w:val="nil"/>
              <w:left w:val="nil"/>
              <w:bottom w:val="nil"/>
              <w:right w:val="nil"/>
            </w:tcBorders>
          </w:tcPr>
          <w:p w:rsidR="00187F00" w:rsidRPr="002F554E" w:rsidRDefault="00187F00" w:rsidP="00C53D65">
            <w:pPr>
              <w:pStyle w:val="Tabletext"/>
              <w:ind w:left="227"/>
              <w:rPr>
                <w:iCs/>
              </w:rPr>
            </w:pPr>
            <w:r w:rsidRPr="002F554E">
              <w:rPr>
                <w:iCs/>
              </w:rPr>
              <w:t>Year 11 or lower</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21</w:t>
            </w:r>
          </w:p>
        </w:tc>
      </w:tr>
      <w:tr w:rsidR="00187F00" w:rsidRPr="002F554E" w:rsidTr="00187F00">
        <w:trPr>
          <w:cantSplit/>
        </w:trPr>
        <w:tc>
          <w:tcPr>
            <w:tcW w:w="3095" w:type="dxa"/>
            <w:tcBorders>
              <w:top w:val="nil"/>
              <w:bottom w:val="nil"/>
              <w:right w:val="nil"/>
            </w:tcBorders>
          </w:tcPr>
          <w:p w:rsidR="00187F00" w:rsidRPr="002F554E" w:rsidRDefault="00187F00" w:rsidP="00C53D65">
            <w:pPr>
              <w:pStyle w:val="Tabletext"/>
            </w:pPr>
            <w:r w:rsidRPr="002F554E">
              <w:t>Average age (years)</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39</w:t>
            </w:r>
          </w:p>
        </w:tc>
        <w:tc>
          <w:tcPr>
            <w:tcW w:w="2600" w:type="dxa"/>
            <w:tcBorders>
              <w:top w:val="nil"/>
              <w:left w:val="nil"/>
              <w:bottom w:val="nil"/>
              <w:right w:val="nil"/>
            </w:tcBorders>
          </w:tcPr>
          <w:p w:rsidR="00187F00" w:rsidRPr="002F554E" w:rsidRDefault="00187F00" w:rsidP="00C53D65">
            <w:pPr>
              <w:pStyle w:val="Tabletext"/>
            </w:pPr>
            <w:r w:rsidRPr="002F554E">
              <w:t>Currently studying</w:t>
            </w:r>
          </w:p>
        </w:tc>
        <w:tc>
          <w:tcPr>
            <w:tcW w:w="1547" w:type="dxa"/>
            <w:tcBorders>
              <w:top w:val="nil"/>
              <w:left w:val="nil"/>
              <w:bottom w:val="nil"/>
              <w:right w:val="nil"/>
            </w:tcBorders>
          </w:tcPr>
          <w:p w:rsidR="00187F00" w:rsidRPr="002F554E" w:rsidRDefault="00187F00" w:rsidP="00C53D65">
            <w:pPr>
              <w:pStyle w:val="Tabletext"/>
              <w:tabs>
                <w:tab w:val="decimal" w:pos="737"/>
              </w:tabs>
            </w:pPr>
          </w:p>
        </w:tc>
      </w:tr>
      <w:tr w:rsidR="00187F00" w:rsidRPr="002F554E" w:rsidTr="00187F00">
        <w:trPr>
          <w:cantSplit/>
        </w:trPr>
        <w:tc>
          <w:tcPr>
            <w:tcW w:w="3095" w:type="dxa"/>
            <w:tcBorders>
              <w:top w:val="nil"/>
              <w:bottom w:val="nil"/>
              <w:right w:val="nil"/>
            </w:tcBorders>
          </w:tcPr>
          <w:p w:rsidR="00187F00" w:rsidRPr="002F554E" w:rsidRDefault="00187F00" w:rsidP="00C53D65">
            <w:pPr>
              <w:pStyle w:val="Tabletext"/>
            </w:pPr>
            <w:r w:rsidRPr="002F554E">
              <w:t>Country of birth</w:t>
            </w:r>
          </w:p>
        </w:tc>
        <w:tc>
          <w:tcPr>
            <w:tcW w:w="1547" w:type="dxa"/>
            <w:tcBorders>
              <w:top w:val="nil"/>
              <w:left w:val="nil"/>
              <w:bottom w:val="nil"/>
              <w:right w:val="nil"/>
            </w:tcBorders>
          </w:tcPr>
          <w:p w:rsidR="00187F00" w:rsidRPr="002F554E" w:rsidRDefault="00187F00" w:rsidP="00C53D65">
            <w:pPr>
              <w:pStyle w:val="Tabletext"/>
              <w:tabs>
                <w:tab w:val="decimal" w:pos="737"/>
              </w:tabs>
            </w:pPr>
          </w:p>
        </w:tc>
        <w:tc>
          <w:tcPr>
            <w:tcW w:w="2600" w:type="dxa"/>
            <w:tcBorders>
              <w:top w:val="nil"/>
              <w:left w:val="nil"/>
              <w:bottom w:val="nil"/>
              <w:right w:val="nil"/>
            </w:tcBorders>
          </w:tcPr>
          <w:p w:rsidR="00187F00" w:rsidRPr="002F554E" w:rsidRDefault="00187F00" w:rsidP="00C53D65">
            <w:pPr>
              <w:pStyle w:val="Tabletext"/>
              <w:ind w:left="227"/>
              <w:rPr>
                <w:iCs/>
              </w:rPr>
            </w:pPr>
            <w:r w:rsidRPr="002F554E">
              <w:rPr>
                <w:iCs/>
              </w:rPr>
              <w:t>Yes</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15</w:t>
            </w:r>
          </w:p>
        </w:tc>
      </w:tr>
      <w:tr w:rsidR="00187F00" w:rsidRPr="002F554E" w:rsidTr="00187F00">
        <w:trPr>
          <w:cantSplit/>
        </w:trPr>
        <w:tc>
          <w:tcPr>
            <w:tcW w:w="3095" w:type="dxa"/>
            <w:tcBorders>
              <w:top w:val="nil"/>
              <w:bottom w:val="nil"/>
              <w:right w:val="nil"/>
            </w:tcBorders>
          </w:tcPr>
          <w:p w:rsidR="00187F00" w:rsidRPr="002F554E" w:rsidRDefault="00187F00" w:rsidP="00C53D65">
            <w:pPr>
              <w:pStyle w:val="Tabletext"/>
              <w:ind w:left="227"/>
              <w:rPr>
                <w:iCs/>
              </w:rPr>
            </w:pPr>
            <w:r w:rsidRPr="002F554E">
              <w:rPr>
                <w:iCs/>
              </w:rPr>
              <w:t>Australia</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72</w:t>
            </w:r>
          </w:p>
        </w:tc>
        <w:tc>
          <w:tcPr>
            <w:tcW w:w="2600" w:type="dxa"/>
            <w:tcBorders>
              <w:top w:val="nil"/>
              <w:left w:val="nil"/>
              <w:bottom w:val="nil"/>
              <w:right w:val="nil"/>
            </w:tcBorders>
          </w:tcPr>
          <w:p w:rsidR="00187F00" w:rsidRPr="002F554E" w:rsidRDefault="00187F00" w:rsidP="00C53D65">
            <w:pPr>
              <w:pStyle w:val="Tabletext"/>
              <w:ind w:left="227"/>
              <w:rPr>
                <w:iCs/>
              </w:rPr>
            </w:pPr>
            <w:r w:rsidRPr="002F554E">
              <w:rPr>
                <w:iCs/>
              </w:rPr>
              <w:t>No</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85</w:t>
            </w:r>
          </w:p>
        </w:tc>
      </w:tr>
      <w:tr w:rsidR="00187F00" w:rsidRPr="002F554E" w:rsidTr="00187F00">
        <w:trPr>
          <w:cantSplit/>
        </w:trPr>
        <w:tc>
          <w:tcPr>
            <w:tcW w:w="3095" w:type="dxa"/>
            <w:tcBorders>
              <w:top w:val="nil"/>
              <w:bottom w:val="nil"/>
              <w:right w:val="nil"/>
            </w:tcBorders>
          </w:tcPr>
          <w:p w:rsidR="00187F00" w:rsidRPr="002F554E" w:rsidRDefault="00187F00" w:rsidP="00C53D65">
            <w:pPr>
              <w:pStyle w:val="Tabletext"/>
              <w:ind w:left="227"/>
              <w:rPr>
                <w:iCs/>
              </w:rPr>
            </w:pPr>
            <w:r w:rsidRPr="002F554E">
              <w:rPr>
                <w:iCs/>
              </w:rPr>
              <w:t>New Zealand</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2</w:t>
            </w:r>
          </w:p>
        </w:tc>
        <w:tc>
          <w:tcPr>
            <w:tcW w:w="2600" w:type="dxa"/>
            <w:tcBorders>
              <w:top w:val="nil"/>
              <w:left w:val="nil"/>
              <w:bottom w:val="nil"/>
              <w:right w:val="nil"/>
            </w:tcBorders>
          </w:tcPr>
          <w:p w:rsidR="00187F00" w:rsidRPr="002F554E" w:rsidRDefault="00187F00" w:rsidP="00C53D65">
            <w:pPr>
              <w:pStyle w:val="Tabletext"/>
            </w:pPr>
            <w:r w:rsidRPr="002F554E">
              <w:t>Labour force status</w:t>
            </w:r>
          </w:p>
        </w:tc>
        <w:tc>
          <w:tcPr>
            <w:tcW w:w="1547" w:type="dxa"/>
            <w:tcBorders>
              <w:top w:val="nil"/>
              <w:left w:val="nil"/>
              <w:bottom w:val="nil"/>
              <w:right w:val="nil"/>
            </w:tcBorders>
          </w:tcPr>
          <w:p w:rsidR="00187F00" w:rsidRPr="002F554E" w:rsidRDefault="00187F00" w:rsidP="00C53D65">
            <w:pPr>
              <w:pStyle w:val="Tabletext"/>
              <w:tabs>
                <w:tab w:val="decimal" w:pos="737"/>
              </w:tabs>
            </w:pPr>
          </w:p>
        </w:tc>
      </w:tr>
      <w:tr w:rsidR="00187F00" w:rsidRPr="002F554E" w:rsidTr="00187F00">
        <w:trPr>
          <w:cantSplit/>
        </w:trPr>
        <w:tc>
          <w:tcPr>
            <w:tcW w:w="3095" w:type="dxa"/>
            <w:tcBorders>
              <w:top w:val="nil"/>
              <w:bottom w:val="nil"/>
              <w:right w:val="nil"/>
            </w:tcBorders>
          </w:tcPr>
          <w:p w:rsidR="00187F00" w:rsidRPr="002F554E" w:rsidRDefault="00187F00" w:rsidP="00C53D65">
            <w:pPr>
              <w:pStyle w:val="Tabletext"/>
              <w:ind w:left="227"/>
              <w:rPr>
                <w:iCs/>
              </w:rPr>
            </w:pPr>
            <w:r w:rsidRPr="002F554E">
              <w:rPr>
                <w:iCs/>
              </w:rPr>
              <w:t>Other</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26</w:t>
            </w:r>
          </w:p>
        </w:tc>
        <w:tc>
          <w:tcPr>
            <w:tcW w:w="2600" w:type="dxa"/>
            <w:tcBorders>
              <w:top w:val="nil"/>
              <w:left w:val="nil"/>
              <w:bottom w:val="nil"/>
              <w:right w:val="nil"/>
            </w:tcBorders>
          </w:tcPr>
          <w:p w:rsidR="00187F00" w:rsidRPr="002F554E" w:rsidRDefault="00187F00" w:rsidP="00C53D65">
            <w:pPr>
              <w:pStyle w:val="Tabletext"/>
              <w:ind w:left="227"/>
              <w:rPr>
                <w:iCs/>
              </w:rPr>
            </w:pPr>
            <w:r w:rsidRPr="002F554E">
              <w:rPr>
                <w:iCs/>
              </w:rPr>
              <w:t>Employed</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94</w:t>
            </w:r>
          </w:p>
        </w:tc>
      </w:tr>
      <w:tr w:rsidR="00187F00" w:rsidRPr="002F554E" w:rsidTr="00187F00">
        <w:trPr>
          <w:cantSplit/>
        </w:trPr>
        <w:tc>
          <w:tcPr>
            <w:tcW w:w="3095" w:type="dxa"/>
            <w:tcBorders>
              <w:top w:val="nil"/>
              <w:bottom w:val="nil"/>
              <w:right w:val="nil"/>
            </w:tcBorders>
          </w:tcPr>
          <w:p w:rsidR="00187F00" w:rsidRPr="002F554E" w:rsidRDefault="00A01702" w:rsidP="00C53D65">
            <w:pPr>
              <w:pStyle w:val="Tabletext"/>
            </w:pPr>
            <w:r w:rsidRPr="002F554E">
              <w:t>Marital s</w:t>
            </w:r>
            <w:r w:rsidR="00187F00" w:rsidRPr="002F554E">
              <w:t>tatus</w:t>
            </w:r>
          </w:p>
        </w:tc>
        <w:tc>
          <w:tcPr>
            <w:tcW w:w="1547" w:type="dxa"/>
            <w:tcBorders>
              <w:top w:val="nil"/>
              <w:left w:val="nil"/>
              <w:bottom w:val="nil"/>
              <w:right w:val="nil"/>
            </w:tcBorders>
          </w:tcPr>
          <w:p w:rsidR="00187F00" w:rsidRPr="002F554E" w:rsidRDefault="00187F00" w:rsidP="00C53D65">
            <w:pPr>
              <w:pStyle w:val="Tabletext"/>
              <w:tabs>
                <w:tab w:val="decimal" w:pos="737"/>
              </w:tabs>
            </w:pPr>
          </w:p>
        </w:tc>
        <w:tc>
          <w:tcPr>
            <w:tcW w:w="2600" w:type="dxa"/>
            <w:tcBorders>
              <w:top w:val="nil"/>
              <w:left w:val="nil"/>
              <w:bottom w:val="nil"/>
              <w:right w:val="nil"/>
            </w:tcBorders>
          </w:tcPr>
          <w:p w:rsidR="00187F00" w:rsidRPr="002F554E" w:rsidRDefault="00187F00" w:rsidP="00C53D65">
            <w:pPr>
              <w:pStyle w:val="Tabletext"/>
              <w:ind w:left="227"/>
              <w:rPr>
                <w:iCs/>
              </w:rPr>
            </w:pPr>
            <w:r w:rsidRPr="002F554E">
              <w:rPr>
                <w:iCs/>
              </w:rPr>
              <w:t>Unemployed</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6</w:t>
            </w:r>
          </w:p>
        </w:tc>
      </w:tr>
      <w:tr w:rsidR="00187F00" w:rsidRPr="002F554E" w:rsidTr="00187F00">
        <w:trPr>
          <w:cantSplit/>
        </w:trPr>
        <w:tc>
          <w:tcPr>
            <w:tcW w:w="3095" w:type="dxa"/>
            <w:tcBorders>
              <w:top w:val="nil"/>
              <w:bottom w:val="nil"/>
              <w:right w:val="nil"/>
            </w:tcBorders>
          </w:tcPr>
          <w:p w:rsidR="00187F00" w:rsidRPr="002F554E" w:rsidRDefault="00187F00" w:rsidP="00020E10">
            <w:pPr>
              <w:pStyle w:val="Tabletext"/>
              <w:ind w:left="227"/>
              <w:rPr>
                <w:iCs/>
              </w:rPr>
            </w:pPr>
            <w:r w:rsidRPr="002F554E">
              <w:rPr>
                <w:iCs/>
              </w:rPr>
              <w:t>Married</w:t>
            </w:r>
            <w:r w:rsidR="00333C39" w:rsidRPr="002F554E">
              <w:rPr>
                <w:iCs/>
              </w:rPr>
              <w:t>/d</w:t>
            </w:r>
            <w:r w:rsidR="007D6FDA" w:rsidRPr="002F554E">
              <w:rPr>
                <w:iCs/>
              </w:rPr>
              <w:t>e</w:t>
            </w:r>
            <w:r w:rsidR="00020E10">
              <w:rPr>
                <w:iCs/>
              </w:rPr>
              <w:t xml:space="preserve"> </w:t>
            </w:r>
            <w:r w:rsidR="007D6FDA" w:rsidRPr="002F554E">
              <w:rPr>
                <w:iCs/>
              </w:rPr>
              <w:t>facto</w:t>
            </w:r>
            <w:r w:rsidRPr="002F554E">
              <w:rPr>
                <w:iCs/>
              </w:rPr>
              <w:t xml:space="preserve"> </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66</w:t>
            </w:r>
          </w:p>
        </w:tc>
        <w:tc>
          <w:tcPr>
            <w:tcW w:w="2600" w:type="dxa"/>
            <w:tcBorders>
              <w:top w:val="nil"/>
              <w:left w:val="nil"/>
              <w:bottom w:val="nil"/>
              <w:right w:val="nil"/>
            </w:tcBorders>
          </w:tcPr>
          <w:p w:rsidR="00187F00" w:rsidRPr="002F554E" w:rsidRDefault="00187F00" w:rsidP="00C53D65">
            <w:pPr>
              <w:pStyle w:val="Tabletext"/>
            </w:pPr>
            <w:r w:rsidRPr="002F554E">
              <w:t>Looking for new job</w:t>
            </w:r>
          </w:p>
        </w:tc>
        <w:tc>
          <w:tcPr>
            <w:tcW w:w="1547" w:type="dxa"/>
            <w:tcBorders>
              <w:top w:val="nil"/>
              <w:left w:val="nil"/>
              <w:bottom w:val="nil"/>
              <w:right w:val="nil"/>
            </w:tcBorders>
          </w:tcPr>
          <w:p w:rsidR="00187F00" w:rsidRPr="002F554E" w:rsidRDefault="00187F00" w:rsidP="00C53D65">
            <w:pPr>
              <w:pStyle w:val="Tabletext"/>
              <w:tabs>
                <w:tab w:val="decimal" w:pos="737"/>
              </w:tabs>
            </w:pPr>
          </w:p>
        </w:tc>
      </w:tr>
      <w:tr w:rsidR="00187F00" w:rsidRPr="002F554E" w:rsidTr="00187F00">
        <w:trPr>
          <w:cantSplit/>
        </w:trPr>
        <w:tc>
          <w:tcPr>
            <w:tcW w:w="3095" w:type="dxa"/>
            <w:tcBorders>
              <w:top w:val="nil"/>
              <w:bottom w:val="nil"/>
              <w:right w:val="nil"/>
            </w:tcBorders>
          </w:tcPr>
          <w:p w:rsidR="00187F00" w:rsidRPr="002F554E" w:rsidRDefault="00187F00" w:rsidP="00C53D65">
            <w:pPr>
              <w:pStyle w:val="Tabletext"/>
              <w:ind w:left="227"/>
              <w:rPr>
                <w:iCs/>
              </w:rPr>
            </w:pPr>
            <w:r w:rsidRPr="002F554E">
              <w:rPr>
                <w:iCs/>
              </w:rPr>
              <w:t>Single</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34</w:t>
            </w:r>
          </w:p>
        </w:tc>
        <w:tc>
          <w:tcPr>
            <w:tcW w:w="2600" w:type="dxa"/>
            <w:tcBorders>
              <w:top w:val="nil"/>
              <w:left w:val="nil"/>
              <w:bottom w:val="nil"/>
              <w:right w:val="nil"/>
            </w:tcBorders>
          </w:tcPr>
          <w:p w:rsidR="00187F00" w:rsidRPr="002F554E" w:rsidRDefault="00187F00" w:rsidP="00C53D65">
            <w:pPr>
              <w:pStyle w:val="Tabletext"/>
              <w:ind w:left="227"/>
              <w:rPr>
                <w:iCs/>
              </w:rPr>
            </w:pPr>
            <w:r w:rsidRPr="002F554E">
              <w:rPr>
                <w:iCs/>
              </w:rPr>
              <w:t>Yes</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32</w:t>
            </w:r>
          </w:p>
        </w:tc>
      </w:tr>
      <w:tr w:rsidR="00187F00" w:rsidRPr="002F554E" w:rsidTr="00187F00">
        <w:trPr>
          <w:cantSplit/>
        </w:trPr>
        <w:tc>
          <w:tcPr>
            <w:tcW w:w="3095" w:type="dxa"/>
            <w:tcBorders>
              <w:top w:val="nil"/>
              <w:bottom w:val="nil"/>
              <w:right w:val="nil"/>
            </w:tcBorders>
          </w:tcPr>
          <w:p w:rsidR="00187F00" w:rsidRPr="002F554E" w:rsidRDefault="00187F00" w:rsidP="00C53D65">
            <w:pPr>
              <w:pStyle w:val="Tabletext"/>
            </w:pPr>
            <w:r w:rsidRPr="002F554E">
              <w:t>Have children</w:t>
            </w:r>
          </w:p>
        </w:tc>
        <w:tc>
          <w:tcPr>
            <w:tcW w:w="1547" w:type="dxa"/>
            <w:tcBorders>
              <w:top w:val="nil"/>
              <w:left w:val="nil"/>
              <w:bottom w:val="nil"/>
              <w:right w:val="nil"/>
            </w:tcBorders>
          </w:tcPr>
          <w:p w:rsidR="00187F00" w:rsidRPr="002F554E" w:rsidRDefault="00187F00" w:rsidP="00C53D65">
            <w:pPr>
              <w:pStyle w:val="Tabletext"/>
              <w:tabs>
                <w:tab w:val="decimal" w:pos="737"/>
              </w:tabs>
            </w:pPr>
          </w:p>
        </w:tc>
        <w:tc>
          <w:tcPr>
            <w:tcW w:w="2600" w:type="dxa"/>
            <w:tcBorders>
              <w:top w:val="nil"/>
              <w:left w:val="nil"/>
              <w:bottom w:val="nil"/>
              <w:right w:val="nil"/>
            </w:tcBorders>
          </w:tcPr>
          <w:p w:rsidR="00187F00" w:rsidRPr="002F554E" w:rsidRDefault="00187F00" w:rsidP="00C53D65">
            <w:pPr>
              <w:pStyle w:val="Tabletext"/>
              <w:ind w:left="227"/>
              <w:rPr>
                <w:iCs/>
              </w:rPr>
            </w:pPr>
            <w:r w:rsidRPr="002F554E">
              <w:rPr>
                <w:iCs/>
              </w:rPr>
              <w:t>No</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68</w:t>
            </w:r>
          </w:p>
        </w:tc>
      </w:tr>
      <w:tr w:rsidR="00187F00" w:rsidRPr="002F554E" w:rsidTr="00187F00">
        <w:trPr>
          <w:cantSplit/>
        </w:trPr>
        <w:tc>
          <w:tcPr>
            <w:tcW w:w="3095" w:type="dxa"/>
            <w:tcBorders>
              <w:top w:val="nil"/>
              <w:bottom w:val="nil"/>
              <w:right w:val="nil"/>
            </w:tcBorders>
          </w:tcPr>
          <w:p w:rsidR="00187F00" w:rsidRPr="002F554E" w:rsidRDefault="00187F00" w:rsidP="00C53D65">
            <w:pPr>
              <w:pStyle w:val="Tabletext"/>
              <w:ind w:left="227"/>
              <w:rPr>
                <w:iCs/>
              </w:rPr>
            </w:pPr>
            <w:r w:rsidRPr="002F554E">
              <w:rPr>
                <w:iCs/>
              </w:rPr>
              <w:t>Yes</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51</w:t>
            </w:r>
          </w:p>
        </w:tc>
        <w:tc>
          <w:tcPr>
            <w:tcW w:w="2600" w:type="dxa"/>
            <w:tcBorders>
              <w:top w:val="nil"/>
              <w:left w:val="nil"/>
              <w:bottom w:val="nil"/>
              <w:right w:val="nil"/>
            </w:tcBorders>
          </w:tcPr>
          <w:p w:rsidR="00187F00" w:rsidRPr="002F554E" w:rsidRDefault="00187F00" w:rsidP="00C53D65">
            <w:pPr>
              <w:pStyle w:val="Tabletext"/>
            </w:pPr>
            <w:r w:rsidRPr="002F554E">
              <w:t>Seeking work outside state</w:t>
            </w:r>
          </w:p>
        </w:tc>
        <w:tc>
          <w:tcPr>
            <w:tcW w:w="1547" w:type="dxa"/>
            <w:tcBorders>
              <w:top w:val="nil"/>
              <w:left w:val="nil"/>
              <w:bottom w:val="nil"/>
              <w:right w:val="nil"/>
            </w:tcBorders>
          </w:tcPr>
          <w:p w:rsidR="00187F00" w:rsidRPr="002F554E" w:rsidRDefault="00187F00" w:rsidP="00C53D65">
            <w:pPr>
              <w:pStyle w:val="Tabletext"/>
              <w:tabs>
                <w:tab w:val="decimal" w:pos="737"/>
              </w:tabs>
            </w:pPr>
          </w:p>
        </w:tc>
      </w:tr>
      <w:tr w:rsidR="00187F00" w:rsidRPr="002F554E" w:rsidTr="00187F00">
        <w:trPr>
          <w:cantSplit/>
        </w:trPr>
        <w:tc>
          <w:tcPr>
            <w:tcW w:w="3095" w:type="dxa"/>
            <w:tcBorders>
              <w:top w:val="nil"/>
              <w:bottom w:val="nil"/>
              <w:right w:val="nil"/>
            </w:tcBorders>
          </w:tcPr>
          <w:p w:rsidR="00187F00" w:rsidRPr="002F554E" w:rsidRDefault="00187F00" w:rsidP="00C53D65">
            <w:pPr>
              <w:pStyle w:val="Tabletext"/>
              <w:ind w:left="227"/>
              <w:rPr>
                <w:iCs/>
              </w:rPr>
            </w:pPr>
            <w:r w:rsidRPr="002F554E">
              <w:rPr>
                <w:iCs/>
              </w:rPr>
              <w:t>No</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49</w:t>
            </w:r>
          </w:p>
        </w:tc>
        <w:tc>
          <w:tcPr>
            <w:tcW w:w="2600" w:type="dxa"/>
            <w:tcBorders>
              <w:top w:val="nil"/>
              <w:left w:val="nil"/>
              <w:bottom w:val="nil"/>
              <w:right w:val="nil"/>
            </w:tcBorders>
          </w:tcPr>
          <w:p w:rsidR="00187F00" w:rsidRPr="002F554E" w:rsidRDefault="00187F00" w:rsidP="00C53D65">
            <w:pPr>
              <w:pStyle w:val="Tabletext"/>
              <w:ind w:left="227"/>
              <w:rPr>
                <w:iCs/>
              </w:rPr>
            </w:pPr>
            <w:r w:rsidRPr="002F554E">
              <w:rPr>
                <w:iCs/>
              </w:rPr>
              <w:t>Yes</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28</w:t>
            </w:r>
          </w:p>
        </w:tc>
      </w:tr>
      <w:tr w:rsidR="00187F00" w:rsidRPr="002F554E" w:rsidTr="00187F00">
        <w:trPr>
          <w:cantSplit/>
        </w:trPr>
        <w:tc>
          <w:tcPr>
            <w:tcW w:w="3095" w:type="dxa"/>
            <w:tcBorders>
              <w:top w:val="nil"/>
              <w:bottom w:val="nil"/>
              <w:right w:val="nil"/>
            </w:tcBorders>
          </w:tcPr>
          <w:p w:rsidR="00187F00" w:rsidRPr="002F554E" w:rsidRDefault="00187F00" w:rsidP="00C53D65">
            <w:pPr>
              <w:pStyle w:val="Tabletext"/>
            </w:pPr>
            <w:r w:rsidRPr="002F554E">
              <w:t>Ever lived outside state</w:t>
            </w:r>
          </w:p>
        </w:tc>
        <w:tc>
          <w:tcPr>
            <w:tcW w:w="1547" w:type="dxa"/>
            <w:tcBorders>
              <w:top w:val="nil"/>
              <w:left w:val="nil"/>
              <w:bottom w:val="nil"/>
              <w:right w:val="nil"/>
            </w:tcBorders>
          </w:tcPr>
          <w:p w:rsidR="00187F00" w:rsidRPr="002F554E" w:rsidRDefault="00187F00" w:rsidP="00C53D65">
            <w:pPr>
              <w:pStyle w:val="Tabletext"/>
              <w:tabs>
                <w:tab w:val="decimal" w:pos="737"/>
              </w:tabs>
            </w:pPr>
          </w:p>
        </w:tc>
        <w:tc>
          <w:tcPr>
            <w:tcW w:w="2600" w:type="dxa"/>
            <w:tcBorders>
              <w:top w:val="nil"/>
              <w:left w:val="nil"/>
              <w:bottom w:val="nil"/>
              <w:right w:val="nil"/>
            </w:tcBorders>
          </w:tcPr>
          <w:p w:rsidR="00187F00" w:rsidRPr="002F554E" w:rsidRDefault="00187F00" w:rsidP="00C53D65">
            <w:pPr>
              <w:pStyle w:val="Tabletext"/>
              <w:ind w:left="227"/>
              <w:rPr>
                <w:iCs/>
              </w:rPr>
            </w:pPr>
            <w:r w:rsidRPr="002F554E">
              <w:rPr>
                <w:iCs/>
              </w:rPr>
              <w:t>No</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72</w:t>
            </w:r>
          </w:p>
        </w:tc>
      </w:tr>
      <w:tr w:rsidR="00187F00" w:rsidRPr="002F554E" w:rsidTr="00187F00">
        <w:trPr>
          <w:cantSplit/>
        </w:trPr>
        <w:tc>
          <w:tcPr>
            <w:tcW w:w="3095" w:type="dxa"/>
            <w:tcBorders>
              <w:top w:val="nil"/>
              <w:bottom w:val="nil"/>
              <w:right w:val="nil"/>
            </w:tcBorders>
          </w:tcPr>
          <w:p w:rsidR="00187F00" w:rsidRPr="002F554E" w:rsidRDefault="00187F00" w:rsidP="00C53D65">
            <w:pPr>
              <w:pStyle w:val="Tabletext"/>
              <w:ind w:left="227"/>
              <w:rPr>
                <w:iCs/>
              </w:rPr>
            </w:pPr>
            <w:r w:rsidRPr="002F554E">
              <w:rPr>
                <w:iCs/>
              </w:rPr>
              <w:t>Yes</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47</w:t>
            </w:r>
          </w:p>
        </w:tc>
        <w:tc>
          <w:tcPr>
            <w:tcW w:w="2600" w:type="dxa"/>
            <w:tcBorders>
              <w:top w:val="nil"/>
              <w:left w:val="nil"/>
              <w:bottom w:val="nil"/>
              <w:right w:val="nil"/>
            </w:tcBorders>
          </w:tcPr>
          <w:p w:rsidR="00187F00" w:rsidRPr="002F554E" w:rsidRDefault="00187F00" w:rsidP="00C53D65">
            <w:pPr>
              <w:pStyle w:val="Tabletext"/>
              <w:rPr>
                <w:vertAlign w:val="superscript"/>
              </w:rPr>
            </w:pPr>
            <w:r w:rsidRPr="002F554E">
              <w:t>Average hours of work/week</w:t>
            </w:r>
            <w:r w:rsidRPr="002F554E">
              <w:rPr>
                <w:vertAlign w:val="superscript"/>
              </w:rPr>
              <w:t>1</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41</w:t>
            </w:r>
          </w:p>
        </w:tc>
      </w:tr>
      <w:tr w:rsidR="00187F00" w:rsidRPr="002F554E" w:rsidTr="00187F00">
        <w:trPr>
          <w:cantSplit/>
        </w:trPr>
        <w:tc>
          <w:tcPr>
            <w:tcW w:w="3095" w:type="dxa"/>
            <w:tcBorders>
              <w:top w:val="nil"/>
              <w:bottom w:val="nil"/>
              <w:right w:val="nil"/>
            </w:tcBorders>
          </w:tcPr>
          <w:p w:rsidR="00187F00" w:rsidRPr="002F554E" w:rsidRDefault="00187F00" w:rsidP="00C53D65">
            <w:pPr>
              <w:pStyle w:val="Tabletext"/>
              <w:ind w:left="227"/>
              <w:rPr>
                <w:iCs/>
              </w:rPr>
            </w:pPr>
            <w:r w:rsidRPr="002F554E">
              <w:rPr>
                <w:iCs/>
              </w:rPr>
              <w:t>No</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53</w:t>
            </w:r>
          </w:p>
        </w:tc>
        <w:tc>
          <w:tcPr>
            <w:tcW w:w="2600" w:type="dxa"/>
            <w:tcBorders>
              <w:top w:val="nil"/>
              <w:left w:val="nil"/>
              <w:bottom w:val="nil"/>
              <w:right w:val="nil"/>
            </w:tcBorders>
          </w:tcPr>
          <w:p w:rsidR="00187F00" w:rsidRPr="002F554E" w:rsidRDefault="00187F00" w:rsidP="00C53D65">
            <w:pPr>
              <w:pStyle w:val="Tabletext"/>
              <w:rPr>
                <w:vertAlign w:val="superscript"/>
              </w:rPr>
            </w:pPr>
            <w:r w:rsidRPr="002F554E">
              <w:t>Average annual wage ($)</w:t>
            </w:r>
            <w:r w:rsidRPr="002F554E">
              <w:rPr>
                <w:vertAlign w:val="superscript"/>
              </w:rPr>
              <w:t>1</w:t>
            </w:r>
          </w:p>
        </w:tc>
        <w:tc>
          <w:tcPr>
            <w:tcW w:w="1547" w:type="dxa"/>
            <w:tcBorders>
              <w:top w:val="nil"/>
              <w:left w:val="nil"/>
              <w:bottom w:val="nil"/>
              <w:right w:val="nil"/>
            </w:tcBorders>
          </w:tcPr>
          <w:p w:rsidR="00187F00" w:rsidRPr="002F554E" w:rsidRDefault="00187F00" w:rsidP="002F554E">
            <w:pPr>
              <w:pStyle w:val="Tabletext"/>
              <w:ind w:right="567"/>
              <w:jc w:val="right"/>
            </w:pPr>
            <w:r w:rsidRPr="002F554E">
              <w:t>69</w:t>
            </w:r>
            <w:r w:rsidR="002F554E" w:rsidRPr="002F554E">
              <w:t>,</w:t>
            </w:r>
            <w:r w:rsidRPr="002F554E">
              <w:t>927</w:t>
            </w:r>
          </w:p>
        </w:tc>
      </w:tr>
      <w:tr w:rsidR="00187F00" w:rsidRPr="002F554E" w:rsidTr="00187F00">
        <w:trPr>
          <w:cantSplit/>
        </w:trPr>
        <w:tc>
          <w:tcPr>
            <w:tcW w:w="3095" w:type="dxa"/>
            <w:tcBorders>
              <w:top w:val="nil"/>
              <w:bottom w:val="nil"/>
              <w:right w:val="nil"/>
            </w:tcBorders>
          </w:tcPr>
          <w:p w:rsidR="00187F00" w:rsidRPr="002F554E" w:rsidRDefault="00187F00" w:rsidP="00C53D65">
            <w:pPr>
              <w:pStyle w:val="Tabletext"/>
            </w:pPr>
            <w:r w:rsidRPr="002F554E">
              <w:t>Permanent resident</w:t>
            </w:r>
          </w:p>
        </w:tc>
        <w:tc>
          <w:tcPr>
            <w:tcW w:w="1547" w:type="dxa"/>
            <w:tcBorders>
              <w:top w:val="nil"/>
              <w:left w:val="nil"/>
              <w:bottom w:val="nil"/>
              <w:right w:val="nil"/>
            </w:tcBorders>
          </w:tcPr>
          <w:p w:rsidR="00187F00" w:rsidRPr="002F554E" w:rsidRDefault="00187F00" w:rsidP="00C53D65">
            <w:pPr>
              <w:pStyle w:val="Tabletext"/>
              <w:tabs>
                <w:tab w:val="decimal" w:pos="737"/>
              </w:tabs>
            </w:pPr>
          </w:p>
        </w:tc>
        <w:tc>
          <w:tcPr>
            <w:tcW w:w="2600" w:type="dxa"/>
            <w:tcBorders>
              <w:top w:val="nil"/>
              <w:left w:val="nil"/>
              <w:bottom w:val="nil"/>
              <w:right w:val="nil"/>
            </w:tcBorders>
          </w:tcPr>
          <w:p w:rsidR="00187F00" w:rsidRPr="002F554E" w:rsidRDefault="00187F00" w:rsidP="00C53D65">
            <w:pPr>
              <w:pStyle w:val="Tabletext"/>
            </w:pPr>
          </w:p>
        </w:tc>
        <w:tc>
          <w:tcPr>
            <w:tcW w:w="1547" w:type="dxa"/>
            <w:tcBorders>
              <w:top w:val="nil"/>
              <w:left w:val="nil"/>
              <w:bottom w:val="nil"/>
              <w:right w:val="nil"/>
            </w:tcBorders>
          </w:tcPr>
          <w:p w:rsidR="00187F00" w:rsidRPr="002F554E" w:rsidRDefault="00187F00" w:rsidP="007D0F80">
            <w:pPr>
              <w:pStyle w:val="Tabletext"/>
              <w:ind w:right="567"/>
              <w:jc w:val="right"/>
            </w:pPr>
          </w:p>
        </w:tc>
      </w:tr>
      <w:tr w:rsidR="00187F00" w:rsidRPr="002F554E" w:rsidTr="00187F00">
        <w:trPr>
          <w:cantSplit/>
        </w:trPr>
        <w:tc>
          <w:tcPr>
            <w:tcW w:w="3095" w:type="dxa"/>
            <w:tcBorders>
              <w:top w:val="nil"/>
              <w:bottom w:val="nil"/>
              <w:right w:val="nil"/>
            </w:tcBorders>
          </w:tcPr>
          <w:p w:rsidR="00187F00" w:rsidRPr="002F554E" w:rsidRDefault="00187F00" w:rsidP="00C53D65">
            <w:pPr>
              <w:pStyle w:val="Tabletext"/>
              <w:ind w:left="227"/>
              <w:rPr>
                <w:iCs/>
              </w:rPr>
            </w:pPr>
            <w:r w:rsidRPr="002F554E">
              <w:rPr>
                <w:iCs/>
              </w:rPr>
              <w:t>Yes</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98</w:t>
            </w:r>
          </w:p>
        </w:tc>
        <w:tc>
          <w:tcPr>
            <w:tcW w:w="2600" w:type="dxa"/>
            <w:tcBorders>
              <w:top w:val="nil"/>
              <w:left w:val="nil"/>
              <w:bottom w:val="nil"/>
              <w:right w:val="nil"/>
            </w:tcBorders>
          </w:tcPr>
          <w:p w:rsidR="00187F00" w:rsidRPr="002F554E" w:rsidRDefault="00187F00" w:rsidP="00C53D65">
            <w:pPr>
              <w:pStyle w:val="Tabletext"/>
            </w:pPr>
            <w:r w:rsidRPr="002F554E">
              <w:t>Sample size</w:t>
            </w:r>
          </w:p>
        </w:tc>
        <w:tc>
          <w:tcPr>
            <w:tcW w:w="1547" w:type="dxa"/>
            <w:tcBorders>
              <w:top w:val="nil"/>
              <w:left w:val="nil"/>
              <w:bottom w:val="nil"/>
              <w:right w:val="nil"/>
            </w:tcBorders>
          </w:tcPr>
          <w:p w:rsidR="00187F00" w:rsidRPr="002F554E" w:rsidRDefault="00187F00" w:rsidP="007D0F80">
            <w:pPr>
              <w:pStyle w:val="Tabletext"/>
              <w:ind w:right="567"/>
              <w:jc w:val="right"/>
            </w:pPr>
            <w:r w:rsidRPr="002F554E">
              <w:t>2</w:t>
            </w:r>
            <w:r w:rsidR="002F554E" w:rsidRPr="002F554E">
              <w:t>,</w:t>
            </w:r>
            <w:r w:rsidRPr="002F554E">
              <w:t>331</w:t>
            </w:r>
          </w:p>
        </w:tc>
      </w:tr>
      <w:tr w:rsidR="00187F00" w:rsidRPr="002F554E" w:rsidTr="00187F00">
        <w:trPr>
          <w:cantSplit/>
        </w:trPr>
        <w:tc>
          <w:tcPr>
            <w:tcW w:w="3095" w:type="dxa"/>
            <w:tcBorders>
              <w:top w:val="nil"/>
              <w:bottom w:val="nil"/>
              <w:right w:val="nil"/>
            </w:tcBorders>
          </w:tcPr>
          <w:p w:rsidR="00187F00" w:rsidRPr="002F554E" w:rsidRDefault="00187F00" w:rsidP="00C53D65">
            <w:pPr>
              <w:pStyle w:val="Tabletext"/>
              <w:ind w:left="227"/>
              <w:rPr>
                <w:iCs/>
              </w:rPr>
            </w:pPr>
            <w:r w:rsidRPr="002F554E">
              <w:rPr>
                <w:iCs/>
              </w:rPr>
              <w:t>No</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2</w:t>
            </w:r>
          </w:p>
        </w:tc>
        <w:tc>
          <w:tcPr>
            <w:tcW w:w="2600" w:type="dxa"/>
            <w:tcBorders>
              <w:top w:val="nil"/>
              <w:left w:val="nil"/>
              <w:bottom w:val="nil"/>
              <w:right w:val="nil"/>
            </w:tcBorders>
          </w:tcPr>
          <w:p w:rsidR="00187F00" w:rsidRPr="002F554E" w:rsidRDefault="00187F00" w:rsidP="00C53D65">
            <w:pPr>
              <w:pStyle w:val="Tabletext"/>
            </w:pPr>
          </w:p>
        </w:tc>
        <w:tc>
          <w:tcPr>
            <w:tcW w:w="1547" w:type="dxa"/>
            <w:tcBorders>
              <w:top w:val="nil"/>
              <w:left w:val="nil"/>
              <w:bottom w:val="nil"/>
              <w:right w:val="nil"/>
            </w:tcBorders>
          </w:tcPr>
          <w:p w:rsidR="00187F00" w:rsidRPr="002F554E" w:rsidRDefault="00187F00" w:rsidP="00C53D65">
            <w:pPr>
              <w:pStyle w:val="Tabletext"/>
              <w:tabs>
                <w:tab w:val="decimal" w:pos="737"/>
              </w:tabs>
            </w:pPr>
          </w:p>
        </w:tc>
      </w:tr>
      <w:tr w:rsidR="00187F00" w:rsidRPr="002F554E" w:rsidTr="00187F00">
        <w:trPr>
          <w:cantSplit/>
        </w:trPr>
        <w:tc>
          <w:tcPr>
            <w:tcW w:w="3095" w:type="dxa"/>
            <w:tcBorders>
              <w:top w:val="nil"/>
              <w:bottom w:val="nil"/>
              <w:right w:val="nil"/>
            </w:tcBorders>
          </w:tcPr>
          <w:p w:rsidR="00187F00" w:rsidRPr="002F554E" w:rsidRDefault="00187F00" w:rsidP="00C53D65">
            <w:pPr>
              <w:pStyle w:val="Tabletext"/>
            </w:pPr>
            <w:r w:rsidRPr="002F554E">
              <w:t>House ownership</w:t>
            </w:r>
          </w:p>
        </w:tc>
        <w:tc>
          <w:tcPr>
            <w:tcW w:w="1547" w:type="dxa"/>
            <w:tcBorders>
              <w:top w:val="nil"/>
              <w:left w:val="nil"/>
              <w:bottom w:val="nil"/>
              <w:right w:val="nil"/>
            </w:tcBorders>
          </w:tcPr>
          <w:p w:rsidR="00187F00" w:rsidRPr="002F554E" w:rsidRDefault="00187F00" w:rsidP="00C53D65">
            <w:pPr>
              <w:pStyle w:val="Tabletext"/>
              <w:tabs>
                <w:tab w:val="decimal" w:pos="737"/>
              </w:tabs>
            </w:pPr>
          </w:p>
        </w:tc>
        <w:tc>
          <w:tcPr>
            <w:tcW w:w="2600" w:type="dxa"/>
            <w:tcBorders>
              <w:top w:val="nil"/>
              <w:left w:val="nil"/>
              <w:bottom w:val="nil"/>
              <w:right w:val="nil"/>
            </w:tcBorders>
          </w:tcPr>
          <w:p w:rsidR="00187F00" w:rsidRPr="002F554E" w:rsidRDefault="00187F00" w:rsidP="00C53D65">
            <w:pPr>
              <w:pStyle w:val="Tabletext"/>
            </w:pPr>
          </w:p>
        </w:tc>
        <w:tc>
          <w:tcPr>
            <w:tcW w:w="1547" w:type="dxa"/>
            <w:tcBorders>
              <w:top w:val="nil"/>
              <w:left w:val="nil"/>
              <w:bottom w:val="nil"/>
              <w:right w:val="nil"/>
            </w:tcBorders>
          </w:tcPr>
          <w:p w:rsidR="00187F00" w:rsidRPr="002F554E" w:rsidRDefault="00187F00" w:rsidP="00C53D65">
            <w:pPr>
              <w:pStyle w:val="Tabletext"/>
              <w:tabs>
                <w:tab w:val="decimal" w:pos="737"/>
              </w:tabs>
            </w:pPr>
          </w:p>
        </w:tc>
      </w:tr>
      <w:tr w:rsidR="00187F00" w:rsidRPr="002F554E" w:rsidTr="00187F00">
        <w:trPr>
          <w:cantSplit/>
        </w:trPr>
        <w:tc>
          <w:tcPr>
            <w:tcW w:w="3095" w:type="dxa"/>
            <w:tcBorders>
              <w:top w:val="nil"/>
              <w:bottom w:val="nil"/>
              <w:right w:val="nil"/>
            </w:tcBorders>
          </w:tcPr>
          <w:p w:rsidR="00187F00" w:rsidRPr="002F554E" w:rsidRDefault="00187F00" w:rsidP="00C53D65">
            <w:pPr>
              <w:pStyle w:val="Tabletext"/>
              <w:ind w:left="227"/>
              <w:rPr>
                <w:iCs/>
              </w:rPr>
            </w:pPr>
            <w:r w:rsidRPr="002F554E">
              <w:rPr>
                <w:iCs/>
              </w:rPr>
              <w:t>Yes (outright)</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14</w:t>
            </w:r>
          </w:p>
        </w:tc>
        <w:tc>
          <w:tcPr>
            <w:tcW w:w="2600" w:type="dxa"/>
            <w:tcBorders>
              <w:top w:val="nil"/>
              <w:left w:val="nil"/>
              <w:bottom w:val="nil"/>
              <w:right w:val="nil"/>
            </w:tcBorders>
          </w:tcPr>
          <w:p w:rsidR="00187F00" w:rsidRPr="002F554E" w:rsidRDefault="00187F00" w:rsidP="00C53D65">
            <w:pPr>
              <w:pStyle w:val="Tabletext"/>
            </w:pPr>
          </w:p>
        </w:tc>
        <w:tc>
          <w:tcPr>
            <w:tcW w:w="1547" w:type="dxa"/>
            <w:tcBorders>
              <w:top w:val="nil"/>
              <w:left w:val="nil"/>
              <w:bottom w:val="nil"/>
              <w:right w:val="nil"/>
            </w:tcBorders>
          </w:tcPr>
          <w:p w:rsidR="00187F00" w:rsidRPr="002F554E" w:rsidRDefault="00187F00" w:rsidP="00C53D65">
            <w:pPr>
              <w:pStyle w:val="Tabletext"/>
              <w:tabs>
                <w:tab w:val="decimal" w:pos="737"/>
              </w:tabs>
            </w:pPr>
          </w:p>
        </w:tc>
      </w:tr>
      <w:tr w:rsidR="00187F00" w:rsidRPr="002F554E" w:rsidTr="00187F00">
        <w:trPr>
          <w:cantSplit/>
        </w:trPr>
        <w:tc>
          <w:tcPr>
            <w:tcW w:w="3095" w:type="dxa"/>
            <w:tcBorders>
              <w:top w:val="nil"/>
              <w:bottom w:val="nil"/>
              <w:right w:val="nil"/>
            </w:tcBorders>
          </w:tcPr>
          <w:p w:rsidR="00187F00" w:rsidRPr="002F554E" w:rsidRDefault="00187F00" w:rsidP="00C53D65">
            <w:pPr>
              <w:pStyle w:val="Tabletext"/>
              <w:ind w:left="227"/>
              <w:rPr>
                <w:iCs/>
              </w:rPr>
            </w:pPr>
            <w:r w:rsidRPr="002F554E">
              <w:rPr>
                <w:iCs/>
              </w:rPr>
              <w:t>Yes (mortgaged)</w:t>
            </w:r>
          </w:p>
        </w:tc>
        <w:tc>
          <w:tcPr>
            <w:tcW w:w="1547" w:type="dxa"/>
            <w:tcBorders>
              <w:top w:val="nil"/>
              <w:left w:val="nil"/>
              <w:bottom w:val="nil"/>
              <w:right w:val="nil"/>
            </w:tcBorders>
          </w:tcPr>
          <w:p w:rsidR="00187F00" w:rsidRPr="002F554E" w:rsidRDefault="00187F00" w:rsidP="00C53D65">
            <w:pPr>
              <w:pStyle w:val="Tabletext"/>
              <w:tabs>
                <w:tab w:val="decimal" w:pos="737"/>
              </w:tabs>
            </w:pPr>
            <w:r w:rsidRPr="002F554E">
              <w:t>49</w:t>
            </w:r>
          </w:p>
        </w:tc>
        <w:tc>
          <w:tcPr>
            <w:tcW w:w="2600" w:type="dxa"/>
            <w:tcBorders>
              <w:top w:val="nil"/>
              <w:left w:val="nil"/>
              <w:bottom w:val="nil"/>
              <w:right w:val="nil"/>
            </w:tcBorders>
          </w:tcPr>
          <w:p w:rsidR="00187F00" w:rsidRPr="002F554E" w:rsidRDefault="00187F00" w:rsidP="00C53D65">
            <w:pPr>
              <w:pStyle w:val="Tabletext"/>
            </w:pPr>
          </w:p>
        </w:tc>
        <w:tc>
          <w:tcPr>
            <w:tcW w:w="1547" w:type="dxa"/>
            <w:tcBorders>
              <w:top w:val="nil"/>
              <w:left w:val="nil"/>
              <w:bottom w:val="nil"/>
              <w:right w:val="nil"/>
            </w:tcBorders>
          </w:tcPr>
          <w:p w:rsidR="00187F00" w:rsidRPr="002F554E" w:rsidRDefault="00187F00" w:rsidP="00C53D65">
            <w:pPr>
              <w:pStyle w:val="Tabletext"/>
              <w:tabs>
                <w:tab w:val="decimal" w:pos="737"/>
              </w:tabs>
            </w:pPr>
          </w:p>
        </w:tc>
      </w:tr>
      <w:tr w:rsidR="00187F00" w:rsidRPr="00FE162C" w:rsidTr="00187F00">
        <w:trPr>
          <w:cantSplit/>
        </w:trPr>
        <w:tc>
          <w:tcPr>
            <w:tcW w:w="3095" w:type="dxa"/>
            <w:tcBorders>
              <w:top w:val="nil"/>
              <w:bottom w:val="single" w:sz="4" w:space="0" w:color="auto"/>
              <w:right w:val="nil"/>
            </w:tcBorders>
          </w:tcPr>
          <w:p w:rsidR="00187F00" w:rsidRPr="00FE162C" w:rsidRDefault="00187F00" w:rsidP="00C53D65">
            <w:pPr>
              <w:pStyle w:val="Tabletext"/>
              <w:ind w:left="227"/>
              <w:rPr>
                <w:i/>
                <w:iCs/>
              </w:rPr>
            </w:pPr>
            <w:r w:rsidRPr="00FE162C">
              <w:rPr>
                <w:i/>
                <w:iCs/>
              </w:rPr>
              <w:t>No</w:t>
            </w:r>
          </w:p>
        </w:tc>
        <w:tc>
          <w:tcPr>
            <w:tcW w:w="1547" w:type="dxa"/>
            <w:tcBorders>
              <w:top w:val="nil"/>
              <w:left w:val="nil"/>
              <w:bottom w:val="single" w:sz="4" w:space="0" w:color="auto"/>
              <w:right w:val="nil"/>
            </w:tcBorders>
          </w:tcPr>
          <w:p w:rsidR="00187F00" w:rsidRPr="00FE162C" w:rsidRDefault="00187F00" w:rsidP="00C53D65">
            <w:pPr>
              <w:pStyle w:val="Tabletext"/>
              <w:tabs>
                <w:tab w:val="decimal" w:pos="737"/>
              </w:tabs>
            </w:pPr>
            <w:r w:rsidRPr="00FE162C">
              <w:t>37</w:t>
            </w:r>
          </w:p>
        </w:tc>
        <w:tc>
          <w:tcPr>
            <w:tcW w:w="2600" w:type="dxa"/>
            <w:tcBorders>
              <w:top w:val="nil"/>
              <w:left w:val="nil"/>
              <w:bottom w:val="single" w:sz="4" w:space="0" w:color="auto"/>
              <w:right w:val="nil"/>
            </w:tcBorders>
          </w:tcPr>
          <w:p w:rsidR="00187F00" w:rsidRPr="00FE162C" w:rsidRDefault="00187F00" w:rsidP="00C53D65">
            <w:pPr>
              <w:pStyle w:val="Tabletext"/>
            </w:pPr>
          </w:p>
        </w:tc>
        <w:tc>
          <w:tcPr>
            <w:tcW w:w="1547" w:type="dxa"/>
            <w:tcBorders>
              <w:top w:val="nil"/>
              <w:left w:val="nil"/>
              <w:bottom w:val="single" w:sz="4" w:space="0" w:color="auto"/>
              <w:right w:val="nil"/>
            </w:tcBorders>
          </w:tcPr>
          <w:p w:rsidR="00187F00" w:rsidRPr="00FE162C" w:rsidRDefault="00187F00" w:rsidP="00C53D65">
            <w:pPr>
              <w:pStyle w:val="Tabletext"/>
              <w:tabs>
                <w:tab w:val="decimal" w:pos="737"/>
              </w:tabs>
            </w:pPr>
          </w:p>
        </w:tc>
      </w:tr>
    </w:tbl>
    <w:p w:rsidR="005029BB" w:rsidRPr="00FE162C" w:rsidRDefault="003729FD" w:rsidP="00C53D65">
      <w:pPr>
        <w:pStyle w:val="Source"/>
      </w:pPr>
      <w:r w:rsidRPr="00FE162C">
        <w:t>Note:</w:t>
      </w:r>
      <w:r w:rsidRPr="00FE162C">
        <w:tab/>
      </w:r>
      <w:r w:rsidRPr="00A01702">
        <w:t>1</w:t>
      </w:r>
      <w:r w:rsidR="00B87039" w:rsidRPr="00A01702">
        <w:t xml:space="preserve"> </w:t>
      </w:r>
      <w:r w:rsidR="00187F00" w:rsidRPr="00FE162C">
        <w:t xml:space="preserve">Excluding </w:t>
      </w:r>
      <w:r w:rsidR="00187F00" w:rsidRPr="00C53D65">
        <w:t>respondents</w:t>
      </w:r>
      <w:r w:rsidR="00187F00" w:rsidRPr="00FE162C">
        <w:t xml:space="preserve"> who were unemployed</w:t>
      </w:r>
      <w:r w:rsidRPr="00FE162C">
        <w:t>.</w:t>
      </w:r>
    </w:p>
    <w:p w:rsidR="00B8521E" w:rsidRPr="00FE162C" w:rsidRDefault="00B8521E">
      <w:pPr>
        <w:spacing w:before="0" w:line="240" w:lineRule="auto"/>
        <w:rPr>
          <w:rFonts w:ascii="Tahoma" w:hAnsi="Tahoma" w:cs="Tahoma"/>
          <w:color w:val="000000" w:themeColor="text1"/>
          <w:kern w:val="28"/>
          <w:sz w:val="56"/>
          <w:szCs w:val="56"/>
        </w:rPr>
      </w:pPr>
      <w:r w:rsidRPr="00FE162C">
        <w:rPr>
          <w:color w:val="000000" w:themeColor="text1"/>
        </w:rPr>
        <w:br w:type="page"/>
      </w:r>
    </w:p>
    <w:p w:rsidR="00187F00" w:rsidRPr="00FE162C" w:rsidRDefault="00187F00" w:rsidP="009E7DC5">
      <w:pPr>
        <w:pStyle w:val="Heading1"/>
        <w:rPr>
          <w:color w:val="000000" w:themeColor="text1"/>
        </w:rPr>
      </w:pPr>
      <w:bookmarkStart w:id="52" w:name="_Toc386530489"/>
      <w:r w:rsidRPr="00FE162C">
        <w:rPr>
          <w:color w:val="000000" w:themeColor="text1"/>
        </w:rPr>
        <w:lastRenderedPageBreak/>
        <w:t>Results</w:t>
      </w:r>
      <w:bookmarkEnd w:id="52"/>
    </w:p>
    <w:p w:rsidR="009D0FDF" w:rsidRPr="00FE162C" w:rsidRDefault="009D0FDF" w:rsidP="009D0FDF">
      <w:pPr>
        <w:pStyle w:val="Heading2"/>
        <w:rPr>
          <w:color w:val="000000" w:themeColor="text1"/>
        </w:rPr>
      </w:pPr>
      <w:bookmarkStart w:id="53" w:name="_Toc386530490"/>
      <w:r w:rsidRPr="00FE162C">
        <w:rPr>
          <w:color w:val="000000" w:themeColor="text1"/>
        </w:rPr>
        <w:t>The effect of location and destination</w:t>
      </w:r>
      <w:bookmarkEnd w:id="53"/>
    </w:p>
    <w:p w:rsidR="003542BD" w:rsidRPr="005F73E6" w:rsidRDefault="00B52A10" w:rsidP="005F73E6">
      <w:pPr>
        <w:pStyle w:val="Text"/>
      </w:pPr>
      <w:r w:rsidRPr="00FE162C">
        <w:t>T</w:t>
      </w:r>
      <w:r w:rsidR="0038280C" w:rsidRPr="00FE162C">
        <w:t>he discrete choice experiment</w:t>
      </w:r>
      <w:r w:rsidR="00780A88" w:rsidRPr="00FE162C">
        <w:t xml:space="preserve"> was </w:t>
      </w:r>
      <w:r w:rsidRPr="00FE162C">
        <w:t>designed</w:t>
      </w:r>
      <w:r w:rsidR="00780A88" w:rsidRPr="00FE162C">
        <w:t xml:space="preserve"> so that</w:t>
      </w:r>
      <w:r w:rsidR="0038280C" w:rsidRPr="00FE162C">
        <w:t xml:space="preserve"> </w:t>
      </w:r>
      <w:r w:rsidR="00A01702">
        <w:t>one-</w:t>
      </w:r>
      <w:r w:rsidR="006A08AF" w:rsidRPr="00FE162C">
        <w:t xml:space="preserve">half of </w:t>
      </w:r>
      <w:r w:rsidR="0038280C" w:rsidRPr="00FE162C">
        <w:t>the sample</w:t>
      </w:r>
      <w:r w:rsidR="006A08AF" w:rsidRPr="00FE162C">
        <w:t xml:space="preserve"> in e</w:t>
      </w:r>
      <w:r w:rsidR="0038280C" w:rsidRPr="00FE162C">
        <w:t>ach state is</w:t>
      </w:r>
      <w:r w:rsidR="00154B9D" w:rsidRPr="00FE162C">
        <w:t xml:space="preserve"> offered job</w:t>
      </w:r>
      <w:r w:rsidR="006A08AF" w:rsidRPr="00FE162C">
        <w:t xml:space="preserve">s in Karratha </w:t>
      </w:r>
      <w:r w:rsidR="006A08AF" w:rsidRPr="005F73E6">
        <w:t xml:space="preserve">and </w:t>
      </w:r>
      <w:r w:rsidR="0038280C" w:rsidRPr="005F73E6">
        <w:t>the other half</w:t>
      </w:r>
      <w:r w:rsidR="006A08AF" w:rsidRPr="005F73E6">
        <w:t xml:space="preserve"> in Emerald. </w:t>
      </w:r>
      <w:r w:rsidR="005C1608" w:rsidRPr="005F73E6">
        <w:t>E</w:t>
      </w:r>
      <w:r w:rsidR="0038280C" w:rsidRPr="005F73E6">
        <w:t>ach person in</w:t>
      </w:r>
      <w:r w:rsidR="003479AB" w:rsidRPr="005F73E6">
        <w:t xml:space="preserve"> the survey was presented with five </w:t>
      </w:r>
      <w:r w:rsidRPr="005F73E6">
        <w:t>choice sets of job offers.</w:t>
      </w:r>
    </w:p>
    <w:p w:rsidR="00735CBB" w:rsidRPr="005F73E6" w:rsidRDefault="00C80DAE" w:rsidP="005F73E6">
      <w:pPr>
        <w:pStyle w:val="Text"/>
      </w:pPr>
      <w:r w:rsidRPr="005F73E6">
        <w:t xml:space="preserve">Pooling job acceptances across the entire sample and across all five </w:t>
      </w:r>
      <w:r w:rsidR="00B52A10" w:rsidRPr="005F73E6">
        <w:t>choice sets</w:t>
      </w:r>
      <w:r w:rsidRPr="005F73E6">
        <w:t xml:space="preserve"> provides a summary measure of</w:t>
      </w:r>
      <w:r w:rsidR="00B52A10" w:rsidRPr="005F73E6">
        <w:t xml:space="preserve"> the</w:t>
      </w:r>
      <w:r w:rsidR="00A01702" w:rsidRPr="005F73E6">
        <w:t xml:space="preserve"> willingness to move (see t</w:t>
      </w:r>
      <w:r w:rsidRPr="005F73E6">
        <w:t xml:space="preserve">able 2). </w:t>
      </w:r>
      <w:r w:rsidR="00B52A10" w:rsidRPr="005F73E6">
        <w:t>There was a higher ac</w:t>
      </w:r>
      <w:r w:rsidR="008816C6" w:rsidRPr="005F73E6">
        <w:t>ceptance of</w:t>
      </w:r>
      <w:r w:rsidRPr="005F73E6">
        <w:t xml:space="preserve"> job offers to work in Karratha</w:t>
      </w:r>
      <w:r w:rsidR="008816C6" w:rsidRPr="005F73E6">
        <w:t xml:space="preserve"> by</w:t>
      </w:r>
      <w:r w:rsidRPr="005F73E6">
        <w:t xml:space="preserve"> people in New South Wales </w:t>
      </w:r>
      <w:r w:rsidR="008816C6" w:rsidRPr="005F73E6">
        <w:t>than by people in South Australia, although the acceptance rates to work in Emerald were similar for the two states.</w:t>
      </w:r>
      <w:r w:rsidR="00A251E0" w:rsidRPr="005F73E6">
        <w:t xml:space="preserve"> Considering that</w:t>
      </w:r>
      <w:r w:rsidR="005D14CE" w:rsidRPr="005F73E6">
        <w:t xml:space="preserve"> New South Wales and Karratha are the furthest apart of all origin/destination combinations, the results suggest</w:t>
      </w:r>
      <w:r w:rsidR="00ED5164" w:rsidRPr="005F73E6">
        <w:t xml:space="preserve"> that the distance-to-</w:t>
      </w:r>
      <w:r w:rsidR="005D14CE" w:rsidRPr="005F73E6">
        <w:t>work location is not</w:t>
      </w:r>
      <w:r w:rsidR="00A251E0" w:rsidRPr="005F73E6">
        <w:t xml:space="preserve"> particularly</w:t>
      </w:r>
      <w:r w:rsidR="005D14CE" w:rsidRPr="005F73E6">
        <w:t xml:space="preserve"> important in the decision to accept or reject a job offer.</w:t>
      </w:r>
    </w:p>
    <w:p w:rsidR="00C80DAE" w:rsidRPr="00FE162C" w:rsidRDefault="00C80DAE" w:rsidP="005F73E6">
      <w:pPr>
        <w:pStyle w:val="Text"/>
      </w:pPr>
      <w:r w:rsidRPr="005F73E6">
        <w:t>A simple test of proportions</w:t>
      </w:r>
      <w:r w:rsidRPr="00FE162C">
        <w:t xml:space="preserve"> suggests that people from New South Wales have a slightly higher willingness to move than people from South Australia.</w:t>
      </w:r>
      <w:r w:rsidRPr="00FE162C">
        <w:rPr>
          <w:rStyle w:val="FootnoteReference"/>
          <w:color w:val="000000" w:themeColor="text1"/>
        </w:rPr>
        <w:t xml:space="preserve"> </w:t>
      </w:r>
      <w:r w:rsidRPr="00FE162C">
        <w:t xml:space="preserve">Overall, more than half </w:t>
      </w:r>
      <w:r w:rsidR="00020E10">
        <w:t xml:space="preserve">of </w:t>
      </w:r>
      <w:r w:rsidRPr="00FE162C">
        <w:t xml:space="preserve">the people are willing to move for work if offered </w:t>
      </w:r>
      <w:r w:rsidR="005D14CE" w:rsidRPr="00FE162C">
        <w:t>appropriate</w:t>
      </w:r>
      <w:r w:rsidRPr="00FE162C">
        <w:t xml:space="preserve"> incentives. These results are more positive than th</w:t>
      </w:r>
      <w:r w:rsidR="005D14CE" w:rsidRPr="00FE162C">
        <w:t>ose</w:t>
      </w:r>
      <w:r w:rsidRPr="00FE162C">
        <w:t xml:space="preserve"> reported by </w:t>
      </w:r>
      <w:r w:rsidR="00406B75">
        <w:fldChar w:fldCharType="begin"/>
      </w:r>
      <w:r w:rsidR="00CA754F">
        <w:instrText xml:space="preserve"> ADDIN EN.CITE &lt;EndNote&gt;&lt;Cite&gt;&lt;Author&gt;Bahn&lt;/Author&gt;&lt;Year&gt;2012&lt;/Year&gt;&lt;RecNum&gt;1362&lt;/RecNum&gt;&lt;DisplayText&gt;Bahn, Yap and Barratt-Pugh (2012)&lt;/DisplayText&gt;&lt;record&gt;&lt;rec-number&gt;1362&lt;/rec-number&gt;&lt;foreign-keys&gt;&lt;key app="EN" db-id="refafpv0nd2rd4e9e2qxeaf6rw5xxvv2ds22" timestamp="1392094154"&gt;1362&lt;/key&gt;&lt;/foreign-keys&gt;&lt;ref-type name="Report"&gt;27&lt;/ref-type&gt;&lt;contributors&gt;&lt;authors&gt;&lt;author&gt;Bahn, S&lt;/author&gt;&lt;author&gt;Yap, G&lt;/author&gt;&lt;author&gt;Barratt-Pugh, L&lt;/author&gt;&lt;/authors&gt;&lt;/contributors&gt;&lt;titles&gt;&lt;title&gt;457 visa workers in the Western Australian resources industry&lt;/title&gt;&lt;/titles&gt;&lt;dates&gt;&lt;year&gt;2012&lt;/year&gt;&lt;/dates&gt;&lt;pub-location&gt;Perth&lt;/pub-location&gt;&lt;publisher&gt;Centre for Innovative Practice, Edith Cowan University&lt;/publisher&gt;&lt;urls&gt;&lt;related-urls&gt;&lt;url&gt;https://www.ecu.edu.au/__data/assets/pdf_file/0003/406353/FINAL-34028-ECU_Research_Report-Web.pdf&lt;/url&gt;&lt;/related-urls&gt;&lt;/urls&gt;&lt;access-date&gt;11 February 2014&lt;/access-date&gt;&lt;/record&gt;&lt;/Cite&gt;&lt;/EndNote&gt;</w:instrText>
      </w:r>
      <w:r w:rsidR="00406B75">
        <w:fldChar w:fldCharType="separate"/>
      </w:r>
      <w:hyperlink w:anchor="_ENREF_7" w:tooltip="Bahn, 2012 #1362" w:history="1">
        <w:r w:rsidR="00CA754F">
          <w:rPr>
            <w:noProof/>
          </w:rPr>
          <w:t>Bahn, Yap and Barratt-Pugh (2012</w:t>
        </w:r>
      </w:hyperlink>
      <w:r w:rsidR="00CA754F">
        <w:rPr>
          <w:noProof/>
        </w:rPr>
        <w:t>)</w:t>
      </w:r>
      <w:r w:rsidR="00406B75">
        <w:fldChar w:fldCharType="end"/>
      </w:r>
      <w:r w:rsidR="00A01702">
        <w:t>,</w:t>
      </w:r>
      <w:r w:rsidR="004A60B5" w:rsidRPr="00FE162C">
        <w:t xml:space="preserve"> </w:t>
      </w:r>
      <w:r w:rsidRPr="00FE162C">
        <w:t xml:space="preserve">who </w:t>
      </w:r>
      <w:r w:rsidR="005D14CE" w:rsidRPr="00FE162C">
        <w:t>concluded</w:t>
      </w:r>
      <w:r w:rsidRPr="00FE162C">
        <w:t xml:space="preserve"> </w:t>
      </w:r>
      <w:r w:rsidR="00602830">
        <w:t>‘</w:t>
      </w:r>
      <w:r w:rsidRPr="00FE162C">
        <w:t>a genuine reluctance by skilled and experienced workers to move from Australia</w:t>
      </w:r>
      <w:r w:rsidR="00602830">
        <w:t>’</w:t>
      </w:r>
      <w:r w:rsidRPr="00FE162C">
        <w:t>s east to remote locations in Western Australia</w:t>
      </w:r>
      <w:r w:rsidR="00602830">
        <w:t>’</w:t>
      </w:r>
      <w:r w:rsidRPr="00FE162C">
        <w:t>.</w:t>
      </w:r>
    </w:p>
    <w:p w:rsidR="009E7DC5" w:rsidRPr="00FE162C" w:rsidRDefault="009E7DC5" w:rsidP="005F73E6">
      <w:pPr>
        <w:pStyle w:val="tabletitle"/>
      </w:pPr>
      <w:bookmarkStart w:id="54" w:name="_Toc386530551"/>
      <w:r w:rsidRPr="00FE162C">
        <w:t>Table 2</w:t>
      </w:r>
      <w:r w:rsidRPr="00FE162C">
        <w:tab/>
        <w:t>P</w:t>
      </w:r>
      <w:r w:rsidR="00166BBE" w:rsidRPr="00FE162C">
        <w:t>ercentage</w:t>
      </w:r>
      <w:r w:rsidR="00A251E0">
        <w:t xml:space="preserve"> of all job offers accepted</w:t>
      </w:r>
      <w:r w:rsidR="00D66DEB" w:rsidRPr="00FE162C">
        <w:t xml:space="preserve"> </w:t>
      </w:r>
      <w:r w:rsidR="00A251E0">
        <w:t>(</w:t>
      </w:r>
      <w:r w:rsidR="00D66DEB" w:rsidRPr="00FE162C">
        <w:t>distance</w:t>
      </w:r>
      <w:r w:rsidR="00545ED0" w:rsidRPr="00FE162C">
        <w:rPr>
          <w:vertAlign w:val="superscript"/>
        </w:rPr>
        <w:t>1</w:t>
      </w:r>
      <w:r w:rsidR="00D66DEB" w:rsidRPr="00FE162C">
        <w:t xml:space="preserve"> to destination</w:t>
      </w:r>
      <w:r w:rsidR="00A251E0">
        <w:t>), pooled responses</w:t>
      </w:r>
      <w:bookmarkEnd w:id="54"/>
    </w:p>
    <w:tbl>
      <w:tblPr>
        <w:tblW w:w="8789" w:type="dxa"/>
        <w:tblInd w:w="108" w:type="dxa"/>
        <w:tblBorders>
          <w:top w:val="single" w:sz="4" w:space="0" w:color="auto"/>
          <w:bottom w:val="single" w:sz="4" w:space="0" w:color="auto"/>
        </w:tblBorders>
        <w:tblLayout w:type="fixed"/>
        <w:tblLook w:val="0000" w:firstRow="0" w:lastRow="0" w:firstColumn="0" w:lastColumn="0" w:noHBand="0" w:noVBand="0"/>
      </w:tblPr>
      <w:tblGrid>
        <w:gridCol w:w="2977"/>
        <w:gridCol w:w="2906"/>
        <w:gridCol w:w="2906"/>
      </w:tblGrid>
      <w:tr w:rsidR="00B00852" w:rsidRPr="00FE162C" w:rsidTr="005F73E6">
        <w:trPr>
          <w:cantSplit/>
        </w:trPr>
        <w:tc>
          <w:tcPr>
            <w:tcW w:w="2977" w:type="dxa"/>
            <w:tcBorders>
              <w:top w:val="single" w:sz="4" w:space="0" w:color="auto"/>
              <w:bottom w:val="nil"/>
              <w:right w:val="nil"/>
            </w:tcBorders>
          </w:tcPr>
          <w:p w:rsidR="00B00852" w:rsidRPr="00FE162C" w:rsidRDefault="00B00852" w:rsidP="009E7DC5">
            <w:pPr>
              <w:pStyle w:val="Tablehead1"/>
              <w:rPr>
                <w:color w:val="000000" w:themeColor="text1"/>
              </w:rPr>
            </w:pPr>
          </w:p>
        </w:tc>
        <w:tc>
          <w:tcPr>
            <w:tcW w:w="5812" w:type="dxa"/>
            <w:gridSpan w:val="2"/>
            <w:tcBorders>
              <w:top w:val="single" w:sz="4" w:space="0" w:color="auto"/>
              <w:left w:val="nil"/>
              <w:bottom w:val="nil"/>
            </w:tcBorders>
          </w:tcPr>
          <w:p w:rsidR="00B00852" w:rsidRPr="00FE162C" w:rsidRDefault="00B00852" w:rsidP="005F73E6">
            <w:pPr>
              <w:pStyle w:val="Tablehead1"/>
              <w:jc w:val="center"/>
            </w:pPr>
            <w:r w:rsidRPr="00FE162C">
              <w:t>Destination</w:t>
            </w:r>
          </w:p>
        </w:tc>
      </w:tr>
      <w:tr w:rsidR="009E7DC5" w:rsidRPr="00FE162C" w:rsidTr="005F73E6">
        <w:trPr>
          <w:cantSplit/>
        </w:trPr>
        <w:tc>
          <w:tcPr>
            <w:tcW w:w="2977" w:type="dxa"/>
            <w:tcBorders>
              <w:top w:val="nil"/>
              <w:bottom w:val="single" w:sz="4" w:space="0" w:color="auto"/>
              <w:right w:val="nil"/>
            </w:tcBorders>
          </w:tcPr>
          <w:p w:rsidR="009E7DC5" w:rsidRPr="00FE162C" w:rsidRDefault="009E7DC5" w:rsidP="005F73E6">
            <w:pPr>
              <w:pStyle w:val="Tablehead2"/>
            </w:pPr>
            <w:r w:rsidRPr="00FE162C">
              <w:t>State of origin</w:t>
            </w:r>
          </w:p>
        </w:tc>
        <w:tc>
          <w:tcPr>
            <w:tcW w:w="2906" w:type="dxa"/>
            <w:tcBorders>
              <w:top w:val="nil"/>
              <w:left w:val="nil"/>
              <w:bottom w:val="single" w:sz="4" w:space="0" w:color="auto"/>
              <w:right w:val="nil"/>
            </w:tcBorders>
          </w:tcPr>
          <w:p w:rsidR="009E7DC5" w:rsidRPr="00FE162C" w:rsidRDefault="009E7DC5" w:rsidP="005F73E6">
            <w:pPr>
              <w:pStyle w:val="Tablehead2"/>
              <w:jc w:val="center"/>
            </w:pPr>
            <w:r w:rsidRPr="00FE162C">
              <w:t>Karratha (Western Australia)</w:t>
            </w:r>
          </w:p>
        </w:tc>
        <w:tc>
          <w:tcPr>
            <w:tcW w:w="2906" w:type="dxa"/>
            <w:tcBorders>
              <w:top w:val="nil"/>
              <w:left w:val="nil"/>
              <w:bottom w:val="single" w:sz="4" w:space="0" w:color="auto"/>
              <w:right w:val="nil"/>
            </w:tcBorders>
          </w:tcPr>
          <w:p w:rsidR="009E7DC5" w:rsidRPr="00FE162C" w:rsidRDefault="009E7DC5" w:rsidP="005F73E6">
            <w:pPr>
              <w:pStyle w:val="Tablehead2"/>
              <w:jc w:val="center"/>
            </w:pPr>
            <w:r w:rsidRPr="00FE162C">
              <w:t>Emerald (Queensland)</w:t>
            </w:r>
          </w:p>
        </w:tc>
      </w:tr>
      <w:tr w:rsidR="00B00852" w:rsidRPr="005F73E6" w:rsidTr="005F73E6">
        <w:trPr>
          <w:cantSplit/>
        </w:trPr>
        <w:tc>
          <w:tcPr>
            <w:tcW w:w="2977" w:type="dxa"/>
            <w:tcBorders>
              <w:top w:val="single" w:sz="4" w:space="0" w:color="auto"/>
              <w:bottom w:val="nil"/>
              <w:right w:val="nil"/>
            </w:tcBorders>
          </w:tcPr>
          <w:p w:rsidR="00B00852" w:rsidRPr="005F73E6" w:rsidRDefault="00B00852" w:rsidP="005F73E6">
            <w:pPr>
              <w:pStyle w:val="Tabletext"/>
            </w:pPr>
            <w:r w:rsidRPr="005F73E6">
              <w:t>New South Wales</w:t>
            </w:r>
          </w:p>
        </w:tc>
        <w:tc>
          <w:tcPr>
            <w:tcW w:w="2906" w:type="dxa"/>
            <w:tcBorders>
              <w:top w:val="single" w:sz="4" w:space="0" w:color="auto"/>
              <w:left w:val="nil"/>
              <w:bottom w:val="nil"/>
              <w:right w:val="nil"/>
            </w:tcBorders>
          </w:tcPr>
          <w:p w:rsidR="00B00852" w:rsidRPr="005F73E6" w:rsidRDefault="00E7144B" w:rsidP="005F73E6">
            <w:pPr>
              <w:pStyle w:val="Tabletext"/>
              <w:ind w:right="851"/>
              <w:jc w:val="right"/>
            </w:pPr>
            <w:r w:rsidRPr="005F73E6">
              <w:t>67</w:t>
            </w:r>
            <w:r w:rsidR="00A01702" w:rsidRPr="005F73E6">
              <w:t xml:space="preserve"> (5</w:t>
            </w:r>
            <w:r w:rsidR="00B00852" w:rsidRPr="005F73E6">
              <w:t>147 km)</w:t>
            </w:r>
          </w:p>
        </w:tc>
        <w:tc>
          <w:tcPr>
            <w:tcW w:w="2906" w:type="dxa"/>
            <w:tcBorders>
              <w:top w:val="single" w:sz="4" w:space="0" w:color="auto"/>
              <w:left w:val="nil"/>
              <w:bottom w:val="nil"/>
              <w:right w:val="nil"/>
            </w:tcBorders>
          </w:tcPr>
          <w:p w:rsidR="00B00852" w:rsidRPr="005F73E6" w:rsidRDefault="00E7144B" w:rsidP="005F73E6">
            <w:pPr>
              <w:pStyle w:val="Tabletext"/>
              <w:ind w:right="851"/>
              <w:jc w:val="right"/>
            </w:pPr>
            <w:r w:rsidRPr="005F73E6">
              <w:t>64</w:t>
            </w:r>
            <w:r w:rsidR="00A01702" w:rsidRPr="005F73E6">
              <w:t xml:space="preserve"> (1</w:t>
            </w:r>
            <w:r w:rsidR="00B00852" w:rsidRPr="005F73E6">
              <w:t>444 km)</w:t>
            </w:r>
          </w:p>
        </w:tc>
      </w:tr>
      <w:tr w:rsidR="00B00852" w:rsidRPr="005F73E6" w:rsidTr="005F73E6">
        <w:trPr>
          <w:cantSplit/>
        </w:trPr>
        <w:tc>
          <w:tcPr>
            <w:tcW w:w="2977" w:type="dxa"/>
            <w:tcBorders>
              <w:top w:val="nil"/>
              <w:bottom w:val="single" w:sz="4" w:space="0" w:color="auto"/>
              <w:right w:val="nil"/>
            </w:tcBorders>
          </w:tcPr>
          <w:p w:rsidR="00B00852" w:rsidRPr="005F73E6" w:rsidRDefault="00B00852" w:rsidP="005F73E6">
            <w:pPr>
              <w:pStyle w:val="Tabletext"/>
            </w:pPr>
            <w:r w:rsidRPr="005F73E6">
              <w:t>South Australia</w:t>
            </w:r>
          </w:p>
        </w:tc>
        <w:tc>
          <w:tcPr>
            <w:tcW w:w="2906" w:type="dxa"/>
            <w:tcBorders>
              <w:top w:val="nil"/>
              <w:left w:val="nil"/>
              <w:bottom w:val="single" w:sz="4" w:space="0" w:color="auto"/>
              <w:right w:val="nil"/>
            </w:tcBorders>
          </w:tcPr>
          <w:p w:rsidR="00B00852" w:rsidRPr="005F73E6" w:rsidRDefault="00E7144B" w:rsidP="005F73E6">
            <w:pPr>
              <w:pStyle w:val="Tabletext"/>
              <w:ind w:right="851"/>
              <w:jc w:val="right"/>
            </w:pPr>
            <w:r w:rsidRPr="005F73E6">
              <w:t>60</w:t>
            </w:r>
            <w:r w:rsidR="00A01702" w:rsidRPr="005F73E6">
              <w:t xml:space="preserve"> (3</w:t>
            </w:r>
            <w:r w:rsidR="00B00852" w:rsidRPr="005F73E6">
              <w:t>762 km)</w:t>
            </w:r>
          </w:p>
        </w:tc>
        <w:tc>
          <w:tcPr>
            <w:tcW w:w="2906" w:type="dxa"/>
            <w:tcBorders>
              <w:top w:val="nil"/>
              <w:left w:val="nil"/>
              <w:bottom w:val="single" w:sz="4" w:space="0" w:color="auto"/>
              <w:right w:val="nil"/>
            </w:tcBorders>
          </w:tcPr>
          <w:p w:rsidR="00B00852" w:rsidRPr="005F73E6" w:rsidRDefault="00E7144B" w:rsidP="005F73E6">
            <w:pPr>
              <w:pStyle w:val="Tabletext"/>
              <w:ind w:right="851"/>
              <w:jc w:val="right"/>
            </w:pPr>
            <w:r w:rsidRPr="005F73E6">
              <w:t>63</w:t>
            </w:r>
            <w:r w:rsidR="00987C8D" w:rsidRPr="005F73E6">
              <w:t xml:space="preserve"> (2</w:t>
            </w:r>
            <w:r w:rsidR="00B00852" w:rsidRPr="005F73E6">
              <w:t>117 km)</w:t>
            </w:r>
          </w:p>
        </w:tc>
      </w:tr>
    </w:tbl>
    <w:p w:rsidR="00545ED0" w:rsidRPr="00FE162C" w:rsidRDefault="00545ED0" w:rsidP="005F73E6">
      <w:pPr>
        <w:pStyle w:val="Source"/>
      </w:pPr>
      <w:r w:rsidRPr="00FE162C">
        <w:t>Note:</w:t>
      </w:r>
      <w:r w:rsidRPr="00FE162C">
        <w:tab/>
      </w:r>
      <w:r w:rsidRPr="00987C8D">
        <w:t>1</w:t>
      </w:r>
      <w:r w:rsidR="00B87039" w:rsidRPr="00FE162C">
        <w:rPr>
          <w:vertAlign w:val="superscript"/>
        </w:rPr>
        <w:t xml:space="preserve"> </w:t>
      </w:r>
      <w:r w:rsidR="00BD7A55" w:rsidRPr="00FE162C">
        <w:t xml:space="preserve">Land distance </w:t>
      </w:r>
      <w:r w:rsidRPr="00FE162C">
        <w:t>fro</w:t>
      </w:r>
      <w:r w:rsidR="00BD7A55" w:rsidRPr="00FE162C">
        <w:t>m the capital city of the state</w:t>
      </w:r>
      <w:r w:rsidR="00020E10">
        <w:t>.</w:t>
      </w:r>
    </w:p>
    <w:p w:rsidR="009D0FDF" w:rsidRPr="00FE162C" w:rsidRDefault="009D0FDF" w:rsidP="009D0FDF">
      <w:pPr>
        <w:pStyle w:val="Heading2"/>
        <w:rPr>
          <w:color w:val="000000" w:themeColor="text1"/>
        </w:rPr>
      </w:pPr>
      <w:bookmarkStart w:id="55" w:name="_Toc386530491"/>
      <w:r w:rsidRPr="00FE162C">
        <w:rPr>
          <w:color w:val="000000" w:themeColor="text1"/>
        </w:rPr>
        <w:t xml:space="preserve">Determinants of </w:t>
      </w:r>
      <w:r w:rsidR="00DD2E62" w:rsidRPr="00FE162C">
        <w:rPr>
          <w:color w:val="000000" w:themeColor="text1"/>
        </w:rPr>
        <w:t>willingness to move</w:t>
      </w:r>
      <w:bookmarkEnd w:id="55"/>
    </w:p>
    <w:p w:rsidR="00735CBB" w:rsidRPr="005F73E6" w:rsidRDefault="009A6BC8" w:rsidP="005F73E6">
      <w:pPr>
        <w:pStyle w:val="Text"/>
      </w:pPr>
      <w:r w:rsidRPr="00FE162C">
        <w:t xml:space="preserve">This section reports on </w:t>
      </w:r>
      <w:r w:rsidR="009D0FDF" w:rsidRPr="00FE162C">
        <w:t>the effects of personal, educational and labour force ch</w:t>
      </w:r>
      <w:r w:rsidR="00653DCE" w:rsidRPr="00FE162C">
        <w:t>aracteristic</w:t>
      </w:r>
      <w:r w:rsidR="00987C8D">
        <w:t>s, home-</w:t>
      </w:r>
      <w:r w:rsidR="009D0FDF" w:rsidRPr="00FE162C">
        <w:t>ownership status and social connectedness on an individual</w:t>
      </w:r>
      <w:r w:rsidR="00602830">
        <w:t>’</w:t>
      </w:r>
      <w:r w:rsidR="009D0FDF" w:rsidRPr="00FE162C">
        <w:t>s willingness to move for work.</w:t>
      </w:r>
      <w:r w:rsidR="00131194" w:rsidRPr="00FE162C">
        <w:t xml:space="preserve"> In other words, it is their willingness to accept a job offer</w:t>
      </w:r>
      <w:r w:rsidR="002A43BA">
        <w:t xml:space="preserve"> in two locations</w:t>
      </w:r>
      <w:r w:rsidR="00131194" w:rsidRPr="00FE162C">
        <w:t>.</w:t>
      </w:r>
      <w:r w:rsidR="009D0FDF" w:rsidRPr="00FE162C">
        <w:t xml:space="preserve"> Responses from all five </w:t>
      </w:r>
      <w:r w:rsidRPr="00FE162C">
        <w:t>choice sets</w:t>
      </w:r>
      <w:r w:rsidR="00987C8D">
        <w:t xml:space="preserve"> are pooled for this analysis. The p</w:t>
      </w:r>
      <w:r w:rsidR="009D0FDF" w:rsidRPr="00FE162C">
        <w:t xml:space="preserve">ooling of </w:t>
      </w:r>
      <w:r w:rsidR="00C80DAE" w:rsidRPr="00FE162C">
        <w:t xml:space="preserve">responses </w:t>
      </w:r>
      <w:r w:rsidR="009D0FDF" w:rsidRPr="00FE162C">
        <w:t>increases the size of the sample, but it</w:t>
      </w:r>
      <w:r w:rsidRPr="00FE162C">
        <w:t xml:space="preserve"> also</w:t>
      </w:r>
      <w:r w:rsidR="009D0FDF" w:rsidRPr="00FE162C">
        <w:t xml:space="preserve"> raises the possibility of </w:t>
      </w:r>
      <w:r w:rsidR="00987C8D">
        <w:t xml:space="preserve">the </w:t>
      </w:r>
      <w:r w:rsidR="009D0FDF" w:rsidRPr="00FE162C">
        <w:t xml:space="preserve">correlation </w:t>
      </w:r>
      <w:r w:rsidR="00735CBB" w:rsidRPr="00FE162C">
        <w:t>of</w:t>
      </w:r>
      <w:r w:rsidR="009D0FDF" w:rsidRPr="00FE162C">
        <w:t xml:space="preserve"> responses </w:t>
      </w:r>
      <w:r w:rsidR="00486DCE" w:rsidRPr="00FE162C">
        <w:t>due to</w:t>
      </w:r>
      <w:r w:rsidR="009D0FDF" w:rsidRPr="00FE162C">
        <w:t xml:space="preserve"> unobserved </w:t>
      </w:r>
      <w:r w:rsidR="00486DCE" w:rsidRPr="00FE162C">
        <w:t>factors. I</w:t>
      </w:r>
      <w:r w:rsidR="009D0FDF" w:rsidRPr="00FE162C">
        <w:t xml:space="preserve">f </w:t>
      </w:r>
      <w:r w:rsidR="00486DCE" w:rsidRPr="00FE162C">
        <w:t xml:space="preserve">for instance </w:t>
      </w:r>
      <w:r w:rsidR="009D0FDF" w:rsidRPr="00FE162C">
        <w:t>a person has a disability</w:t>
      </w:r>
      <w:r w:rsidR="00486DCE" w:rsidRPr="00FE162C">
        <w:t>, which is not observed in our sample,</w:t>
      </w:r>
      <w:r w:rsidR="009D0FDF" w:rsidRPr="00FE162C">
        <w:t xml:space="preserve"> then they may never choose to move</w:t>
      </w:r>
      <w:r w:rsidR="00987C8D">
        <w:t>,</w:t>
      </w:r>
      <w:r w:rsidR="009D0FDF" w:rsidRPr="00FE162C">
        <w:t xml:space="preserve"> irrespective of </w:t>
      </w:r>
      <w:r w:rsidR="00987C8D">
        <w:t>the</w:t>
      </w:r>
      <w:r w:rsidR="009D0FDF" w:rsidRPr="00FE162C">
        <w:t xml:space="preserve"> scenario presented to them. </w:t>
      </w:r>
      <w:r w:rsidR="00486DCE" w:rsidRPr="00FE162C">
        <w:t>To</w:t>
      </w:r>
      <w:r w:rsidR="009D0FDF" w:rsidRPr="00FE162C">
        <w:t xml:space="preserve"> account</w:t>
      </w:r>
      <w:r w:rsidR="00486DCE" w:rsidRPr="00FE162C">
        <w:t xml:space="preserve"> for this</w:t>
      </w:r>
      <w:r w:rsidR="009D0FDF" w:rsidRPr="00FE162C">
        <w:t xml:space="preserve">, </w:t>
      </w:r>
      <w:r w:rsidR="00486DCE" w:rsidRPr="00FE162C">
        <w:t xml:space="preserve">we fit </w:t>
      </w:r>
      <w:r w:rsidR="009D0FDF" w:rsidRPr="00FE162C">
        <w:t xml:space="preserve">a </w:t>
      </w:r>
      <w:r w:rsidR="009D0FDF" w:rsidRPr="00987C8D">
        <w:rPr>
          <w:iCs/>
        </w:rPr>
        <w:t>random effects</w:t>
      </w:r>
      <w:r w:rsidR="009D0FDF" w:rsidRPr="00FE162C">
        <w:t xml:space="preserve"> probit model</w:t>
      </w:r>
      <w:r w:rsidR="00486DCE" w:rsidRPr="00FE162C">
        <w:t xml:space="preserve"> to the data</w:t>
      </w:r>
      <w:r w:rsidR="009D0FDF" w:rsidRPr="00FE162C">
        <w:t xml:space="preserve"> (</w:t>
      </w:r>
      <w:r w:rsidR="00406B75" w:rsidRPr="00FE162C">
        <w:fldChar w:fldCharType="begin"/>
      </w:r>
      <w:r w:rsidR="00CA754F">
        <w:instrText xml:space="preserve"> ADDIN EN.CITE &lt;EndNote&gt;&lt;Cite&gt;&lt;Author&gt;Maddala&lt;/Author&gt;&lt;Year&gt;1987&lt;/Year&gt;&lt;RecNum&gt;1267&lt;/RecNum&gt;&lt;DisplayText&gt;Maddala (1987)&lt;/DisplayText&gt;&lt;record&gt;&lt;rec-number&gt;1267&lt;/rec-number&gt;&lt;foreign-keys&gt;&lt;key app="EN" db-id="refafpv0nd2rd4e9e2qxeaf6rw5xxvv2ds22" timestamp="1372722781"&gt;1267&lt;/key&gt;&lt;/foreign-keys&gt;&lt;ref-type name="Journal Article"&gt;17&lt;/ref-type&gt;&lt;contributors&gt;&lt;authors&gt;&lt;author&gt;Maddala, G. S.&lt;/author&gt;&lt;/authors&gt;&lt;/contributors&gt;&lt;titles&gt;&lt;title&gt;Limited Dependent Variable Models Using Panel Data&lt;/title&gt;&lt;secondary-title&gt;The Journal of Human Resources&lt;/secondary-title&gt;&lt;/titles&gt;&lt;periodical&gt;&lt;full-title&gt;The Journal of Human Resources&lt;/full-title&gt;&lt;/periodical&gt;&lt;pages&gt;307-338&lt;/pages&gt;&lt;volume&gt;22&lt;/volume&gt;&lt;number&gt;3&lt;/number&gt;&lt;dates&gt;&lt;year&gt;1987&lt;/year&gt;&lt;/dates&gt;&lt;publisher&gt;University of Wisconsin Press&lt;/publisher&gt;&lt;isbn&gt;0022166X&lt;/isbn&gt;&lt;urls&gt;&lt;related-urls&gt;&lt;url&gt;http://www.jstor.org/stable/145742&lt;/url&gt;&lt;/related-urls&gt;&lt;/urls&gt;&lt;electronic-resource-num&gt;10.2307/145742&lt;/electronic-resource-num&gt;&lt;/record&gt;&lt;/Cite&gt;&lt;/EndNote&gt;</w:instrText>
      </w:r>
      <w:r w:rsidR="00406B75" w:rsidRPr="00FE162C">
        <w:fldChar w:fldCharType="separate"/>
      </w:r>
      <w:hyperlink w:anchor="_ENREF_44" w:tooltip="Maddala, 1987 #1267" w:history="1">
        <w:r w:rsidR="002A43BA">
          <w:rPr>
            <w:noProof/>
          </w:rPr>
          <w:t xml:space="preserve">Maddala </w:t>
        </w:r>
        <w:r w:rsidR="00CA754F">
          <w:rPr>
            <w:noProof/>
          </w:rPr>
          <w:t>1987</w:t>
        </w:r>
      </w:hyperlink>
      <w:r w:rsidR="00CA754F">
        <w:rPr>
          <w:noProof/>
        </w:rPr>
        <w:t>)</w:t>
      </w:r>
      <w:r w:rsidR="00406B75" w:rsidRPr="00FE162C">
        <w:fldChar w:fldCharType="end"/>
      </w:r>
      <w:r w:rsidR="00486DCE" w:rsidRPr="00FE162C">
        <w:t>.</w:t>
      </w:r>
      <w:r w:rsidR="00486DCE" w:rsidRPr="00FE162C">
        <w:rPr>
          <w:rStyle w:val="FootnoteReference"/>
          <w:color w:val="000000" w:themeColor="text1"/>
        </w:rPr>
        <w:footnoteReference w:id="11"/>
      </w:r>
      <w:r w:rsidR="00486DCE" w:rsidRPr="00FE162C">
        <w:t xml:space="preserve"> </w:t>
      </w:r>
      <w:r w:rsidR="00735CBB" w:rsidRPr="00FE162C">
        <w:t>The dependent variable</w:t>
      </w:r>
      <w:r w:rsidRPr="00FE162C">
        <w:t xml:space="preserve"> in this model</w:t>
      </w:r>
      <w:r w:rsidR="00735CBB" w:rsidRPr="00FE162C">
        <w:t xml:space="preserve"> takes the value 1 if the individual indicated they were</w:t>
      </w:r>
      <w:r w:rsidRPr="00FE162C">
        <w:t xml:space="preserve"> willing to accept a job offer and</w:t>
      </w:r>
      <w:r w:rsidR="00735CBB" w:rsidRPr="00FE162C">
        <w:t xml:space="preserve"> it takes the value</w:t>
      </w:r>
      <w:r w:rsidR="00B43CFB" w:rsidRPr="00FE162C">
        <w:t xml:space="preserve"> 0 otherwise. The explanatory variables</w:t>
      </w:r>
      <w:r w:rsidR="00735CBB" w:rsidRPr="00FE162C">
        <w:t xml:space="preserve"> and their associated ma</w:t>
      </w:r>
      <w:r w:rsidR="00987C8D">
        <w:t xml:space="preserve">rginal effects are </w:t>
      </w:r>
      <w:r w:rsidR="00987C8D" w:rsidRPr="005F73E6">
        <w:t>included in t</w:t>
      </w:r>
      <w:r w:rsidR="00735CBB" w:rsidRPr="005F73E6">
        <w:t>able 3.</w:t>
      </w:r>
    </w:p>
    <w:p w:rsidR="00C80DAE" w:rsidRPr="00FE162C" w:rsidRDefault="002A43BA" w:rsidP="005F73E6">
      <w:pPr>
        <w:pStyle w:val="Text"/>
      </w:pPr>
      <w:r w:rsidRPr="005F73E6">
        <w:t>The results show</w:t>
      </w:r>
      <w:r w:rsidR="00C80DAE" w:rsidRPr="005F73E6">
        <w:t xml:space="preserve"> n</w:t>
      </w:r>
      <w:r w:rsidR="0034146A" w:rsidRPr="005F73E6">
        <w:t xml:space="preserve">o significant difference </w:t>
      </w:r>
      <w:r w:rsidR="00734696" w:rsidRPr="005F73E6">
        <w:t>between</w:t>
      </w:r>
      <w:r w:rsidR="0034146A" w:rsidRPr="005F73E6">
        <w:t xml:space="preserve"> willingness to move </w:t>
      </w:r>
      <w:r w:rsidR="00734696" w:rsidRPr="00FE162C">
        <w:t>for jobs in</w:t>
      </w:r>
      <w:r w:rsidR="0034146A" w:rsidRPr="00FE162C">
        <w:t xml:space="preserve"> Karratha </w:t>
      </w:r>
      <w:r w:rsidR="00734696" w:rsidRPr="00FE162C">
        <w:t>and Emerald after controlling for</w:t>
      </w:r>
      <w:r w:rsidR="009A6BC8" w:rsidRPr="00FE162C">
        <w:t xml:space="preserve"> the</w:t>
      </w:r>
      <w:r w:rsidR="00734696" w:rsidRPr="00FE162C">
        <w:t xml:space="preserve"> factors</w:t>
      </w:r>
      <w:r w:rsidR="009A6BC8" w:rsidRPr="00FE162C">
        <w:t xml:space="preserve"> mentioned above</w:t>
      </w:r>
      <w:r w:rsidR="00C80DAE" w:rsidRPr="00FE162C">
        <w:t xml:space="preserve">. </w:t>
      </w:r>
      <w:r w:rsidR="00B7757D" w:rsidRPr="00FE162C">
        <w:t xml:space="preserve">In </w:t>
      </w:r>
      <w:r w:rsidR="00010922" w:rsidRPr="00FE162C">
        <w:t xml:space="preserve">a </w:t>
      </w:r>
      <w:r w:rsidR="00B7757D" w:rsidRPr="00FE162C">
        <w:t>way this result is not surprising</w:t>
      </w:r>
      <w:r w:rsidR="00987C8D">
        <w:t>,</w:t>
      </w:r>
      <w:r w:rsidR="00A40A44">
        <w:t xml:space="preserve"> as any</w:t>
      </w:r>
      <w:r w:rsidR="00614F81">
        <w:t xml:space="preserve"> </w:t>
      </w:r>
      <w:r w:rsidR="00A40A44">
        <w:t>relocation is</w:t>
      </w:r>
      <w:r w:rsidR="00614F81">
        <w:t xml:space="preserve"> equally </w:t>
      </w:r>
      <w:r w:rsidR="00602830">
        <w:t>‘</w:t>
      </w:r>
      <w:r w:rsidR="00614F81">
        <w:t>far away</w:t>
      </w:r>
      <w:r w:rsidR="00602830">
        <w:t>’</w:t>
      </w:r>
      <w:r w:rsidR="00614F81">
        <w:t xml:space="preserve"> </w:t>
      </w:r>
      <w:r w:rsidR="00A40A44">
        <w:t>as any other</w:t>
      </w:r>
      <w:r w:rsidR="00614F81">
        <w:t xml:space="preserve">, and distance is probably conceived in flying time in the </w:t>
      </w:r>
      <w:r w:rsidR="00614F81">
        <w:lastRenderedPageBreak/>
        <w:t>decision-making process</w:t>
      </w:r>
      <w:r>
        <w:t>.</w:t>
      </w:r>
      <w:r w:rsidR="00614F81">
        <w:t xml:space="preserve"> </w:t>
      </w:r>
      <w:r w:rsidR="00532C80" w:rsidRPr="00FE162C">
        <w:t>Also, there is no significant difference in the wil</w:t>
      </w:r>
      <w:r w:rsidR="00A40A44">
        <w:t xml:space="preserve">lingness to accept a job if the person is </w:t>
      </w:r>
      <w:r w:rsidR="007D6FDA">
        <w:t xml:space="preserve">a </w:t>
      </w:r>
      <w:r w:rsidR="00A40A44">
        <w:t>resident of South Australia or</w:t>
      </w:r>
      <w:r w:rsidR="00532C80" w:rsidRPr="00FE162C">
        <w:t xml:space="preserve"> New South Wales.</w:t>
      </w:r>
    </w:p>
    <w:p w:rsidR="00AA3D16" w:rsidRPr="00FE162C" w:rsidRDefault="00A40A44" w:rsidP="005F73E6">
      <w:pPr>
        <w:pStyle w:val="Text"/>
      </w:pPr>
      <w:r>
        <w:t>Our results on the e</w:t>
      </w:r>
      <w:r w:rsidR="00010922" w:rsidRPr="00FE162C">
        <w:t>ffects of individual characteristics</w:t>
      </w:r>
      <w:r w:rsidR="00653DCE" w:rsidRPr="00FE162C">
        <w:t xml:space="preserve"> on wil</w:t>
      </w:r>
      <w:r>
        <w:t>lingness to move largely confirm</w:t>
      </w:r>
      <w:r w:rsidR="00653DCE" w:rsidRPr="00FE162C">
        <w:t xml:space="preserve"> what </w:t>
      </w:r>
      <w:r w:rsidR="00010922" w:rsidRPr="00FE162C">
        <w:t>has</w:t>
      </w:r>
      <w:r w:rsidR="00653DCE" w:rsidRPr="00FE162C">
        <w:t xml:space="preserve"> </w:t>
      </w:r>
      <w:r w:rsidR="00010922" w:rsidRPr="00FE162C">
        <w:t>already been reported</w:t>
      </w:r>
      <w:r w:rsidR="00653DCE" w:rsidRPr="00FE162C">
        <w:t xml:space="preserve"> in the literature on labour mobility</w:t>
      </w:r>
      <w:r w:rsidR="001D7935" w:rsidRPr="00FE162C">
        <w:t xml:space="preserve"> (</w:t>
      </w:r>
      <w:r w:rsidR="00406B75" w:rsidRPr="00FE162C">
        <w:fldChar w:fldCharType="begin"/>
      </w:r>
      <w:r w:rsidR="00CA754F">
        <w:instrText xml:space="preserve"> ADDIN EN.CITE &lt;EndNote&gt;&lt;Cite&gt;&lt;Author&gt;Huber&lt;/Author&gt;&lt;Year&gt;2004&lt;/Year&gt;&lt;RecNum&gt;1323&lt;/RecNum&gt;&lt;DisplayText&gt;Huber (2004)&lt;/DisplayText&gt;&lt;record&gt;&lt;rec-number&gt;1323&lt;/rec-number&gt;&lt;foreign-keys&gt;&lt;key app="EN" db-id="refafpv0nd2rd4e9e2qxeaf6rw5xxvv2ds22" timestamp="1380337941"&gt;1323&lt;/key&gt;&lt;/foreign-keys&gt;&lt;ref-type name="Journal Article"&gt;17&lt;/ref-type&gt;&lt;contributors&gt;&lt;authors&gt;&lt;author&gt;Huber, P&lt;/author&gt;&lt;/authors&gt;&lt;/contributors&gt;&lt;titles&gt;&lt;title&gt;Inter-regional mobility in Europe: a note on the cross-country evidence&lt;/title&gt;&lt;secondary-title&gt;Applied Economics Letters&lt;/secondary-title&gt;&lt;tertiary-title&gt;Applied Economics Letters&lt;/tertiary-title&gt;&lt;/titles&gt;&lt;periodical&gt;&lt;full-title&gt;Applied Economics Letters&lt;/full-title&gt;&lt;/periodical&gt;&lt;pages&gt;619-624&lt;/pages&gt;&lt;volume&gt;11&lt;/volume&gt;&lt;number&gt;10&lt;/number&gt;&lt;dates&gt;&lt;year&gt;2004&lt;/year&gt;&lt;/dates&gt;&lt;publisher&gt;Taylor and Francis Journals&lt;/publisher&gt;&lt;urls&gt;&lt;related-urls&gt;&lt;url&gt;http://ideas.repec.org/a/taf/apeclt/v11y2004i10p619-624.html&lt;/url&gt;&lt;/related-urls&gt;&lt;/urls&gt;&lt;/record&gt;&lt;/Cite&gt;&lt;/EndNote&gt;</w:instrText>
      </w:r>
      <w:r w:rsidR="00406B75" w:rsidRPr="00FE162C">
        <w:fldChar w:fldCharType="separate"/>
      </w:r>
      <w:hyperlink w:anchor="_ENREF_30" w:tooltip="Huber, 2004 #1323" w:history="1">
        <w:r>
          <w:rPr>
            <w:noProof/>
          </w:rPr>
          <w:t xml:space="preserve">Huber </w:t>
        </w:r>
        <w:r w:rsidR="00CA754F" w:rsidRPr="00FE162C">
          <w:rPr>
            <w:noProof/>
          </w:rPr>
          <w:t>2004</w:t>
        </w:r>
      </w:hyperlink>
      <w:r w:rsidR="00406B75" w:rsidRPr="00FE162C">
        <w:fldChar w:fldCharType="end"/>
      </w:r>
      <w:r w:rsidR="00741210" w:rsidRPr="00FE162C">
        <w:t xml:space="preserve">; </w:t>
      </w:r>
      <w:r w:rsidR="00406B75" w:rsidRPr="00FE162C">
        <w:fldChar w:fldCharType="begin"/>
      </w:r>
      <w:r w:rsidR="00CA754F">
        <w:instrText xml:space="preserve"> ADDIN EN.CITE &lt;EndNote&gt;&lt;Cite&gt;&lt;Author&gt;Bover&lt;/Author&gt;&lt;Year&gt;2002&lt;/Year&gt;&lt;RecNum&gt;1318&lt;/RecNum&gt;&lt;DisplayText&gt;Bover and Arellano (2002)&lt;/DisplayText&gt;&lt;record&gt;&lt;rec-number&gt;1318&lt;/rec-number&gt;&lt;foreign-keys&gt;&lt;key app="EN" db-id="refafpv0nd2rd4e9e2qxeaf6rw5xxvv2ds22" timestamp="1380195873"&gt;1318&lt;/key&gt;&lt;/foreign-keys&gt;&lt;ref-type name="Journal Article"&gt;17&lt;/ref-type&gt;&lt;contributors&gt;&lt;authors&gt;&lt;author&gt;Bover, Olympia&lt;/author&gt;&lt;author&gt;Arellano, Manuel&lt;/author&gt;&lt;/authors&gt;&lt;/contributors&gt;&lt;titles&gt;&lt;title&gt;Learning about migration decisions from the migrants: Using complementary datasets to model intra-regional migrations in Spain&lt;/title&gt;&lt;secondary-title&gt;Journal of Population Economics&lt;/secondary-title&gt;&lt;/titles&gt;&lt;periodical&gt;&lt;full-title&gt;Journal of Population Economics&lt;/full-title&gt;&lt;/periodical&gt;&lt;pages&gt;357-380&lt;/pages&gt;&lt;volume&gt;15&lt;/volume&gt;&lt;number&gt;2&lt;/number&gt;&lt;keywords&gt;&lt;keyword&gt;Intra-regional migration · endogenous sampling · employment in services&lt;/keyword&gt;&lt;/keywords&gt;&lt;dates&gt;&lt;year&gt;2002&lt;/year&gt;&lt;/dates&gt;&lt;urls&gt;&lt;related-urls&gt;&lt;url&gt;http://EconPapers.repec.org/RePEc:spr:jopoec:v:15:y:2002:i:2:p:357-380&lt;/url&gt;&lt;/related-urls&gt;&lt;/urls&gt;&lt;/record&gt;&lt;/Cite&gt;&lt;/EndNote&gt;</w:instrText>
      </w:r>
      <w:r w:rsidR="00406B75" w:rsidRPr="00FE162C">
        <w:fldChar w:fldCharType="separate"/>
      </w:r>
      <w:hyperlink w:anchor="_ENREF_12" w:tooltip="Bover, 2002 #1318" w:history="1">
        <w:r>
          <w:rPr>
            <w:noProof/>
          </w:rPr>
          <w:t xml:space="preserve">Bover </w:t>
        </w:r>
        <w:r w:rsidR="00987C8D">
          <w:rPr>
            <w:noProof/>
          </w:rPr>
          <w:t>&amp;</w:t>
        </w:r>
        <w:r>
          <w:rPr>
            <w:noProof/>
          </w:rPr>
          <w:t xml:space="preserve"> Arellano </w:t>
        </w:r>
        <w:r w:rsidR="00CA754F" w:rsidRPr="00FE162C">
          <w:rPr>
            <w:noProof/>
          </w:rPr>
          <w:t>2002</w:t>
        </w:r>
      </w:hyperlink>
      <w:r w:rsidR="00406B75" w:rsidRPr="00FE162C">
        <w:fldChar w:fldCharType="end"/>
      </w:r>
      <w:r w:rsidR="00741210" w:rsidRPr="00FE162C">
        <w:t xml:space="preserve">; </w:t>
      </w:r>
      <w:r w:rsidR="00406B75" w:rsidRPr="00FE162C">
        <w:fldChar w:fldCharType="begin"/>
      </w:r>
      <w:r w:rsidR="00CA754F">
        <w:instrText xml:space="preserve"> ADDIN EN.CITE &lt;EndNote&gt;&lt;Cite&gt;&lt;Author&gt;Tatsiramos&lt;/Author&gt;&lt;Year&gt;2009&lt;/Year&gt;&lt;RecNum&gt;1317&lt;/RecNum&gt;&lt;DisplayText&gt;Tatsiramos (2009)&lt;/DisplayText&gt;&lt;record&gt;&lt;rec-number&gt;1317&lt;/rec-number&gt;&lt;foreign-keys&gt;&lt;key app="EN" db-id="refafpv0nd2rd4e9e2qxeaf6rw5xxvv2ds22" timestamp="1380194809"&gt;1317&lt;/key&gt;&lt;/foreign-keys&gt;&lt;ref-type name="Journal Article"&gt;17&lt;/ref-type&gt;&lt;contributors&gt;&lt;authors&gt;&lt;author&gt;Tatsiramos, K&lt;/author&gt;&lt;/authors&gt;&lt;/contributors&gt;&lt;titles&gt;&lt;title&gt;Geographic labour mobility and unemployment insurance in Europe&lt;/title&gt;&lt;secondary-title&gt;Journal of Population Economics&lt;/secondary-title&gt;&lt;/titles&gt;&lt;periodical&gt;&lt;full-title&gt;Journal of Population Economics&lt;/full-title&gt;&lt;/periodical&gt;&lt;pages&gt;267-283&lt;/pages&gt;&lt;volume&gt;22&lt;/volume&gt;&lt;number&gt;2&lt;/number&gt;&lt;keywords&gt;&lt;keyword&gt;Mobility&lt;/keyword&gt;&lt;keyword&gt;Unemployment insurance&lt;/keyword&gt;&lt;keyword&gt;J61&lt;/keyword&gt;&lt;keyword&gt;C23&lt;/keyword&gt;&lt;keyword&gt;C25&lt;/keyword&gt;&lt;/keywords&gt;&lt;dates&gt;&lt;year&gt;2009&lt;/year&gt;&lt;/dates&gt;&lt;urls&gt;&lt;related-urls&gt;&lt;url&gt;http://EconPapers.repec.org/RePEc:spr:jopoec:v:22:y:2009:i:2:p:267-283&lt;/url&gt;&lt;/related-urls&gt;&lt;/urls&gt;&lt;/record&gt;&lt;/Cite&gt;&lt;/EndNote&gt;</w:instrText>
      </w:r>
      <w:r w:rsidR="00406B75" w:rsidRPr="00FE162C">
        <w:fldChar w:fldCharType="separate"/>
      </w:r>
      <w:hyperlink w:anchor="_ENREF_63" w:tooltip="Tatsiramos, 2009 #1317" w:history="1">
        <w:r>
          <w:rPr>
            <w:noProof/>
          </w:rPr>
          <w:t xml:space="preserve">Tatsiramos </w:t>
        </w:r>
        <w:r w:rsidR="00CA754F" w:rsidRPr="00FE162C">
          <w:rPr>
            <w:noProof/>
          </w:rPr>
          <w:t>2009</w:t>
        </w:r>
      </w:hyperlink>
      <w:r w:rsidR="00406B75" w:rsidRPr="00FE162C">
        <w:fldChar w:fldCharType="end"/>
      </w:r>
      <w:r w:rsidR="00173E64" w:rsidRPr="00FE162C">
        <w:t xml:space="preserve">; </w:t>
      </w:r>
      <w:r w:rsidR="00406B75" w:rsidRPr="00FE162C">
        <w:fldChar w:fldCharType="begin"/>
      </w:r>
      <w:r w:rsidR="00CA754F">
        <w:instrText xml:space="preserve"> ADDIN EN.CITE &lt;EndNote&gt;&lt;Cite&gt;&lt;Author&gt;Drinkwater&lt;/Author&gt;&lt;Year&gt;2009&lt;/Year&gt;&lt;RecNum&gt;1313&lt;/RecNum&gt;&lt;DisplayText&gt;Drinkwater and Ingram (2009)&lt;/DisplayText&gt;&lt;record&gt;&lt;rec-number&gt;1313&lt;/rec-number&gt;&lt;foreign-keys&gt;&lt;key app="EN" db-id="refafpv0nd2rd4e9e2qxeaf6rw5xxvv2ds22" timestamp="1380192727"&gt;1313&lt;/key&gt;&lt;/foreign-keys&gt;&lt;ref-type name="Journal Article"&gt;17&lt;/ref-type&gt;&lt;contributors&gt;&lt;authors&gt;&lt;author&gt;Drinkwater, S&lt;/author&gt;&lt;author&gt;Ingram, P&lt;/author&gt;&lt;/authors&gt;&lt;/contributors&gt;&lt;titles&gt;&lt;title&gt;How Different are the British in their Willingness to Move? Evidence from International Social Survey Data&lt;/title&gt;&lt;secondary-title&gt;Regional Studies&lt;/secondary-title&gt;&lt;/titles&gt;&lt;periodical&gt;&lt;full-title&gt;Regional Studies&lt;/full-title&gt;&lt;/periodical&gt;&lt;pages&gt;287-303&lt;/pages&gt;&lt;volume&gt;43&lt;/volume&gt;&lt;number&gt;2&lt;/number&gt;&lt;keywords&gt;&lt;keyword&gt;Great Britain&lt;/keyword&gt;&lt;keyword&gt;Willingness to move&lt;/keyword&gt;&lt;keyword&gt;International differences&lt;/keyword&gt;&lt;keyword&gt;Microdata&lt;/keyword&gt;&lt;/keywords&gt;&lt;dates&gt;&lt;year&gt;2009&lt;/year&gt;&lt;/dates&gt;&lt;urls&gt;&lt;related-urls&gt;&lt;url&gt;http://EconPapers.repec.org/RePEc:taf:regstd:v:43:y:2009:i:2:p:287-303&lt;/url&gt;&lt;/related-urls&gt;&lt;/urls&gt;&lt;/record&gt;&lt;/Cite&gt;&lt;/EndNote&gt;</w:instrText>
      </w:r>
      <w:r w:rsidR="00406B75" w:rsidRPr="00FE162C">
        <w:fldChar w:fldCharType="separate"/>
      </w:r>
      <w:hyperlink w:anchor="_ENREF_17" w:tooltip="Drinkwater, 2009 #1313" w:history="1">
        <w:r>
          <w:rPr>
            <w:noProof/>
          </w:rPr>
          <w:t xml:space="preserve">Drinkwater </w:t>
        </w:r>
        <w:r w:rsidR="00987C8D">
          <w:rPr>
            <w:noProof/>
          </w:rPr>
          <w:t>&amp;</w:t>
        </w:r>
        <w:r>
          <w:rPr>
            <w:noProof/>
          </w:rPr>
          <w:t xml:space="preserve"> Ingram </w:t>
        </w:r>
        <w:r w:rsidR="00CA754F" w:rsidRPr="00FE162C">
          <w:rPr>
            <w:noProof/>
          </w:rPr>
          <w:t>2009</w:t>
        </w:r>
      </w:hyperlink>
      <w:r w:rsidR="00406B75" w:rsidRPr="00FE162C">
        <w:fldChar w:fldCharType="end"/>
      </w:r>
      <w:r w:rsidR="00173E64" w:rsidRPr="00FE162C">
        <w:t xml:space="preserve">; </w:t>
      </w:r>
      <w:r w:rsidR="00406B75" w:rsidRPr="00FE162C">
        <w:fldChar w:fldCharType="begin"/>
      </w:r>
      <w:r w:rsidR="00CA754F">
        <w:instrText xml:space="preserve"> ADDIN EN.CITE &lt;EndNote&gt;&lt;Cite&gt;&lt;Author&gt;Böheim&lt;/Author&gt;&lt;Year&gt;2002&lt;/Year&gt;&lt;RecNum&gt;1324&lt;/RecNum&gt;&lt;DisplayText&gt;Böheim and Taylor (2002)&lt;/DisplayText&gt;&lt;record&gt;&lt;rec-number&gt;1324&lt;/rec-number&gt;&lt;foreign-keys&gt;&lt;key app="EN" db-id="refafpv0nd2rd4e9e2qxeaf6rw5xxvv2ds22" timestamp="1380459806"&gt;1324&lt;/key&gt;&lt;/foreign-keys&gt;&lt;ref-type name="Journal Article"&gt;17&lt;/ref-type&gt;&lt;contributors&gt;&lt;authors&gt;&lt;author&gt;Böheim, René&lt;/author&gt;&lt;author&gt;Taylor, Mark&lt;/author&gt;&lt;/authors&gt;&lt;/contributors&gt;&lt;titles&gt;&lt;title&gt;Tied Down Or Room To Move? Investigating The Relationships Between Housing Tenure, Employment Status And Residential Mobility In Britain&lt;/title&gt;&lt;secondary-title&gt;Scottish Journal of Political Economy&lt;/secondary-title&gt;&lt;/titles&gt;&lt;periodical&gt;&lt;full-title&gt;Scottish Journal of Political Economy&lt;/full-title&gt;&lt;/periodical&gt;&lt;pages&gt;369-392&lt;/pages&gt;&lt;volume&gt;49&lt;/volume&gt;&lt;number&gt;4&lt;/number&gt;&lt;dates&gt;&lt;year&gt;2002&lt;/year&gt;&lt;/dates&gt;&lt;publisher&gt;Blackwell Publishers Ltd&lt;/publisher&gt;&lt;isbn&gt;1467-9485&lt;/isbn&gt;&lt;urls&gt;&lt;related-urls&gt;&lt;url&gt;http://dx.doi.org/10.1111/1467-9485.00237&lt;/url&gt;&lt;/related-urls&gt;&lt;/urls&gt;&lt;electronic-resource-num&gt;10.1111/1467-9485.00237&lt;/electronic-resource-num&gt;&lt;/record&gt;&lt;/Cite&gt;&lt;/EndNote&gt;</w:instrText>
      </w:r>
      <w:r w:rsidR="00406B75" w:rsidRPr="00FE162C">
        <w:fldChar w:fldCharType="separate"/>
      </w:r>
      <w:hyperlink w:anchor="_ENREF_10" w:tooltip="Böheim, 2002 #1324" w:history="1">
        <w:r>
          <w:rPr>
            <w:noProof/>
          </w:rPr>
          <w:t xml:space="preserve">Böheim </w:t>
        </w:r>
        <w:r w:rsidR="00987C8D">
          <w:rPr>
            <w:noProof/>
          </w:rPr>
          <w:t>&amp;</w:t>
        </w:r>
        <w:r>
          <w:rPr>
            <w:noProof/>
          </w:rPr>
          <w:t xml:space="preserve"> Taylor </w:t>
        </w:r>
        <w:r w:rsidR="00CA754F" w:rsidRPr="00FE162C">
          <w:rPr>
            <w:noProof/>
          </w:rPr>
          <w:t>2002</w:t>
        </w:r>
      </w:hyperlink>
      <w:r w:rsidR="00406B75" w:rsidRPr="00FE162C">
        <w:fldChar w:fldCharType="end"/>
      </w:r>
      <w:r w:rsidR="00173E64" w:rsidRPr="00FE162C">
        <w:t xml:space="preserve">; </w:t>
      </w:r>
      <w:r w:rsidR="00406B75" w:rsidRPr="00FE162C">
        <w:fldChar w:fldCharType="begin"/>
      </w:r>
      <w:r w:rsidR="00CA754F">
        <w:instrText xml:space="preserve"> ADDIN EN.CITE &lt;EndNote&gt;&lt;Cite&gt;&lt;Author&gt;Bonin&lt;/Author&gt;&lt;Year&gt;2008&lt;/Year&gt;&lt;RecNum&gt;1252&lt;/RecNum&gt;&lt;DisplayText&gt;Bonin et al. (2008)&lt;/DisplayText&gt;&lt;record&gt;&lt;rec-number&gt;1252&lt;/rec-number&gt;&lt;foreign-keys&gt;&lt;key app="EN" db-id="refafpv0nd2rd4e9e2qxeaf6rw5xxvv2ds22" timestamp="1371774892"&gt;1252&lt;/key&gt;&lt;/foreign-keys&gt;&lt;ref-type name="Report"&gt;27&lt;/ref-type&gt;&lt;contributors&gt;&lt;authors&gt;&lt;author&gt;Bonin, H&lt;/author&gt;&lt;author&gt;Eichhorst, W&lt;/author&gt;&lt;author&gt;Florman, C&lt;/author&gt;&lt;author&gt;Okkels Hansen, M&lt;/author&gt;&lt;author&gt;Skiöld, L&lt;/author&gt;&lt;author&gt;Stuhler, J&lt;/author&gt;&lt;author&gt;Tatsiramos, K&lt;/author&gt;&lt;author&gt;Thomasen, H&lt;/author&gt;&lt;author&gt;Zimmermann, K&lt;/author&gt;&lt;/authors&gt;&lt;/contributors&gt;&lt;titles&gt;&lt;title&gt;Geographic mobility in the European Union: Optimising its economic and social benefits&lt;/title&gt;&lt;/titles&gt;&lt;dates&gt;&lt;year&gt;2008&lt;/year&gt;&lt;/dates&gt;&lt;pub-location&gt;Bonn&lt;/pub-location&gt;&lt;isbn&gt;IZA Research Report No. 19&lt;/isbn&gt;&lt;urls&gt;&lt;related-urls&gt;&lt;url&gt;http://www.iza.org/en/webcontent/publications/reports/report_pdfs/iza_report_19.pdf&lt;/url&gt;&lt;/related-urls&gt;&lt;/urls&gt;&lt;access-date&gt;21 June 2013&lt;/access-date&gt;&lt;/record&gt;&lt;/Cite&gt;&lt;/EndNote&gt;</w:instrText>
      </w:r>
      <w:r w:rsidR="00406B75" w:rsidRPr="00FE162C">
        <w:fldChar w:fldCharType="separate"/>
      </w:r>
      <w:hyperlink w:anchor="_ENREF_11" w:tooltip="Bonin, 2008 #1252" w:history="1">
        <w:r>
          <w:rPr>
            <w:noProof/>
          </w:rPr>
          <w:t xml:space="preserve">Bonin et al. </w:t>
        </w:r>
        <w:r w:rsidR="00CA754F" w:rsidRPr="00FE162C">
          <w:rPr>
            <w:noProof/>
          </w:rPr>
          <w:t>2008</w:t>
        </w:r>
      </w:hyperlink>
      <w:r w:rsidR="00406B75" w:rsidRPr="00FE162C">
        <w:fldChar w:fldCharType="end"/>
      </w:r>
      <w:r w:rsidR="00A45A45" w:rsidRPr="00FE162C">
        <w:t xml:space="preserve">; </w:t>
      </w:r>
      <w:r w:rsidR="00406B75" w:rsidRPr="00FE162C">
        <w:fldChar w:fldCharType="begin"/>
      </w:r>
      <w:r w:rsidR="00CA754F">
        <w:instrText xml:space="preserve"> ADDIN EN.CITE &lt;EndNote&gt;&lt;Cite&gt;&lt;Author&gt;Fidrmuc&lt;/Author&gt;&lt;Year&gt;2007&lt;/Year&gt;&lt;RecNum&gt;941&lt;/RecNum&gt;&lt;DisplayText&gt;Fidrmuc and Huber (2007)&lt;/DisplayText&gt;&lt;record&gt;&lt;rec-number&gt;941&lt;/rec-number&gt;&lt;foreign-keys&gt;&lt;key app="EN" db-id="refafpv0nd2rd4e9e2qxeaf6rw5xxvv2ds22" timestamp="1322656555"&gt;941&lt;/key&gt;&lt;/foreign-keys&gt;&lt;ref-type name="Journal Article"&gt;17&lt;/ref-type&gt;&lt;contributors&gt;&lt;authors&gt;&lt;author&gt;Fidrmuc, J&lt;/author&gt;&lt;author&gt;Huber, P&lt;/author&gt;&lt;/authors&gt;&lt;/contributors&gt;&lt;titles&gt;&lt;title&gt;The willingness to migrate in CEEC: evidence from the Czech Republic&lt;/title&gt;&lt;secondary-title&gt;Empirica&lt;/secondary-title&gt;&lt;/titles&gt;&lt;periodical&gt;&lt;full-title&gt;Empirica&lt;/full-title&gt;&lt;/periodical&gt;&lt;pages&gt;&lt;style face="normal" font="Times New Roman" size="100%"&gt;351-69&lt;/style&gt;&lt;/pages&gt;&lt;volume&gt;34&lt;/volume&gt;&lt;dates&gt;&lt;year&gt;2007&lt;/year&gt;&lt;/dates&gt;&lt;urls&gt;&lt;/urls&gt;&lt;/record&gt;&lt;/Cite&gt;&lt;/EndNote&gt;</w:instrText>
      </w:r>
      <w:r w:rsidR="00406B75" w:rsidRPr="00FE162C">
        <w:fldChar w:fldCharType="separate"/>
      </w:r>
      <w:hyperlink w:anchor="_ENREF_19" w:tooltip="Fidrmuc, 2007 #941" w:history="1">
        <w:r>
          <w:rPr>
            <w:noProof/>
          </w:rPr>
          <w:t xml:space="preserve">Fidrmuc </w:t>
        </w:r>
        <w:r w:rsidR="00987C8D">
          <w:rPr>
            <w:noProof/>
          </w:rPr>
          <w:t>&amp;</w:t>
        </w:r>
        <w:r>
          <w:rPr>
            <w:noProof/>
          </w:rPr>
          <w:t xml:space="preserve"> Huber </w:t>
        </w:r>
        <w:r w:rsidR="00CA754F" w:rsidRPr="00FE162C">
          <w:rPr>
            <w:noProof/>
          </w:rPr>
          <w:t>2007</w:t>
        </w:r>
      </w:hyperlink>
      <w:r w:rsidR="00406B75" w:rsidRPr="00FE162C">
        <w:fldChar w:fldCharType="end"/>
      </w:r>
      <w:r w:rsidR="00A45A45" w:rsidRPr="00FE162C">
        <w:t xml:space="preserve">; </w:t>
      </w:r>
      <w:r w:rsidR="00406B75" w:rsidRPr="00FE162C">
        <w:fldChar w:fldCharType="begin"/>
      </w:r>
      <w:r w:rsidR="00CA754F">
        <w:instrText xml:space="preserve"> ADDIN EN.CITE &lt;EndNote&gt;&lt;Cite&gt;&lt;Author&gt;Fouarge&lt;/Author&gt;&lt;Year&gt;2007&lt;/Year&gt;&lt;RecNum&gt;1257&lt;/RecNum&gt;&lt;DisplayText&gt;Fouarge and Ester (2007)&lt;/DisplayText&gt;&lt;record&gt;&lt;rec-number&gt;1257&lt;/rec-number&gt;&lt;foreign-keys&gt;&lt;key app="EN" db-id="refafpv0nd2rd4e9e2qxeaf6rw5xxvv2ds22" timestamp="1371789550"&gt;1257&lt;/key&gt;&lt;/foreign-keys&gt;&lt;ref-type name="Report"&gt;27&lt;/ref-type&gt;&lt;contributors&gt;&lt;authors&gt;&lt;author&gt;Fouarge, D&lt;/author&gt;&lt;author&gt;Ester, P&lt;/author&gt;&lt;/authors&gt;&lt;/contributors&gt;&lt;titles&gt;&lt;title&gt;Factors determining international and regional migration in Europe&lt;/title&gt;&lt;/titles&gt;&lt;dates&gt;&lt;year&gt;2007&lt;/year&gt;&lt;/dates&gt;&lt;pub-location&gt;Dublin&lt;/pub-location&gt;&lt;publisher&gt;European Foundation for the Improvement of Living and Working Conditions&lt;/publisher&gt;&lt;urls&gt;&lt;related-urls&gt;&lt;url&gt;http://www.eurofound.europa.eu/pubdocs/2007/09/en/1/ef0709en.pdf&lt;/url&gt;&lt;/related-urls&gt;&lt;/urls&gt;&lt;access-date&gt;21 June 2013&lt;/access-date&gt;&lt;/record&gt;&lt;/Cite&gt;&lt;/EndNote&gt;</w:instrText>
      </w:r>
      <w:r w:rsidR="00406B75" w:rsidRPr="00FE162C">
        <w:fldChar w:fldCharType="separate"/>
      </w:r>
      <w:hyperlink w:anchor="_ENREF_20" w:tooltip="Fouarge, 2007 #1257" w:history="1">
        <w:r>
          <w:rPr>
            <w:noProof/>
          </w:rPr>
          <w:t xml:space="preserve">Fouarge </w:t>
        </w:r>
        <w:r w:rsidR="00987C8D">
          <w:rPr>
            <w:noProof/>
          </w:rPr>
          <w:t>&amp;</w:t>
        </w:r>
        <w:r>
          <w:rPr>
            <w:noProof/>
          </w:rPr>
          <w:t xml:space="preserve"> Ester </w:t>
        </w:r>
        <w:r w:rsidR="00CA754F" w:rsidRPr="00FE162C">
          <w:rPr>
            <w:noProof/>
          </w:rPr>
          <w:t>2007</w:t>
        </w:r>
      </w:hyperlink>
      <w:r w:rsidR="00CE053F" w:rsidRPr="00FE162C">
        <w:rPr>
          <w:noProof/>
        </w:rPr>
        <w:t>)</w:t>
      </w:r>
      <w:r w:rsidR="00406B75" w:rsidRPr="00FE162C">
        <w:fldChar w:fldCharType="end"/>
      </w:r>
      <w:r w:rsidR="00653DCE" w:rsidRPr="00FE162C">
        <w:t>.</w:t>
      </w:r>
    </w:p>
    <w:p w:rsidR="00A818A4" w:rsidRPr="00FE162C" w:rsidRDefault="009E6E63" w:rsidP="005F73E6">
      <w:pPr>
        <w:pStyle w:val="Text"/>
      </w:pPr>
      <w:r w:rsidRPr="00E7696F">
        <w:t>O</w:t>
      </w:r>
      <w:r w:rsidR="00653DCE" w:rsidRPr="00E7696F">
        <w:t>lder people are less willing to move for work</w:t>
      </w:r>
      <w:r w:rsidR="00987C8D">
        <w:t xml:space="preserve"> </w:t>
      </w:r>
      <w:r w:rsidR="00653DCE" w:rsidRPr="00E7696F">
        <w:t>—</w:t>
      </w:r>
      <w:r w:rsidR="00987C8D">
        <w:t xml:space="preserve"> </w:t>
      </w:r>
      <w:r w:rsidR="00ED5164">
        <w:t>for every one-</w:t>
      </w:r>
      <w:r w:rsidR="00653DCE" w:rsidRPr="00E7696F">
        <w:t>year increase in age</w:t>
      </w:r>
      <w:r w:rsidRPr="00E7696F">
        <w:t>,</w:t>
      </w:r>
      <w:r w:rsidR="00653DCE" w:rsidRPr="00E7696F">
        <w:t xml:space="preserve"> the probability of </w:t>
      </w:r>
      <w:r w:rsidR="00A818A4" w:rsidRPr="00E7696F">
        <w:t>accepting a job offer</w:t>
      </w:r>
      <w:r w:rsidR="00987C8D">
        <w:t xml:space="preserve"> drops by 0.4%</w:t>
      </w:r>
      <w:r w:rsidR="00653DCE" w:rsidRPr="00E7696F">
        <w:t xml:space="preserve">. </w:t>
      </w:r>
      <w:r w:rsidR="00010922" w:rsidRPr="00E7696F">
        <w:t>The</w:t>
      </w:r>
      <w:r w:rsidR="003B5EDD" w:rsidRPr="00E7696F">
        <w:t xml:space="preserve"> result </w:t>
      </w:r>
      <w:r w:rsidR="00010922" w:rsidRPr="00E7696F">
        <w:t>is consistent with</w:t>
      </w:r>
      <w:r w:rsidR="003B5EDD" w:rsidRPr="00E7696F">
        <w:t xml:space="preserve"> the </w:t>
      </w:r>
      <w:r w:rsidR="004C62F6">
        <w:t>human capital theory on</w:t>
      </w:r>
      <w:r w:rsidR="00010922" w:rsidRPr="00E7696F">
        <w:t xml:space="preserve"> migration decisions as </w:t>
      </w:r>
      <w:r w:rsidR="003B5EDD" w:rsidRPr="00E7696F">
        <w:t xml:space="preserve">proposed by </w:t>
      </w:r>
      <w:r w:rsidR="00406B75" w:rsidRPr="00E7696F">
        <w:fldChar w:fldCharType="begin"/>
      </w:r>
      <w:r w:rsidR="00CA754F" w:rsidRPr="00E7696F">
        <w:instrText xml:space="preserve"> ADDIN EN.CITE &lt;EndNote&gt;&lt;Cite&gt;&lt;Author&gt;Sjaastad&lt;/Author&gt;&lt;Year&gt;1962&lt;/Year&gt;&lt;RecNum&gt;1336&lt;/RecNum&gt;&lt;DisplayText&gt;Sjaastad (1962)&lt;/DisplayText&gt;&lt;record&gt;&lt;rec-number&gt;1336&lt;/rec-number&gt;&lt;foreign-keys&gt;&lt;key app="EN" db-id="refafpv0nd2rd4e9e2qxeaf6rw5xxvv2ds22" timestamp="1380752643"&gt;1336&lt;/key&gt;&lt;/foreign-keys&gt;&lt;ref-type name="Journal Article"&gt;17&lt;/ref-type&gt;&lt;contributors&gt;&lt;authors&gt;&lt;author&gt;Sjaastad, L&lt;/author&gt;&lt;/authors&gt;&lt;/contributors&gt;&lt;titles&gt;&lt;title&gt;The costs and returns of human migration&lt;/title&gt;&lt;secondary-title&gt;Journal of Political Economy&lt;/secondary-title&gt;&lt;/titles&gt;&lt;periodical&gt;&lt;full-title&gt;Journal of Political Economy&lt;/full-title&gt;&lt;/periodical&gt;&lt;pages&gt;80-93&lt;/pages&gt;&lt;volume&gt;70&lt;/volume&gt;&lt;number&gt;5&lt;/number&gt;&lt;dates&gt;&lt;year&gt;1962&lt;/year&gt;&lt;/dates&gt;&lt;publisher&gt;The University of Chicago Press&lt;/publisher&gt;&lt;isbn&gt;00223808&lt;/isbn&gt;&lt;urls&gt;&lt;related-urls&gt;&lt;url&gt;http://www.jstor.org/stable/1829105&lt;/url&gt;&lt;/related-urls&gt;&lt;/urls&gt;&lt;electronic-resource-num&gt;10.2307/1829105&lt;/electronic-resource-num&gt;&lt;/record&gt;&lt;/Cite&gt;&lt;/EndNote&gt;</w:instrText>
      </w:r>
      <w:r w:rsidR="00406B75" w:rsidRPr="00E7696F">
        <w:fldChar w:fldCharType="separate"/>
      </w:r>
      <w:hyperlink w:anchor="_ENREF_60" w:tooltip="Sjaastad, 1962 #1336" w:history="1">
        <w:r w:rsidR="00CA754F" w:rsidRPr="00E7696F">
          <w:rPr>
            <w:noProof/>
          </w:rPr>
          <w:t>Sjaastad (1962</w:t>
        </w:r>
      </w:hyperlink>
      <w:r w:rsidR="00CE053F" w:rsidRPr="00E7696F">
        <w:rPr>
          <w:noProof/>
        </w:rPr>
        <w:t>)</w:t>
      </w:r>
      <w:r w:rsidR="00406B75" w:rsidRPr="00E7696F">
        <w:fldChar w:fldCharType="end"/>
      </w:r>
      <w:r w:rsidR="004C62F6">
        <w:t xml:space="preserve">, which views </w:t>
      </w:r>
      <w:r w:rsidR="004C62F6" w:rsidRPr="005F73E6">
        <w:t>migration</w:t>
      </w:r>
      <w:r w:rsidR="0007667B" w:rsidRPr="00E7696F">
        <w:t xml:space="preserve"> </w:t>
      </w:r>
      <w:r w:rsidR="00CB49F1" w:rsidRPr="00E7696F">
        <w:t>as an investment in which costs are borne initial</w:t>
      </w:r>
      <w:r w:rsidR="0007667B" w:rsidRPr="00E7696F">
        <w:t>ly</w:t>
      </w:r>
      <w:r w:rsidR="00CB49F1" w:rsidRPr="00E7696F">
        <w:t xml:space="preserve"> and returns accrue over time</w:t>
      </w:r>
      <w:r w:rsidR="008466A2" w:rsidRPr="00E7696F">
        <w:t>. In this respect, the</w:t>
      </w:r>
      <w:r w:rsidR="0007667B" w:rsidRPr="00E7696F">
        <w:t xml:space="preserve"> time</w:t>
      </w:r>
      <w:r w:rsidR="00CB49F1" w:rsidRPr="00E7696F">
        <w:t xml:space="preserve"> available to accrue the benefits </w:t>
      </w:r>
      <w:r w:rsidR="0007667B" w:rsidRPr="00E7696F">
        <w:t>diminish</w:t>
      </w:r>
      <w:r w:rsidR="00817616">
        <w:t>es</w:t>
      </w:r>
      <w:r w:rsidR="0007667B" w:rsidRPr="00E7696F">
        <w:t xml:space="preserve"> with age and consequently so do the rates of return</w:t>
      </w:r>
      <w:r w:rsidR="00CB49F1" w:rsidRPr="00E7696F">
        <w:t xml:space="preserve">. </w:t>
      </w:r>
      <w:r w:rsidR="008466A2" w:rsidRPr="00E7696F">
        <w:t xml:space="preserve">The non-pecuniary costs </w:t>
      </w:r>
      <w:r w:rsidR="00010922" w:rsidRPr="00E7696F">
        <w:t xml:space="preserve">of moving </w:t>
      </w:r>
      <w:r w:rsidR="008466A2" w:rsidRPr="00E7696F">
        <w:t xml:space="preserve">also tend to be higher for older people because of the </w:t>
      </w:r>
      <w:r w:rsidR="004C62F6">
        <w:t>loss of</w:t>
      </w:r>
      <w:r w:rsidR="00010922" w:rsidRPr="00E7696F">
        <w:t xml:space="preserve"> </w:t>
      </w:r>
      <w:r w:rsidR="008466A2" w:rsidRPr="00E7696F">
        <w:t>social capital</w:t>
      </w:r>
      <w:r w:rsidR="004C62F6">
        <w:t xml:space="preserve"> that has been accumulated over time</w:t>
      </w:r>
      <w:r w:rsidR="008466A2" w:rsidRPr="00E7696F">
        <w:t xml:space="preserve"> (</w:t>
      </w:r>
      <w:r w:rsidR="00406B75" w:rsidRPr="00E7696F">
        <w:fldChar w:fldCharType="begin"/>
      </w:r>
      <w:r w:rsidR="00CA754F" w:rsidRPr="00E7696F">
        <w:instrText xml:space="preserve"> ADDIN EN.CITE &lt;EndNote&gt;&lt;Cite&gt;&lt;Author&gt;Drinkwater&lt;/Author&gt;&lt;Year&gt;2009&lt;/Year&gt;&lt;RecNum&gt;1313&lt;/RecNum&gt;&lt;DisplayText&gt;Drinkwater and Ingram (2009)&lt;/DisplayText&gt;&lt;record&gt;&lt;rec-number&gt;1313&lt;/rec-number&gt;&lt;foreign-keys&gt;&lt;key app="EN" db-id="refafpv0nd2rd4e9e2qxeaf6rw5xxvv2ds22" timestamp="1380192727"&gt;1313&lt;/key&gt;&lt;/foreign-keys&gt;&lt;ref-type name="Journal Article"&gt;17&lt;/ref-type&gt;&lt;contributors&gt;&lt;authors&gt;&lt;author&gt;Drinkwater, S&lt;/author&gt;&lt;author&gt;Ingram, P&lt;/author&gt;&lt;/authors&gt;&lt;/contributors&gt;&lt;titles&gt;&lt;title&gt;How Different are the British in their Willingness to Move? Evidence from International Social Survey Data&lt;/title&gt;&lt;secondary-title&gt;Regional Studies&lt;/secondary-title&gt;&lt;/titles&gt;&lt;periodical&gt;&lt;full-title&gt;Regional Studies&lt;/full-title&gt;&lt;/periodical&gt;&lt;pages&gt;287-303&lt;/pages&gt;&lt;volume&gt;43&lt;/volume&gt;&lt;number&gt;2&lt;/number&gt;&lt;keywords&gt;&lt;keyword&gt;Great Britain&lt;/keyword&gt;&lt;keyword&gt;Willingness to move&lt;/keyword&gt;&lt;keyword&gt;International differences&lt;/keyword&gt;&lt;keyword&gt;Microdata&lt;/keyword&gt;&lt;/keywords&gt;&lt;dates&gt;&lt;year&gt;2009&lt;/year&gt;&lt;/dates&gt;&lt;urls&gt;&lt;related-urls&gt;&lt;url&gt;http://EconPapers.repec.org/RePEc:taf:regstd:v:43:y:2009:i:2:p:287-303&lt;/url&gt;&lt;/related-urls&gt;&lt;/urls&gt;&lt;/record&gt;&lt;/Cite&gt;&lt;/EndNote&gt;</w:instrText>
      </w:r>
      <w:r w:rsidR="00406B75" w:rsidRPr="00E7696F">
        <w:fldChar w:fldCharType="separate"/>
      </w:r>
      <w:hyperlink w:anchor="_ENREF_17" w:tooltip="Drinkwater, 2009 #1313" w:history="1">
        <w:r w:rsidR="004C62F6">
          <w:rPr>
            <w:noProof/>
          </w:rPr>
          <w:t xml:space="preserve">Drinkwater </w:t>
        </w:r>
        <w:r w:rsidR="00987C8D">
          <w:rPr>
            <w:noProof/>
          </w:rPr>
          <w:t>&amp;</w:t>
        </w:r>
        <w:r w:rsidR="004C62F6">
          <w:rPr>
            <w:noProof/>
          </w:rPr>
          <w:t xml:space="preserve"> Ingram </w:t>
        </w:r>
        <w:r w:rsidR="00CA754F" w:rsidRPr="00E7696F">
          <w:rPr>
            <w:noProof/>
          </w:rPr>
          <w:t>2009</w:t>
        </w:r>
      </w:hyperlink>
      <w:r w:rsidR="00CA754F" w:rsidRPr="00E7696F">
        <w:rPr>
          <w:noProof/>
        </w:rPr>
        <w:t>)</w:t>
      </w:r>
      <w:r w:rsidR="00406B75" w:rsidRPr="00E7696F">
        <w:fldChar w:fldCharType="end"/>
      </w:r>
      <w:r w:rsidR="008466A2" w:rsidRPr="00E7696F">
        <w:t>.</w:t>
      </w:r>
    </w:p>
    <w:p w:rsidR="00C80DAE" w:rsidRPr="00FE162C" w:rsidRDefault="00C80DAE" w:rsidP="005F73E6">
      <w:pPr>
        <w:pStyle w:val="Text"/>
      </w:pPr>
      <w:r w:rsidRPr="00FE162C">
        <w:t xml:space="preserve">The probability of </w:t>
      </w:r>
      <w:r w:rsidR="00010922" w:rsidRPr="00FE162C">
        <w:t xml:space="preserve">a male </w:t>
      </w:r>
      <w:r w:rsidR="00A818A4" w:rsidRPr="00FE162C">
        <w:t>accepting a job offer</w:t>
      </w:r>
      <w:r w:rsidRPr="00FE162C">
        <w:t xml:space="preserve"> is 15</w:t>
      </w:r>
      <w:r w:rsidR="00AF1216">
        <w:t xml:space="preserve">% </w:t>
      </w:r>
      <w:r w:rsidRPr="00FE162C">
        <w:t>higher</w:t>
      </w:r>
      <w:r w:rsidR="00010922" w:rsidRPr="00FE162C">
        <w:t xml:space="preserve"> than a</w:t>
      </w:r>
      <w:r w:rsidRPr="00FE162C">
        <w:t xml:space="preserve"> female. In the context of this study, </w:t>
      </w:r>
      <w:r w:rsidR="00817616">
        <w:t xml:space="preserve">the </w:t>
      </w:r>
      <w:r w:rsidRPr="00FE162C">
        <w:t xml:space="preserve">decisions of females may be affected by their perception </w:t>
      </w:r>
      <w:r w:rsidRPr="005F73E6">
        <w:t>of</w:t>
      </w:r>
      <w:r w:rsidRPr="00FE162C">
        <w:t xml:space="preserve"> the two job locations</w:t>
      </w:r>
      <w:r w:rsidR="009774CF" w:rsidRPr="00FE162C">
        <w:t>, both of which are in</w:t>
      </w:r>
      <w:r w:rsidRPr="00FE162C">
        <w:t xml:space="preserve"> remote </w:t>
      </w:r>
      <w:r w:rsidR="009774CF" w:rsidRPr="00FE162C">
        <w:t>region</w:t>
      </w:r>
      <w:r w:rsidRPr="00FE162C">
        <w:t>s w</w:t>
      </w:r>
      <w:r w:rsidR="009774CF" w:rsidRPr="00FE162C">
        <w:t>ith</w:t>
      </w:r>
      <w:r w:rsidRPr="00FE162C">
        <w:t xml:space="preserve"> resource extraction</w:t>
      </w:r>
      <w:r w:rsidR="002B62AA" w:rsidRPr="00FE162C">
        <w:t xml:space="preserve">, which </w:t>
      </w:r>
      <w:r w:rsidR="00817616">
        <w:t>as the dominant industry in the area</w:t>
      </w:r>
      <w:r w:rsidR="00817616" w:rsidRPr="00FE162C">
        <w:t xml:space="preserve"> </w:t>
      </w:r>
      <w:r w:rsidR="002B62AA" w:rsidRPr="00FE162C">
        <w:t>traditionally has male</w:t>
      </w:r>
      <w:r w:rsidR="00ED5164">
        <w:t>-dominated employment practices</w:t>
      </w:r>
      <w:r w:rsidR="002B62AA" w:rsidRPr="00FE162C">
        <w:t>.</w:t>
      </w:r>
    </w:p>
    <w:p w:rsidR="004737C1" w:rsidRPr="00FE162C" w:rsidRDefault="002E1913" w:rsidP="005F73E6">
      <w:pPr>
        <w:pStyle w:val="Text"/>
      </w:pPr>
      <w:r w:rsidRPr="00FE162C">
        <w:t>S</w:t>
      </w:r>
      <w:r w:rsidR="00F967FA" w:rsidRPr="00FE162C">
        <w:t xml:space="preserve">ingle </w:t>
      </w:r>
      <w:r w:rsidR="00276EB7" w:rsidRPr="00FE162C">
        <w:t xml:space="preserve">people </w:t>
      </w:r>
      <w:r w:rsidR="00F967FA" w:rsidRPr="00FE162C">
        <w:t>are significantly more wil</w:t>
      </w:r>
      <w:r w:rsidR="00276EB7" w:rsidRPr="00FE162C">
        <w:t xml:space="preserve">ling to move </w:t>
      </w:r>
      <w:r w:rsidR="004C62F6">
        <w:t xml:space="preserve">for work </w:t>
      </w:r>
      <w:r w:rsidR="00276EB7" w:rsidRPr="00FE162C">
        <w:t>than</w:t>
      </w:r>
      <w:r w:rsidR="00F967FA" w:rsidRPr="00FE162C">
        <w:t xml:space="preserve"> married</w:t>
      </w:r>
      <w:r w:rsidR="00276EB7" w:rsidRPr="00FE162C">
        <w:t xml:space="preserve"> people</w:t>
      </w:r>
      <w:r w:rsidR="00F967FA" w:rsidRPr="00FE162C">
        <w:t>.</w:t>
      </w:r>
      <w:r w:rsidR="00A07EC7" w:rsidRPr="00FE162C">
        <w:t xml:space="preserve"> </w:t>
      </w:r>
      <w:r w:rsidR="00276EB7" w:rsidRPr="00FE162C">
        <w:t>Familie</w:t>
      </w:r>
      <w:r w:rsidR="002E5F1B" w:rsidRPr="00FE162C">
        <w:t xml:space="preserve">s </w:t>
      </w:r>
      <w:r w:rsidR="00276EB7" w:rsidRPr="00FE162C">
        <w:t>generally have</w:t>
      </w:r>
      <w:r w:rsidR="002E5F1B" w:rsidRPr="00FE162C">
        <w:t xml:space="preserve"> higher moving costs</w:t>
      </w:r>
      <w:r w:rsidR="00276EB7" w:rsidRPr="00FE162C">
        <w:t xml:space="preserve">. The </w:t>
      </w:r>
      <w:r w:rsidR="00876A76" w:rsidRPr="00FE162C">
        <w:t>additional costs are not just</w:t>
      </w:r>
      <w:r w:rsidR="00276EB7" w:rsidRPr="00FE162C">
        <w:t xml:space="preserve"> financial </w:t>
      </w:r>
      <w:r w:rsidR="00876A76" w:rsidRPr="00FE162C">
        <w:t>but also social</w:t>
      </w:r>
      <w:r w:rsidR="00817616">
        <w:t>,</w:t>
      </w:r>
      <w:r w:rsidR="00876A76" w:rsidRPr="00FE162C">
        <w:t xml:space="preserve"> as </w:t>
      </w:r>
      <w:r w:rsidRPr="00FE162C">
        <w:t xml:space="preserve">all members of the family unit have to adjust to life in a new location and break with already established </w:t>
      </w:r>
      <w:r w:rsidR="004F4239" w:rsidRPr="00FE162C">
        <w:t xml:space="preserve">employment, </w:t>
      </w:r>
      <w:r w:rsidRPr="00FE162C">
        <w:t>family and social networks.</w:t>
      </w:r>
      <w:r w:rsidR="004F4239" w:rsidRPr="00FE162C">
        <w:t xml:space="preserve"> </w:t>
      </w:r>
      <w:r w:rsidR="004C62F6">
        <w:t>T</w:t>
      </w:r>
      <w:r w:rsidR="00A818A4" w:rsidRPr="00FE162C">
        <w:t>he insignificance of the effect of additional dependents</w:t>
      </w:r>
      <w:r w:rsidR="004C62F6">
        <w:t>, however,</w:t>
      </w:r>
      <w:r w:rsidR="00A818A4" w:rsidRPr="00FE162C">
        <w:t xml:space="preserve"> suggests that the most important cost </w:t>
      </w:r>
      <w:r w:rsidR="004F4239" w:rsidRPr="00FE162C">
        <w:t>may</w:t>
      </w:r>
      <w:r w:rsidR="00A818A4" w:rsidRPr="00FE162C">
        <w:t xml:space="preserve"> </w:t>
      </w:r>
      <w:r w:rsidRPr="00FE162C">
        <w:t xml:space="preserve">indeed </w:t>
      </w:r>
      <w:r w:rsidR="004F4239" w:rsidRPr="00FE162C">
        <w:t xml:space="preserve">be </w:t>
      </w:r>
      <w:r w:rsidR="00A818A4" w:rsidRPr="00FE162C">
        <w:t>that of the partner</w:t>
      </w:r>
      <w:r w:rsidR="00C64BBE" w:rsidRPr="00FE162C">
        <w:t xml:space="preserve"> being</w:t>
      </w:r>
      <w:r w:rsidR="00A818A4" w:rsidRPr="00FE162C">
        <w:t xml:space="preserve"> </w:t>
      </w:r>
      <w:r w:rsidR="002B62AA" w:rsidRPr="00FE162C">
        <w:t>unable to find</w:t>
      </w:r>
      <w:r w:rsidRPr="00FE162C">
        <w:t xml:space="preserve"> suitable work</w:t>
      </w:r>
      <w:r w:rsidR="00A818A4" w:rsidRPr="00FE162C">
        <w:t xml:space="preserve"> a</w:t>
      </w:r>
      <w:r w:rsidRPr="00FE162C">
        <w:t>t the destination.</w:t>
      </w:r>
      <w:r w:rsidR="002B62AA" w:rsidRPr="00FE162C">
        <w:t xml:space="preserve"> This</w:t>
      </w:r>
      <w:r w:rsidR="00010AB8" w:rsidRPr="00FE162C">
        <w:t xml:space="preserve"> then</w:t>
      </w:r>
      <w:r w:rsidR="004737C1" w:rsidRPr="00FE162C">
        <w:t xml:space="preserve"> is another form of </w:t>
      </w:r>
      <w:r w:rsidR="004737C1" w:rsidRPr="005F73E6">
        <w:t>moving</w:t>
      </w:r>
      <w:r w:rsidR="004737C1" w:rsidRPr="00FE162C">
        <w:t xml:space="preserve"> cost</w:t>
      </w:r>
      <w:r w:rsidR="002E5F1B" w:rsidRPr="00FE162C">
        <w:t xml:space="preserve"> (</w:t>
      </w:r>
      <w:r w:rsidR="00406B75" w:rsidRPr="00FE162C">
        <w:fldChar w:fldCharType="begin"/>
      </w:r>
      <w:r w:rsidR="00CA754F">
        <w:instrText xml:space="preserve"> ADDIN EN.CITE &lt;EndNote&gt;&lt;Cite&gt;&lt;Author&gt;Bonin&lt;/Author&gt;&lt;Year&gt;2008&lt;/Year&gt;&lt;RecNum&gt;1252&lt;/RecNum&gt;&lt;DisplayText&gt;Bonin et al. (2008)&lt;/DisplayText&gt;&lt;record&gt;&lt;rec-number&gt;1252&lt;/rec-number&gt;&lt;foreign-keys&gt;&lt;key app="EN" db-id="refafpv0nd2rd4e9e2qxeaf6rw5xxvv2ds22" timestamp="1371774892"&gt;1252&lt;/key&gt;&lt;/foreign-keys&gt;&lt;ref-type name="Report"&gt;27&lt;/ref-type&gt;&lt;contributors&gt;&lt;authors&gt;&lt;author&gt;Bonin, H&lt;/author&gt;&lt;author&gt;Eichhorst, W&lt;/author&gt;&lt;author&gt;Florman, C&lt;/author&gt;&lt;author&gt;Okkels Hansen, M&lt;/author&gt;&lt;author&gt;Skiöld, L&lt;/author&gt;&lt;author&gt;Stuhler, J&lt;/author&gt;&lt;author&gt;Tatsiramos, K&lt;/author&gt;&lt;author&gt;Thomasen, H&lt;/author&gt;&lt;author&gt;Zimmermann, K&lt;/author&gt;&lt;/authors&gt;&lt;/contributors&gt;&lt;titles&gt;&lt;title&gt;Geographic mobility in the European Union: Optimising its economic and social benefits&lt;/title&gt;&lt;/titles&gt;&lt;dates&gt;&lt;year&gt;2008&lt;/year&gt;&lt;/dates&gt;&lt;pub-location&gt;Bonn&lt;/pub-location&gt;&lt;isbn&gt;IZA Research Report No. 19&lt;/isbn&gt;&lt;urls&gt;&lt;related-urls&gt;&lt;url&gt;http://www.iza.org/en/webcontent/publications/reports/report_pdfs/iza_report_19.pdf&lt;/url&gt;&lt;/related-urls&gt;&lt;/urls&gt;&lt;access-date&gt;21 June 2013&lt;/access-date&gt;&lt;/record&gt;&lt;/Cite&gt;&lt;/EndNote&gt;</w:instrText>
      </w:r>
      <w:r w:rsidR="00406B75" w:rsidRPr="00FE162C">
        <w:fldChar w:fldCharType="separate"/>
      </w:r>
      <w:hyperlink w:anchor="_ENREF_11" w:tooltip="Bonin, 2008 #1252" w:history="1">
        <w:r w:rsidR="004C62F6">
          <w:rPr>
            <w:noProof/>
          </w:rPr>
          <w:t xml:space="preserve">Bonin et al. </w:t>
        </w:r>
        <w:r w:rsidR="00CA754F">
          <w:rPr>
            <w:noProof/>
          </w:rPr>
          <w:t>2008</w:t>
        </w:r>
      </w:hyperlink>
      <w:r w:rsidR="00CA754F">
        <w:rPr>
          <w:noProof/>
        </w:rPr>
        <w:t>)</w:t>
      </w:r>
      <w:r w:rsidR="00406B75" w:rsidRPr="00FE162C">
        <w:fldChar w:fldCharType="end"/>
      </w:r>
      <w:r w:rsidR="002E5F1B" w:rsidRPr="00FE162C">
        <w:t>.</w:t>
      </w:r>
      <w:r w:rsidR="00A818A4" w:rsidRPr="00FE162C">
        <w:t xml:space="preserve"> </w:t>
      </w:r>
      <w:r w:rsidR="00815395">
        <w:t>These days, a</w:t>
      </w:r>
      <w:r w:rsidR="00E078DA">
        <w:t>s</w:t>
      </w:r>
      <w:r w:rsidR="00E078DA" w:rsidRPr="00FE162C">
        <w:t xml:space="preserve"> family budget</w:t>
      </w:r>
      <w:r w:rsidR="00E078DA">
        <w:t>s are</w:t>
      </w:r>
      <w:r w:rsidR="00E078DA" w:rsidRPr="00FE162C">
        <w:t xml:space="preserve"> often based on two incomes</w:t>
      </w:r>
      <w:r w:rsidR="00E078DA">
        <w:t>, e</w:t>
      </w:r>
      <w:r w:rsidR="00010AB8" w:rsidRPr="00FE162C">
        <w:t>mployment policies</w:t>
      </w:r>
      <w:r w:rsidR="00A818A4" w:rsidRPr="00FE162C">
        <w:t xml:space="preserve"> </w:t>
      </w:r>
      <w:r w:rsidR="00010AB8" w:rsidRPr="00FE162C">
        <w:t>that</w:t>
      </w:r>
      <w:r w:rsidR="00A818A4" w:rsidRPr="00FE162C">
        <w:t xml:space="preserve"> hire couples, or offer </w:t>
      </w:r>
      <w:r w:rsidR="00602830">
        <w:t>‘</w:t>
      </w:r>
      <w:r w:rsidR="00A818A4" w:rsidRPr="00FE162C">
        <w:t>top-up</w:t>
      </w:r>
      <w:r w:rsidR="00602830">
        <w:t>’</w:t>
      </w:r>
      <w:r w:rsidR="00A818A4" w:rsidRPr="00FE162C">
        <w:t xml:space="preserve"> premiums to partners for </w:t>
      </w:r>
      <w:r w:rsidR="00010AB8" w:rsidRPr="00FE162C">
        <w:t>jobs in the local community</w:t>
      </w:r>
      <w:r w:rsidR="00A818A4" w:rsidRPr="00FE162C">
        <w:t xml:space="preserve"> ma</w:t>
      </w:r>
      <w:r w:rsidR="00010AB8" w:rsidRPr="00FE162C">
        <w:t>y be one way to overcome this problem</w:t>
      </w:r>
      <w:r w:rsidR="00A818A4" w:rsidRPr="00FE162C">
        <w:t>.</w:t>
      </w:r>
      <w:r w:rsidR="00E078DA">
        <w:rPr>
          <w:rStyle w:val="FootnoteReference"/>
          <w:color w:val="000000" w:themeColor="text1"/>
        </w:rPr>
        <w:footnoteReference w:id="12"/>
      </w:r>
      <w:r w:rsidR="004C62F6">
        <w:t xml:space="preserve"> </w:t>
      </w:r>
      <w:r w:rsidR="00F33504">
        <w:t>Overseas-born people are more</w:t>
      </w:r>
      <w:r w:rsidR="00294064" w:rsidRPr="00FE162C">
        <w:t xml:space="preserve"> </w:t>
      </w:r>
      <w:r w:rsidR="00406BF7" w:rsidRPr="00FE162C">
        <w:t>likely</w:t>
      </w:r>
      <w:r w:rsidR="00294064" w:rsidRPr="00FE162C">
        <w:t xml:space="preserve"> to </w:t>
      </w:r>
      <w:r w:rsidR="002B62AA" w:rsidRPr="00FE162C">
        <w:t>accept</w:t>
      </w:r>
      <w:r w:rsidR="00406BF7" w:rsidRPr="00FE162C">
        <w:t xml:space="preserve"> job offer</w:t>
      </w:r>
      <w:r w:rsidR="002B62AA" w:rsidRPr="00FE162C">
        <w:t>s</w:t>
      </w:r>
      <w:r w:rsidR="00294064" w:rsidRPr="00FE162C">
        <w:t xml:space="preserve"> than people </w:t>
      </w:r>
      <w:r w:rsidR="00F33504">
        <w:t>born in Australia</w:t>
      </w:r>
      <w:r w:rsidR="00406BF7" w:rsidRPr="00FE162C">
        <w:t>.</w:t>
      </w:r>
      <w:r w:rsidR="00294064" w:rsidRPr="00FE162C">
        <w:t xml:space="preserve"> </w:t>
      </w:r>
      <w:r w:rsidR="00F33504">
        <w:t xml:space="preserve">This is </w:t>
      </w:r>
      <w:r w:rsidR="000F36EC">
        <w:t>consistent with r</w:t>
      </w:r>
      <w:r w:rsidR="00F33504" w:rsidRPr="00F33504">
        <w:t>esearch</w:t>
      </w:r>
      <w:r w:rsidR="000F36EC">
        <w:t xml:space="preserve"> from the United States</w:t>
      </w:r>
      <w:r w:rsidR="00815395">
        <w:t>,</w:t>
      </w:r>
      <w:r w:rsidR="000F36EC">
        <w:t xml:space="preserve"> which</w:t>
      </w:r>
      <w:r w:rsidR="00F33504" w:rsidRPr="00F33504">
        <w:t xml:space="preserve"> suggests that immigrants are more mobile</w:t>
      </w:r>
      <w:r w:rsidR="000F36EC">
        <w:t xml:space="preserve"> across regions, industries and occupations</w:t>
      </w:r>
      <w:r w:rsidR="00F33504" w:rsidRPr="00F33504">
        <w:t xml:space="preserve"> than native-born workers (</w:t>
      </w:r>
      <w:r w:rsidR="00406B75">
        <w:fldChar w:fldCharType="begin"/>
      </w:r>
      <w:r w:rsidR="000F36EC">
        <w:instrText xml:space="preserve"> ADDIN EN.CITE &lt;EndNote&gt;&lt;Cite&gt;&lt;Author&gt;Borjas&lt;/Author&gt;&lt;Year&gt;2001&lt;/Year&gt;&lt;RecNum&gt;1363&lt;/RecNum&gt;&lt;DisplayText&gt;Borjas (2001)&lt;/DisplayText&gt;&lt;record&gt;&lt;rec-number&gt;1363&lt;/rec-number&gt;&lt;foreign-keys&gt;&lt;key app="EN" db-id="refafpv0nd2rd4e9e2qxeaf6rw5xxvv2ds22" timestamp="1392286265"&gt;1363&lt;/key&gt;&lt;/foreign-keys&gt;&lt;ref-type name="Journal Article"&gt;17&lt;/ref-type&gt;&lt;contributors&gt;&lt;authors&gt;&lt;author&gt;Borjas, G&lt;/author&gt;&lt;/authors&gt;&lt;/contributors&gt;&lt;titles&gt;&lt;title&gt;Does Immigration Grease the Wheels of the Labor Market?&lt;/title&gt;&lt;secondary-title&gt;Brookings Papers on Economic Activity&lt;/secondary-title&gt;&lt;tertiary-title&gt;Brookings Papers on Economic Activity&lt;/tertiary-title&gt;&lt;/titles&gt;&lt;periodical&gt;&lt;full-title&gt;Brookings Papers on Economic Activity&lt;/full-title&gt;&lt;/periodical&gt;&lt;pages&gt;69-134&lt;/pages&gt;&lt;volume&gt;32&lt;/volume&gt;&lt;number&gt;1&lt;/number&gt;&lt;dates&gt;&lt;year&gt;2001&lt;/year&gt;&lt;/dates&gt;&lt;publisher&gt;Economic Studies Program, The Brookings Institution&lt;/publisher&gt;&lt;urls&gt;&lt;related-urls&gt;&lt;url&gt;http://ideas.repec.org/a/bin/bpeajo/v32y2001i2001-1p69-134.html&lt;/url&gt;&lt;/related-urls&gt;&lt;/urls&gt;&lt;/record&gt;&lt;/Cite&gt;&lt;/EndNote&gt;</w:instrText>
      </w:r>
      <w:r w:rsidR="00406B75">
        <w:fldChar w:fldCharType="separate"/>
      </w:r>
      <w:hyperlink w:anchor="_ENREF_1" w:tooltip="Borjas, 2001 #1363" w:history="1">
        <w:r w:rsidR="000F36EC">
          <w:rPr>
            <w:noProof/>
          </w:rPr>
          <w:t>Borjas 2001</w:t>
        </w:r>
      </w:hyperlink>
      <w:r w:rsidR="00406B75">
        <w:fldChar w:fldCharType="end"/>
      </w:r>
      <w:r w:rsidR="000F36EC">
        <w:t xml:space="preserve">; </w:t>
      </w:r>
      <w:r w:rsidR="00406B75">
        <w:fldChar w:fldCharType="begin"/>
      </w:r>
      <w:r w:rsidR="000F36EC">
        <w:instrText xml:space="preserve"> ADDIN EN.CITE &lt;EndNote&gt;&lt;Cite&gt;&lt;Author&gt;Orrenius&lt;/Author&gt;&lt;Year&gt;2009&lt;/Year&gt;&lt;RecNum&gt;1364&lt;/RecNum&gt;&lt;DisplayText&gt;Orrenius and Zavodny (2009)&lt;/DisplayText&gt;&lt;record&gt;&lt;rec-number&gt;1364&lt;/rec-number&gt;&lt;foreign-keys&gt;&lt;key app="EN" db-id="refafpv0nd2rd4e9e2qxeaf6rw5xxvv2ds22" timestamp="1392286961"&gt;1364&lt;/key&gt;&lt;/foreign-keys&gt;&lt;ref-type name="Report"&gt;27&lt;/ref-type&gt;&lt;contributors&gt;&lt;authors&gt;&lt;author&gt;Orrenius, P&lt;/author&gt;&lt;author&gt;Zavodny, M&lt;/author&gt;&lt;/authors&gt;&lt;/contributors&gt;&lt;titles&gt;&lt;title&gt;Tied to the business cycle: how  immigrants fare in good and bad economic times&lt;/title&gt;&lt;/titles&gt;&lt;dates&gt;&lt;year&gt;2009&lt;/year&gt;&lt;/dates&gt;&lt;pub-location&gt;Washington, DC&lt;/pub-location&gt;&lt;publisher&gt;Migration Policy Institute&lt;/publisher&gt;&lt;urls&gt;&lt;/urls&gt;&lt;/record&gt;&lt;/Cite&gt;&lt;/EndNote&gt;</w:instrText>
      </w:r>
      <w:r w:rsidR="00406B75">
        <w:fldChar w:fldCharType="separate"/>
      </w:r>
      <w:hyperlink w:anchor="_ENREF_3" w:tooltip="Orrenius, 2009 #1364" w:history="1">
        <w:r w:rsidR="000F36EC">
          <w:rPr>
            <w:noProof/>
          </w:rPr>
          <w:t xml:space="preserve">Orrenius </w:t>
        </w:r>
        <w:r w:rsidR="00817616">
          <w:rPr>
            <w:noProof/>
          </w:rPr>
          <w:t>&amp;</w:t>
        </w:r>
        <w:r w:rsidR="000F36EC">
          <w:rPr>
            <w:noProof/>
          </w:rPr>
          <w:t xml:space="preserve"> Zavodny 2009</w:t>
        </w:r>
      </w:hyperlink>
      <w:r w:rsidR="00406B75">
        <w:fldChar w:fldCharType="end"/>
      </w:r>
      <w:r w:rsidR="000F36EC">
        <w:t xml:space="preserve">; </w:t>
      </w:r>
      <w:r w:rsidR="00406B75">
        <w:fldChar w:fldCharType="begin"/>
      </w:r>
      <w:r w:rsidR="000F36EC">
        <w:instrText xml:space="preserve"> ADDIN EN.CITE &lt;EndNote&gt;&lt;Cite&gt;&lt;Author&gt;Kochhar&lt;/Author&gt;&lt;Year&gt;2010&lt;/Year&gt;&lt;RecNum&gt;1365&lt;/RecNum&gt;&lt;DisplayText&gt;Kochhar, Espinoza and Hinze-Pifer (2010)&lt;/DisplayText&gt;&lt;record&gt;&lt;rec-number&gt;1365&lt;/rec-number&gt;&lt;foreign-keys&gt;&lt;key app="EN" db-id="refafpv0nd2rd4e9e2qxeaf6rw5xxvv2ds22" timestamp="1392287261"&gt;1365&lt;/key&gt;&lt;/foreign-keys&gt;&lt;ref-type name="Report"&gt;27&lt;/ref-type&gt;&lt;contributors&gt;&lt;authors&gt;&lt;author&gt;Kochhar, R&lt;/author&gt;&lt;author&gt;Espinoza, CS&lt;/author&gt;&lt;author&gt;Hinze-Pifer, R&lt;/author&gt;&lt;/authors&gt;&lt;/contributors&gt;&lt;titles&gt;&lt;title&gt;After the Great Recession: foreign born gain jobs; native born lose jobs&lt;/title&gt;&lt;/titles&gt;&lt;dates&gt;&lt;year&gt;2010&lt;/year&gt;&lt;/dates&gt;&lt;pub-location&gt;Washington, DC&lt;/pub-location&gt;&lt;publisher&gt;Pew Hispanic Center&lt;/publisher&gt;&lt;urls&gt;&lt;/urls&gt;&lt;/record&gt;&lt;/Cite&gt;&lt;/EndNote&gt;</w:instrText>
      </w:r>
      <w:r w:rsidR="00406B75">
        <w:fldChar w:fldCharType="separate"/>
      </w:r>
      <w:hyperlink w:anchor="_ENREF_2" w:tooltip="Kochhar, 2010 #1365" w:history="1">
        <w:r w:rsidR="000F36EC">
          <w:rPr>
            <w:noProof/>
          </w:rPr>
          <w:t xml:space="preserve">Kochhar, Espinoza </w:t>
        </w:r>
        <w:r w:rsidR="00817616">
          <w:rPr>
            <w:noProof/>
          </w:rPr>
          <w:t>&amp;</w:t>
        </w:r>
        <w:r w:rsidR="000F36EC">
          <w:rPr>
            <w:noProof/>
          </w:rPr>
          <w:t xml:space="preserve"> Hinze-Pifer 2010</w:t>
        </w:r>
      </w:hyperlink>
      <w:r w:rsidR="000F36EC">
        <w:rPr>
          <w:noProof/>
        </w:rPr>
        <w:t>)</w:t>
      </w:r>
      <w:r w:rsidR="00406B75">
        <w:fldChar w:fldCharType="end"/>
      </w:r>
      <w:r w:rsidR="00F33504" w:rsidRPr="00F33504">
        <w:t>.</w:t>
      </w:r>
      <w:r w:rsidR="00F33504">
        <w:t xml:space="preserve"> </w:t>
      </w:r>
      <w:r w:rsidR="000F36EC">
        <w:t>T</w:t>
      </w:r>
      <w:r w:rsidR="00E078DA">
        <w:t>he overseas-born</w:t>
      </w:r>
      <w:r w:rsidR="00294064" w:rsidRPr="00FE162C">
        <w:t xml:space="preserve"> </w:t>
      </w:r>
      <w:r w:rsidR="000F36EC">
        <w:t xml:space="preserve">also have a lower opportunity cost in terms of </w:t>
      </w:r>
      <w:r w:rsidR="00817616">
        <w:t xml:space="preserve">an </w:t>
      </w:r>
      <w:r w:rsidR="000F36EC">
        <w:t>accumulated stock of social capital</w:t>
      </w:r>
      <w:r w:rsidR="00294064" w:rsidRPr="00FE162C">
        <w:t xml:space="preserve"> </w:t>
      </w:r>
      <w:r w:rsidR="00A33F95" w:rsidRPr="00FE162C">
        <w:t>in</w:t>
      </w:r>
      <w:r w:rsidR="00294064" w:rsidRPr="00FE162C">
        <w:t xml:space="preserve"> moving (</w:t>
      </w:r>
      <w:r w:rsidR="00406B75" w:rsidRPr="00FE162C">
        <w:fldChar w:fldCharType="begin"/>
      </w:r>
      <w:r w:rsidR="00CA754F">
        <w:instrText xml:space="preserve"> ADDIN EN.CITE &lt;EndNote&gt;&lt;Cite&gt;&lt;Author&gt;Hagan&lt;/Author&gt;&lt;Year&gt;1996&lt;/Year&gt;&lt;RecNum&gt;1337&lt;/RecNum&gt;&lt;DisplayText&gt;Hagan, MacMillan and Wheaton (1996)&lt;/DisplayText&gt;&lt;record&gt;&lt;rec-number&gt;1337&lt;/rec-number&gt;&lt;foreign-keys&gt;&lt;key app="EN" db-id="refafpv0nd2rd4e9e2qxeaf6rw5xxvv2ds22" timestamp="1380763029"&gt;1337&lt;/key&gt;&lt;/foreign-keys&gt;&lt;ref-type name="Journal Article"&gt;17&lt;/ref-type&gt;&lt;contributors&gt;&lt;authors&gt;&lt;author&gt;Hagan, John&lt;/author&gt;&lt;author&gt;MacMillan, Ross&lt;/author&gt;&lt;author&gt;Wheaton, Blair&lt;/author&gt;&lt;/authors&gt;&lt;/contributors&gt;&lt;titles&gt;&lt;title&gt;New Kid in Town: Social Capital and the Life Course Effects of Family Migration on Children&lt;/title&gt;&lt;secondary-title&gt;American Sociological Review&lt;/secondary-title&gt;&lt;/titles&gt;&lt;periodical&gt;&lt;full-title&gt;American Sociological Review&lt;/full-title&gt;&lt;/periodical&gt;&lt;pages&gt;368-385&lt;/pages&gt;&lt;volume&gt;61&lt;/volume&gt;&lt;number&gt;3&lt;/number&gt;&lt;dates&gt;&lt;year&gt;1996&lt;/year&gt;&lt;/dates&gt;&lt;publisher&gt;American Sociological Association&lt;/publisher&gt;&lt;isbn&gt;00031224&lt;/isbn&gt;&lt;urls&gt;&lt;related-urls&gt;&lt;url&gt;http://www.jstor.org/stable/2096354&lt;/url&gt;&lt;/related-urls&gt;&lt;/urls&gt;&lt;electronic-resource-num&gt;10.2307/2096354&lt;/electronic-resource-num&gt;&lt;/record&gt;&lt;/Cite&gt;&lt;/EndNote&gt;</w:instrText>
      </w:r>
      <w:r w:rsidR="00406B75" w:rsidRPr="00FE162C">
        <w:fldChar w:fldCharType="separate"/>
      </w:r>
      <w:hyperlink w:anchor="_ENREF_24" w:tooltip="Hagan, 1996 #1337" w:history="1">
        <w:r w:rsidR="00CA754F">
          <w:rPr>
            <w:noProof/>
          </w:rPr>
          <w:t xml:space="preserve">Hagan, MacMillan </w:t>
        </w:r>
        <w:r w:rsidR="00817616">
          <w:rPr>
            <w:noProof/>
          </w:rPr>
          <w:t>&amp;</w:t>
        </w:r>
        <w:r w:rsidR="00CA754F">
          <w:rPr>
            <w:noProof/>
          </w:rPr>
          <w:t xml:space="preserve"> Wheaton (1996</w:t>
        </w:r>
      </w:hyperlink>
      <w:r w:rsidR="00CA754F">
        <w:rPr>
          <w:noProof/>
        </w:rPr>
        <w:t>)</w:t>
      </w:r>
      <w:r w:rsidR="00406B75" w:rsidRPr="00FE162C">
        <w:fldChar w:fldCharType="end"/>
      </w:r>
      <w:r w:rsidR="00294064" w:rsidRPr="00FE162C">
        <w:t>.</w:t>
      </w:r>
    </w:p>
    <w:p w:rsidR="00D22CF7" w:rsidRPr="00FE162C" w:rsidRDefault="00F967FA" w:rsidP="005F73E6">
      <w:pPr>
        <w:pStyle w:val="Text"/>
      </w:pPr>
      <w:r w:rsidRPr="00FE162C">
        <w:t xml:space="preserve">The </w:t>
      </w:r>
      <w:r w:rsidR="00286989" w:rsidRPr="00FE162C">
        <w:t>employment</w:t>
      </w:r>
      <w:r w:rsidRPr="00FE162C">
        <w:t xml:space="preserve"> status of a person has a significant effect on their willingness to </w:t>
      </w:r>
      <w:r w:rsidR="00286989" w:rsidRPr="00FE162C">
        <w:t>accept a job offer</w:t>
      </w:r>
      <w:r w:rsidRPr="00FE162C">
        <w:t xml:space="preserve">. </w:t>
      </w:r>
      <w:r w:rsidR="006314BE" w:rsidRPr="00FE162C">
        <w:t xml:space="preserve">We consider three </w:t>
      </w:r>
      <w:r w:rsidR="00C179B4" w:rsidRPr="00FE162C">
        <w:t xml:space="preserve">labour force </w:t>
      </w:r>
      <w:r w:rsidR="006314BE" w:rsidRPr="00FE162C">
        <w:t>states for this variable</w:t>
      </w:r>
      <w:r w:rsidR="00817616">
        <w:t xml:space="preserve"> </w:t>
      </w:r>
      <w:r w:rsidR="006314BE" w:rsidRPr="00FE162C">
        <w:t>—</w:t>
      </w:r>
      <w:r w:rsidR="00817616">
        <w:t xml:space="preserve"> </w:t>
      </w:r>
      <w:r w:rsidR="006314BE" w:rsidRPr="00FE162C">
        <w:t xml:space="preserve">unemployed, employed </w:t>
      </w:r>
      <w:r w:rsidR="00286989" w:rsidRPr="00FE162C">
        <w:t>and</w:t>
      </w:r>
      <w:r w:rsidR="006314BE" w:rsidRPr="00FE162C">
        <w:t xml:space="preserve"> looking for work</w:t>
      </w:r>
      <w:r w:rsidR="00815395">
        <w:t>,</w:t>
      </w:r>
      <w:r w:rsidR="006314BE" w:rsidRPr="00FE162C">
        <w:t xml:space="preserve"> and employed and not looking for work. </w:t>
      </w:r>
      <w:r w:rsidR="000F36EC">
        <w:t xml:space="preserve">A person who is unemployed </w:t>
      </w:r>
      <w:r w:rsidR="00C179B4" w:rsidRPr="00FE162C">
        <w:t>has a 17</w:t>
      </w:r>
      <w:r w:rsidR="00AF1216">
        <w:t xml:space="preserve">% </w:t>
      </w:r>
      <w:r w:rsidR="00C179B4" w:rsidRPr="00FE162C">
        <w:t xml:space="preserve">higher probability of accepting a job offer than a person who is employed and not looking for work. </w:t>
      </w:r>
      <w:r w:rsidR="00554DDC" w:rsidRPr="00FE162C">
        <w:t>Th</w:t>
      </w:r>
      <w:r w:rsidR="00286989" w:rsidRPr="00FE162C">
        <w:t xml:space="preserve">e </w:t>
      </w:r>
      <w:r w:rsidR="00A33F95" w:rsidRPr="00FE162C">
        <w:t>corresponding probability</w:t>
      </w:r>
      <w:r w:rsidR="00286989" w:rsidRPr="00FE162C">
        <w:t xml:space="preserve"> for</w:t>
      </w:r>
      <w:r w:rsidR="00A33F95" w:rsidRPr="00FE162C">
        <w:t xml:space="preserve"> a</w:t>
      </w:r>
      <w:r w:rsidR="00286989" w:rsidRPr="00FE162C">
        <w:t xml:space="preserve"> person who is</w:t>
      </w:r>
      <w:r w:rsidR="00554DDC" w:rsidRPr="00FE162C">
        <w:t xml:space="preserve"> employed and</w:t>
      </w:r>
      <w:r w:rsidR="00277F7C">
        <w:t xml:space="preserve"> looking for work is 21%</w:t>
      </w:r>
      <w:r w:rsidR="00554DDC" w:rsidRPr="00FE162C">
        <w:t xml:space="preserve">. </w:t>
      </w:r>
      <w:r w:rsidR="006314BE" w:rsidRPr="00FE162C">
        <w:t>This suggests that those who want to change jobs are more willing to mov</w:t>
      </w:r>
      <w:r w:rsidR="009546FB" w:rsidRPr="00FE162C">
        <w:t>e than those who are unemployed.</w:t>
      </w:r>
    </w:p>
    <w:p w:rsidR="00EC5A13" w:rsidRPr="00FE162C" w:rsidRDefault="00D22CF7" w:rsidP="005F73E6">
      <w:pPr>
        <w:pStyle w:val="Text"/>
      </w:pPr>
      <w:r w:rsidRPr="00020E10">
        <w:t>Contrary to previous research on labour mobility</w:t>
      </w:r>
      <w:r w:rsidR="00020E10" w:rsidRPr="00020E10">
        <w:t>,</w:t>
      </w:r>
      <w:r w:rsidRPr="00020E10">
        <w:t xml:space="preserve"> </w:t>
      </w:r>
      <w:r w:rsidR="006209CF" w:rsidRPr="00020E10">
        <w:t>which shows mobility increasing</w:t>
      </w:r>
      <w:r w:rsidRPr="00020E10">
        <w:t xml:space="preserve"> with </w:t>
      </w:r>
      <w:r w:rsidR="00EC5A13" w:rsidRPr="00020E10">
        <w:t xml:space="preserve">the </w:t>
      </w:r>
      <w:r w:rsidRPr="00020E10">
        <w:t>level of education</w:t>
      </w:r>
      <w:r w:rsidR="009E7015" w:rsidRPr="00020E10">
        <w:t xml:space="preserve"> (</w:t>
      </w:r>
      <w:r w:rsidR="00406B75" w:rsidRPr="00020E10">
        <w:fldChar w:fldCharType="begin"/>
      </w:r>
      <w:r w:rsidR="00CA754F" w:rsidRPr="00020E10">
        <w:instrText xml:space="preserve"> ADDIN EN.CITE &lt;EndNote&gt;&lt;Cite&gt;&lt;Author&gt;Machin&lt;/Author&gt;&lt;Year&gt;2012&lt;/Year&gt;&lt;RecNum&gt;1253&lt;/RecNum&gt;&lt;DisplayText&gt;Machin, Salvanes and Pelkonen (2012)&lt;/DisplayText&gt;&lt;record&gt;&lt;rec-number&gt;1253&lt;/rec-number&gt;&lt;foreign-keys&gt;&lt;key app="EN" db-id="refafpv0nd2rd4e9e2qxeaf6rw5xxvv2ds22" timestamp="1371777222"&gt;1253&lt;/key&gt;&lt;/foreign-keys&gt;&lt;ref-type name="Journal Article"&gt;17&lt;/ref-type&gt;&lt;contributors&gt;&lt;authors&gt;&lt;author&gt;Machin, Stephen&lt;/author&gt;&lt;author&gt;Salvanes, Kjell G.&lt;/author&gt;&lt;author&gt;Pelkonen, Panu&lt;/author&gt;&lt;/authors&gt;&lt;/contributors&gt;&lt;titles&gt;&lt;title&gt;Education and mobility&lt;/title&gt;&lt;secondary-title&gt;Journal of the European Economic Association&lt;/secondary-title&gt;&lt;/titles&gt;&lt;periodical&gt;&lt;full-title&gt;Journal of the European Economic Association&lt;/full-title&gt;&lt;/periodical&gt;&lt;pages&gt;417-450&lt;/pages&gt;&lt;volume&gt;10&lt;/volume&gt;&lt;number&gt;2&lt;/number&gt;&lt;keywords&gt;&lt;keyword&gt;I28&lt;/keyword&gt;&lt;keyword&gt;J24&lt;/keyword&gt;&lt;keyword&gt;J61&lt;/keyword&gt;&lt;/keywords&gt;&lt;dates&gt;&lt;year&gt;2012&lt;/year&gt;&lt;/dates&gt;&lt;publisher&gt;Blackwell Publishing Inc&lt;/publisher&gt;&lt;isbn&gt;1542-4774&lt;/isbn&gt;&lt;urls&gt;&lt;related-urls&gt;&lt;url&gt;http://dx.doi.org/10.1111/j.1542-4774.2011.01048.x&lt;/url&gt;&lt;/related-urls&gt;&lt;/urls&gt;&lt;electronic-resource-num&gt;10.1111/j.1542-4774.2011.01048.x&lt;/electronic-resource-num&gt;&lt;/record&gt;&lt;/Cite&gt;&lt;/EndNote&gt;</w:instrText>
      </w:r>
      <w:r w:rsidR="00406B75" w:rsidRPr="00020E10">
        <w:fldChar w:fldCharType="separate"/>
      </w:r>
      <w:hyperlink w:anchor="_ENREF_43" w:tooltip="Machin, 2012 #1253" w:history="1">
        <w:r w:rsidR="000F36EC" w:rsidRPr="00020E10">
          <w:rPr>
            <w:noProof/>
          </w:rPr>
          <w:t xml:space="preserve">Machin, Salvanes </w:t>
        </w:r>
        <w:r w:rsidR="00277F7C" w:rsidRPr="00020E10">
          <w:rPr>
            <w:noProof/>
          </w:rPr>
          <w:t>&amp;</w:t>
        </w:r>
        <w:r w:rsidR="000F36EC" w:rsidRPr="00020E10">
          <w:rPr>
            <w:noProof/>
          </w:rPr>
          <w:t xml:space="preserve"> Pelkonen </w:t>
        </w:r>
        <w:r w:rsidR="00CA754F" w:rsidRPr="00020E10">
          <w:rPr>
            <w:noProof/>
          </w:rPr>
          <w:t>2012</w:t>
        </w:r>
      </w:hyperlink>
      <w:r w:rsidR="00406B75" w:rsidRPr="00020E10">
        <w:fldChar w:fldCharType="end"/>
      </w:r>
      <w:r w:rsidR="001B3E41" w:rsidRPr="00020E10">
        <w:t xml:space="preserve">; </w:t>
      </w:r>
      <w:r w:rsidR="00406B75" w:rsidRPr="00020E10">
        <w:fldChar w:fldCharType="begin"/>
      </w:r>
      <w:r w:rsidR="00CA754F" w:rsidRPr="00020E10">
        <w:instrText xml:space="preserve"> ADDIN EN.CITE &lt;EndNote&gt;&lt;Cite&gt;&lt;Author&gt;Carlsen&lt;/Author&gt;&lt;Year&gt;2013&lt;/Year&gt;&lt;RecNum&gt;1254&lt;/RecNum&gt;&lt;DisplayText&gt;Carlsen, Johansen and Stambøl (2013)&lt;/DisplayText&gt;&lt;record&gt;&lt;rec-number&gt;1254&lt;/rec-number&gt;&lt;foreign-keys&gt;&lt;key app="EN" db-id="refafpv0nd2rd4e9e2qxeaf6rw5xxvv2ds22" timestamp="1371778436"&gt;1254&lt;/key&gt;&lt;/foreign-keys&gt;&lt;ref-type name="Journal Article"&gt;17&lt;/ref-type&gt;&lt;contributors&gt;&lt;authors&gt;&lt;author&gt;Carlsen, Fredrik&lt;/author&gt;&lt;author&gt;Johansen, Kåre&lt;/author&gt;&lt;author&gt;Stambøl, Lasse Sigbjørn&lt;/author&gt;&lt;/authors&gt;&lt;/contributors&gt;&lt;titles&gt;&lt;title&gt;Effects of regional labour markets on migration flows, by education level&lt;/title&gt;&lt;secondary-title&gt;Labour&lt;/secondary-title&gt;&lt;/titles&gt;&lt;periodical&gt;&lt;full-title&gt;LABOUR&lt;/full-title&gt;&lt;/periodical&gt;&lt;pages&gt;80-92&lt;/pages&gt;&lt;volume&gt;27&lt;/volume&gt;&lt;number&gt;1&lt;/number&gt;&lt;keywords&gt;&lt;keyword&gt;JEL J61&lt;/keyword&gt;&lt;keyword&gt;R23&lt;/keyword&gt;&lt;/keywords&gt;&lt;dates&gt;&lt;year&gt;2013&lt;/year&gt;&lt;/dates&gt;&lt;isbn&gt;1467-9914&lt;/isbn&gt;&lt;urls&gt;&lt;related-urls&gt;&lt;url&gt;http://dx.doi.org/10.1111/labr.12004&lt;/url&gt;&lt;/related-urls&gt;&lt;/urls&gt;&lt;electronic-resource-num&gt;10.1111/labr.12004&lt;/electronic-resource-num&gt;&lt;/record&gt;&lt;/Cite&gt;&lt;/EndNote&gt;</w:instrText>
      </w:r>
      <w:r w:rsidR="00406B75" w:rsidRPr="00020E10">
        <w:fldChar w:fldCharType="separate"/>
      </w:r>
      <w:hyperlink w:anchor="_ENREF_14" w:tooltip="Carlsen, 2013 #1254" w:history="1">
        <w:r w:rsidR="000F36EC" w:rsidRPr="00020E10">
          <w:rPr>
            <w:noProof/>
          </w:rPr>
          <w:t xml:space="preserve">Carlsen, Johansen </w:t>
        </w:r>
        <w:r w:rsidR="00277F7C" w:rsidRPr="00020E10">
          <w:rPr>
            <w:noProof/>
          </w:rPr>
          <w:t>&amp;</w:t>
        </w:r>
        <w:r w:rsidR="000F36EC" w:rsidRPr="00020E10">
          <w:rPr>
            <w:noProof/>
          </w:rPr>
          <w:t xml:space="preserve"> Stambøl </w:t>
        </w:r>
        <w:r w:rsidR="00CA754F" w:rsidRPr="00020E10">
          <w:rPr>
            <w:noProof/>
          </w:rPr>
          <w:t>2013</w:t>
        </w:r>
      </w:hyperlink>
      <w:r w:rsidR="00CE053F" w:rsidRPr="00020E10">
        <w:rPr>
          <w:noProof/>
        </w:rPr>
        <w:t>)</w:t>
      </w:r>
      <w:r w:rsidR="00406B75" w:rsidRPr="00020E10">
        <w:fldChar w:fldCharType="end"/>
      </w:r>
      <w:r w:rsidR="00286989" w:rsidRPr="00020E10">
        <w:t xml:space="preserve">, </w:t>
      </w:r>
      <w:r w:rsidR="006209CF" w:rsidRPr="00020E10">
        <w:t>in our analysis we find the level of education not significant in explaining the decision to move to a regional location for a job</w:t>
      </w:r>
      <w:r w:rsidR="009E7015" w:rsidRPr="00020E10">
        <w:t xml:space="preserve">. </w:t>
      </w:r>
      <w:r w:rsidR="00D85FDD" w:rsidRPr="00020E10">
        <w:t>U</w:t>
      </w:r>
      <w:r w:rsidR="009E699D" w:rsidRPr="00020E10">
        <w:t xml:space="preserve">nlike most </w:t>
      </w:r>
      <w:r w:rsidR="007C1223" w:rsidRPr="00020E10">
        <w:t xml:space="preserve">other </w:t>
      </w:r>
      <w:r w:rsidR="009E699D" w:rsidRPr="00020E10">
        <w:t>studies o</w:t>
      </w:r>
      <w:r w:rsidR="003225FE" w:rsidRPr="00020E10">
        <w:t>n mobility,</w:t>
      </w:r>
      <w:r w:rsidR="00D85FDD" w:rsidRPr="00020E10">
        <w:t xml:space="preserve"> however,</w:t>
      </w:r>
      <w:r w:rsidR="003225FE" w:rsidRPr="00020E10">
        <w:t xml:space="preserve"> </w:t>
      </w:r>
      <w:r w:rsidR="00815395" w:rsidRPr="00020E10">
        <w:t>we control for the labour-</w:t>
      </w:r>
      <w:r w:rsidRPr="00020E10">
        <w:t xml:space="preserve">demand factors through the design of the choice experiment, whereby each person is offered a job in their current </w:t>
      </w:r>
      <w:r w:rsidRPr="00020E10">
        <w:lastRenderedPageBreak/>
        <w:t xml:space="preserve">occupation, thus matching labour demand to labour supply. </w:t>
      </w:r>
      <w:r w:rsidR="00D62075" w:rsidRPr="00020E10">
        <w:t>Therefore</w:t>
      </w:r>
      <w:r w:rsidR="003D38C7">
        <w:t>,</w:t>
      </w:r>
      <w:r w:rsidR="00D62075" w:rsidRPr="00020E10">
        <w:t xml:space="preserve"> </w:t>
      </w:r>
      <w:r w:rsidR="0021380D" w:rsidRPr="00020E10">
        <w:t>r</w:t>
      </w:r>
      <w:r w:rsidR="00C64BBE" w:rsidRPr="00020E10">
        <w:t>egardless of their</w:t>
      </w:r>
      <w:r w:rsidR="00216A1D" w:rsidRPr="00020E10">
        <w:t xml:space="preserve"> education level</w:t>
      </w:r>
      <w:r w:rsidR="004170BE" w:rsidRPr="00020E10">
        <w:t>,</w:t>
      </w:r>
      <w:r w:rsidR="0021380D" w:rsidRPr="00020E10">
        <w:t xml:space="preserve"> all individuals</w:t>
      </w:r>
      <w:r w:rsidR="00216A1D" w:rsidRPr="00020E10">
        <w:t xml:space="preserve"> may be </w:t>
      </w:r>
      <w:r w:rsidR="00753BEC" w:rsidRPr="00020E10">
        <w:t xml:space="preserve">equally </w:t>
      </w:r>
      <w:r w:rsidR="00216A1D" w:rsidRPr="00020E10">
        <w:t xml:space="preserve">willing to move, </w:t>
      </w:r>
      <w:r w:rsidR="0021380D" w:rsidRPr="00020E10">
        <w:t xml:space="preserve">but </w:t>
      </w:r>
      <w:r w:rsidR="00216A1D" w:rsidRPr="00020E10">
        <w:t xml:space="preserve">other constraints external to their willingness to move, such as a matching demand for their skills, may prevent them </w:t>
      </w:r>
      <w:r w:rsidR="00D62075" w:rsidRPr="00020E10">
        <w:t>from</w:t>
      </w:r>
      <w:r w:rsidR="00C64BBE" w:rsidRPr="00020E10">
        <w:t xml:space="preserve"> actually </w:t>
      </w:r>
      <w:r w:rsidR="00216A1D" w:rsidRPr="00020E10">
        <w:t>moving.</w:t>
      </w:r>
      <w:r w:rsidRPr="00020E10">
        <w:t xml:space="preserve"> </w:t>
      </w:r>
      <w:r w:rsidR="00406B75" w:rsidRPr="00020E10">
        <w:fldChar w:fldCharType="begin"/>
      </w:r>
      <w:r w:rsidR="00CA754F" w:rsidRPr="00020E10">
        <w:instrText xml:space="preserve"> ADDIN EN.CITE &lt;EndNote&gt;&lt;Cite&gt;&lt;Author&gt;Bonin&lt;/Author&gt;&lt;Year&gt;2008&lt;/Year&gt;&lt;RecNum&gt;1252&lt;/RecNum&gt;&lt;DisplayText&gt;Bonin et al. (2008)&lt;/DisplayText&gt;&lt;record&gt;&lt;rec-number&gt;1252&lt;/rec-number&gt;&lt;foreign-keys&gt;&lt;key app="EN" db-id="refafpv0nd2rd4e9e2qxeaf6rw5xxvv2ds22" timestamp="1371774892"&gt;1252&lt;/key&gt;&lt;/foreign-keys&gt;&lt;ref-type name="Report"&gt;27&lt;/ref-type&gt;&lt;contributors&gt;&lt;authors&gt;&lt;author&gt;Bonin, H&lt;/author&gt;&lt;author&gt;Eichhorst, W&lt;/author&gt;&lt;author&gt;Florman, C&lt;/author&gt;&lt;author&gt;Okkels Hansen, M&lt;/author&gt;&lt;author&gt;Skiöld, L&lt;/author&gt;&lt;author&gt;Stuhler, J&lt;/author&gt;&lt;author&gt;Tatsiramos, K&lt;/author&gt;&lt;author&gt;Thomasen, H&lt;/author&gt;&lt;author&gt;Zimmermann, K&lt;/author&gt;&lt;/authors&gt;&lt;/contributors&gt;&lt;titles&gt;&lt;title&gt;Geographic mobility in the European Union: Optimising its economic and social benefits&lt;/title&gt;&lt;/titles&gt;&lt;dates&gt;&lt;year&gt;2008&lt;/year&gt;&lt;/dates&gt;&lt;pub-location&gt;Bonn&lt;/pub-location&gt;&lt;isbn&gt;IZA Research Report No. 19&lt;/isbn&gt;&lt;urls&gt;&lt;related-urls&gt;&lt;url&gt;http://www.iza.org/en/webcontent/publications/reports/report_pdfs/iza_report_19.pdf&lt;/url&gt;&lt;/related-urls&gt;&lt;/urls&gt;&lt;access-date&gt;21 June 2013&lt;/access-date&gt;&lt;/record&gt;&lt;/Cite&gt;&lt;/EndNote&gt;</w:instrText>
      </w:r>
      <w:r w:rsidR="00406B75" w:rsidRPr="00020E10">
        <w:fldChar w:fldCharType="separate"/>
      </w:r>
      <w:hyperlink w:anchor="_ENREF_11" w:tooltip="Bonin, 2008 #1252" w:history="1">
        <w:r w:rsidR="00CA754F" w:rsidRPr="00020E10">
          <w:rPr>
            <w:noProof/>
          </w:rPr>
          <w:t>Bonin et al. (2008</w:t>
        </w:r>
      </w:hyperlink>
      <w:r w:rsidR="00CE053F" w:rsidRPr="00020E10">
        <w:rPr>
          <w:noProof/>
        </w:rPr>
        <w:t>)</w:t>
      </w:r>
      <w:r w:rsidR="00406B75" w:rsidRPr="00020E10">
        <w:fldChar w:fldCharType="end"/>
      </w:r>
      <w:r w:rsidR="00B05848" w:rsidRPr="00020E10">
        <w:t xml:space="preserve"> also f</w:t>
      </w:r>
      <w:r w:rsidR="00131016" w:rsidRPr="00020E10">
        <w:t>ound</w:t>
      </w:r>
      <w:r w:rsidR="00B05848" w:rsidRPr="00020E10">
        <w:t xml:space="preserve"> </w:t>
      </w:r>
      <w:r w:rsidR="0021380D" w:rsidRPr="00020E10">
        <w:t>no difference in the mobility of Europeans</w:t>
      </w:r>
      <w:r w:rsidR="00131016" w:rsidRPr="00020E10">
        <w:t xml:space="preserve"> with differ</w:t>
      </w:r>
      <w:r w:rsidR="0021380D" w:rsidRPr="00020E10">
        <w:t xml:space="preserve">ent levels </w:t>
      </w:r>
      <w:r w:rsidR="004170BE" w:rsidRPr="00020E10">
        <w:t xml:space="preserve">of </w:t>
      </w:r>
      <w:r w:rsidR="0021380D" w:rsidRPr="00020E10">
        <w:t>education, except for</w:t>
      </w:r>
      <w:r w:rsidR="00131016" w:rsidRPr="00020E10">
        <w:t xml:space="preserve"> th</w:t>
      </w:r>
      <w:r w:rsidR="004170BE" w:rsidRPr="00020E10">
        <w:t>e least-</w:t>
      </w:r>
      <w:r w:rsidR="0021380D" w:rsidRPr="00020E10">
        <w:t>educated</w:t>
      </w:r>
      <w:r w:rsidR="00131016" w:rsidRPr="00020E10">
        <w:t xml:space="preserve">. </w:t>
      </w:r>
      <w:r w:rsidR="0021380D" w:rsidRPr="00020E10">
        <w:t>As their model</w:t>
      </w:r>
      <w:r w:rsidR="00131016" w:rsidRPr="00020E10">
        <w:t xml:space="preserve"> included industry sec</w:t>
      </w:r>
      <w:r w:rsidR="0021380D" w:rsidRPr="00020E10">
        <w:t>tor and occupational dummies, most variation due to education is probably accounted for</w:t>
      </w:r>
      <w:r w:rsidR="00131016" w:rsidRPr="00020E10">
        <w:t>.</w:t>
      </w:r>
      <w:r w:rsidR="009F2B01" w:rsidRPr="00020E10">
        <w:rPr>
          <w:rStyle w:val="FootnoteReference"/>
          <w:color w:val="000000" w:themeColor="text1"/>
        </w:rPr>
        <w:footnoteReference w:id="13"/>
      </w:r>
    </w:p>
    <w:p w:rsidR="00D22CF7" w:rsidRPr="005F73E6" w:rsidRDefault="00B86DA4" w:rsidP="005F73E6">
      <w:pPr>
        <w:pStyle w:val="Text"/>
      </w:pPr>
      <w:r>
        <w:t>Individuals are</w:t>
      </w:r>
      <w:r w:rsidR="00F31C9D" w:rsidRPr="00FE162C">
        <w:t xml:space="preserve"> </w:t>
      </w:r>
      <w:r w:rsidR="00160492" w:rsidRPr="00FE162C">
        <w:t>significant</w:t>
      </w:r>
      <w:r>
        <w:t>ly</w:t>
      </w:r>
      <w:r w:rsidR="00F31C9D" w:rsidRPr="00FE162C">
        <w:t xml:space="preserve"> more likely to accept a job offer if they are currently studying.</w:t>
      </w:r>
      <w:r w:rsidR="00D520EE" w:rsidRPr="00FE162C">
        <w:t xml:space="preserve"> </w:t>
      </w:r>
      <w:r w:rsidR="00020E10">
        <w:t>The c</w:t>
      </w:r>
      <w:r w:rsidR="00D520EE" w:rsidRPr="00FE162C">
        <w:t xml:space="preserve">urrent study </w:t>
      </w:r>
      <w:r w:rsidR="00312468" w:rsidRPr="00FE162C">
        <w:t xml:space="preserve">mode </w:t>
      </w:r>
      <w:r w:rsidR="00D520EE" w:rsidRPr="00FE162C">
        <w:t>will generally be part-</w:t>
      </w:r>
      <w:r w:rsidR="00D520EE" w:rsidRPr="005F73E6">
        <w:t>time</w:t>
      </w:r>
      <w:r w:rsidR="004170BE" w:rsidRPr="005F73E6">
        <w:t>,</w:t>
      </w:r>
      <w:r w:rsidR="00D520EE" w:rsidRPr="005F73E6">
        <w:t xml:space="preserve"> as full-time students are excluded from the sample.</w:t>
      </w:r>
    </w:p>
    <w:p w:rsidR="006B22E8" w:rsidRPr="005F73E6" w:rsidRDefault="00B05848" w:rsidP="005F73E6">
      <w:pPr>
        <w:pStyle w:val="Text"/>
        <w:ind w:right="-143"/>
      </w:pPr>
      <w:r w:rsidRPr="005F73E6">
        <w:t>People own</w:t>
      </w:r>
      <w:r w:rsidR="00346E75" w:rsidRPr="005F73E6">
        <w:t>ing</w:t>
      </w:r>
      <w:r w:rsidRPr="005F73E6">
        <w:t xml:space="preserve"> their own house</w:t>
      </w:r>
      <w:r w:rsidR="00E71E87" w:rsidRPr="005F73E6">
        <w:t xml:space="preserve">, </w:t>
      </w:r>
      <w:r w:rsidR="00346E75" w:rsidRPr="005F73E6">
        <w:t xml:space="preserve">and </w:t>
      </w:r>
      <w:r w:rsidR="00B86DA4" w:rsidRPr="005F73E6">
        <w:t>especially if the house is</w:t>
      </w:r>
      <w:r w:rsidR="00346E75" w:rsidRPr="005F73E6">
        <w:t xml:space="preserve"> </w:t>
      </w:r>
      <w:r w:rsidR="00E71E87" w:rsidRPr="005F73E6">
        <w:t xml:space="preserve">under mortgage, are significantly less likely to accept a job offer than those who </w:t>
      </w:r>
      <w:r w:rsidR="00346E75" w:rsidRPr="005F73E6">
        <w:t xml:space="preserve">are </w:t>
      </w:r>
      <w:r w:rsidR="00E71E87" w:rsidRPr="005F73E6">
        <w:t>rent</w:t>
      </w:r>
      <w:r w:rsidR="00346E75" w:rsidRPr="005F73E6">
        <w:t>ing.</w:t>
      </w:r>
      <w:r w:rsidR="00B86DA4" w:rsidRPr="005F73E6">
        <w:t xml:space="preserve"> The result reflects the potential housing-related</w:t>
      </w:r>
      <w:r w:rsidR="005F73E6">
        <w:t> </w:t>
      </w:r>
      <w:r w:rsidR="00B86DA4" w:rsidRPr="005F73E6">
        <w:t>costs of moving and perhaps also the level of inefficiency in the housing market.</w:t>
      </w:r>
      <w:r w:rsidR="00EE1572" w:rsidRPr="005F73E6">
        <w:t xml:space="preserve"> </w:t>
      </w:r>
      <w:r w:rsidR="00815395" w:rsidRPr="005F73E6">
        <w:t>Also i</w:t>
      </w:r>
      <w:r w:rsidRPr="005F73E6">
        <w:t>n many European countries</w:t>
      </w:r>
      <w:r w:rsidR="00B86DA4" w:rsidRPr="005F73E6">
        <w:t xml:space="preserve"> </w:t>
      </w:r>
      <w:r w:rsidRPr="005F73E6">
        <w:t>house owners</w:t>
      </w:r>
      <w:r w:rsidR="00B86DA4" w:rsidRPr="005F73E6">
        <w:t xml:space="preserve"> and social housing renters are</w:t>
      </w:r>
      <w:r w:rsidR="00346E75" w:rsidRPr="005F73E6">
        <w:t xml:space="preserve"> </w:t>
      </w:r>
      <w:r w:rsidRPr="005F73E6">
        <w:t xml:space="preserve">reluctant to accept jobs </w:t>
      </w:r>
      <w:r w:rsidR="00EC5A13" w:rsidRPr="005F73E6">
        <w:t>which</w:t>
      </w:r>
      <w:r w:rsidR="00346E75" w:rsidRPr="005F73E6">
        <w:t xml:space="preserve"> require them to change </w:t>
      </w:r>
      <w:r w:rsidRPr="005F73E6">
        <w:t>residen</w:t>
      </w:r>
      <w:r w:rsidR="00346E75" w:rsidRPr="005F73E6">
        <w:t>ce</w:t>
      </w:r>
      <w:r w:rsidRPr="005F73E6">
        <w:t xml:space="preserve"> (</w:t>
      </w:r>
      <w:r w:rsidR="00406B75" w:rsidRPr="005F73E6">
        <w:fldChar w:fldCharType="begin"/>
      </w:r>
      <w:r w:rsidR="00CA754F" w:rsidRPr="005F73E6">
        <w:instrText xml:space="preserve"> ADDIN EN.CITE &lt;EndNote&gt;&lt;Cite&gt;&lt;Author&gt;Barceló&lt;/Author&gt;&lt;Year&gt;2003&lt;/Year&gt;&lt;RecNum&gt;1251&lt;/RecNum&gt;&lt;DisplayText&gt;Barceló (2003)&lt;/DisplayText&gt;&lt;record&gt;&lt;rec-number&gt;1251&lt;/rec-number&gt;&lt;foreign-keys&gt;&lt;key app="EN" db-id="refafpv0nd2rd4e9e2qxeaf6rw5xxvv2ds22" timestamp="1371727379"&gt;1251&lt;/key&gt;&lt;/foreign-keys&gt;&lt;ref-type name="Working paper"&gt;40&lt;/ref-type&gt;&lt;contributors&gt;&lt;authors&gt;&lt;author&gt;Barceló, C&lt;/author&gt;&lt;/authors&gt;&lt;/contributors&gt;&lt;titles&gt;&lt;title&gt;Housing tenure and labour mobility: A comparison across European Countries&lt;/title&gt;&lt;/titles&gt;&lt;number&gt;CEMFI Working Paper No. 0302&lt;/number&gt;&lt;dates&gt;&lt;year&gt;2003&lt;/year&gt;&lt;/dates&gt;&lt;pub-location&gt;Madrid&lt;/pub-location&gt;&lt;publisher&gt;Centre for Monetary and Financial Studies&lt;/publisher&gt;&lt;urls&gt;&lt;related-urls&gt;&lt;url&gt;ftp://193.146.129.230/wp/03/0302.pdf&lt;/url&gt;&lt;/related-urls&gt;&lt;/urls&gt;&lt;access-date&gt;20 June 2013&lt;/access-date&gt;&lt;/record&gt;&lt;/Cite&gt;&lt;/EndNote&gt;</w:instrText>
      </w:r>
      <w:r w:rsidR="00406B75" w:rsidRPr="005F73E6">
        <w:fldChar w:fldCharType="separate"/>
      </w:r>
      <w:hyperlink w:anchor="_ENREF_8" w:tooltip="Barceló, 2003 #1251" w:history="1">
        <w:r w:rsidR="00B86DA4" w:rsidRPr="005F73E6">
          <w:t xml:space="preserve">Barceló </w:t>
        </w:r>
        <w:r w:rsidR="00CA754F" w:rsidRPr="005F73E6">
          <w:t>2003</w:t>
        </w:r>
      </w:hyperlink>
      <w:r w:rsidR="00406B75" w:rsidRPr="005F73E6">
        <w:fldChar w:fldCharType="end"/>
      </w:r>
      <w:r w:rsidRPr="005F73E6">
        <w:t xml:space="preserve">; </w:t>
      </w:r>
      <w:r w:rsidR="00406B75" w:rsidRPr="005F73E6">
        <w:fldChar w:fldCharType="begin"/>
      </w:r>
      <w:r w:rsidR="00CA754F" w:rsidRPr="005F73E6">
        <w:instrText xml:space="preserve"> ADDIN EN.CITE &lt;EndNote&gt;&lt;Cite&gt;&lt;Author&gt;Huber&lt;/Author&gt;&lt;Year&gt;2004&lt;/Year&gt;&lt;RecNum&gt;1323&lt;/RecNum&gt;&lt;DisplayText&gt;Huber (2004)&lt;/DisplayText&gt;&lt;record&gt;&lt;rec-number&gt;1323&lt;/rec-number&gt;&lt;foreign-keys&gt;&lt;key app="EN" db-id="refafpv0nd2rd4e9e2qxeaf6rw5xxvv2ds22" timestamp="1380337941"&gt;1323&lt;/key&gt;&lt;/foreign-keys&gt;&lt;ref-type name="Journal Article"&gt;17&lt;/ref-type&gt;&lt;contributors&gt;&lt;authors&gt;&lt;author&gt;Huber, P&lt;/author&gt;&lt;/authors&gt;&lt;/contributors&gt;&lt;titles&gt;&lt;title&gt;Inter-regional mobility in Europe: a note on the cross-country evidence&lt;/title&gt;&lt;secondary-title&gt;Applied Economics Letters&lt;/secondary-title&gt;&lt;tertiary-title&gt;Applied Economics Letters&lt;/tertiary-title&gt;&lt;/titles&gt;&lt;periodical&gt;&lt;full-title&gt;Applied Economics Letters&lt;/full-title&gt;&lt;/periodical&gt;&lt;pages&gt;619-624&lt;/pages&gt;&lt;volume&gt;11&lt;/volume&gt;&lt;number&gt;10&lt;/number&gt;&lt;dates&gt;&lt;year&gt;2004&lt;/year&gt;&lt;/dates&gt;&lt;publisher&gt;Taylor and Francis Journals&lt;/publisher&gt;&lt;urls&gt;&lt;related-urls&gt;&lt;url&gt;http://ideas.repec.org/a/taf/apeclt/v11y2004i10p619-624.html&lt;/url&gt;&lt;/related-urls&gt;&lt;/urls&gt;&lt;/record&gt;&lt;/Cite&gt;&lt;/EndNote&gt;</w:instrText>
      </w:r>
      <w:r w:rsidR="00406B75" w:rsidRPr="005F73E6">
        <w:fldChar w:fldCharType="separate"/>
      </w:r>
      <w:hyperlink w:anchor="_ENREF_30" w:tooltip="Huber, 2004 #1323" w:history="1">
        <w:r w:rsidR="00B86DA4" w:rsidRPr="005F73E6">
          <w:t xml:space="preserve">Huber </w:t>
        </w:r>
        <w:r w:rsidR="00CA754F" w:rsidRPr="005F73E6">
          <w:t>2004</w:t>
        </w:r>
      </w:hyperlink>
      <w:r w:rsidR="00406B75" w:rsidRPr="005F73E6">
        <w:fldChar w:fldCharType="end"/>
      </w:r>
      <w:r w:rsidRPr="005F73E6">
        <w:t xml:space="preserve">; </w:t>
      </w:r>
      <w:r w:rsidR="00406B75" w:rsidRPr="005F73E6">
        <w:fldChar w:fldCharType="begin"/>
      </w:r>
      <w:r w:rsidR="00CA754F" w:rsidRPr="005F73E6">
        <w:instrText xml:space="preserve"> ADDIN EN.CITE &lt;EndNote&gt;&lt;Cite&gt;&lt;Author&gt;Fidrmuc&lt;/Author&gt;&lt;Year&gt;2007&lt;/Year&gt;&lt;RecNum&gt;941&lt;/RecNum&gt;&lt;DisplayText&gt;Fidrmuc and Huber (2007)&lt;/DisplayText&gt;&lt;record&gt;&lt;rec-number&gt;941&lt;/rec-number&gt;&lt;foreign-keys&gt;&lt;key app="EN" db-id="refafpv0nd2rd4e9e2qxeaf6rw5xxvv2ds22" timestamp="1322656555"&gt;941&lt;/key&gt;&lt;/foreign-keys&gt;&lt;ref-type name="Journal Article"&gt;17&lt;/ref-type&gt;&lt;contributors&gt;&lt;authors&gt;&lt;author&gt;Fidrmuc, J&lt;/author&gt;&lt;author&gt;Huber, P&lt;/author&gt;&lt;/authors&gt;&lt;/contributors&gt;&lt;titles&gt;&lt;title&gt;The willingness to migrate in CEEC: evidence from the Czech Republic&lt;/title&gt;&lt;secondary-title&gt;Empirica&lt;/secondary-title&gt;&lt;/titles&gt;&lt;periodical&gt;&lt;full-title&gt;Empirica&lt;/full-title&gt;&lt;/periodical&gt;&lt;pages&gt;&lt;style face="normal" font="Times New Roman" size="100%"&gt;351-69&lt;/style&gt;&lt;/pages&gt;&lt;volume&gt;34&lt;/volume&gt;&lt;dates&gt;&lt;year&gt;2007&lt;/year&gt;&lt;/dates&gt;&lt;urls&gt;&lt;/urls&gt;&lt;/record&gt;&lt;/Cite&gt;&lt;/EndNote&gt;</w:instrText>
      </w:r>
      <w:r w:rsidR="00406B75" w:rsidRPr="005F73E6">
        <w:fldChar w:fldCharType="separate"/>
      </w:r>
      <w:hyperlink w:anchor="_ENREF_19" w:tooltip="Fidrmuc, 2007 #941" w:history="1">
        <w:r w:rsidR="00B86DA4" w:rsidRPr="005F73E6">
          <w:t xml:space="preserve">Fidrmuc </w:t>
        </w:r>
        <w:r w:rsidR="004170BE" w:rsidRPr="005F73E6">
          <w:t>&amp;</w:t>
        </w:r>
        <w:r w:rsidR="00B86DA4" w:rsidRPr="005F73E6">
          <w:t xml:space="preserve"> Huber </w:t>
        </w:r>
        <w:r w:rsidR="00CA754F" w:rsidRPr="005F73E6">
          <w:t>2007</w:t>
        </w:r>
      </w:hyperlink>
      <w:r w:rsidR="00406B75" w:rsidRPr="005F73E6">
        <w:fldChar w:fldCharType="end"/>
      </w:r>
      <w:r w:rsidRPr="005F73E6">
        <w:t xml:space="preserve">; </w:t>
      </w:r>
      <w:r w:rsidR="00406B75" w:rsidRPr="005F73E6">
        <w:fldChar w:fldCharType="begin"/>
      </w:r>
      <w:r w:rsidR="00CA754F" w:rsidRPr="005F73E6">
        <w:instrText xml:space="preserve"> ADDIN EN.CITE &lt;EndNote&gt;&lt;Cite&gt;&lt;Author&gt;Bonin&lt;/Author&gt;&lt;Year&gt;2008&lt;/Year&gt;&lt;RecNum&gt;1252&lt;/RecNum&gt;&lt;DisplayText&gt;Bonin et al. (2008)&lt;/DisplayText&gt;&lt;record&gt;&lt;rec-number&gt;1252&lt;/rec-number&gt;&lt;foreign-keys&gt;&lt;key app="EN" db-id="refafpv0nd2rd4e9e2qxeaf6rw5xxvv2ds22" timestamp="1371774892"&gt;1252&lt;/key&gt;&lt;/foreign-keys&gt;&lt;ref-type name="Report"&gt;27&lt;/ref-type&gt;&lt;contributors&gt;&lt;authors&gt;&lt;author&gt;Bonin, H&lt;/author&gt;&lt;author&gt;Eichhorst, W&lt;/author&gt;&lt;author&gt;Florman, C&lt;/author&gt;&lt;author&gt;Okkels Hansen, M&lt;/author&gt;&lt;author&gt;Skiöld, L&lt;/author&gt;&lt;author&gt;Stuhler, J&lt;/author&gt;&lt;author&gt;Tatsiramos, K&lt;/author&gt;&lt;author&gt;Thomasen, H&lt;/author&gt;&lt;author&gt;Zimmermann, K&lt;/author&gt;&lt;/authors&gt;&lt;/contributors&gt;&lt;titles&gt;&lt;title&gt;Geographic mobility in the European Union: Optimising its economic and social benefits&lt;/title&gt;&lt;/titles&gt;&lt;dates&gt;&lt;year&gt;2008&lt;/year&gt;&lt;/dates&gt;&lt;pub-location&gt;Bonn&lt;/pub-location&gt;&lt;isbn&gt;IZA Research Report No. 19&lt;/isbn&gt;&lt;urls&gt;&lt;related-urls&gt;&lt;url&gt;http://www.iza.org/en/webcontent/publications/reports/report_pdfs/iza_report_19.pdf&lt;/url&gt;&lt;/related-urls&gt;&lt;/urls&gt;&lt;access-date&gt;21 June 2013&lt;/access-date&gt;&lt;/record&gt;&lt;/Cite&gt;&lt;/EndNote&gt;</w:instrText>
      </w:r>
      <w:r w:rsidR="00406B75" w:rsidRPr="005F73E6">
        <w:fldChar w:fldCharType="separate"/>
      </w:r>
      <w:hyperlink w:anchor="_ENREF_11" w:tooltip="Bonin, 2008 #1252" w:history="1">
        <w:r w:rsidR="00B86DA4" w:rsidRPr="005F73E6">
          <w:t xml:space="preserve">Bonin et al. </w:t>
        </w:r>
        <w:r w:rsidR="00CA754F" w:rsidRPr="005F73E6">
          <w:t>2008</w:t>
        </w:r>
      </w:hyperlink>
      <w:r w:rsidR="00CE053F" w:rsidRPr="005F73E6">
        <w:t>)</w:t>
      </w:r>
      <w:r w:rsidR="00406B75" w:rsidRPr="005F73E6">
        <w:fldChar w:fldCharType="end"/>
      </w:r>
      <w:r w:rsidR="00774851" w:rsidRPr="005F73E6">
        <w:t>.</w:t>
      </w:r>
    </w:p>
    <w:p w:rsidR="00A33F95" w:rsidRPr="005F73E6" w:rsidRDefault="000633AF" w:rsidP="005F73E6">
      <w:pPr>
        <w:pStyle w:val="Text"/>
      </w:pPr>
      <w:r w:rsidRPr="005F73E6">
        <w:t>K</w:t>
      </w:r>
      <w:r w:rsidR="00D80CA5" w:rsidRPr="005F73E6">
        <w:t>nowing people</w:t>
      </w:r>
      <w:r w:rsidR="00774851" w:rsidRPr="005F73E6">
        <w:t xml:space="preserve"> </w:t>
      </w:r>
      <w:r w:rsidR="00F32343" w:rsidRPr="005F73E6">
        <w:t>at the location where the job is offered has a</w:t>
      </w:r>
      <w:r w:rsidR="00774851" w:rsidRPr="005F73E6">
        <w:t xml:space="preserve"> sig</w:t>
      </w:r>
      <w:r w:rsidR="00F32343" w:rsidRPr="005F73E6">
        <w:t xml:space="preserve">nificant </w:t>
      </w:r>
      <w:r w:rsidRPr="005F73E6">
        <w:t xml:space="preserve">positive </w:t>
      </w:r>
      <w:r w:rsidR="00F32343" w:rsidRPr="005F73E6">
        <w:t>influence</w:t>
      </w:r>
      <w:r w:rsidR="00774851" w:rsidRPr="005F73E6">
        <w:t xml:space="preserve"> on the decision to </w:t>
      </w:r>
      <w:r w:rsidR="00F31C9D" w:rsidRPr="005F73E6">
        <w:t>accept a</w:t>
      </w:r>
      <w:r w:rsidRPr="005F73E6">
        <w:t xml:space="preserve"> job</w:t>
      </w:r>
      <w:r w:rsidR="00F31C9D" w:rsidRPr="005F73E6">
        <w:t xml:space="preserve"> offer</w:t>
      </w:r>
      <w:r w:rsidR="00D80CA5" w:rsidRPr="005F73E6">
        <w:t>, although</w:t>
      </w:r>
      <w:r w:rsidR="00B86DA4" w:rsidRPr="005F73E6">
        <w:t>, and surprisingly,</w:t>
      </w:r>
      <w:r w:rsidR="00D80CA5" w:rsidRPr="005F73E6">
        <w:t xml:space="preserve"> having relatives at the location is </w:t>
      </w:r>
      <w:r w:rsidRPr="005F73E6">
        <w:t xml:space="preserve">not </w:t>
      </w:r>
      <w:r w:rsidR="00D80CA5" w:rsidRPr="005F73E6">
        <w:t>a significant factor</w:t>
      </w:r>
      <w:r w:rsidR="00774851" w:rsidRPr="005F73E6">
        <w:t>.</w:t>
      </w:r>
      <w:r w:rsidR="00D80CA5" w:rsidRPr="005F73E6">
        <w:t xml:space="preserve"> </w:t>
      </w:r>
      <w:r w:rsidR="00774851" w:rsidRPr="005F73E6">
        <w:t>These</w:t>
      </w:r>
      <w:r w:rsidRPr="005F73E6">
        <w:t xml:space="preserve"> are</w:t>
      </w:r>
      <w:r w:rsidR="00774851" w:rsidRPr="005F73E6">
        <w:t xml:space="preserve"> </w:t>
      </w:r>
      <w:r w:rsidR="00602830">
        <w:t>‘</w:t>
      </w:r>
      <w:r w:rsidR="00774851" w:rsidRPr="005F73E6">
        <w:t>pull</w:t>
      </w:r>
      <w:r w:rsidR="00602830">
        <w:t>’</w:t>
      </w:r>
      <w:r w:rsidR="00774851" w:rsidRPr="005F73E6">
        <w:t xml:space="preserve"> factors not dissimilar to those that </w:t>
      </w:r>
      <w:r w:rsidRPr="005F73E6">
        <w:t xml:space="preserve">also </w:t>
      </w:r>
      <w:r w:rsidR="00774851" w:rsidRPr="005F73E6">
        <w:t>drive international migration (</w:t>
      </w:r>
      <w:r w:rsidR="00406B75" w:rsidRPr="005F73E6">
        <w:fldChar w:fldCharType="begin"/>
      </w:r>
      <w:r w:rsidR="00CA754F" w:rsidRPr="005F73E6">
        <w:instrText xml:space="preserve"> ADDIN EN.CITE &lt;EndNote&gt;&lt;Cite&gt;&lt;Author&gt;Hatton&lt;/Author&gt;&lt;Year&gt;2003&lt;/Year&gt;&lt;RecNum&gt;1256&lt;/RecNum&gt;&lt;DisplayText&gt;Hatton and Williamson (2003)&lt;/DisplayText&gt;&lt;record&gt;&lt;rec-number&gt;1256&lt;/rec-number&gt;&lt;foreign-keys&gt;&lt;key app="EN" db-id="refafpv0nd2rd4e9e2qxeaf6rw5xxvv2ds22" timestamp="1371788415"&gt;1256&lt;/key&gt;&lt;/foreign-keys&gt;&lt;ref-type name="Book"&gt;6&lt;/ref-type&gt;&lt;contributors&gt;&lt;authors&gt;&lt;author&gt;Hatton, T.J.&lt;/author&gt;&lt;author&gt;Williamson, J.G.&lt;/author&gt;&lt;/authors&gt;&lt;/contributors&gt;&lt;titles&gt;&lt;title&gt;What fundamentals drive world migration?&lt;/title&gt;&lt;/titles&gt;&lt;dates&gt;&lt;year&gt;2003&lt;/year&gt;&lt;/dates&gt;&lt;publisher&gt;United Nations University, World Institute for Development Economics Research&lt;/publisher&gt;&lt;isbn&gt;9789291904297&lt;/isbn&gt;&lt;urls&gt;&lt;related-urls&gt;&lt;url&gt;http://books.google.com.au/books?id=My21AAAAIAAJ&lt;/url&gt;&lt;/related-urls&gt;&lt;/urls&gt;&lt;/record&gt;&lt;/Cite&gt;&lt;/EndNote&gt;</w:instrText>
      </w:r>
      <w:r w:rsidR="00406B75" w:rsidRPr="005F73E6">
        <w:fldChar w:fldCharType="separate"/>
      </w:r>
      <w:hyperlink w:anchor="_ENREF_26" w:tooltip="Hatton, 2003 #1256" w:history="1">
        <w:r w:rsidR="00B86DA4" w:rsidRPr="005F73E6">
          <w:t xml:space="preserve">Hatton </w:t>
        </w:r>
        <w:r w:rsidR="004170BE" w:rsidRPr="005F73E6">
          <w:t>&amp;</w:t>
        </w:r>
        <w:r w:rsidR="00B86DA4" w:rsidRPr="005F73E6">
          <w:t xml:space="preserve"> Williamson </w:t>
        </w:r>
        <w:r w:rsidR="00CA754F" w:rsidRPr="005F73E6">
          <w:t>2003</w:t>
        </w:r>
      </w:hyperlink>
      <w:r w:rsidR="00406B75" w:rsidRPr="005F73E6">
        <w:fldChar w:fldCharType="end"/>
      </w:r>
      <w:r w:rsidR="00774851" w:rsidRPr="005F73E6">
        <w:t xml:space="preserve">, </w:t>
      </w:r>
      <w:r w:rsidR="00406B75" w:rsidRPr="005F73E6">
        <w:fldChar w:fldCharType="begin"/>
      </w:r>
      <w:r w:rsidR="00CA754F" w:rsidRPr="005F73E6">
        <w:instrText xml:space="preserve"> ADDIN EN.CITE &lt;EndNote&gt;&lt;Cite&gt;&lt;Author&gt;Massey&lt;/Author&gt;&lt;Year&gt;1993&lt;/Year&gt;&lt;RecNum&gt;1258&lt;/RecNum&gt;&lt;DisplayText&gt;Massey et al. (1993)&lt;/DisplayText&gt;&lt;record&gt;&lt;rec-number&gt;1258&lt;/rec-number&gt;&lt;foreign-keys&gt;&lt;key app="EN" db-id="refafpv0nd2rd4e9e2qxeaf6rw5xxvv2ds22" timestamp="1371791247"&gt;1258&lt;/key&gt;&lt;/foreign-keys&gt;&lt;ref-type name="Journal Article"&gt;17&lt;/ref-type&gt;&lt;contributors&gt;&lt;authors&gt;&lt;author&gt;Massey, Douglas S.&lt;/author&gt;&lt;author&gt;Arango, Joaquin&lt;/author&gt;&lt;author&gt;Hugo, Graeme&lt;/author&gt;&lt;author&gt;Kouaouci, Ali&lt;/author&gt;&lt;author&gt;Pellegrino, Adela&lt;/author&gt;&lt;author&gt;Taylor, J. Edward&lt;/author&gt;&lt;/authors&gt;&lt;/contributors&gt;&lt;titles&gt;&lt;title&gt;Theories of international migration: A review and appraisal&lt;/title&gt;&lt;secondary-title&gt;Population and Development Review&lt;/secondary-title&gt;&lt;/titles&gt;&lt;periodical&gt;&lt;full-title&gt;Population and Development Review&lt;/full-title&gt;&lt;/periodical&gt;&lt;pages&gt;431-466&lt;/pages&gt;&lt;volume&gt;19&lt;/volume&gt;&lt;number&gt;3&lt;/number&gt;&lt;dates&gt;&lt;year&gt;1993&lt;/year&gt;&lt;/dates&gt;&lt;publisher&gt;Population Council&lt;/publisher&gt;&lt;isbn&gt;00987921&lt;/isbn&gt;&lt;urls&gt;&lt;related-urls&gt;&lt;url&gt;http://www.jstor.org/stable/2938462&lt;/url&gt;&lt;/related-urls&gt;&lt;/urls&gt;&lt;electronic-resource-num&gt;10.2307/2938462&lt;/electronic-resource-num&gt;&lt;/record&gt;&lt;/Cite&gt;&lt;/EndNote&gt;</w:instrText>
      </w:r>
      <w:r w:rsidR="00406B75" w:rsidRPr="005F73E6">
        <w:fldChar w:fldCharType="separate"/>
      </w:r>
      <w:hyperlink w:anchor="_ENREF_47" w:tooltip="Massey, 1993 #1258" w:history="1">
        <w:r w:rsidR="00B86DA4" w:rsidRPr="005F73E6">
          <w:t xml:space="preserve">Massey et al. </w:t>
        </w:r>
        <w:r w:rsidR="00CA754F" w:rsidRPr="005F73E6">
          <w:t>1993</w:t>
        </w:r>
      </w:hyperlink>
      <w:r w:rsidR="00406B75" w:rsidRPr="005F73E6">
        <w:fldChar w:fldCharType="end"/>
      </w:r>
      <w:r w:rsidR="00774851" w:rsidRPr="005F73E6">
        <w:t xml:space="preserve">; </w:t>
      </w:r>
      <w:r w:rsidR="00406B75" w:rsidRPr="005F73E6">
        <w:fldChar w:fldCharType="begin"/>
      </w:r>
      <w:r w:rsidR="00CA754F" w:rsidRPr="005F73E6">
        <w:instrText xml:space="preserve"> ADDIN EN.CITE &lt;EndNote&gt;&lt;Cite&gt;&lt;Author&gt;Massey&lt;/Author&gt;&lt;Year&gt;1994&lt;/Year&gt;&lt;RecNum&gt;1260&lt;/RecNum&gt;&lt;DisplayText&gt;Massey, Goldring and Durand (1994)&lt;/DisplayText&gt;&lt;record&gt;&lt;rec-number&gt;1260&lt;/rec-number&gt;&lt;foreign-keys&gt;&lt;key app="EN" db-id="refafpv0nd2rd4e9e2qxeaf6rw5xxvv2ds22" timestamp="1371791773"&gt;1260&lt;/key&gt;&lt;/foreign-keys&gt;&lt;ref-type name="Journal Article"&gt;17&lt;/ref-type&gt;&lt;contributors&gt;&lt;authors&gt;&lt;author&gt;Massey, Douglas S.&lt;/author&gt;&lt;author&gt;Goldring, Luin&lt;/author&gt;&lt;author&gt;Durand, Jorge&lt;/author&gt;&lt;/authors&gt;&lt;/contributors&gt;&lt;titles&gt;&lt;title&gt;Continuities in transnational migration: An analysis of nineteen Mexican communities&lt;/title&gt;&lt;secondary-title&gt;American Journal of Sociology&lt;/secondary-title&gt;&lt;/titles&gt;&lt;periodical&gt;&lt;full-title&gt;American Journal of Sociology&lt;/full-title&gt;&lt;/periodical&gt;&lt;pages&gt;1492-1533&lt;/pages&gt;&lt;volume&gt;99&lt;/volume&gt;&lt;number&gt;6&lt;/number&gt;&lt;dates&gt;&lt;year&gt;1994&lt;/year&gt;&lt;/dates&gt;&lt;publisher&gt;The University of Chicago Press&lt;/publisher&gt;&lt;isbn&gt;00029602&lt;/isbn&gt;&lt;urls&gt;&lt;related-urls&gt;&lt;url&gt;http://www.jstor.org/stable/2782582&lt;/url&gt;&lt;/related-urls&gt;&lt;/urls&gt;&lt;electronic-resource-num&gt;10.2307/2782582&lt;/electronic-resource-num&gt;&lt;/record&gt;&lt;/Cite&gt;&lt;/EndNote&gt;</w:instrText>
      </w:r>
      <w:r w:rsidR="00406B75" w:rsidRPr="005F73E6">
        <w:fldChar w:fldCharType="separate"/>
      </w:r>
      <w:hyperlink w:anchor="_ENREF_48" w:tooltip="Massey, 1994 #1260" w:history="1">
        <w:r w:rsidR="00B86DA4" w:rsidRPr="005F73E6">
          <w:t xml:space="preserve">Massey, Goldring </w:t>
        </w:r>
        <w:r w:rsidR="004170BE" w:rsidRPr="005F73E6">
          <w:t>&amp;</w:t>
        </w:r>
        <w:r w:rsidR="00B86DA4" w:rsidRPr="005F73E6">
          <w:t xml:space="preserve"> Durand </w:t>
        </w:r>
        <w:r w:rsidR="00CA754F" w:rsidRPr="005F73E6">
          <w:t>1994</w:t>
        </w:r>
      </w:hyperlink>
      <w:r w:rsidR="00406B75" w:rsidRPr="005F73E6">
        <w:fldChar w:fldCharType="end"/>
      </w:r>
      <w:r w:rsidR="00774851" w:rsidRPr="005F73E6">
        <w:t xml:space="preserve">; </w:t>
      </w:r>
      <w:r w:rsidR="00406B75" w:rsidRPr="005F73E6">
        <w:fldChar w:fldCharType="begin"/>
      </w:r>
      <w:r w:rsidR="00CA754F" w:rsidRPr="005F73E6">
        <w:instrText xml:space="preserve"> ADDIN EN.CITE &lt;EndNote&gt;&lt;Cite&gt;&lt;Author&gt;Fouarge&lt;/Author&gt;&lt;Year&gt;2007&lt;/Year&gt;&lt;RecNum&gt;1257&lt;/RecNum&gt;&lt;DisplayText&gt;Fouarge and Ester (2007)&lt;/DisplayText&gt;&lt;record&gt;&lt;rec-number&gt;1257&lt;/rec-number&gt;&lt;foreign-keys&gt;&lt;key app="EN" db-id="refafpv0nd2rd4e9e2qxeaf6rw5xxvv2ds22" timestamp="1371789550"&gt;1257&lt;/key&gt;&lt;/foreign-keys&gt;&lt;ref-type name="Report"&gt;27&lt;/ref-type&gt;&lt;contributors&gt;&lt;authors&gt;&lt;author&gt;Fouarge, D&lt;/author&gt;&lt;author&gt;Ester, P&lt;/author&gt;&lt;/authors&gt;&lt;/contributors&gt;&lt;titles&gt;&lt;title&gt;Factors determining international and regional migration in Europe&lt;/title&gt;&lt;/titles&gt;&lt;dates&gt;&lt;year&gt;2007&lt;/year&gt;&lt;/dates&gt;&lt;pub-location&gt;Dublin&lt;/pub-location&gt;&lt;publisher&gt;European Foundation for the Improvement of Living and Working Conditions&lt;/publisher&gt;&lt;urls&gt;&lt;related-urls&gt;&lt;url&gt;http://www.eurofound.europa.eu/pubdocs/2007/09/en/1/ef0709en.pdf&lt;/url&gt;&lt;/related-urls&gt;&lt;/urls&gt;&lt;access-date&gt;21 June 2013&lt;/access-date&gt;&lt;/record&gt;&lt;/Cite&gt;&lt;/EndNote&gt;</w:instrText>
      </w:r>
      <w:r w:rsidR="00406B75" w:rsidRPr="005F73E6">
        <w:fldChar w:fldCharType="separate"/>
      </w:r>
      <w:hyperlink w:anchor="_ENREF_20" w:tooltip="Fouarge, 2007 #1257" w:history="1">
        <w:r w:rsidR="00CA754F" w:rsidRPr="005F73E6">
          <w:t xml:space="preserve">Fouarge </w:t>
        </w:r>
        <w:r w:rsidR="004170BE" w:rsidRPr="005F73E6">
          <w:t>&amp;</w:t>
        </w:r>
        <w:r w:rsidR="00CA754F" w:rsidRPr="005F73E6">
          <w:t xml:space="preserve"> Ester 2007</w:t>
        </w:r>
      </w:hyperlink>
      <w:r w:rsidR="00CE053F" w:rsidRPr="005F73E6">
        <w:t>)</w:t>
      </w:r>
      <w:r w:rsidR="00406B75" w:rsidRPr="005F73E6">
        <w:fldChar w:fldCharType="end"/>
      </w:r>
      <w:r w:rsidR="00774851" w:rsidRPr="005F73E6">
        <w:t>.</w:t>
      </w:r>
      <w:r w:rsidR="00F1324C" w:rsidRPr="005F73E6">
        <w:t xml:space="preserve"> </w:t>
      </w:r>
      <w:r w:rsidR="00B86DA4" w:rsidRPr="005F73E6">
        <w:t>Knowing people at the destination</w:t>
      </w:r>
      <w:r w:rsidRPr="005F73E6">
        <w:t xml:space="preserve"> provide</w:t>
      </w:r>
      <w:r w:rsidR="00B86DA4" w:rsidRPr="005F73E6">
        <w:t>s</w:t>
      </w:r>
      <w:r w:rsidRPr="005F73E6">
        <w:t xml:space="preserve"> a</w:t>
      </w:r>
      <w:r w:rsidR="00A415FA" w:rsidRPr="005F73E6">
        <w:t>ccess to</w:t>
      </w:r>
      <w:r w:rsidR="00B86DA4" w:rsidRPr="005F73E6">
        <w:t xml:space="preserve"> networks</w:t>
      </w:r>
      <w:r w:rsidRPr="005F73E6">
        <w:t xml:space="preserve"> and play</w:t>
      </w:r>
      <w:r w:rsidR="004170BE" w:rsidRPr="005F73E6">
        <w:t>s</w:t>
      </w:r>
      <w:r w:rsidRPr="005F73E6">
        <w:t xml:space="preserve"> an important role in the transfer of social capital and </w:t>
      </w:r>
      <w:r w:rsidR="00A33F95" w:rsidRPr="005F73E6">
        <w:t>settlement information.</w:t>
      </w:r>
    </w:p>
    <w:p w:rsidR="009D2C3F" w:rsidRPr="00FE162C" w:rsidRDefault="00A33F95" w:rsidP="005F73E6">
      <w:pPr>
        <w:pStyle w:val="Text"/>
      </w:pPr>
      <w:r w:rsidRPr="005F73E6">
        <w:t>Finally, a</w:t>
      </w:r>
      <w:r w:rsidR="00774851" w:rsidRPr="005F73E6">
        <w:t xml:space="preserve"> person who</w:t>
      </w:r>
      <w:r w:rsidR="005B37EA" w:rsidRPr="005F73E6">
        <w:t xml:space="preserve"> has frequent social</w:t>
      </w:r>
      <w:r w:rsidR="005B37EA" w:rsidRPr="00FE162C">
        <w:t xml:space="preserve"> contact with others outside </w:t>
      </w:r>
      <w:r w:rsidR="00774851" w:rsidRPr="00FE162C">
        <w:t>the home is</w:t>
      </w:r>
      <w:r w:rsidR="005B37EA" w:rsidRPr="00FE162C">
        <w:t xml:space="preserve"> </w:t>
      </w:r>
      <w:r w:rsidRPr="00FE162C">
        <w:t xml:space="preserve">significantly </w:t>
      </w:r>
      <w:r w:rsidR="005B37EA" w:rsidRPr="00FE162C">
        <w:t xml:space="preserve">more </w:t>
      </w:r>
      <w:r w:rsidRPr="00FE162C">
        <w:t>likely to accept a job offer than others</w:t>
      </w:r>
      <w:r w:rsidR="00774851" w:rsidRPr="00FE162C">
        <w:t>, which suggests</w:t>
      </w:r>
      <w:r w:rsidR="005B37EA" w:rsidRPr="00FE162C">
        <w:t xml:space="preserve"> </w:t>
      </w:r>
      <w:r w:rsidRPr="00FE162C">
        <w:t xml:space="preserve">that </w:t>
      </w:r>
      <w:r w:rsidR="005B37EA" w:rsidRPr="00FE162C">
        <w:t xml:space="preserve">extrovert </w:t>
      </w:r>
      <w:r w:rsidR="00774851" w:rsidRPr="00FE162C">
        <w:t xml:space="preserve">individuals are </w:t>
      </w:r>
      <w:r w:rsidRPr="00FE162C">
        <w:t>risk takers</w:t>
      </w:r>
      <w:r w:rsidR="00EC5A13" w:rsidRPr="00FE162C">
        <w:t xml:space="preserve"> and </w:t>
      </w:r>
      <w:r w:rsidR="00774851" w:rsidRPr="00FE162C">
        <w:t>more willing to move for work</w:t>
      </w:r>
      <w:r w:rsidR="005B37EA" w:rsidRPr="00FE162C">
        <w:t>.</w:t>
      </w:r>
    </w:p>
    <w:p w:rsidR="001849FB" w:rsidRPr="00FE162C" w:rsidRDefault="001849FB">
      <w:pPr>
        <w:spacing w:before="0" w:line="240" w:lineRule="auto"/>
        <w:rPr>
          <w:rFonts w:ascii="Tahoma" w:hAnsi="Tahoma"/>
          <w:b/>
          <w:color w:val="000000" w:themeColor="text1"/>
          <w:sz w:val="17"/>
        </w:rPr>
      </w:pPr>
      <w:r w:rsidRPr="00FE162C">
        <w:rPr>
          <w:color w:val="000000" w:themeColor="text1"/>
        </w:rPr>
        <w:br w:type="page"/>
      </w:r>
    </w:p>
    <w:p w:rsidR="00B00852" w:rsidRPr="00FE162C" w:rsidRDefault="00B00852" w:rsidP="008C22C5">
      <w:pPr>
        <w:pStyle w:val="tabletitle"/>
      </w:pPr>
      <w:bookmarkStart w:id="56" w:name="_Toc386530552"/>
      <w:r w:rsidRPr="00FE162C">
        <w:lastRenderedPageBreak/>
        <w:t>Table 3</w:t>
      </w:r>
      <w:r w:rsidRPr="00FE162C">
        <w:tab/>
      </w:r>
      <w:r w:rsidR="00312468" w:rsidRPr="00FE162C">
        <w:t>Probit estimates of</w:t>
      </w:r>
      <w:r w:rsidRPr="00FE162C">
        <w:t xml:space="preserve"> </w:t>
      </w:r>
      <w:r w:rsidRPr="008C22C5">
        <w:t>willingness</w:t>
      </w:r>
      <w:r w:rsidRPr="00FE162C">
        <w:t xml:space="preserve"> to </w:t>
      </w:r>
      <w:r w:rsidR="00B86DA4">
        <w:t>accept</w:t>
      </w:r>
      <w:r w:rsidR="00EC5A13" w:rsidRPr="00FE162C">
        <w:t xml:space="preserve"> job offer</w:t>
      </w:r>
      <w:r w:rsidR="00B86DA4">
        <w:t>s in Karratha and</w:t>
      </w:r>
      <w:r w:rsidR="00312468" w:rsidRPr="00FE162C">
        <w:t xml:space="preserve"> Emerald</w:t>
      </w:r>
      <w:bookmarkEnd w:id="56"/>
    </w:p>
    <w:tbl>
      <w:tblPr>
        <w:tblW w:w="8789" w:type="dxa"/>
        <w:tblInd w:w="108" w:type="dxa"/>
        <w:tblBorders>
          <w:top w:val="single" w:sz="4" w:space="0" w:color="auto"/>
          <w:bottom w:val="single" w:sz="4" w:space="0" w:color="auto"/>
        </w:tblBorders>
        <w:tblLayout w:type="fixed"/>
        <w:tblLook w:val="0000" w:firstRow="0" w:lastRow="0" w:firstColumn="0" w:lastColumn="0" w:noHBand="0" w:noVBand="0"/>
      </w:tblPr>
      <w:tblGrid>
        <w:gridCol w:w="5812"/>
        <w:gridCol w:w="1488"/>
        <w:gridCol w:w="1489"/>
      </w:tblGrid>
      <w:tr w:rsidR="00B00852" w:rsidRPr="008C22C5" w:rsidTr="00A97BE7">
        <w:trPr>
          <w:cantSplit/>
        </w:trPr>
        <w:tc>
          <w:tcPr>
            <w:tcW w:w="5812" w:type="dxa"/>
            <w:tcBorders>
              <w:top w:val="single" w:sz="4" w:space="0" w:color="auto"/>
              <w:bottom w:val="nil"/>
              <w:right w:val="nil"/>
            </w:tcBorders>
          </w:tcPr>
          <w:p w:rsidR="00B00852" w:rsidRPr="008C22C5" w:rsidRDefault="00B205CC" w:rsidP="008C22C5">
            <w:pPr>
              <w:pStyle w:val="Tablehead1"/>
            </w:pPr>
            <w:r w:rsidRPr="008C22C5">
              <w:t>Explanatory v</w:t>
            </w:r>
            <w:r w:rsidR="00B00852" w:rsidRPr="008C22C5">
              <w:t>ariable</w:t>
            </w:r>
          </w:p>
        </w:tc>
        <w:tc>
          <w:tcPr>
            <w:tcW w:w="1488" w:type="dxa"/>
            <w:tcBorders>
              <w:top w:val="single" w:sz="4" w:space="0" w:color="auto"/>
              <w:left w:val="nil"/>
              <w:bottom w:val="single" w:sz="4" w:space="0" w:color="auto"/>
            </w:tcBorders>
          </w:tcPr>
          <w:p w:rsidR="00B00852" w:rsidRPr="008C22C5" w:rsidRDefault="00B00852" w:rsidP="008C22C5">
            <w:pPr>
              <w:pStyle w:val="Tablehead1"/>
              <w:jc w:val="center"/>
            </w:pPr>
            <w:r w:rsidRPr="008C22C5">
              <w:t>Marginal effect</w:t>
            </w:r>
          </w:p>
        </w:tc>
        <w:tc>
          <w:tcPr>
            <w:tcW w:w="1489" w:type="dxa"/>
            <w:tcBorders>
              <w:top w:val="single" w:sz="4" w:space="0" w:color="auto"/>
              <w:left w:val="nil"/>
              <w:bottom w:val="single" w:sz="4" w:space="0" w:color="auto"/>
            </w:tcBorders>
          </w:tcPr>
          <w:p w:rsidR="00B00852" w:rsidRPr="008C22C5" w:rsidRDefault="00653DCE" w:rsidP="008C22C5">
            <w:pPr>
              <w:pStyle w:val="Tablehead1"/>
              <w:jc w:val="center"/>
            </w:pPr>
            <w:r w:rsidRPr="008C22C5">
              <w:t>P</w:t>
            </w:r>
            <w:r w:rsidR="00B00852" w:rsidRPr="008C22C5">
              <w:t>-value</w:t>
            </w:r>
          </w:p>
        </w:tc>
      </w:tr>
      <w:tr w:rsidR="00B00852" w:rsidRPr="00FE162C" w:rsidTr="00A97BE7">
        <w:trPr>
          <w:cantSplit/>
        </w:trPr>
        <w:tc>
          <w:tcPr>
            <w:tcW w:w="5812" w:type="dxa"/>
            <w:tcBorders>
              <w:top w:val="single" w:sz="4" w:space="0" w:color="auto"/>
              <w:bottom w:val="nil"/>
              <w:right w:val="nil"/>
            </w:tcBorders>
          </w:tcPr>
          <w:p w:rsidR="00B00852" w:rsidRPr="00FE162C" w:rsidRDefault="00B00852" w:rsidP="001B5601">
            <w:pPr>
              <w:pStyle w:val="Tablehead2"/>
              <w:spacing w:before="80" w:after="40"/>
            </w:pPr>
            <w:r w:rsidRPr="00FE162C">
              <w:t>Basic demographics</w:t>
            </w:r>
          </w:p>
        </w:tc>
        <w:tc>
          <w:tcPr>
            <w:tcW w:w="1488" w:type="dxa"/>
            <w:tcBorders>
              <w:top w:val="single" w:sz="4" w:space="0" w:color="auto"/>
              <w:left w:val="nil"/>
              <w:bottom w:val="nil"/>
              <w:right w:val="nil"/>
            </w:tcBorders>
          </w:tcPr>
          <w:p w:rsidR="00B00852" w:rsidRPr="00FE162C" w:rsidRDefault="00B00852" w:rsidP="008C22C5">
            <w:pPr>
              <w:pStyle w:val="Tabletext"/>
            </w:pPr>
          </w:p>
        </w:tc>
        <w:tc>
          <w:tcPr>
            <w:tcW w:w="1489" w:type="dxa"/>
            <w:tcBorders>
              <w:top w:val="single" w:sz="4" w:space="0" w:color="auto"/>
              <w:left w:val="nil"/>
              <w:bottom w:val="nil"/>
              <w:right w:val="nil"/>
            </w:tcBorders>
          </w:tcPr>
          <w:p w:rsidR="00B00852" w:rsidRPr="00FE162C" w:rsidRDefault="00B00852" w:rsidP="008C22C5">
            <w:pPr>
              <w:pStyle w:val="Tabletext"/>
            </w:pPr>
          </w:p>
        </w:tc>
      </w:tr>
      <w:tr w:rsidR="005145A1" w:rsidRPr="00FE162C" w:rsidTr="00A97BE7">
        <w:trPr>
          <w:cantSplit/>
        </w:trPr>
        <w:tc>
          <w:tcPr>
            <w:tcW w:w="5812" w:type="dxa"/>
            <w:tcBorders>
              <w:top w:val="nil"/>
              <w:bottom w:val="nil"/>
              <w:right w:val="nil"/>
            </w:tcBorders>
          </w:tcPr>
          <w:p w:rsidR="005145A1" w:rsidRPr="001B5601" w:rsidRDefault="005145A1" w:rsidP="008C22C5">
            <w:pPr>
              <w:pStyle w:val="Tabletext"/>
              <w:rPr>
                <w:iCs/>
                <w:vertAlign w:val="superscript"/>
              </w:rPr>
            </w:pPr>
            <w:r w:rsidRPr="001B5601">
              <w:rPr>
                <w:iCs/>
              </w:rPr>
              <w:t>Age</w:t>
            </w:r>
            <w:r w:rsidRPr="001B5601">
              <w:rPr>
                <w:iCs/>
                <w:vertAlign w:val="superscript"/>
              </w:rPr>
              <w:t>1</w:t>
            </w:r>
          </w:p>
        </w:tc>
        <w:tc>
          <w:tcPr>
            <w:tcW w:w="1488" w:type="dxa"/>
            <w:tcBorders>
              <w:top w:val="nil"/>
              <w:left w:val="nil"/>
              <w:bottom w:val="nil"/>
              <w:right w:val="nil"/>
            </w:tcBorders>
          </w:tcPr>
          <w:p w:rsidR="005145A1" w:rsidRPr="00FE162C" w:rsidRDefault="00BE4D22" w:rsidP="008C0BE7">
            <w:pPr>
              <w:pStyle w:val="Tabletext"/>
              <w:tabs>
                <w:tab w:val="decimal" w:pos="510"/>
              </w:tabs>
            </w:pPr>
            <w:r w:rsidRPr="00FE162C">
              <w:t>-</w:t>
            </w:r>
            <w:r w:rsidR="00C44197" w:rsidRPr="00FE162C">
              <w:t>0.004</w:t>
            </w:r>
          </w:p>
        </w:tc>
        <w:tc>
          <w:tcPr>
            <w:tcW w:w="1489" w:type="dxa"/>
            <w:tcBorders>
              <w:top w:val="nil"/>
              <w:left w:val="nil"/>
              <w:bottom w:val="nil"/>
              <w:right w:val="nil"/>
            </w:tcBorders>
          </w:tcPr>
          <w:p w:rsidR="005145A1" w:rsidRPr="00FE162C" w:rsidRDefault="005145A1" w:rsidP="008C0BE7">
            <w:pPr>
              <w:pStyle w:val="Tabletext"/>
              <w:tabs>
                <w:tab w:val="decimal" w:pos="567"/>
              </w:tabs>
            </w:pPr>
            <w:r w:rsidRPr="00FE162C">
              <w:t>0.01</w:t>
            </w:r>
          </w:p>
        </w:tc>
      </w:tr>
      <w:tr w:rsidR="005145A1" w:rsidRPr="00FE162C" w:rsidTr="00A97BE7">
        <w:trPr>
          <w:cantSplit/>
        </w:trPr>
        <w:tc>
          <w:tcPr>
            <w:tcW w:w="5812" w:type="dxa"/>
            <w:tcBorders>
              <w:top w:val="nil"/>
              <w:bottom w:val="nil"/>
              <w:right w:val="nil"/>
            </w:tcBorders>
          </w:tcPr>
          <w:p w:rsidR="005145A1" w:rsidRPr="001B5601" w:rsidRDefault="005145A1" w:rsidP="008C22C5">
            <w:pPr>
              <w:pStyle w:val="Tabletext"/>
              <w:rPr>
                <w:iCs/>
              </w:rPr>
            </w:pPr>
            <w:r w:rsidRPr="001B5601">
              <w:rPr>
                <w:iCs/>
              </w:rPr>
              <w:t>Male (Base category: Female)</w:t>
            </w:r>
          </w:p>
        </w:tc>
        <w:tc>
          <w:tcPr>
            <w:tcW w:w="1488" w:type="dxa"/>
            <w:tcBorders>
              <w:top w:val="nil"/>
              <w:left w:val="nil"/>
              <w:bottom w:val="nil"/>
              <w:right w:val="nil"/>
            </w:tcBorders>
          </w:tcPr>
          <w:p w:rsidR="005145A1" w:rsidRPr="00FE162C" w:rsidRDefault="005145A1" w:rsidP="008C0BE7">
            <w:pPr>
              <w:pStyle w:val="Tabletext"/>
              <w:tabs>
                <w:tab w:val="decimal" w:pos="510"/>
              </w:tabs>
            </w:pPr>
            <w:r w:rsidRPr="00FE162C">
              <w:t>0.146</w:t>
            </w:r>
          </w:p>
        </w:tc>
        <w:tc>
          <w:tcPr>
            <w:tcW w:w="1489" w:type="dxa"/>
            <w:tcBorders>
              <w:top w:val="nil"/>
              <w:left w:val="nil"/>
              <w:bottom w:val="nil"/>
              <w:right w:val="nil"/>
            </w:tcBorders>
          </w:tcPr>
          <w:p w:rsidR="005145A1" w:rsidRPr="00FE162C" w:rsidRDefault="005145A1" w:rsidP="008C0BE7">
            <w:pPr>
              <w:pStyle w:val="Tabletext"/>
              <w:tabs>
                <w:tab w:val="decimal" w:pos="567"/>
              </w:tabs>
            </w:pPr>
            <w:r w:rsidRPr="00FE162C">
              <w:t>0.00</w:t>
            </w:r>
          </w:p>
        </w:tc>
      </w:tr>
      <w:tr w:rsidR="007A6785" w:rsidRPr="00FE162C" w:rsidTr="00A97BE7">
        <w:trPr>
          <w:cantSplit/>
        </w:trPr>
        <w:tc>
          <w:tcPr>
            <w:tcW w:w="5812" w:type="dxa"/>
            <w:tcBorders>
              <w:top w:val="nil"/>
              <w:bottom w:val="nil"/>
              <w:right w:val="nil"/>
            </w:tcBorders>
          </w:tcPr>
          <w:p w:rsidR="007A6785" w:rsidRPr="001B5601" w:rsidRDefault="007A6785" w:rsidP="008C22C5">
            <w:pPr>
              <w:pStyle w:val="Tabletext"/>
              <w:rPr>
                <w:iCs/>
              </w:rPr>
            </w:pPr>
            <w:r w:rsidRPr="001B5601">
              <w:rPr>
                <w:iCs/>
              </w:rPr>
              <w:t>Born in non-English speaking country (Base category)</w:t>
            </w:r>
          </w:p>
        </w:tc>
        <w:tc>
          <w:tcPr>
            <w:tcW w:w="1488" w:type="dxa"/>
            <w:tcBorders>
              <w:top w:val="nil"/>
              <w:left w:val="nil"/>
              <w:bottom w:val="nil"/>
              <w:right w:val="nil"/>
            </w:tcBorders>
          </w:tcPr>
          <w:p w:rsidR="007A6785" w:rsidRPr="00FE162C" w:rsidRDefault="007A6785" w:rsidP="008C0BE7">
            <w:pPr>
              <w:pStyle w:val="Tabletext"/>
              <w:tabs>
                <w:tab w:val="decimal" w:pos="510"/>
              </w:tabs>
            </w:pPr>
          </w:p>
        </w:tc>
        <w:tc>
          <w:tcPr>
            <w:tcW w:w="1489" w:type="dxa"/>
            <w:tcBorders>
              <w:top w:val="nil"/>
              <w:left w:val="nil"/>
              <w:bottom w:val="nil"/>
              <w:right w:val="nil"/>
            </w:tcBorders>
          </w:tcPr>
          <w:p w:rsidR="007A6785" w:rsidRPr="00FE162C" w:rsidRDefault="007A6785" w:rsidP="008C0BE7">
            <w:pPr>
              <w:pStyle w:val="Tabletext"/>
              <w:tabs>
                <w:tab w:val="decimal" w:pos="567"/>
              </w:tabs>
            </w:pPr>
          </w:p>
        </w:tc>
      </w:tr>
      <w:tr w:rsidR="005145A1" w:rsidRPr="002F554E" w:rsidTr="00A97BE7">
        <w:trPr>
          <w:cantSplit/>
        </w:trPr>
        <w:tc>
          <w:tcPr>
            <w:tcW w:w="5812" w:type="dxa"/>
            <w:tcBorders>
              <w:top w:val="nil"/>
              <w:bottom w:val="nil"/>
              <w:right w:val="nil"/>
            </w:tcBorders>
          </w:tcPr>
          <w:p w:rsidR="005145A1" w:rsidRPr="002F554E" w:rsidRDefault="005145A1" w:rsidP="001B5601">
            <w:pPr>
              <w:pStyle w:val="Tabletext"/>
              <w:ind w:left="227"/>
              <w:rPr>
                <w:iCs/>
              </w:rPr>
            </w:pPr>
            <w:r w:rsidRPr="002F554E">
              <w:rPr>
                <w:iCs/>
              </w:rPr>
              <w:t>Born in Australia</w:t>
            </w:r>
          </w:p>
        </w:tc>
        <w:tc>
          <w:tcPr>
            <w:tcW w:w="1488" w:type="dxa"/>
            <w:tcBorders>
              <w:top w:val="nil"/>
              <w:left w:val="nil"/>
              <w:bottom w:val="nil"/>
              <w:right w:val="nil"/>
            </w:tcBorders>
          </w:tcPr>
          <w:p w:rsidR="005145A1" w:rsidRPr="002F554E" w:rsidRDefault="005145A1" w:rsidP="008C0BE7">
            <w:pPr>
              <w:pStyle w:val="Tabletext"/>
              <w:tabs>
                <w:tab w:val="decimal" w:pos="510"/>
              </w:tabs>
            </w:pPr>
            <w:r w:rsidRPr="002F554E">
              <w:t>-0.071</w:t>
            </w:r>
          </w:p>
        </w:tc>
        <w:tc>
          <w:tcPr>
            <w:tcW w:w="1489" w:type="dxa"/>
            <w:tcBorders>
              <w:top w:val="nil"/>
              <w:left w:val="nil"/>
              <w:bottom w:val="nil"/>
              <w:right w:val="nil"/>
            </w:tcBorders>
          </w:tcPr>
          <w:p w:rsidR="005145A1" w:rsidRPr="002F554E" w:rsidRDefault="005145A1" w:rsidP="008C0BE7">
            <w:pPr>
              <w:pStyle w:val="Tabletext"/>
              <w:tabs>
                <w:tab w:val="decimal" w:pos="567"/>
              </w:tabs>
            </w:pPr>
            <w:r w:rsidRPr="002F554E">
              <w:t>0.04</w:t>
            </w:r>
          </w:p>
        </w:tc>
      </w:tr>
      <w:tr w:rsidR="005145A1" w:rsidRPr="002F554E" w:rsidTr="00A97BE7">
        <w:trPr>
          <w:cantSplit/>
        </w:trPr>
        <w:tc>
          <w:tcPr>
            <w:tcW w:w="5812" w:type="dxa"/>
            <w:tcBorders>
              <w:top w:val="nil"/>
              <w:bottom w:val="nil"/>
              <w:right w:val="nil"/>
            </w:tcBorders>
          </w:tcPr>
          <w:p w:rsidR="005145A1" w:rsidRPr="002F554E" w:rsidRDefault="005145A1" w:rsidP="001B5601">
            <w:pPr>
              <w:pStyle w:val="Tabletext"/>
              <w:ind w:left="227"/>
              <w:rPr>
                <w:iCs/>
              </w:rPr>
            </w:pPr>
            <w:r w:rsidRPr="002F554E">
              <w:rPr>
                <w:iCs/>
              </w:rPr>
              <w:t>Born in New Zealand</w:t>
            </w:r>
          </w:p>
        </w:tc>
        <w:tc>
          <w:tcPr>
            <w:tcW w:w="1488" w:type="dxa"/>
            <w:tcBorders>
              <w:top w:val="nil"/>
              <w:left w:val="nil"/>
              <w:bottom w:val="nil"/>
              <w:right w:val="nil"/>
            </w:tcBorders>
          </w:tcPr>
          <w:p w:rsidR="005145A1" w:rsidRPr="002F554E" w:rsidRDefault="005145A1" w:rsidP="008C0BE7">
            <w:pPr>
              <w:pStyle w:val="Tabletext"/>
              <w:tabs>
                <w:tab w:val="decimal" w:pos="510"/>
              </w:tabs>
            </w:pPr>
            <w:r w:rsidRPr="002F554E">
              <w:t>0.055</w:t>
            </w:r>
          </w:p>
        </w:tc>
        <w:tc>
          <w:tcPr>
            <w:tcW w:w="1489" w:type="dxa"/>
            <w:tcBorders>
              <w:top w:val="nil"/>
              <w:left w:val="nil"/>
              <w:bottom w:val="nil"/>
              <w:right w:val="nil"/>
            </w:tcBorders>
          </w:tcPr>
          <w:p w:rsidR="005145A1" w:rsidRPr="002F554E" w:rsidRDefault="005145A1" w:rsidP="008C0BE7">
            <w:pPr>
              <w:pStyle w:val="Tabletext"/>
              <w:tabs>
                <w:tab w:val="decimal" w:pos="567"/>
              </w:tabs>
            </w:pPr>
            <w:r w:rsidRPr="002F554E">
              <w:t>0.52</w:t>
            </w:r>
          </w:p>
        </w:tc>
      </w:tr>
      <w:tr w:rsidR="005145A1" w:rsidRPr="002F554E" w:rsidTr="00A97BE7">
        <w:trPr>
          <w:cantSplit/>
        </w:trPr>
        <w:tc>
          <w:tcPr>
            <w:tcW w:w="5812" w:type="dxa"/>
            <w:tcBorders>
              <w:top w:val="nil"/>
              <w:bottom w:val="nil"/>
              <w:right w:val="nil"/>
            </w:tcBorders>
          </w:tcPr>
          <w:p w:rsidR="005145A1" w:rsidRPr="002F554E" w:rsidRDefault="004170BE" w:rsidP="001B5601">
            <w:pPr>
              <w:pStyle w:val="Tabletext"/>
              <w:ind w:left="227"/>
              <w:rPr>
                <w:iCs/>
              </w:rPr>
            </w:pPr>
            <w:r w:rsidRPr="002F554E">
              <w:rPr>
                <w:iCs/>
              </w:rPr>
              <w:t>Born in English-</w:t>
            </w:r>
            <w:r w:rsidR="005145A1" w:rsidRPr="002F554E">
              <w:rPr>
                <w:iCs/>
              </w:rPr>
              <w:t>speaking countries excluding New Zealand</w:t>
            </w:r>
          </w:p>
        </w:tc>
        <w:tc>
          <w:tcPr>
            <w:tcW w:w="1488" w:type="dxa"/>
            <w:tcBorders>
              <w:top w:val="nil"/>
              <w:left w:val="nil"/>
              <w:bottom w:val="nil"/>
              <w:right w:val="nil"/>
            </w:tcBorders>
          </w:tcPr>
          <w:p w:rsidR="005145A1" w:rsidRPr="002F554E" w:rsidRDefault="005145A1" w:rsidP="008C0BE7">
            <w:pPr>
              <w:pStyle w:val="Tabletext"/>
              <w:tabs>
                <w:tab w:val="decimal" w:pos="510"/>
              </w:tabs>
            </w:pPr>
            <w:r w:rsidRPr="002F554E">
              <w:t>-0.042</w:t>
            </w:r>
          </w:p>
        </w:tc>
        <w:tc>
          <w:tcPr>
            <w:tcW w:w="1489" w:type="dxa"/>
            <w:tcBorders>
              <w:top w:val="nil"/>
              <w:left w:val="nil"/>
              <w:bottom w:val="nil"/>
              <w:right w:val="nil"/>
            </w:tcBorders>
          </w:tcPr>
          <w:p w:rsidR="005145A1" w:rsidRPr="002F554E" w:rsidRDefault="005145A1" w:rsidP="008C0BE7">
            <w:pPr>
              <w:pStyle w:val="Tabletext"/>
              <w:tabs>
                <w:tab w:val="decimal" w:pos="567"/>
              </w:tabs>
            </w:pPr>
            <w:r w:rsidRPr="002F554E">
              <w:t>0.60</w:t>
            </w:r>
          </w:p>
        </w:tc>
      </w:tr>
      <w:tr w:rsidR="005145A1" w:rsidRPr="002F554E" w:rsidTr="00A97BE7">
        <w:trPr>
          <w:cantSplit/>
        </w:trPr>
        <w:tc>
          <w:tcPr>
            <w:tcW w:w="5812" w:type="dxa"/>
            <w:tcBorders>
              <w:top w:val="nil"/>
              <w:bottom w:val="nil"/>
              <w:right w:val="nil"/>
            </w:tcBorders>
          </w:tcPr>
          <w:p w:rsidR="005145A1" w:rsidRPr="002F554E" w:rsidRDefault="005145A1" w:rsidP="001B5601">
            <w:pPr>
              <w:pStyle w:val="Tabletext"/>
              <w:rPr>
                <w:iCs/>
              </w:rPr>
            </w:pPr>
            <w:r w:rsidRPr="002F554E">
              <w:rPr>
                <w:iCs/>
              </w:rPr>
              <w:t>Permanent resident (Base category: Not permanent resident)</w:t>
            </w:r>
          </w:p>
        </w:tc>
        <w:tc>
          <w:tcPr>
            <w:tcW w:w="1488" w:type="dxa"/>
            <w:tcBorders>
              <w:top w:val="nil"/>
              <w:left w:val="nil"/>
              <w:bottom w:val="nil"/>
              <w:right w:val="nil"/>
            </w:tcBorders>
          </w:tcPr>
          <w:p w:rsidR="005145A1" w:rsidRPr="002F554E" w:rsidRDefault="005145A1" w:rsidP="008C0BE7">
            <w:pPr>
              <w:pStyle w:val="Tabletext"/>
              <w:tabs>
                <w:tab w:val="decimal" w:pos="510"/>
              </w:tabs>
            </w:pPr>
            <w:r w:rsidRPr="002F554E">
              <w:t>0.059</w:t>
            </w:r>
          </w:p>
        </w:tc>
        <w:tc>
          <w:tcPr>
            <w:tcW w:w="1489" w:type="dxa"/>
            <w:tcBorders>
              <w:top w:val="nil"/>
              <w:left w:val="nil"/>
              <w:bottom w:val="nil"/>
              <w:right w:val="nil"/>
            </w:tcBorders>
          </w:tcPr>
          <w:p w:rsidR="005145A1" w:rsidRPr="002F554E" w:rsidRDefault="005145A1" w:rsidP="008C0BE7">
            <w:pPr>
              <w:pStyle w:val="Tabletext"/>
              <w:tabs>
                <w:tab w:val="decimal" w:pos="567"/>
              </w:tabs>
            </w:pPr>
            <w:r w:rsidRPr="002F554E">
              <w:t>0.55</w:t>
            </w:r>
          </w:p>
        </w:tc>
      </w:tr>
      <w:tr w:rsidR="005145A1" w:rsidRPr="002F554E" w:rsidTr="00A97BE7">
        <w:trPr>
          <w:cantSplit/>
        </w:trPr>
        <w:tc>
          <w:tcPr>
            <w:tcW w:w="5812" w:type="dxa"/>
            <w:tcBorders>
              <w:top w:val="nil"/>
              <w:bottom w:val="nil"/>
              <w:right w:val="nil"/>
            </w:tcBorders>
          </w:tcPr>
          <w:p w:rsidR="005145A1" w:rsidRPr="002F554E" w:rsidRDefault="005145A1" w:rsidP="008C22C5">
            <w:pPr>
              <w:pStyle w:val="Tabletext"/>
              <w:rPr>
                <w:iCs/>
              </w:rPr>
            </w:pPr>
            <w:r w:rsidRPr="002F554E">
              <w:rPr>
                <w:iCs/>
              </w:rPr>
              <w:t>Single (Base category: Not single)</w:t>
            </w:r>
          </w:p>
        </w:tc>
        <w:tc>
          <w:tcPr>
            <w:tcW w:w="1488" w:type="dxa"/>
            <w:tcBorders>
              <w:top w:val="nil"/>
              <w:left w:val="nil"/>
              <w:bottom w:val="nil"/>
              <w:right w:val="nil"/>
            </w:tcBorders>
          </w:tcPr>
          <w:p w:rsidR="005145A1" w:rsidRPr="002F554E" w:rsidRDefault="005145A1" w:rsidP="008C0BE7">
            <w:pPr>
              <w:pStyle w:val="Tabletext"/>
              <w:tabs>
                <w:tab w:val="decimal" w:pos="510"/>
              </w:tabs>
            </w:pPr>
            <w:r w:rsidRPr="002F554E">
              <w:t>0.072</w:t>
            </w:r>
          </w:p>
        </w:tc>
        <w:tc>
          <w:tcPr>
            <w:tcW w:w="1489" w:type="dxa"/>
            <w:tcBorders>
              <w:top w:val="nil"/>
              <w:left w:val="nil"/>
              <w:bottom w:val="nil"/>
              <w:right w:val="nil"/>
            </w:tcBorders>
          </w:tcPr>
          <w:p w:rsidR="005145A1" w:rsidRPr="002F554E" w:rsidRDefault="005145A1" w:rsidP="008C0BE7">
            <w:pPr>
              <w:pStyle w:val="Tabletext"/>
              <w:tabs>
                <w:tab w:val="decimal" w:pos="567"/>
              </w:tabs>
            </w:pPr>
            <w:r w:rsidRPr="002F554E">
              <w:t>0.03</w:t>
            </w:r>
          </w:p>
        </w:tc>
      </w:tr>
      <w:tr w:rsidR="005145A1" w:rsidRPr="002F554E" w:rsidTr="00A97BE7">
        <w:trPr>
          <w:cantSplit/>
        </w:trPr>
        <w:tc>
          <w:tcPr>
            <w:tcW w:w="5812" w:type="dxa"/>
            <w:tcBorders>
              <w:top w:val="nil"/>
              <w:bottom w:val="nil"/>
              <w:right w:val="nil"/>
            </w:tcBorders>
          </w:tcPr>
          <w:p w:rsidR="005145A1" w:rsidRPr="002F554E" w:rsidRDefault="005145A1" w:rsidP="008C22C5">
            <w:pPr>
              <w:pStyle w:val="Tabletext"/>
              <w:rPr>
                <w:iCs/>
                <w:vertAlign w:val="superscript"/>
              </w:rPr>
            </w:pPr>
            <w:r w:rsidRPr="002F554E">
              <w:rPr>
                <w:iCs/>
              </w:rPr>
              <w:t>Number of dependents</w:t>
            </w:r>
            <w:r w:rsidRPr="002F554E">
              <w:rPr>
                <w:iCs/>
                <w:vertAlign w:val="superscript"/>
              </w:rPr>
              <w:t>1</w:t>
            </w:r>
          </w:p>
        </w:tc>
        <w:tc>
          <w:tcPr>
            <w:tcW w:w="1488" w:type="dxa"/>
            <w:tcBorders>
              <w:top w:val="nil"/>
              <w:left w:val="nil"/>
              <w:bottom w:val="nil"/>
              <w:right w:val="nil"/>
            </w:tcBorders>
          </w:tcPr>
          <w:p w:rsidR="005145A1" w:rsidRPr="002F554E" w:rsidRDefault="005145A1" w:rsidP="008C0BE7">
            <w:pPr>
              <w:pStyle w:val="Tabletext"/>
              <w:tabs>
                <w:tab w:val="decimal" w:pos="510"/>
              </w:tabs>
            </w:pPr>
            <w:r w:rsidRPr="002F554E">
              <w:t>0.009</w:t>
            </w:r>
          </w:p>
        </w:tc>
        <w:tc>
          <w:tcPr>
            <w:tcW w:w="1489" w:type="dxa"/>
            <w:tcBorders>
              <w:top w:val="nil"/>
              <w:left w:val="nil"/>
              <w:bottom w:val="nil"/>
              <w:right w:val="nil"/>
            </w:tcBorders>
          </w:tcPr>
          <w:p w:rsidR="005145A1" w:rsidRPr="002F554E" w:rsidRDefault="005145A1" w:rsidP="008C0BE7">
            <w:pPr>
              <w:pStyle w:val="Tabletext"/>
              <w:tabs>
                <w:tab w:val="decimal" w:pos="567"/>
              </w:tabs>
            </w:pPr>
            <w:r w:rsidRPr="002F554E">
              <w:t>0.47</w:t>
            </w:r>
          </w:p>
        </w:tc>
      </w:tr>
      <w:tr w:rsidR="005145A1" w:rsidRPr="002F554E" w:rsidTr="00A97BE7">
        <w:trPr>
          <w:cantSplit/>
        </w:trPr>
        <w:tc>
          <w:tcPr>
            <w:tcW w:w="5812" w:type="dxa"/>
            <w:tcBorders>
              <w:top w:val="nil"/>
              <w:bottom w:val="nil"/>
              <w:right w:val="nil"/>
            </w:tcBorders>
          </w:tcPr>
          <w:p w:rsidR="005145A1" w:rsidRPr="002F554E" w:rsidRDefault="005145A1" w:rsidP="008C22C5">
            <w:pPr>
              <w:pStyle w:val="Tabletext"/>
              <w:rPr>
                <w:iCs/>
                <w:vertAlign w:val="superscript"/>
              </w:rPr>
            </w:pPr>
            <w:r w:rsidRPr="002F554E">
              <w:rPr>
                <w:iCs/>
              </w:rPr>
              <w:t>Number of parents living in same state</w:t>
            </w:r>
            <w:r w:rsidRPr="002F554E">
              <w:rPr>
                <w:iCs/>
                <w:vertAlign w:val="superscript"/>
              </w:rPr>
              <w:t>1</w:t>
            </w:r>
          </w:p>
        </w:tc>
        <w:tc>
          <w:tcPr>
            <w:tcW w:w="1488" w:type="dxa"/>
            <w:tcBorders>
              <w:top w:val="nil"/>
              <w:left w:val="nil"/>
              <w:bottom w:val="nil"/>
              <w:right w:val="nil"/>
            </w:tcBorders>
          </w:tcPr>
          <w:p w:rsidR="005145A1" w:rsidRPr="002F554E" w:rsidRDefault="005145A1" w:rsidP="008C0BE7">
            <w:pPr>
              <w:pStyle w:val="Tabletext"/>
              <w:tabs>
                <w:tab w:val="decimal" w:pos="510"/>
              </w:tabs>
            </w:pPr>
            <w:r w:rsidRPr="002F554E">
              <w:t>-0.003</w:t>
            </w:r>
          </w:p>
        </w:tc>
        <w:tc>
          <w:tcPr>
            <w:tcW w:w="1489" w:type="dxa"/>
            <w:tcBorders>
              <w:top w:val="nil"/>
              <w:left w:val="nil"/>
              <w:bottom w:val="nil"/>
              <w:right w:val="nil"/>
            </w:tcBorders>
          </w:tcPr>
          <w:p w:rsidR="005145A1" w:rsidRPr="002F554E" w:rsidRDefault="005145A1" w:rsidP="008C0BE7">
            <w:pPr>
              <w:pStyle w:val="Tabletext"/>
              <w:tabs>
                <w:tab w:val="decimal" w:pos="567"/>
              </w:tabs>
            </w:pPr>
            <w:r w:rsidRPr="002F554E">
              <w:t>0.53</w:t>
            </w:r>
          </w:p>
        </w:tc>
      </w:tr>
      <w:tr w:rsidR="005145A1" w:rsidRPr="002F554E" w:rsidTr="00A97BE7">
        <w:trPr>
          <w:cantSplit/>
        </w:trPr>
        <w:tc>
          <w:tcPr>
            <w:tcW w:w="5812" w:type="dxa"/>
            <w:tcBorders>
              <w:top w:val="nil"/>
              <w:bottom w:val="nil"/>
              <w:right w:val="nil"/>
            </w:tcBorders>
          </w:tcPr>
          <w:p w:rsidR="005145A1" w:rsidRPr="002F554E" w:rsidRDefault="005145A1" w:rsidP="008C22C5">
            <w:pPr>
              <w:pStyle w:val="Tabletext"/>
              <w:rPr>
                <w:iCs/>
                <w:vertAlign w:val="superscript"/>
              </w:rPr>
            </w:pPr>
            <w:r w:rsidRPr="002F554E">
              <w:rPr>
                <w:iCs/>
              </w:rPr>
              <w:t>Ratio of number of siblings living in same state to number of siblings</w:t>
            </w:r>
            <w:r w:rsidRPr="002F554E">
              <w:rPr>
                <w:iCs/>
                <w:vertAlign w:val="superscript"/>
              </w:rPr>
              <w:t>1</w:t>
            </w:r>
          </w:p>
        </w:tc>
        <w:tc>
          <w:tcPr>
            <w:tcW w:w="1488" w:type="dxa"/>
            <w:tcBorders>
              <w:top w:val="nil"/>
              <w:left w:val="nil"/>
              <w:bottom w:val="nil"/>
              <w:right w:val="nil"/>
            </w:tcBorders>
          </w:tcPr>
          <w:p w:rsidR="005145A1" w:rsidRPr="002F554E" w:rsidRDefault="005145A1" w:rsidP="008C0BE7">
            <w:pPr>
              <w:pStyle w:val="Tabletext"/>
              <w:tabs>
                <w:tab w:val="decimal" w:pos="510"/>
              </w:tabs>
            </w:pPr>
            <w:r w:rsidRPr="002F554E">
              <w:t>0.032</w:t>
            </w:r>
          </w:p>
        </w:tc>
        <w:tc>
          <w:tcPr>
            <w:tcW w:w="1489" w:type="dxa"/>
            <w:tcBorders>
              <w:top w:val="nil"/>
              <w:left w:val="nil"/>
              <w:bottom w:val="nil"/>
              <w:right w:val="nil"/>
            </w:tcBorders>
          </w:tcPr>
          <w:p w:rsidR="005145A1" w:rsidRPr="002F554E" w:rsidRDefault="005145A1" w:rsidP="008C0BE7">
            <w:pPr>
              <w:pStyle w:val="Tabletext"/>
              <w:tabs>
                <w:tab w:val="decimal" w:pos="567"/>
              </w:tabs>
            </w:pPr>
            <w:r w:rsidRPr="002F554E">
              <w:t>0.36</w:t>
            </w:r>
          </w:p>
        </w:tc>
      </w:tr>
      <w:tr w:rsidR="005145A1" w:rsidRPr="002F554E" w:rsidTr="00A97BE7">
        <w:trPr>
          <w:cantSplit/>
        </w:trPr>
        <w:tc>
          <w:tcPr>
            <w:tcW w:w="5812" w:type="dxa"/>
            <w:tcBorders>
              <w:top w:val="nil"/>
              <w:bottom w:val="nil"/>
              <w:right w:val="nil"/>
            </w:tcBorders>
          </w:tcPr>
          <w:p w:rsidR="005145A1" w:rsidRPr="002F554E" w:rsidRDefault="005145A1" w:rsidP="008C22C5">
            <w:pPr>
              <w:pStyle w:val="Tabletext"/>
              <w:rPr>
                <w:iCs/>
              </w:rPr>
            </w:pPr>
            <w:r w:rsidRPr="002F554E">
              <w:rPr>
                <w:iCs/>
              </w:rPr>
              <w:t>Resident in South Australia (Base category: Resident in New South Wales)</w:t>
            </w:r>
          </w:p>
        </w:tc>
        <w:tc>
          <w:tcPr>
            <w:tcW w:w="1488" w:type="dxa"/>
            <w:tcBorders>
              <w:top w:val="nil"/>
              <w:left w:val="nil"/>
              <w:bottom w:val="nil"/>
              <w:right w:val="nil"/>
            </w:tcBorders>
          </w:tcPr>
          <w:p w:rsidR="005145A1" w:rsidRPr="002F554E" w:rsidRDefault="005145A1" w:rsidP="008C0BE7">
            <w:pPr>
              <w:pStyle w:val="Tabletext"/>
              <w:tabs>
                <w:tab w:val="decimal" w:pos="510"/>
              </w:tabs>
            </w:pPr>
            <w:r w:rsidRPr="002F554E">
              <w:t>0.012</w:t>
            </w:r>
          </w:p>
        </w:tc>
        <w:tc>
          <w:tcPr>
            <w:tcW w:w="1489" w:type="dxa"/>
            <w:tcBorders>
              <w:top w:val="nil"/>
              <w:left w:val="nil"/>
              <w:bottom w:val="nil"/>
              <w:right w:val="nil"/>
            </w:tcBorders>
          </w:tcPr>
          <w:p w:rsidR="005145A1" w:rsidRPr="002F554E" w:rsidRDefault="005145A1" w:rsidP="008C0BE7">
            <w:pPr>
              <w:pStyle w:val="Tabletext"/>
              <w:tabs>
                <w:tab w:val="decimal" w:pos="567"/>
              </w:tabs>
            </w:pPr>
            <w:r w:rsidRPr="002F554E">
              <w:t>0.70</w:t>
            </w:r>
          </w:p>
        </w:tc>
      </w:tr>
      <w:tr w:rsidR="005145A1" w:rsidRPr="002F554E" w:rsidTr="00A97BE7">
        <w:trPr>
          <w:cantSplit/>
        </w:trPr>
        <w:tc>
          <w:tcPr>
            <w:tcW w:w="5812" w:type="dxa"/>
            <w:tcBorders>
              <w:top w:val="nil"/>
              <w:bottom w:val="nil"/>
              <w:right w:val="nil"/>
            </w:tcBorders>
          </w:tcPr>
          <w:p w:rsidR="005145A1" w:rsidRPr="002F554E" w:rsidRDefault="005145A1" w:rsidP="008C22C5">
            <w:pPr>
              <w:pStyle w:val="Tabletext"/>
              <w:rPr>
                <w:iCs/>
              </w:rPr>
            </w:pPr>
            <w:r w:rsidRPr="002F554E">
              <w:rPr>
                <w:iCs/>
              </w:rPr>
              <w:t>Living in metropolitan area (Base category: Living in non-metropolitan area)</w:t>
            </w:r>
          </w:p>
        </w:tc>
        <w:tc>
          <w:tcPr>
            <w:tcW w:w="1488" w:type="dxa"/>
            <w:tcBorders>
              <w:top w:val="nil"/>
              <w:left w:val="nil"/>
              <w:bottom w:val="nil"/>
              <w:right w:val="nil"/>
            </w:tcBorders>
          </w:tcPr>
          <w:p w:rsidR="005145A1" w:rsidRPr="002F554E" w:rsidRDefault="005145A1" w:rsidP="008C0BE7">
            <w:pPr>
              <w:pStyle w:val="Tabletext"/>
              <w:tabs>
                <w:tab w:val="decimal" w:pos="510"/>
              </w:tabs>
            </w:pPr>
            <w:r w:rsidRPr="002F554E">
              <w:t>0.014</w:t>
            </w:r>
          </w:p>
        </w:tc>
        <w:tc>
          <w:tcPr>
            <w:tcW w:w="1489" w:type="dxa"/>
            <w:tcBorders>
              <w:top w:val="nil"/>
              <w:left w:val="nil"/>
              <w:bottom w:val="nil"/>
              <w:right w:val="nil"/>
            </w:tcBorders>
          </w:tcPr>
          <w:p w:rsidR="005145A1" w:rsidRPr="002F554E" w:rsidRDefault="005145A1" w:rsidP="008C0BE7">
            <w:pPr>
              <w:pStyle w:val="Tabletext"/>
              <w:tabs>
                <w:tab w:val="decimal" w:pos="567"/>
              </w:tabs>
            </w:pPr>
            <w:r w:rsidRPr="002F554E">
              <w:t>0.65</w:t>
            </w:r>
          </w:p>
        </w:tc>
      </w:tr>
      <w:tr w:rsidR="00A05FC2" w:rsidRPr="002F554E" w:rsidTr="00A97BE7">
        <w:trPr>
          <w:cantSplit/>
        </w:trPr>
        <w:tc>
          <w:tcPr>
            <w:tcW w:w="5812" w:type="dxa"/>
            <w:tcBorders>
              <w:top w:val="nil"/>
              <w:bottom w:val="nil"/>
              <w:right w:val="nil"/>
            </w:tcBorders>
          </w:tcPr>
          <w:p w:rsidR="00A05FC2" w:rsidRPr="002F554E" w:rsidRDefault="00A05FC2" w:rsidP="001B5601">
            <w:pPr>
              <w:pStyle w:val="Tablehead2"/>
              <w:spacing w:before="80" w:after="40"/>
            </w:pPr>
            <w:r w:rsidRPr="002F554E">
              <w:t>Education and employment</w:t>
            </w:r>
          </w:p>
        </w:tc>
        <w:tc>
          <w:tcPr>
            <w:tcW w:w="1488" w:type="dxa"/>
            <w:tcBorders>
              <w:top w:val="nil"/>
              <w:left w:val="nil"/>
              <w:bottom w:val="nil"/>
              <w:right w:val="nil"/>
            </w:tcBorders>
          </w:tcPr>
          <w:p w:rsidR="00A05FC2" w:rsidRPr="002F554E" w:rsidRDefault="00A05FC2" w:rsidP="008C0BE7">
            <w:pPr>
              <w:pStyle w:val="Tabletext"/>
              <w:tabs>
                <w:tab w:val="decimal" w:pos="510"/>
              </w:tabs>
            </w:pPr>
          </w:p>
        </w:tc>
        <w:tc>
          <w:tcPr>
            <w:tcW w:w="1489" w:type="dxa"/>
            <w:tcBorders>
              <w:top w:val="nil"/>
              <w:left w:val="nil"/>
              <w:bottom w:val="nil"/>
              <w:right w:val="nil"/>
            </w:tcBorders>
          </w:tcPr>
          <w:p w:rsidR="00A05FC2" w:rsidRPr="002F554E" w:rsidRDefault="00A05FC2" w:rsidP="008C0BE7">
            <w:pPr>
              <w:pStyle w:val="Tabletext"/>
              <w:tabs>
                <w:tab w:val="decimal" w:pos="567"/>
              </w:tabs>
            </w:pPr>
          </w:p>
        </w:tc>
      </w:tr>
      <w:tr w:rsidR="007A6785" w:rsidRPr="002F554E" w:rsidTr="00A97BE7">
        <w:trPr>
          <w:cantSplit/>
        </w:trPr>
        <w:tc>
          <w:tcPr>
            <w:tcW w:w="5812" w:type="dxa"/>
            <w:tcBorders>
              <w:top w:val="nil"/>
              <w:bottom w:val="nil"/>
              <w:right w:val="nil"/>
            </w:tcBorders>
          </w:tcPr>
          <w:p w:rsidR="007A6785" w:rsidRPr="002F554E" w:rsidRDefault="007A6785" w:rsidP="008C22C5">
            <w:pPr>
              <w:pStyle w:val="Tabletext"/>
              <w:rPr>
                <w:iCs/>
              </w:rPr>
            </w:pPr>
            <w:r w:rsidRPr="002F554E">
              <w:rPr>
                <w:iCs/>
              </w:rPr>
              <w:t>Employed and not looking for work (Base category)</w:t>
            </w:r>
          </w:p>
        </w:tc>
        <w:tc>
          <w:tcPr>
            <w:tcW w:w="1488" w:type="dxa"/>
            <w:tcBorders>
              <w:top w:val="nil"/>
              <w:left w:val="nil"/>
              <w:bottom w:val="nil"/>
              <w:right w:val="nil"/>
            </w:tcBorders>
          </w:tcPr>
          <w:p w:rsidR="007A6785" w:rsidRPr="002F554E" w:rsidRDefault="007A6785" w:rsidP="008C0BE7">
            <w:pPr>
              <w:pStyle w:val="Tabletext"/>
              <w:tabs>
                <w:tab w:val="decimal" w:pos="510"/>
              </w:tabs>
            </w:pPr>
          </w:p>
        </w:tc>
        <w:tc>
          <w:tcPr>
            <w:tcW w:w="1489" w:type="dxa"/>
            <w:tcBorders>
              <w:top w:val="nil"/>
              <w:left w:val="nil"/>
              <w:bottom w:val="nil"/>
              <w:right w:val="nil"/>
            </w:tcBorders>
          </w:tcPr>
          <w:p w:rsidR="007A6785" w:rsidRPr="002F554E" w:rsidRDefault="007A6785" w:rsidP="008C0BE7">
            <w:pPr>
              <w:pStyle w:val="Tabletext"/>
              <w:tabs>
                <w:tab w:val="decimal" w:pos="567"/>
              </w:tabs>
            </w:pPr>
          </w:p>
        </w:tc>
      </w:tr>
      <w:tr w:rsidR="005145A1" w:rsidRPr="002F554E" w:rsidTr="00A97BE7">
        <w:trPr>
          <w:cantSplit/>
        </w:trPr>
        <w:tc>
          <w:tcPr>
            <w:tcW w:w="5812" w:type="dxa"/>
            <w:tcBorders>
              <w:top w:val="nil"/>
              <w:bottom w:val="nil"/>
              <w:right w:val="nil"/>
            </w:tcBorders>
          </w:tcPr>
          <w:p w:rsidR="005145A1" w:rsidRPr="002F554E" w:rsidRDefault="005145A1" w:rsidP="001B5601">
            <w:pPr>
              <w:pStyle w:val="Tabletext"/>
              <w:ind w:left="227"/>
              <w:rPr>
                <w:iCs/>
              </w:rPr>
            </w:pPr>
            <w:r w:rsidRPr="002F554E">
              <w:rPr>
                <w:iCs/>
              </w:rPr>
              <w:t>Unemployed</w:t>
            </w:r>
          </w:p>
        </w:tc>
        <w:tc>
          <w:tcPr>
            <w:tcW w:w="1488" w:type="dxa"/>
            <w:tcBorders>
              <w:top w:val="nil"/>
              <w:left w:val="nil"/>
              <w:bottom w:val="nil"/>
              <w:right w:val="nil"/>
            </w:tcBorders>
          </w:tcPr>
          <w:p w:rsidR="005145A1" w:rsidRPr="002F554E" w:rsidRDefault="005145A1" w:rsidP="008C0BE7">
            <w:pPr>
              <w:pStyle w:val="Tabletext"/>
              <w:tabs>
                <w:tab w:val="decimal" w:pos="510"/>
              </w:tabs>
            </w:pPr>
            <w:r w:rsidRPr="002F554E">
              <w:t>0.169</w:t>
            </w:r>
          </w:p>
        </w:tc>
        <w:tc>
          <w:tcPr>
            <w:tcW w:w="1489" w:type="dxa"/>
            <w:tcBorders>
              <w:top w:val="nil"/>
              <w:left w:val="nil"/>
              <w:bottom w:val="nil"/>
              <w:right w:val="nil"/>
            </w:tcBorders>
          </w:tcPr>
          <w:p w:rsidR="005145A1" w:rsidRPr="002F554E" w:rsidRDefault="005145A1" w:rsidP="008C0BE7">
            <w:pPr>
              <w:pStyle w:val="Tabletext"/>
              <w:tabs>
                <w:tab w:val="decimal" w:pos="567"/>
              </w:tabs>
            </w:pPr>
            <w:r w:rsidRPr="002F554E">
              <w:t>0.00</w:t>
            </w:r>
          </w:p>
        </w:tc>
      </w:tr>
      <w:tr w:rsidR="005145A1" w:rsidRPr="002F554E" w:rsidTr="00A97BE7">
        <w:trPr>
          <w:cantSplit/>
        </w:trPr>
        <w:tc>
          <w:tcPr>
            <w:tcW w:w="5812" w:type="dxa"/>
            <w:tcBorders>
              <w:top w:val="nil"/>
              <w:bottom w:val="nil"/>
              <w:right w:val="nil"/>
            </w:tcBorders>
          </w:tcPr>
          <w:p w:rsidR="005145A1" w:rsidRPr="002F554E" w:rsidRDefault="005145A1" w:rsidP="001B5601">
            <w:pPr>
              <w:pStyle w:val="Tabletext"/>
              <w:ind w:left="227"/>
              <w:rPr>
                <w:iCs/>
              </w:rPr>
            </w:pPr>
            <w:r w:rsidRPr="002F554E">
              <w:rPr>
                <w:iCs/>
              </w:rPr>
              <w:t>Employed and looking for work</w:t>
            </w:r>
          </w:p>
        </w:tc>
        <w:tc>
          <w:tcPr>
            <w:tcW w:w="1488" w:type="dxa"/>
            <w:tcBorders>
              <w:top w:val="nil"/>
              <w:left w:val="nil"/>
              <w:bottom w:val="nil"/>
              <w:right w:val="nil"/>
            </w:tcBorders>
          </w:tcPr>
          <w:p w:rsidR="005145A1" w:rsidRPr="002F554E" w:rsidRDefault="005145A1" w:rsidP="008C0BE7">
            <w:pPr>
              <w:pStyle w:val="Tabletext"/>
              <w:tabs>
                <w:tab w:val="decimal" w:pos="510"/>
              </w:tabs>
            </w:pPr>
            <w:r w:rsidRPr="002F554E">
              <w:t>0.205</w:t>
            </w:r>
          </w:p>
        </w:tc>
        <w:tc>
          <w:tcPr>
            <w:tcW w:w="1489" w:type="dxa"/>
            <w:tcBorders>
              <w:top w:val="nil"/>
              <w:left w:val="nil"/>
              <w:bottom w:val="nil"/>
              <w:right w:val="nil"/>
            </w:tcBorders>
          </w:tcPr>
          <w:p w:rsidR="005145A1" w:rsidRPr="002F554E" w:rsidRDefault="005145A1" w:rsidP="008C0BE7">
            <w:pPr>
              <w:pStyle w:val="Tabletext"/>
              <w:tabs>
                <w:tab w:val="decimal" w:pos="567"/>
              </w:tabs>
            </w:pPr>
            <w:r w:rsidRPr="002F554E">
              <w:t>0.00</w:t>
            </w:r>
          </w:p>
        </w:tc>
      </w:tr>
      <w:tr w:rsidR="005145A1" w:rsidRPr="002F554E" w:rsidTr="00A97BE7">
        <w:trPr>
          <w:cantSplit/>
        </w:trPr>
        <w:tc>
          <w:tcPr>
            <w:tcW w:w="5812" w:type="dxa"/>
            <w:tcBorders>
              <w:top w:val="nil"/>
              <w:bottom w:val="nil"/>
              <w:right w:val="nil"/>
            </w:tcBorders>
          </w:tcPr>
          <w:p w:rsidR="005145A1" w:rsidRPr="002F554E" w:rsidRDefault="005145A1" w:rsidP="008C22C5">
            <w:pPr>
              <w:pStyle w:val="Tabletext"/>
              <w:rPr>
                <w:iCs/>
                <w:vertAlign w:val="superscript"/>
              </w:rPr>
            </w:pPr>
            <w:r w:rsidRPr="002F554E">
              <w:rPr>
                <w:iCs/>
              </w:rPr>
              <w:t>Number of years of schooling</w:t>
            </w:r>
            <w:r w:rsidRPr="002F554E">
              <w:rPr>
                <w:iCs/>
                <w:vertAlign w:val="superscript"/>
              </w:rPr>
              <w:t>1</w:t>
            </w:r>
          </w:p>
        </w:tc>
        <w:tc>
          <w:tcPr>
            <w:tcW w:w="1488" w:type="dxa"/>
            <w:tcBorders>
              <w:top w:val="nil"/>
              <w:left w:val="nil"/>
              <w:bottom w:val="nil"/>
              <w:right w:val="nil"/>
            </w:tcBorders>
          </w:tcPr>
          <w:p w:rsidR="005145A1" w:rsidRPr="002F554E" w:rsidRDefault="005145A1" w:rsidP="008C0BE7">
            <w:pPr>
              <w:pStyle w:val="Tabletext"/>
              <w:tabs>
                <w:tab w:val="decimal" w:pos="510"/>
              </w:tabs>
            </w:pPr>
            <w:r w:rsidRPr="002F554E">
              <w:t>0.019</w:t>
            </w:r>
          </w:p>
        </w:tc>
        <w:tc>
          <w:tcPr>
            <w:tcW w:w="1489" w:type="dxa"/>
            <w:tcBorders>
              <w:top w:val="nil"/>
              <w:left w:val="nil"/>
              <w:bottom w:val="nil"/>
              <w:right w:val="nil"/>
            </w:tcBorders>
          </w:tcPr>
          <w:p w:rsidR="005145A1" w:rsidRPr="002F554E" w:rsidRDefault="005145A1" w:rsidP="008C0BE7">
            <w:pPr>
              <w:pStyle w:val="Tabletext"/>
              <w:tabs>
                <w:tab w:val="decimal" w:pos="567"/>
              </w:tabs>
            </w:pPr>
            <w:r w:rsidRPr="002F554E">
              <w:t>0.24</w:t>
            </w:r>
          </w:p>
        </w:tc>
      </w:tr>
      <w:tr w:rsidR="007A6785" w:rsidRPr="002F554E" w:rsidTr="00A97BE7">
        <w:trPr>
          <w:cantSplit/>
        </w:trPr>
        <w:tc>
          <w:tcPr>
            <w:tcW w:w="5812" w:type="dxa"/>
            <w:tcBorders>
              <w:top w:val="nil"/>
              <w:bottom w:val="nil"/>
              <w:right w:val="nil"/>
            </w:tcBorders>
          </w:tcPr>
          <w:p w:rsidR="007A6785" w:rsidRPr="002F554E" w:rsidRDefault="007A6785" w:rsidP="001B5601">
            <w:pPr>
              <w:pStyle w:val="Tabletext"/>
              <w:ind w:left="227"/>
              <w:rPr>
                <w:iCs/>
              </w:rPr>
            </w:pPr>
            <w:r w:rsidRPr="002F554E">
              <w:rPr>
                <w:iCs/>
              </w:rPr>
              <w:t>No qualification (Base category)</w:t>
            </w:r>
          </w:p>
        </w:tc>
        <w:tc>
          <w:tcPr>
            <w:tcW w:w="1488" w:type="dxa"/>
            <w:tcBorders>
              <w:top w:val="nil"/>
              <w:left w:val="nil"/>
              <w:bottom w:val="nil"/>
              <w:right w:val="nil"/>
            </w:tcBorders>
          </w:tcPr>
          <w:p w:rsidR="007A6785" w:rsidRPr="002F554E" w:rsidRDefault="007A6785" w:rsidP="008C0BE7">
            <w:pPr>
              <w:pStyle w:val="Tabletext"/>
              <w:tabs>
                <w:tab w:val="decimal" w:pos="510"/>
              </w:tabs>
            </w:pPr>
          </w:p>
        </w:tc>
        <w:tc>
          <w:tcPr>
            <w:tcW w:w="1489" w:type="dxa"/>
            <w:tcBorders>
              <w:top w:val="nil"/>
              <w:left w:val="nil"/>
              <w:bottom w:val="nil"/>
              <w:right w:val="nil"/>
            </w:tcBorders>
          </w:tcPr>
          <w:p w:rsidR="007A6785" w:rsidRPr="002F554E" w:rsidRDefault="007A6785" w:rsidP="008C0BE7">
            <w:pPr>
              <w:pStyle w:val="Tabletext"/>
              <w:tabs>
                <w:tab w:val="decimal" w:pos="567"/>
              </w:tabs>
            </w:pPr>
          </w:p>
        </w:tc>
      </w:tr>
      <w:tr w:rsidR="005145A1" w:rsidRPr="002F554E" w:rsidTr="00A97BE7">
        <w:trPr>
          <w:cantSplit/>
        </w:trPr>
        <w:tc>
          <w:tcPr>
            <w:tcW w:w="5812" w:type="dxa"/>
            <w:tcBorders>
              <w:top w:val="nil"/>
              <w:bottom w:val="nil"/>
              <w:right w:val="nil"/>
            </w:tcBorders>
          </w:tcPr>
          <w:p w:rsidR="005145A1" w:rsidRPr="002F554E" w:rsidRDefault="005145A1" w:rsidP="001B5601">
            <w:pPr>
              <w:pStyle w:val="Tabletext"/>
              <w:ind w:left="227"/>
              <w:rPr>
                <w:iCs/>
              </w:rPr>
            </w:pPr>
            <w:r w:rsidRPr="002F554E">
              <w:rPr>
                <w:iCs/>
              </w:rPr>
              <w:t>Degree or higher</w:t>
            </w:r>
          </w:p>
        </w:tc>
        <w:tc>
          <w:tcPr>
            <w:tcW w:w="1488" w:type="dxa"/>
            <w:tcBorders>
              <w:top w:val="nil"/>
              <w:left w:val="nil"/>
              <w:bottom w:val="nil"/>
              <w:right w:val="nil"/>
            </w:tcBorders>
          </w:tcPr>
          <w:p w:rsidR="005145A1" w:rsidRPr="002F554E" w:rsidRDefault="005145A1" w:rsidP="008C0BE7">
            <w:pPr>
              <w:pStyle w:val="Tabletext"/>
              <w:tabs>
                <w:tab w:val="decimal" w:pos="510"/>
              </w:tabs>
            </w:pPr>
            <w:r w:rsidRPr="002F554E">
              <w:t>0.010</w:t>
            </w:r>
          </w:p>
        </w:tc>
        <w:tc>
          <w:tcPr>
            <w:tcW w:w="1489" w:type="dxa"/>
            <w:tcBorders>
              <w:top w:val="nil"/>
              <w:left w:val="nil"/>
              <w:bottom w:val="nil"/>
              <w:right w:val="nil"/>
            </w:tcBorders>
          </w:tcPr>
          <w:p w:rsidR="005145A1" w:rsidRPr="002F554E" w:rsidRDefault="005145A1" w:rsidP="008C0BE7">
            <w:pPr>
              <w:pStyle w:val="Tabletext"/>
              <w:tabs>
                <w:tab w:val="decimal" w:pos="567"/>
              </w:tabs>
            </w:pPr>
            <w:r w:rsidRPr="002F554E">
              <w:t>0.78</w:t>
            </w:r>
          </w:p>
        </w:tc>
      </w:tr>
      <w:tr w:rsidR="005145A1" w:rsidRPr="002F554E" w:rsidTr="00A97BE7">
        <w:trPr>
          <w:cantSplit/>
        </w:trPr>
        <w:tc>
          <w:tcPr>
            <w:tcW w:w="5812" w:type="dxa"/>
            <w:tcBorders>
              <w:top w:val="nil"/>
              <w:bottom w:val="nil"/>
              <w:right w:val="nil"/>
            </w:tcBorders>
          </w:tcPr>
          <w:p w:rsidR="005145A1" w:rsidRPr="002F554E" w:rsidRDefault="005145A1" w:rsidP="001B5601">
            <w:pPr>
              <w:pStyle w:val="Tabletext"/>
              <w:ind w:left="227"/>
              <w:rPr>
                <w:iCs/>
              </w:rPr>
            </w:pPr>
            <w:r w:rsidRPr="002F554E">
              <w:rPr>
                <w:iCs/>
              </w:rPr>
              <w:t xml:space="preserve">Advanced </w:t>
            </w:r>
            <w:r w:rsidR="004170BE" w:rsidRPr="002F554E">
              <w:rPr>
                <w:iCs/>
              </w:rPr>
              <w:t xml:space="preserve">diploma/diploma/certificate </w:t>
            </w:r>
            <w:r w:rsidRPr="002F554E">
              <w:rPr>
                <w:iCs/>
              </w:rPr>
              <w:t>III/IV</w:t>
            </w:r>
          </w:p>
        </w:tc>
        <w:tc>
          <w:tcPr>
            <w:tcW w:w="1488" w:type="dxa"/>
            <w:tcBorders>
              <w:top w:val="nil"/>
              <w:left w:val="nil"/>
              <w:bottom w:val="nil"/>
              <w:right w:val="nil"/>
            </w:tcBorders>
          </w:tcPr>
          <w:p w:rsidR="005145A1" w:rsidRPr="002F554E" w:rsidRDefault="005145A1" w:rsidP="008C0BE7">
            <w:pPr>
              <w:pStyle w:val="Tabletext"/>
              <w:tabs>
                <w:tab w:val="decimal" w:pos="510"/>
              </w:tabs>
            </w:pPr>
            <w:r w:rsidRPr="002F554E">
              <w:t>0.040</w:t>
            </w:r>
          </w:p>
        </w:tc>
        <w:tc>
          <w:tcPr>
            <w:tcW w:w="1489" w:type="dxa"/>
            <w:tcBorders>
              <w:top w:val="nil"/>
              <w:left w:val="nil"/>
              <w:bottom w:val="nil"/>
              <w:right w:val="nil"/>
            </w:tcBorders>
          </w:tcPr>
          <w:p w:rsidR="005145A1" w:rsidRPr="002F554E" w:rsidRDefault="005145A1" w:rsidP="008C0BE7">
            <w:pPr>
              <w:pStyle w:val="Tabletext"/>
              <w:tabs>
                <w:tab w:val="decimal" w:pos="567"/>
              </w:tabs>
            </w:pPr>
            <w:r w:rsidRPr="002F554E">
              <w:t>0.29</w:t>
            </w:r>
          </w:p>
        </w:tc>
      </w:tr>
      <w:tr w:rsidR="005145A1" w:rsidRPr="002F554E" w:rsidTr="00A97BE7">
        <w:trPr>
          <w:cantSplit/>
        </w:trPr>
        <w:tc>
          <w:tcPr>
            <w:tcW w:w="5812" w:type="dxa"/>
            <w:tcBorders>
              <w:top w:val="nil"/>
              <w:bottom w:val="nil"/>
              <w:right w:val="nil"/>
            </w:tcBorders>
          </w:tcPr>
          <w:p w:rsidR="005145A1" w:rsidRPr="002F554E" w:rsidRDefault="005145A1" w:rsidP="001B5601">
            <w:pPr>
              <w:pStyle w:val="Tabletext"/>
              <w:ind w:left="227"/>
              <w:rPr>
                <w:iCs/>
              </w:rPr>
            </w:pPr>
            <w:r w:rsidRPr="002F554E">
              <w:rPr>
                <w:iCs/>
              </w:rPr>
              <w:t>Certificate I/II or other certificates</w:t>
            </w:r>
          </w:p>
        </w:tc>
        <w:tc>
          <w:tcPr>
            <w:tcW w:w="1488" w:type="dxa"/>
            <w:tcBorders>
              <w:top w:val="nil"/>
              <w:left w:val="nil"/>
              <w:bottom w:val="nil"/>
              <w:right w:val="nil"/>
            </w:tcBorders>
          </w:tcPr>
          <w:p w:rsidR="005145A1" w:rsidRPr="002F554E" w:rsidRDefault="005145A1" w:rsidP="008C0BE7">
            <w:pPr>
              <w:pStyle w:val="Tabletext"/>
              <w:tabs>
                <w:tab w:val="decimal" w:pos="510"/>
              </w:tabs>
            </w:pPr>
            <w:r w:rsidRPr="002F554E">
              <w:t>0.001</w:t>
            </w:r>
          </w:p>
        </w:tc>
        <w:tc>
          <w:tcPr>
            <w:tcW w:w="1489" w:type="dxa"/>
            <w:tcBorders>
              <w:top w:val="nil"/>
              <w:left w:val="nil"/>
              <w:bottom w:val="nil"/>
              <w:right w:val="nil"/>
            </w:tcBorders>
          </w:tcPr>
          <w:p w:rsidR="005145A1" w:rsidRPr="002F554E" w:rsidRDefault="005145A1" w:rsidP="008C0BE7">
            <w:pPr>
              <w:pStyle w:val="Tabletext"/>
              <w:tabs>
                <w:tab w:val="decimal" w:pos="567"/>
              </w:tabs>
            </w:pPr>
            <w:r w:rsidRPr="002F554E">
              <w:t>0.95</w:t>
            </w:r>
          </w:p>
        </w:tc>
      </w:tr>
      <w:tr w:rsidR="005145A1" w:rsidRPr="002F554E" w:rsidTr="00A97BE7">
        <w:trPr>
          <w:cantSplit/>
        </w:trPr>
        <w:tc>
          <w:tcPr>
            <w:tcW w:w="5812" w:type="dxa"/>
            <w:tcBorders>
              <w:top w:val="nil"/>
              <w:bottom w:val="nil"/>
              <w:right w:val="nil"/>
            </w:tcBorders>
          </w:tcPr>
          <w:p w:rsidR="005145A1" w:rsidRPr="002F554E" w:rsidRDefault="005145A1" w:rsidP="008C22C5">
            <w:pPr>
              <w:pStyle w:val="Tabletext"/>
              <w:rPr>
                <w:iCs/>
              </w:rPr>
            </w:pPr>
            <w:r w:rsidRPr="002F554E">
              <w:rPr>
                <w:iCs/>
              </w:rPr>
              <w:t>Studying (Base category: Not studying)</w:t>
            </w:r>
          </w:p>
        </w:tc>
        <w:tc>
          <w:tcPr>
            <w:tcW w:w="1488" w:type="dxa"/>
            <w:tcBorders>
              <w:top w:val="nil"/>
              <w:left w:val="nil"/>
              <w:bottom w:val="nil"/>
              <w:right w:val="nil"/>
            </w:tcBorders>
          </w:tcPr>
          <w:p w:rsidR="005145A1" w:rsidRPr="002F554E" w:rsidRDefault="005145A1" w:rsidP="008C0BE7">
            <w:pPr>
              <w:pStyle w:val="Tabletext"/>
              <w:tabs>
                <w:tab w:val="decimal" w:pos="510"/>
              </w:tabs>
            </w:pPr>
            <w:r w:rsidRPr="002F554E">
              <w:t>0.093</w:t>
            </w:r>
          </w:p>
        </w:tc>
        <w:tc>
          <w:tcPr>
            <w:tcW w:w="1489" w:type="dxa"/>
            <w:tcBorders>
              <w:top w:val="nil"/>
              <w:left w:val="nil"/>
              <w:bottom w:val="nil"/>
              <w:right w:val="nil"/>
            </w:tcBorders>
          </w:tcPr>
          <w:p w:rsidR="005145A1" w:rsidRPr="002F554E" w:rsidRDefault="005145A1" w:rsidP="008C0BE7">
            <w:pPr>
              <w:pStyle w:val="Tabletext"/>
              <w:tabs>
                <w:tab w:val="decimal" w:pos="567"/>
              </w:tabs>
            </w:pPr>
            <w:r w:rsidRPr="002F554E">
              <w:t>0.01</w:t>
            </w:r>
          </w:p>
        </w:tc>
      </w:tr>
      <w:tr w:rsidR="00FE7009" w:rsidRPr="002F554E" w:rsidTr="00A97BE7">
        <w:trPr>
          <w:cantSplit/>
        </w:trPr>
        <w:tc>
          <w:tcPr>
            <w:tcW w:w="5812" w:type="dxa"/>
            <w:tcBorders>
              <w:top w:val="nil"/>
              <w:bottom w:val="nil"/>
              <w:right w:val="nil"/>
            </w:tcBorders>
          </w:tcPr>
          <w:p w:rsidR="00FE7009" w:rsidRPr="002F554E" w:rsidRDefault="00FE7009" w:rsidP="001B5601">
            <w:pPr>
              <w:pStyle w:val="Tablehead2"/>
              <w:spacing w:before="80" w:after="40"/>
            </w:pPr>
            <w:r w:rsidRPr="002F554E">
              <w:t>Home ownership</w:t>
            </w:r>
          </w:p>
        </w:tc>
        <w:tc>
          <w:tcPr>
            <w:tcW w:w="1488" w:type="dxa"/>
            <w:tcBorders>
              <w:top w:val="nil"/>
              <w:left w:val="nil"/>
              <w:bottom w:val="nil"/>
              <w:right w:val="nil"/>
            </w:tcBorders>
          </w:tcPr>
          <w:p w:rsidR="00FE7009" w:rsidRPr="002F554E" w:rsidRDefault="00FE7009" w:rsidP="008C0BE7">
            <w:pPr>
              <w:pStyle w:val="Tabletext"/>
              <w:tabs>
                <w:tab w:val="decimal" w:pos="510"/>
              </w:tabs>
            </w:pPr>
          </w:p>
        </w:tc>
        <w:tc>
          <w:tcPr>
            <w:tcW w:w="1489" w:type="dxa"/>
            <w:tcBorders>
              <w:top w:val="nil"/>
              <w:left w:val="nil"/>
              <w:bottom w:val="nil"/>
              <w:right w:val="nil"/>
            </w:tcBorders>
          </w:tcPr>
          <w:p w:rsidR="00FE7009" w:rsidRPr="002F554E" w:rsidRDefault="00FE7009" w:rsidP="008C0BE7">
            <w:pPr>
              <w:pStyle w:val="Tabletext"/>
              <w:tabs>
                <w:tab w:val="decimal" w:pos="567"/>
              </w:tabs>
            </w:pPr>
          </w:p>
        </w:tc>
      </w:tr>
      <w:tr w:rsidR="007A6785" w:rsidRPr="002F554E" w:rsidTr="00A97BE7">
        <w:trPr>
          <w:cantSplit/>
        </w:trPr>
        <w:tc>
          <w:tcPr>
            <w:tcW w:w="5812" w:type="dxa"/>
            <w:tcBorders>
              <w:top w:val="nil"/>
              <w:bottom w:val="nil"/>
              <w:right w:val="nil"/>
            </w:tcBorders>
          </w:tcPr>
          <w:p w:rsidR="007A6785" w:rsidRPr="002F554E" w:rsidRDefault="007A6785" w:rsidP="008C22C5">
            <w:pPr>
              <w:pStyle w:val="Tabletext"/>
              <w:rPr>
                <w:iCs/>
              </w:rPr>
            </w:pPr>
            <w:r w:rsidRPr="002F554E">
              <w:rPr>
                <w:iCs/>
              </w:rPr>
              <w:t>Do not own house (Base category)</w:t>
            </w:r>
          </w:p>
        </w:tc>
        <w:tc>
          <w:tcPr>
            <w:tcW w:w="1488" w:type="dxa"/>
            <w:tcBorders>
              <w:top w:val="nil"/>
              <w:left w:val="nil"/>
              <w:bottom w:val="nil"/>
              <w:right w:val="nil"/>
            </w:tcBorders>
          </w:tcPr>
          <w:p w:rsidR="007A6785" w:rsidRPr="002F554E" w:rsidRDefault="007A6785" w:rsidP="008C0BE7">
            <w:pPr>
              <w:pStyle w:val="Tabletext"/>
              <w:tabs>
                <w:tab w:val="decimal" w:pos="510"/>
              </w:tabs>
            </w:pPr>
          </w:p>
        </w:tc>
        <w:tc>
          <w:tcPr>
            <w:tcW w:w="1489" w:type="dxa"/>
            <w:tcBorders>
              <w:top w:val="nil"/>
              <w:left w:val="nil"/>
              <w:bottom w:val="nil"/>
              <w:right w:val="nil"/>
            </w:tcBorders>
          </w:tcPr>
          <w:p w:rsidR="007A6785" w:rsidRPr="002F554E" w:rsidRDefault="007A6785" w:rsidP="008C0BE7">
            <w:pPr>
              <w:pStyle w:val="Tabletext"/>
              <w:tabs>
                <w:tab w:val="decimal" w:pos="567"/>
              </w:tabs>
            </w:pPr>
          </w:p>
        </w:tc>
      </w:tr>
      <w:tr w:rsidR="005145A1" w:rsidRPr="002F554E" w:rsidTr="00A97BE7">
        <w:trPr>
          <w:cantSplit/>
        </w:trPr>
        <w:tc>
          <w:tcPr>
            <w:tcW w:w="5812" w:type="dxa"/>
            <w:tcBorders>
              <w:top w:val="nil"/>
              <w:bottom w:val="nil"/>
              <w:right w:val="nil"/>
            </w:tcBorders>
          </w:tcPr>
          <w:p w:rsidR="005145A1" w:rsidRPr="002F554E" w:rsidRDefault="005145A1" w:rsidP="001B5601">
            <w:pPr>
              <w:pStyle w:val="Tabletext"/>
              <w:ind w:left="227"/>
              <w:rPr>
                <w:iCs/>
              </w:rPr>
            </w:pPr>
            <w:r w:rsidRPr="002F554E">
              <w:rPr>
                <w:iCs/>
              </w:rPr>
              <w:t>Own house</w:t>
            </w:r>
          </w:p>
        </w:tc>
        <w:tc>
          <w:tcPr>
            <w:tcW w:w="1488" w:type="dxa"/>
            <w:tcBorders>
              <w:top w:val="nil"/>
              <w:left w:val="nil"/>
              <w:bottom w:val="nil"/>
              <w:right w:val="nil"/>
            </w:tcBorders>
          </w:tcPr>
          <w:p w:rsidR="005145A1" w:rsidRPr="002F554E" w:rsidRDefault="005145A1" w:rsidP="008C0BE7">
            <w:pPr>
              <w:pStyle w:val="Tabletext"/>
              <w:tabs>
                <w:tab w:val="decimal" w:pos="510"/>
              </w:tabs>
            </w:pPr>
            <w:r w:rsidRPr="002F554E">
              <w:t>-0.087</w:t>
            </w:r>
          </w:p>
        </w:tc>
        <w:tc>
          <w:tcPr>
            <w:tcW w:w="1489" w:type="dxa"/>
            <w:tcBorders>
              <w:top w:val="nil"/>
              <w:left w:val="nil"/>
              <w:bottom w:val="nil"/>
              <w:right w:val="nil"/>
            </w:tcBorders>
          </w:tcPr>
          <w:p w:rsidR="005145A1" w:rsidRPr="002F554E" w:rsidRDefault="005145A1" w:rsidP="008C0BE7">
            <w:pPr>
              <w:pStyle w:val="Tabletext"/>
              <w:tabs>
                <w:tab w:val="decimal" w:pos="567"/>
              </w:tabs>
            </w:pPr>
            <w:r w:rsidRPr="002F554E">
              <w:t>0.08</w:t>
            </w:r>
          </w:p>
        </w:tc>
      </w:tr>
      <w:tr w:rsidR="005145A1" w:rsidRPr="002F554E" w:rsidTr="00A97BE7">
        <w:trPr>
          <w:cantSplit/>
        </w:trPr>
        <w:tc>
          <w:tcPr>
            <w:tcW w:w="5812" w:type="dxa"/>
            <w:tcBorders>
              <w:top w:val="nil"/>
              <w:bottom w:val="nil"/>
              <w:right w:val="nil"/>
            </w:tcBorders>
          </w:tcPr>
          <w:p w:rsidR="005145A1" w:rsidRPr="002F554E" w:rsidRDefault="005145A1" w:rsidP="001B5601">
            <w:pPr>
              <w:pStyle w:val="Tabletext"/>
              <w:ind w:left="227"/>
              <w:rPr>
                <w:iCs/>
              </w:rPr>
            </w:pPr>
            <w:r w:rsidRPr="002F554E">
              <w:rPr>
                <w:iCs/>
              </w:rPr>
              <w:t>Own house under mortgage</w:t>
            </w:r>
          </w:p>
        </w:tc>
        <w:tc>
          <w:tcPr>
            <w:tcW w:w="1488" w:type="dxa"/>
            <w:tcBorders>
              <w:top w:val="nil"/>
              <w:left w:val="nil"/>
              <w:bottom w:val="nil"/>
              <w:right w:val="nil"/>
            </w:tcBorders>
          </w:tcPr>
          <w:p w:rsidR="005145A1" w:rsidRPr="002F554E" w:rsidRDefault="005145A1" w:rsidP="008C0BE7">
            <w:pPr>
              <w:pStyle w:val="Tabletext"/>
              <w:tabs>
                <w:tab w:val="decimal" w:pos="510"/>
              </w:tabs>
            </w:pPr>
            <w:r w:rsidRPr="002F554E">
              <w:t>-0.088</w:t>
            </w:r>
          </w:p>
        </w:tc>
        <w:tc>
          <w:tcPr>
            <w:tcW w:w="1489" w:type="dxa"/>
            <w:tcBorders>
              <w:top w:val="nil"/>
              <w:left w:val="nil"/>
              <w:bottom w:val="nil"/>
              <w:right w:val="nil"/>
            </w:tcBorders>
          </w:tcPr>
          <w:p w:rsidR="005145A1" w:rsidRPr="002F554E" w:rsidRDefault="005145A1" w:rsidP="008C0BE7">
            <w:pPr>
              <w:pStyle w:val="Tabletext"/>
              <w:tabs>
                <w:tab w:val="decimal" w:pos="567"/>
              </w:tabs>
            </w:pPr>
            <w:r w:rsidRPr="002F554E">
              <w:t>0.01</w:t>
            </w:r>
          </w:p>
        </w:tc>
      </w:tr>
      <w:tr w:rsidR="00FE7009" w:rsidRPr="002F554E" w:rsidTr="00A97BE7">
        <w:trPr>
          <w:cantSplit/>
        </w:trPr>
        <w:tc>
          <w:tcPr>
            <w:tcW w:w="5812" w:type="dxa"/>
            <w:tcBorders>
              <w:top w:val="nil"/>
              <w:bottom w:val="nil"/>
              <w:right w:val="nil"/>
            </w:tcBorders>
          </w:tcPr>
          <w:p w:rsidR="00FE7009" w:rsidRPr="002F554E" w:rsidRDefault="00FE7009" w:rsidP="001B5601">
            <w:pPr>
              <w:pStyle w:val="Tablehead2"/>
              <w:spacing w:before="80" w:after="40"/>
            </w:pPr>
            <w:r w:rsidRPr="002F554E">
              <w:t>Social connectedness</w:t>
            </w:r>
          </w:p>
        </w:tc>
        <w:tc>
          <w:tcPr>
            <w:tcW w:w="1488" w:type="dxa"/>
            <w:tcBorders>
              <w:top w:val="nil"/>
              <w:left w:val="nil"/>
              <w:bottom w:val="nil"/>
              <w:right w:val="nil"/>
            </w:tcBorders>
          </w:tcPr>
          <w:p w:rsidR="00FE7009" w:rsidRPr="002F554E" w:rsidRDefault="00FE7009" w:rsidP="008C0BE7">
            <w:pPr>
              <w:pStyle w:val="Tabletext"/>
              <w:tabs>
                <w:tab w:val="decimal" w:pos="510"/>
              </w:tabs>
            </w:pPr>
          </w:p>
        </w:tc>
        <w:tc>
          <w:tcPr>
            <w:tcW w:w="1489" w:type="dxa"/>
            <w:tcBorders>
              <w:top w:val="nil"/>
              <w:left w:val="nil"/>
              <w:bottom w:val="nil"/>
              <w:right w:val="nil"/>
            </w:tcBorders>
          </w:tcPr>
          <w:p w:rsidR="00FE7009" w:rsidRPr="002F554E" w:rsidRDefault="00FE7009" w:rsidP="008C0BE7">
            <w:pPr>
              <w:pStyle w:val="Tabletext"/>
              <w:tabs>
                <w:tab w:val="decimal" w:pos="567"/>
              </w:tabs>
            </w:pPr>
          </w:p>
        </w:tc>
      </w:tr>
      <w:tr w:rsidR="00BE4D22" w:rsidRPr="002F554E" w:rsidTr="00A97BE7">
        <w:trPr>
          <w:cantSplit/>
        </w:trPr>
        <w:tc>
          <w:tcPr>
            <w:tcW w:w="5812" w:type="dxa"/>
            <w:tcBorders>
              <w:top w:val="nil"/>
              <w:bottom w:val="nil"/>
              <w:right w:val="nil"/>
            </w:tcBorders>
          </w:tcPr>
          <w:p w:rsidR="00BE4D22" w:rsidRPr="002F554E" w:rsidRDefault="00BE4D22" w:rsidP="008C0BE7">
            <w:pPr>
              <w:pStyle w:val="Tabletext"/>
              <w:ind w:left="227"/>
              <w:rPr>
                <w:iCs/>
              </w:rPr>
            </w:pPr>
            <w:r w:rsidRPr="002F554E">
              <w:rPr>
                <w:iCs/>
              </w:rPr>
              <w:t>Have been to destination (Base category: Not been to destination)</w:t>
            </w:r>
          </w:p>
        </w:tc>
        <w:tc>
          <w:tcPr>
            <w:tcW w:w="1488" w:type="dxa"/>
            <w:tcBorders>
              <w:top w:val="nil"/>
              <w:left w:val="nil"/>
              <w:bottom w:val="nil"/>
              <w:right w:val="nil"/>
            </w:tcBorders>
          </w:tcPr>
          <w:p w:rsidR="00BE4D22" w:rsidRPr="002F554E" w:rsidRDefault="00BE4D22" w:rsidP="008C0BE7">
            <w:pPr>
              <w:pStyle w:val="Tabletext"/>
              <w:tabs>
                <w:tab w:val="decimal" w:pos="510"/>
              </w:tabs>
            </w:pPr>
            <w:r w:rsidRPr="002F554E">
              <w:t>0.075</w:t>
            </w:r>
          </w:p>
        </w:tc>
        <w:tc>
          <w:tcPr>
            <w:tcW w:w="1489" w:type="dxa"/>
            <w:tcBorders>
              <w:top w:val="nil"/>
              <w:left w:val="nil"/>
              <w:bottom w:val="nil"/>
              <w:right w:val="nil"/>
            </w:tcBorders>
          </w:tcPr>
          <w:p w:rsidR="00BE4D22" w:rsidRPr="002F554E" w:rsidRDefault="00BE4D22" w:rsidP="008C0BE7">
            <w:pPr>
              <w:pStyle w:val="Tabletext"/>
              <w:tabs>
                <w:tab w:val="decimal" w:pos="567"/>
              </w:tabs>
            </w:pPr>
            <w:r w:rsidRPr="002F554E">
              <w:t>0.13</w:t>
            </w:r>
          </w:p>
        </w:tc>
      </w:tr>
      <w:tr w:rsidR="00BE4D22" w:rsidRPr="002F554E" w:rsidTr="00A97BE7">
        <w:trPr>
          <w:cantSplit/>
        </w:trPr>
        <w:tc>
          <w:tcPr>
            <w:tcW w:w="5812" w:type="dxa"/>
            <w:tcBorders>
              <w:top w:val="nil"/>
              <w:bottom w:val="nil"/>
              <w:right w:val="nil"/>
            </w:tcBorders>
          </w:tcPr>
          <w:p w:rsidR="00BE4D22" w:rsidRPr="002F554E" w:rsidRDefault="00BE4D22" w:rsidP="008C0BE7">
            <w:pPr>
              <w:pStyle w:val="Tabletext"/>
              <w:ind w:left="227"/>
              <w:rPr>
                <w:iCs/>
              </w:rPr>
            </w:pPr>
            <w:r w:rsidRPr="002F554E">
              <w:rPr>
                <w:iCs/>
              </w:rPr>
              <w:t>Know people at job location (Base category: Don</w:t>
            </w:r>
            <w:r w:rsidR="00602830" w:rsidRPr="002F554E">
              <w:rPr>
                <w:iCs/>
              </w:rPr>
              <w:t>’</w:t>
            </w:r>
            <w:r w:rsidRPr="002F554E">
              <w:rPr>
                <w:iCs/>
              </w:rPr>
              <w:t>t know people at job location)</w:t>
            </w:r>
          </w:p>
        </w:tc>
        <w:tc>
          <w:tcPr>
            <w:tcW w:w="1488" w:type="dxa"/>
            <w:tcBorders>
              <w:top w:val="nil"/>
              <w:left w:val="nil"/>
              <w:bottom w:val="nil"/>
              <w:right w:val="nil"/>
            </w:tcBorders>
          </w:tcPr>
          <w:p w:rsidR="00BE4D22" w:rsidRPr="002F554E" w:rsidRDefault="00BE4D22" w:rsidP="008C0BE7">
            <w:pPr>
              <w:pStyle w:val="Tabletext"/>
              <w:tabs>
                <w:tab w:val="decimal" w:pos="510"/>
              </w:tabs>
            </w:pPr>
            <w:r w:rsidRPr="002F554E">
              <w:t>0.134</w:t>
            </w:r>
          </w:p>
        </w:tc>
        <w:tc>
          <w:tcPr>
            <w:tcW w:w="1489" w:type="dxa"/>
            <w:tcBorders>
              <w:top w:val="nil"/>
              <w:left w:val="nil"/>
              <w:bottom w:val="nil"/>
              <w:right w:val="nil"/>
            </w:tcBorders>
          </w:tcPr>
          <w:p w:rsidR="00BE4D22" w:rsidRPr="002F554E" w:rsidRDefault="00BE4D22" w:rsidP="008C0BE7">
            <w:pPr>
              <w:pStyle w:val="Tabletext"/>
              <w:tabs>
                <w:tab w:val="decimal" w:pos="567"/>
              </w:tabs>
            </w:pPr>
            <w:r w:rsidRPr="002F554E">
              <w:t>0.01</w:t>
            </w:r>
          </w:p>
        </w:tc>
      </w:tr>
      <w:tr w:rsidR="00BE4D22" w:rsidRPr="002F554E" w:rsidTr="00A97BE7">
        <w:trPr>
          <w:cantSplit/>
        </w:trPr>
        <w:tc>
          <w:tcPr>
            <w:tcW w:w="5812" w:type="dxa"/>
            <w:tcBorders>
              <w:top w:val="nil"/>
              <w:bottom w:val="nil"/>
              <w:right w:val="nil"/>
            </w:tcBorders>
          </w:tcPr>
          <w:p w:rsidR="00BE4D22" w:rsidRPr="002F554E" w:rsidRDefault="00BE4D22" w:rsidP="008C0BE7">
            <w:pPr>
              <w:pStyle w:val="Tabletext"/>
              <w:ind w:left="227"/>
              <w:rPr>
                <w:iCs/>
              </w:rPr>
            </w:pPr>
            <w:r w:rsidRPr="002F554E">
              <w:rPr>
                <w:iCs/>
              </w:rPr>
              <w:t>Never lived outside state (Base category: Have lived outside state)</w:t>
            </w:r>
          </w:p>
        </w:tc>
        <w:tc>
          <w:tcPr>
            <w:tcW w:w="1488" w:type="dxa"/>
            <w:tcBorders>
              <w:top w:val="nil"/>
              <w:left w:val="nil"/>
              <w:bottom w:val="nil"/>
              <w:right w:val="nil"/>
            </w:tcBorders>
          </w:tcPr>
          <w:p w:rsidR="00BE4D22" w:rsidRPr="002F554E" w:rsidRDefault="00BE4D22" w:rsidP="008C0BE7">
            <w:pPr>
              <w:pStyle w:val="Tabletext"/>
              <w:tabs>
                <w:tab w:val="decimal" w:pos="510"/>
              </w:tabs>
            </w:pPr>
            <w:r w:rsidRPr="002F554E">
              <w:t>0.030</w:t>
            </w:r>
          </w:p>
        </w:tc>
        <w:tc>
          <w:tcPr>
            <w:tcW w:w="1489" w:type="dxa"/>
            <w:tcBorders>
              <w:top w:val="nil"/>
              <w:left w:val="nil"/>
              <w:bottom w:val="nil"/>
              <w:right w:val="nil"/>
            </w:tcBorders>
          </w:tcPr>
          <w:p w:rsidR="00BE4D22" w:rsidRPr="002F554E" w:rsidRDefault="00BE4D22" w:rsidP="008C0BE7">
            <w:pPr>
              <w:pStyle w:val="Tabletext"/>
              <w:tabs>
                <w:tab w:val="decimal" w:pos="567"/>
              </w:tabs>
            </w:pPr>
            <w:r w:rsidRPr="002F554E">
              <w:t>0.36</w:t>
            </w:r>
          </w:p>
        </w:tc>
      </w:tr>
      <w:tr w:rsidR="00BE4D22" w:rsidRPr="002F554E" w:rsidTr="00A97BE7">
        <w:trPr>
          <w:cantSplit/>
        </w:trPr>
        <w:tc>
          <w:tcPr>
            <w:tcW w:w="5812" w:type="dxa"/>
            <w:tcBorders>
              <w:top w:val="nil"/>
              <w:bottom w:val="nil"/>
              <w:right w:val="nil"/>
            </w:tcBorders>
          </w:tcPr>
          <w:p w:rsidR="00BE4D22" w:rsidRPr="002F554E" w:rsidRDefault="00BE4D22" w:rsidP="008C0BE7">
            <w:pPr>
              <w:pStyle w:val="Tabletext"/>
              <w:ind w:left="227"/>
              <w:rPr>
                <w:iCs/>
              </w:rPr>
            </w:pPr>
            <w:r w:rsidRPr="002F554E">
              <w:rPr>
                <w:iCs/>
              </w:rPr>
              <w:t>Have relatives at job location (Base category: Don</w:t>
            </w:r>
            <w:r w:rsidR="00602830" w:rsidRPr="002F554E">
              <w:rPr>
                <w:iCs/>
              </w:rPr>
              <w:t>’</w:t>
            </w:r>
            <w:r w:rsidRPr="002F554E">
              <w:rPr>
                <w:iCs/>
              </w:rPr>
              <w:t>t have relatives at job location)</w:t>
            </w:r>
          </w:p>
        </w:tc>
        <w:tc>
          <w:tcPr>
            <w:tcW w:w="1488" w:type="dxa"/>
            <w:tcBorders>
              <w:top w:val="nil"/>
              <w:left w:val="nil"/>
              <w:bottom w:val="nil"/>
              <w:right w:val="nil"/>
            </w:tcBorders>
          </w:tcPr>
          <w:p w:rsidR="00BE4D22" w:rsidRPr="002F554E" w:rsidRDefault="00BE4D22" w:rsidP="008C0BE7">
            <w:pPr>
              <w:pStyle w:val="Tabletext"/>
              <w:tabs>
                <w:tab w:val="decimal" w:pos="510"/>
              </w:tabs>
            </w:pPr>
            <w:r w:rsidRPr="002F554E">
              <w:t>0.016</w:t>
            </w:r>
          </w:p>
        </w:tc>
        <w:tc>
          <w:tcPr>
            <w:tcW w:w="1489" w:type="dxa"/>
            <w:tcBorders>
              <w:top w:val="nil"/>
              <w:left w:val="nil"/>
              <w:bottom w:val="nil"/>
              <w:right w:val="nil"/>
            </w:tcBorders>
          </w:tcPr>
          <w:p w:rsidR="00BE4D22" w:rsidRPr="002F554E" w:rsidRDefault="00BE4D22" w:rsidP="008C0BE7">
            <w:pPr>
              <w:pStyle w:val="Tabletext"/>
              <w:tabs>
                <w:tab w:val="decimal" w:pos="567"/>
              </w:tabs>
            </w:pPr>
            <w:r w:rsidRPr="002F554E">
              <w:t>0.43</w:t>
            </w:r>
          </w:p>
        </w:tc>
      </w:tr>
      <w:tr w:rsidR="00BE4D22" w:rsidRPr="002F554E" w:rsidTr="00A97BE7">
        <w:trPr>
          <w:cantSplit/>
        </w:trPr>
        <w:tc>
          <w:tcPr>
            <w:tcW w:w="5812" w:type="dxa"/>
            <w:tcBorders>
              <w:top w:val="nil"/>
              <w:bottom w:val="nil"/>
              <w:right w:val="nil"/>
            </w:tcBorders>
          </w:tcPr>
          <w:p w:rsidR="00BE4D22" w:rsidRPr="002F554E" w:rsidRDefault="00BE4D22" w:rsidP="008C0BE7">
            <w:pPr>
              <w:pStyle w:val="Tabletext"/>
              <w:ind w:left="227"/>
              <w:rPr>
                <w:iCs/>
              </w:rPr>
            </w:pPr>
            <w:r w:rsidRPr="002F554E">
              <w:rPr>
                <w:iCs/>
              </w:rPr>
              <w:t>Not involved with local community (Base category: Involved with local community)</w:t>
            </w:r>
          </w:p>
        </w:tc>
        <w:tc>
          <w:tcPr>
            <w:tcW w:w="1488" w:type="dxa"/>
            <w:tcBorders>
              <w:top w:val="nil"/>
              <w:left w:val="nil"/>
              <w:bottom w:val="nil"/>
              <w:right w:val="nil"/>
            </w:tcBorders>
          </w:tcPr>
          <w:p w:rsidR="00BE4D22" w:rsidRPr="002F554E" w:rsidRDefault="00BE4D22" w:rsidP="008C0BE7">
            <w:pPr>
              <w:pStyle w:val="Tabletext"/>
              <w:tabs>
                <w:tab w:val="decimal" w:pos="510"/>
              </w:tabs>
            </w:pPr>
            <w:r w:rsidRPr="002F554E">
              <w:t>0.017</w:t>
            </w:r>
          </w:p>
        </w:tc>
        <w:tc>
          <w:tcPr>
            <w:tcW w:w="1489" w:type="dxa"/>
            <w:tcBorders>
              <w:top w:val="nil"/>
              <w:left w:val="nil"/>
              <w:bottom w:val="nil"/>
              <w:right w:val="nil"/>
            </w:tcBorders>
          </w:tcPr>
          <w:p w:rsidR="00BE4D22" w:rsidRPr="002F554E" w:rsidRDefault="00BE4D22" w:rsidP="008C0BE7">
            <w:pPr>
              <w:pStyle w:val="Tabletext"/>
              <w:tabs>
                <w:tab w:val="decimal" w:pos="567"/>
              </w:tabs>
            </w:pPr>
            <w:r w:rsidRPr="002F554E">
              <w:t>0.54</w:t>
            </w:r>
          </w:p>
        </w:tc>
      </w:tr>
      <w:tr w:rsidR="00BE4D22" w:rsidRPr="00FE162C" w:rsidTr="00A97BE7">
        <w:trPr>
          <w:cantSplit/>
        </w:trPr>
        <w:tc>
          <w:tcPr>
            <w:tcW w:w="5812" w:type="dxa"/>
            <w:tcBorders>
              <w:top w:val="nil"/>
              <w:bottom w:val="nil"/>
              <w:right w:val="nil"/>
            </w:tcBorders>
          </w:tcPr>
          <w:p w:rsidR="00BE4D22" w:rsidRPr="001B5601" w:rsidRDefault="00BE4D22" w:rsidP="008C22C5">
            <w:pPr>
              <w:pStyle w:val="Tabletext"/>
              <w:rPr>
                <w:iCs/>
                <w:vertAlign w:val="superscript"/>
              </w:rPr>
            </w:pPr>
            <w:r w:rsidRPr="001B5601">
              <w:rPr>
                <w:iCs/>
              </w:rPr>
              <w:t>Frequency of social contact</w:t>
            </w:r>
            <w:r w:rsidRPr="001B5601">
              <w:rPr>
                <w:iCs/>
                <w:vertAlign w:val="superscript"/>
              </w:rPr>
              <w:t>1</w:t>
            </w:r>
          </w:p>
        </w:tc>
        <w:tc>
          <w:tcPr>
            <w:tcW w:w="1488" w:type="dxa"/>
            <w:tcBorders>
              <w:top w:val="nil"/>
              <w:left w:val="nil"/>
              <w:bottom w:val="nil"/>
              <w:right w:val="nil"/>
            </w:tcBorders>
          </w:tcPr>
          <w:p w:rsidR="00BE4D22" w:rsidRPr="00FE162C" w:rsidRDefault="00BE4D22" w:rsidP="008C0BE7">
            <w:pPr>
              <w:pStyle w:val="Tabletext"/>
              <w:tabs>
                <w:tab w:val="decimal" w:pos="510"/>
              </w:tabs>
            </w:pPr>
            <w:r w:rsidRPr="00FE162C">
              <w:t>0.039</w:t>
            </w:r>
          </w:p>
        </w:tc>
        <w:tc>
          <w:tcPr>
            <w:tcW w:w="1489" w:type="dxa"/>
            <w:tcBorders>
              <w:top w:val="nil"/>
              <w:left w:val="nil"/>
              <w:bottom w:val="nil"/>
              <w:right w:val="nil"/>
            </w:tcBorders>
          </w:tcPr>
          <w:p w:rsidR="00BE4D22" w:rsidRPr="00FE162C" w:rsidRDefault="00BE4D22" w:rsidP="008C0BE7">
            <w:pPr>
              <w:pStyle w:val="Tabletext"/>
              <w:tabs>
                <w:tab w:val="decimal" w:pos="567"/>
              </w:tabs>
            </w:pPr>
            <w:r w:rsidRPr="00FE162C">
              <w:t>0.03</w:t>
            </w:r>
          </w:p>
        </w:tc>
      </w:tr>
      <w:tr w:rsidR="00BE4D22" w:rsidRPr="00FE162C" w:rsidTr="00A97BE7">
        <w:trPr>
          <w:cantSplit/>
        </w:trPr>
        <w:tc>
          <w:tcPr>
            <w:tcW w:w="5812" w:type="dxa"/>
            <w:tcBorders>
              <w:top w:val="nil"/>
              <w:bottom w:val="nil"/>
              <w:right w:val="nil"/>
            </w:tcBorders>
          </w:tcPr>
          <w:p w:rsidR="00BE4D22" w:rsidRPr="001B5601" w:rsidRDefault="00BE4D22" w:rsidP="008C22C5">
            <w:pPr>
              <w:pStyle w:val="Tabletext"/>
              <w:rPr>
                <w:iCs/>
                <w:vertAlign w:val="superscript"/>
              </w:rPr>
            </w:pPr>
            <w:r w:rsidRPr="001B5601">
              <w:rPr>
                <w:iCs/>
              </w:rPr>
              <w:t>Opinion on current neighbourhood</w:t>
            </w:r>
            <w:r w:rsidRPr="001B5601">
              <w:rPr>
                <w:iCs/>
                <w:vertAlign w:val="superscript"/>
              </w:rPr>
              <w:t>1</w:t>
            </w:r>
          </w:p>
        </w:tc>
        <w:tc>
          <w:tcPr>
            <w:tcW w:w="1488" w:type="dxa"/>
            <w:tcBorders>
              <w:top w:val="nil"/>
              <w:left w:val="nil"/>
              <w:bottom w:val="nil"/>
              <w:right w:val="nil"/>
            </w:tcBorders>
          </w:tcPr>
          <w:p w:rsidR="00BE4D22" w:rsidRPr="00FE162C" w:rsidRDefault="00BE4D22" w:rsidP="008C0BE7">
            <w:pPr>
              <w:pStyle w:val="Tabletext"/>
              <w:tabs>
                <w:tab w:val="decimal" w:pos="510"/>
              </w:tabs>
            </w:pPr>
            <w:r w:rsidRPr="00FE162C">
              <w:t>-0.030</w:t>
            </w:r>
          </w:p>
        </w:tc>
        <w:tc>
          <w:tcPr>
            <w:tcW w:w="1489" w:type="dxa"/>
            <w:tcBorders>
              <w:top w:val="nil"/>
              <w:left w:val="nil"/>
              <w:bottom w:val="nil"/>
              <w:right w:val="nil"/>
            </w:tcBorders>
          </w:tcPr>
          <w:p w:rsidR="00BE4D22" w:rsidRPr="00FE162C" w:rsidRDefault="00BE4D22" w:rsidP="008C0BE7">
            <w:pPr>
              <w:pStyle w:val="Tabletext"/>
              <w:tabs>
                <w:tab w:val="decimal" w:pos="567"/>
              </w:tabs>
            </w:pPr>
            <w:r w:rsidRPr="00FE162C">
              <w:t>0.2</w:t>
            </w:r>
          </w:p>
        </w:tc>
      </w:tr>
      <w:tr w:rsidR="00BE4D22" w:rsidRPr="00FE162C" w:rsidTr="00A97BE7">
        <w:trPr>
          <w:cantSplit/>
        </w:trPr>
        <w:tc>
          <w:tcPr>
            <w:tcW w:w="5812" w:type="dxa"/>
            <w:tcBorders>
              <w:top w:val="nil"/>
              <w:bottom w:val="nil"/>
              <w:right w:val="nil"/>
            </w:tcBorders>
          </w:tcPr>
          <w:p w:rsidR="00BE4D22" w:rsidRPr="001B5601" w:rsidRDefault="00BE4D22" w:rsidP="008C22C5">
            <w:pPr>
              <w:pStyle w:val="Tabletext"/>
              <w:rPr>
                <w:iCs/>
                <w:vertAlign w:val="superscript"/>
              </w:rPr>
            </w:pPr>
            <w:r w:rsidRPr="001B5601">
              <w:rPr>
                <w:iCs/>
              </w:rPr>
              <w:t>Opinion on current accommodation</w:t>
            </w:r>
            <w:r w:rsidRPr="001B5601">
              <w:rPr>
                <w:iCs/>
                <w:vertAlign w:val="superscript"/>
              </w:rPr>
              <w:t>1</w:t>
            </w:r>
          </w:p>
        </w:tc>
        <w:tc>
          <w:tcPr>
            <w:tcW w:w="1488" w:type="dxa"/>
            <w:tcBorders>
              <w:top w:val="nil"/>
              <w:left w:val="nil"/>
              <w:bottom w:val="nil"/>
              <w:right w:val="nil"/>
            </w:tcBorders>
          </w:tcPr>
          <w:p w:rsidR="00BE4D22" w:rsidRPr="00FE162C" w:rsidRDefault="00BE4D22" w:rsidP="008C0BE7">
            <w:pPr>
              <w:pStyle w:val="Tabletext"/>
              <w:tabs>
                <w:tab w:val="decimal" w:pos="510"/>
              </w:tabs>
            </w:pPr>
            <w:r w:rsidRPr="00FE162C">
              <w:t>-0.053</w:t>
            </w:r>
          </w:p>
        </w:tc>
        <w:tc>
          <w:tcPr>
            <w:tcW w:w="1489" w:type="dxa"/>
            <w:tcBorders>
              <w:top w:val="nil"/>
              <w:left w:val="nil"/>
              <w:bottom w:val="nil"/>
              <w:right w:val="nil"/>
            </w:tcBorders>
          </w:tcPr>
          <w:p w:rsidR="00BE4D22" w:rsidRPr="00FE162C" w:rsidRDefault="00BE4D22" w:rsidP="008C0BE7">
            <w:pPr>
              <w:pStyle w:val="Tabletext"/>
              <w:tabs>
                <w:tab w:val="decimal" w:pos="567"/>
              </w:tabs>
            </w:pPr>
            <w:r w:rsidRPr="00FE162C">
              <w:t>0.02</w:t>
            </w:r>
          </w:p>
        </w:tc>
      </w:tr>
      <w:tr w:rsidR="00BE4D22" w:rsidRPr="00FE162C" w:rsidTr="00A97BE7">
        <w:trPr>
          <w:cantSplit/>
        </w:trPr>
        <w:tc>
          <w:tcPr>
            <w:tcW w:w="5812" w:type="dxa"/>
            <w:tcBorders>
              <w:top w:val="nil"/>
              <w:bottom w:val="nil"/>
              <w:right w:val="nil"/>
            </w:tcBorders>
          </w:tcPr>
          <w:p w:rsidR="00BE4D22" w:rsidRPr="00FE162C" w:rsidRDefault="00BE4D22" w:rsidP="008C22C5">
            <w:pPr>
              <w:pStyle w:val="Tabletext"/>
            </w:pPr>
            <w:r w:rsidRPr="00FE162C">
              <w:t>Karratha</w:t>
            </w:r>
            <w:r w:rsidR="004D39DD" w:rsidRPr="00FE162C">
              <w:t xml:space="preserve"> (Base category: Offer</w:t>
            </w:r>
            <w:r w:rsidRPr="00FE162C">
              <w:t xml:space="preserve"> to move to Emerald)</w:t>
            </w:r>
          </w:p>
        </w:tc>
        <w:tc>
          <w:tcPr>
            <w:tcW w:w="1488" w:type="dxa"/>
            <w:tcBorders>
              <w:top w:val="nil"/>
              <w:left w:val="nil"/>
              <w:bottom w:val="nil"/>
              <w:right w:val="nil"/>
            </w:tcBorders>
          </w:tcPr>
          <w:p w:rsidR="00BE4D22" w:rsidRPr="00FE162C" w:rsidRDefault="00BE4D22" w:rsidP="008C0BE7">
            <w:pPr>
              <w:pStyle w:val="Tabletext"/>
              <w:tabs>
                <w:tab w:val="decimal" w:pos="510"/>
              </w:tabs>
            </w:pPr>
            <w:r w:rsidRPr="00FE162C">
              <w:t>0.025</w:t>
            </w:r>
          </w:p>
        </w:tc>
        <w:tc>
          <w:tcPr>
            <w:tcW w:w="1489" w:type="dxa"/>
            <w:tcBorders>
              <w:top w:val="nil"/>
              <w:left w:val="nil"/>
              <w:bottom w:val="nil"/>
              <w:right w:val="nil"/>
            </w:tcBorders>
          </w:tcPr>
          <w:p w:rsidR="00BE4D22" w:rsidRPr="00FE162C" w:rsidRDefault="00BE4D22" w:rsidP="008C0BE7">
            <w:pPr>
              <w:pStyle w:val="Tabletext"/>
              <w:tabs>
                <w:tab w:val="decimal" w:pos="567"/>
              </w:tabs>
            </w:pPr>
            <w:r w:rsidRPr="00FE162C">
              <w:t>0.35</w:t>
            </w:r>
          </w:p>
        </w:tc>
      </w:tr>
      <w:tr w:rsidR="00BE4D22" w:rsidRPr="00FE162C" w:rsidTr="00A97BE7">
        <w:trPr>
          <w:cantSplit/>
        </w:trPr>
        <w:tc>
          <w:tcPr>
            <w:tcW w:w="5812" w:type="dxa"/>
            <w:tcBorders>
              <w:top w:val="nil"/>
              <w:bottom w:val="single" w:sz="4" w:space="0" w:color="auto"/>
              <w:right w:val="nil"/>
            </w:tcBorders>
          </w:tcPr>
          <w:p w:rsidR="00BE4D22" w:rsidRPr="00FE162C" w:rsidRDefault="00BE4D22" w:rsidP="008C22C5">
            <w:pPr>
              <w:pStyle w:val="Tabletext"/>
              <w:rPr>
                <w:vertAlign w:val="superscript"/>
              </w:rPr>
            </w:pPr>
            <w:r w:rsidRPr="00FE162C">
              <w:t>Block 1</w:t>
            </w:r>
            <w:r w:rsidRPr="00FE162C">
              <w:rPr>
                <w:vertAlign w:val="superscript"/>
              </w:rPr>
              <w:t>2</w:t>
            </w:r>
          </w:p>
        </w:tc>
        <w:tc>
          <w:tcPr>
            <w:tcW w:w="1488" w:type="dxa"/>
            <w:tcBorders>
              <w:top w:val="nil"/>
              <w:left w:val="nil"/>
              <w:bottom w:val="single" w:sz="4" w:space="0" w:color="auto"/>
              <w:right w:val="nil"/>
            </w:tcBorders>
          </w:tcPr>
          <w:p w:rsidR="00BE4D22" w:rsidRPr="00FE162C" w:rsidRDefault="00BE4D22" w:rsidP="008C0BE7">
            <w:pPr>
              <w:pStyle w:val="Tabletext"/>
              <w:tabs>
                <w:tab w:val="decimal" w:pos="510"/>
              </w:tabs>
            </w:pPr>
            <w:r w:rsidRPr="00FE162C">
              <w:t>-0.008</w:t>
            </w:r>
          </w:p>
        </w:tc>
        <w:tc>
          <w:tcPr>
            <w:tcW w:w="1489" w:type="dxa"/>
            <w:tcBorders>
              <w:top w:val="nil"/>
              <w:left w:val="nil"/>
              <w:bottom w:val="single" w:sz="4" w:space="0" w:color="auto"/>
              <w:right w:val="nil"/>
            </w:tcBorders>
          </w:tcPr>
          <w:p w:rsidR="00BE4D22" w:rsidRPr="00FE162C" w:rsidRDefault="00BE4D22" w:rsidP="008C0BE7">
            <w:pPr>
              <w:pStyle w:val="Tabletext"/>
              <w:tabs>
                <w:tab w:val="decimal" w:pos="567"/>
              </w:tabs>
            </w:pPr>
            <w:r w:rsidRPr="00FE162C">
              <w:t>0.75</w:t>
            </w:r>
          </w:p>
        </w:tc>
      </w:tr>
    </w:tbl>
    <w:p w:rsidR="00B00852" w:rsidRPr="008C22C5" w:rsidRDefault="00B00852" w:rsidP="008C22C5">
      <w:pPr>
        <w:pStyle w:val="Source"/>
      </w:pPr>
      <w:r w:rsidRPr="00FE162C">
        <w:t>Notes:</w:t>
      </w:r>
      <w:r w:rsidRPr="00FE162C">
        <w:tab/>
      </w:r>
      <w:r w:rsidR="004170BE">
        <w:t xml:space="preserve">Total </w:t>
      </w:r>
      <w:r w:rsidR="004170BE" w:rsidRPr="008C22C5">
        <w:t>sample size 2</w:t>
      </w:r>
      <w:r w:rsidR="004D39DD" w:rsidRPr="008C22C5">
        <w:t>331</w:t>
      </w:r>
      <w:r w:rsidR="004170BE" w:rsidRPr="008C22C5">
        <w:t>.</w:t>
      </w:r>
    </w:p>
    <w:p w:rsidR="0086734D" w:rsidRPr="008C22C5" w:rsidRDefault="0086734D" w:rsidP="008C22C5">
      <w:pPr>
        <w:pStyle w:val="Source"/>
      </w:pPr>
      <w:r w:rsidRPr="008C22C5">
        <w:tab/>
        <w:t>1</w:t>
      </w:r>
      <w:r w:rsidR="00B87039" w:rsidRPr="008C22C5">
        <w:t xml:space="preserve"> </w:t>
      </w:r>
      <w:r w:rsidR="00F32343" w:rsidRPr="008C22C5">
        <w:t xml:space="preserve">Non-dummy </w:t>
      </w:r>
      <w:r w:rsidRPr="008C22C5">
        <w:t>variable</w:t>
      </w:r>
      <w:r w:rsidR="004170BE" w:rsidRPr="008C22C5">
        <w:t>.</w:t>
      </w:r>
    </w:p>
    <w:p w:rsidR="0086734D" w:rsidRPr="00FE162C" w:rsidRDefault="0086734D" w:rsidP="008C22C5">
      <w:pPr>
        <w:pStyle w:val="Source"/>
      </w:pPr>
      <w:r w:rsidRPr="008C22C5">
        <w:tab/>
        <w:t>2</w:t>
      </w:r>
      <w:r w:rsidR="00B87039" w:rsidRPr="008C22C5">
        <w:t xml:space="preserve"> </w:t>
      </w:r>
      <w:r w:rsidRPr="008C22C5">
        <w:t>Experiment</w:t>
      </w:r>
      <w:r w:rsidRPr="00FE162C">
        <w:t xml:space="preserve"> design variable</w:t>
      </w:r>
      <w:r w:rsidR="004170BE">
        <w:t>.</w:t>
      </w:r>
    </w:p>
    <w:p w:rsidR="00E84A94" w:rsidRPr="00FE162C" w:rsidRDefault="00E84A94" w:rsidP="001B51E7">
      <w:pPr>
        <w:pStyle w:val="Text"/>
        <w:rPr>
          <w:color w:val="000000" w:themeColor="text1"/>
        </w:rPr>
      </w:pPr>
      <w:r w:rsidRPr="00FE162C">
        <w:rPr>
          <w:color w:val="000000" w:themeColor="text1"/>
        </w:rPr>
        <w:br w:type="page"/>
      </w:r>
    </w:p>
    <w:p w:rsidR="00050DE6" w:rsidRPr="00FE162C" w:rsidRDefault="0090217B" w:rsidP="00050DE6">
      <w:pPr>
        <w:pStyle w:val="Heading2"/>
        <w:rPr>
          <w:color w:val="000000" w:themeColor="text1"/>
        </w:rPr>
      </w:pPr>
      <w:bookmarkStart w:id="57" w:name="_Toc386530492"/>
      <w:r w:rsidRPr="00FE162C">
        <w:rPr>
          <w:color w:val="000000" w:themeColor="text1"/>
        </w:rPr>
        <w:lastRenderedPageBreak/>
        <w:t xml:space="preserve">Estimates of </w:t>
      </w:r>
      <w:r w:rsidR="00203A2C" w:rsidRPr="00FE162C">
        <w:rPr>
          <w:color w:val="000000" w:themeColor="text1"/>
        </w:rPr>
        <w:t xml:space="preserve">marginal </w:t>
      </w:r>
      <w:r w:rsidRPr="00FE162C">
        <w:rPr>
          <w:color w:val="000000" w:themeColor="text1"/>
        </w:rPr>
        <w:t>willingness to pay</w:t>
      </w:r>
      <w:bookmarkEnd w:id="57"/>
    </w:p>
    <w:p w:rsidR="00660C6D" w:rsidRPr="009D2A6D" w:rsidRDefault="00CA7826" w:rsidP="009D2A6D">
      <w:pPr>
        <w:pStyle w:val="Text"/>
      </w:pPr>
      <w:r w:rsidRPr="00FE162C">
        <w:t>The marginal rate of substitution between wages and an attribute is referred to as the marginal willingness to pay (MWTP)</w:t>
      </w:r>
      <w:r w:rsidR="004170BE">
        <w:t>,</w:t>
      </w:r>
      <w:r w:rsidRPr="00FE162C">
        <w:t xml:space="preserve"> as it reflects the amount in wage-equivalent terms that a person is willing to forgo for the attribute.</w:t>
      </w:r>
      <w:r w:rsidR="00660C6D" w:rsidRPr="00FE162C">
        <w:t xml:space="preserve"> For example, if a person is willing to forgo</w:t>
      </w:r>
      <w:r w:rsidR="00815395">
        <w:t xml:space="preserve"> (or trade </w:t>
      </w:r>
      <w:r w:rsidR="007D6FDA">
        <w:t>off)</w:t>
      </w:r>
      <w:r w:rsidR="004170BE">
        <w:t xml:space="preserve"> $1</w:t>
      </w:r>
      <w:r w:rsidR="00660C6D" w:rsidRPr="00FE162C">
        <w:t xml:space="preserve">000 in wages for a job that includes training compared </w:t>
      </w:r>
      <w:r w:rsidR="004170BE">
        <w:t>with</w:t>
      </w:r>
      <w:r w:rsidR="00660C6D" w:rsidRPr="00FE162C">
        <w:t xml:space="preserve"> a similar job that does not include training, then</w:t>
      </w:r>
      <w:r w:rsidR="00F31C9D" w:rsidRPr="00FE162C">
        <w:t xml:space="preserve"> the</w:t>
      </w:r>
      <w:r w:rsidR="00660C6D" w:rsidRPr="00FE162C">
        <w:t xml:space="preserve"> marginal rate of substitution b</w:t>
      </w:r>
      <w:r w:rsidR="0062700D">
        <w:t>etween wages and training is $1</w:t>
      </w:r>
      <w:r w:rsidR="00660C6D" w:rsidRPr="00FE162C">
        <w:t xml:space="preserve">000. </w:t>
      </w:r>
      <w:r>
        <w:t>A</w:t>
      </w:r>
      <w:r w:rsidR="00660C6D" w:rsidRPr="00FE162C">
        <w:t xml:space="preserve"> negative MWTP is the compensation </w:t>
      </w:r>
      <w:r w:rsidR="007D6FDA">
        <w:t xml:space="preserve">(or wage premium) </w:t>
      </w:r>
      <w:r w:rsidR="00660C6D" w:rsidRPr="00FE162C">
        <w:t xml:space="preserve">a person </w:t>
      </w:r>
      <w:r w:rsidR="00660C6D" w:rsidRPr="009D2A6D">
        <w:t xml:space="preserve">expects to receive for </w:t>
      </w:r>
      <w:r w:rsidRPr="009D2A6D">
        <w:t>accepting a job with that</w:t>
      </w:r>
      <w:r w:rsidR="00660C6D" w:rsidRPr="009D2A6D">
        <w:t xml:space="preserve"> attribute.</w:t>
      </w:r>
    </w:p>
    <w:p w:rsidR="00DA0F63" w:rsidRPr="009D2A6D" w:rsidRDefault="00DA0F63" w:rsidP="009D2A6D">
      <w:pPr>
        <w:pStyle w:val="Text"/>
      </w:pPr>
      <w:r w:rsidRPr="009D2A6D">
        <w:t>When combined with the information on the cost of altering each job attribute, the MWTPs have important policy implications</w:t>
      </w:r>
      <w:r w:rsidR="00815395" w:rsidRPr="009D2A6D">
        <w:t>,</w:t>
      </w:r>
      <w:r w:rsidRPr="009D2A6D">
        <w:t xml:space="preserve"> as they inform the development of the most cost-effective policies </w:t>
      </w:r>
      <w:r w:rsidR="0062700D" w:rsidRPr="009D2A6D">
        <w:t xml:space="preserve">for </w:t>
      </w:r>
      <w:r w:rsidRPr="009D2A6D">
        <w:t>attract</w:t>
      </w:r>
      <w:r w:rsidR="0062700D" w:rsidRPr="009D2A6D">
        <w:t>ing</w:t>
      </w:r>
      <w:r w:rsidRPr="009D2A6D">
        <w:t xml:space="preserve"> workers to regions experiencing high labour demand.</w:t>
      </w:r>
    </w:p>
    <w:p w:rsidR="000C4974" w:rsidRPr="009D2A6D" w:rsidRDefault="00160492" w:rsidP="009D2A6D">
      <w:pPr>
        <w:pStyle w:val="Text"/>
      </w:pPr>
      <w:r w:rsidRPr="009D2A6D">
        <w:t>Monetary valuations for</w:t>
      </w:r>
      <w:r w:rsidR="00660C6D" w:rsidRPr="009D2A6D">
        <w:t xml:space="preserve"> individual characteristics can also be calculated. Although the marginal rate of substitution between wages and an individual characteristic is also referred to as the MWTP, its interpretation </w:t>
      </w:r>
      <w:r w:rsidR="00240F32" w:rsidRPr="009D2A6D">
        <w:t>is a little</w:t>
      </w:r>
      <w:r w:rsidR="00660C6D" w:rsidRPr="009D2A6D">
        <w:t xml:space="preserve"> different because individuals cannot choose their own characteristics</w:t>
      </w:r>
      <w:r w:rsidR="008E2B1C" w:rsidRPr="009D2A6D">
        <w:t xml:space="preserve">, </w:t>
      </w:r>
      <w:r w:rsidR="00660C6D" w:rsidRPr="009D2A6D">
        <w:t>at least</w:t>
      </w:r>
      <w:r w:rsidR="008E2B1C" w:rsidRPr="009D2A6D">
        <w:t xml:space="preserve"> not directly</w:t>
      </w:r>
      <w:r w:rsidR="00660C6D" w:rsidRPr="009D2A6D">
        <w:t xml:space="preserve">. In this case a positive value for MWTP can be interpreted as the amount in wage-equivalent terms that a person with a particular characteristic is willing to forgo to accept a job offer compared </w:t>
      </w:r>
      <w:r w:rsidR="0062700D" w:rsidRPr="009D2A6D">
        <w:t>with</w:t>
      </w:r>
      <w:r w:rsidR="00660C6D" w:rsidRPr="009D2A6D">
        <w:t xml:space="preserve"> a person without the characteristic. Alternatively, it </w:t>
      </w:r>
      <w:r w:rsidR="00240F32" w:rsidRPr="009D2A6D">
        <w:t>is the amount a person without the characteristic</w:t>
      </w:r>
      <w:r w:rsidR="00660C6D" w:rsidRPr="009D2A6D">
        <w:t xml:space="preserve"> </w:t>
      </w:r>
      <w:r w:rsidR="00240F32" w:rsidRPr="009D2A6D">
        <w:t xml:space="preserve">has to be compensated </w:t>
      </w:r>
      <w:r w:rsidR="00660C6D" w:rsidRPr="009D2A6D">
        <w:t>to accept the job offer.</w:t>
      </w:r>
    </w:p>
    <w:p w:rsidR="00AD47D5" w:rsidRPr="00FE162C" w:rsidRDefault="00FF25D2" w:rsidP="009D2A6D">
      <w:pPr>
        <w:pStyle w:val="Text"/>
      </w:pPr>
      <w:r w:rsidRPr="009D2A6D">
        <w:t>We use a mixed multinomial</w:t>
      </w:r>
      <w:r w:rsidR="008E3307" w:rsidRPr="009D2A6D">
        <w:t xml:space="preserve"> logit</w:t>
      </w:r>
      <w:r w:rsidR="009A11B2" w:rsidRPr="009D2A6D">
        <w:t xml:space="preserve"> </w:t>
      </w:r>
      <w:r w:rsidR="00691B54" w:rsidRPr="009D2A6D">
        <w:t>model</w:t>
      </w:r>
      <w:r w:rsidR="005616B0" w:rsidRPr="009D2A6D">
        <w:t xml:space="preserve"> (</w:t>
      </w:r>
      <w:r w:rsidR="00406B75" w:rsidRPr="009D2A6D">
        <w:fldChar w:fldCharType="begin"/>
      </w:r>
      <w:r w:rsidR="00CA754F" w:rsidRPr="009D2A6D">
        <w:instrText xml:space="preserve"> ADDIN EN.CITE &lt;EndNote&gt;&lt;Cite&gt;&lt;Author&gt;Revelt&lt;/Author&gt;&lt;Year&gt;1998&lt;/Year&gt;&lt;RecNum&gt;921&lt;/RecNum&gt;&lt;DisplayText&gt;Revelt and Train (1998)&lt;/DisplayText&gt;&lt;record&gt;&lt;rec-number&gt;921&lt;/rec-number&gt;&lt;foreign-keys&gt;&lt;key app="EN" db-id="refafpv0nd2rd4e9e2qxeaf6rw5xxvv2ds22" timestamp="1322291211"&gt;921&lt;/key&gt;&lt;/foreign-keys&gt;&lt;ref-type name="Journal Article"&gt;17&lt;/ref-type&gt;&lt;contributors&gt;&lt;authors&gt;&lt;author&gt;Revelt, D&lt;/author&gt;&lt;author&gt;Train, K&lt;/author&gt;&lt;/authors&gt;&lt;/contributors&gt;&lt;titles&gt;&lt;title&gt;Mixed logit with repeated choices of appliance efficiency levels&lt;/title&gt;&lt;secondary-title&gt;Review of Economics and Statistics&lt;/secondary-title&gt;&lt;/titles&gt;&lt;periodical&gt;&lt;full-title&gt;Review of Economics and Statistics&lt;/full-title&gt;&lt;/periodical&gt;&lt;pages&gt;647-657&lt;/pages&gt;&lt;volume&gt;80&lt;/volume&gt;&lt;number&gt;4&lt;/number&gt;&lt;dates&gt;&lt;year&gt;1998&lt;/year&gt;&lt;/dates&gt;&lt;urls&gt;&lt;/urls&gt;&lt;/record&gt;&lt;/Cite&gt;&lt;/EndNote&gt;</w:instrText>
      </w:r>
      <w:r w:rsidR="00406B75" w:rsidRPr="009D2A6D">
        <w:fldChar w:fldCharType="separate"/>
      </w:r>
      <w:hyperlink w:anchor="_ENREF_53" w:tooltip="Revelt, 1998 #921" w:history="1">
        <w:r w:rsidR="00CA7826" w:rsidRPr="009D2A6D">
          <w:t xml:space="preserve">Revelt </w:t>
        </w:r>
        <w:r w:rsidR="0062700D" w:rsidRPr="009D2A6D">
          <w:t>&amp;</w:t>
        </w:r>
        <w:r w:rsidR="00CA7826" w:rsidRPr="009D2A6D">
          <w:t xml:space="preserve"> Train </w:t>
        </w:r>
        <w:r w:rsidR="00CA754F" w:rsidRPr="009D2A6D">
          <w:t>1998</w:t>
        </w:r>
      </w:hyperlink>
      <w:r w:rsidR="00CA754F" w:rsidRPr="009D2A6D">
        <w:t>)</w:t>
      </w:r>
      <w:r w:rsidR="00406B75" w:rsidRPr="009D2A6D">
        <w:fldChar w:fldCharType="end"/>
      </w:r>
      <w:r w:rsidR="00160492" w:rsidRPr="00FE162C">
        <w:t>,</w:t>
      </w:r>
      <w:r w:rsidR="005616B0" w:rsidRPr="00FE162C">
        <w:t xml:space="preserve"> which is a</w:t>
      </w:r>
      <w:r w:rsidR="001100C3" w:rsidRPr="00FE162C">
        <w:t xml:space="preserve"> variant of </w:t>
      </w:r>
      <w:r w:rsidR="00103618" w:rsidRPr="00FE162C">
        <w:t>McFadden</w:t>
      </w:r>
      <w:r w:rsidR="00602830">
        <w:t>’</w:t>
      </w:r>
      <w:r w:rsidR="00103618" w:rsidRPr="00FE162C">
        <w:t>s conditional logit</w:t>
      </w:r>
      <w:r w:rsidR="008E3307" w:rsidRPr="00FE162C">
        <w:t xml:space="preserve"> model </w:t>
      </w:r>
      <w:r w:rsidR="00103618" w:rsidRPr="00FE162C">
        <w:t>(</w:t>
      </w:r>
      <w:r w:rsidR="00406B75" w:rsidRPr="00FE162C">
        <w:fldChar w:fldCharType="begin"/>
      </w:r>
      <w:r w:rsidR="00CA754F">
        <w:instrText xml:space="preserve"> ADDIN EN.CITE &lt;EndNote&gt;&lt;Cite&gt;&lt;Author&gt;McFadden&lt;/Author&gt;&lt;Year&gt;1974&lt;/Year&gt;&lt;RecNum&gt;1334&lt;/RecNum&gt;&lt;DisplayText&gt;McFadden (1974)&lt;/DisplayText&gt;&lt;record&gt;&lt;rec-number&gt;1334&lt;/rec-number&gt;&lt;foreign-keys&gt;&lt;key app="EN" db-id="refafpv0nd2rd4e9e2qxeaf6rw5xxvv2ds22" timestamp="1380687785"&gt;1334&lt;/key&gt;&lt;/foreign-keys&gt;&lt;ref-type name="Book Section"&gt;5&lt;/ref-type&gt;&lt;contributors&gt;&lt;authors&gt;&lt;author&gt;McFadden, Daniel&lt;/author&gt;&lt;/authors&gt;&lt;secondary-authors&gt;&lt;author&gt;Zarembka, P.&lt;/author&gt;&lt;/secondary-authors&gt;&lt;/contributors&gt;&lt;auth-address&gt;New York&lt;/auth-address&gt;&lt;titles&gt;&lt;title&gt;Conditional Logit Analysis of Qualitative Choice Behavior&lt;/title&gt;&lt;secondary-title&gt;Frontiers in econometrics&lt;/secondary-title&gt;&lt;/titles&gt;&lt;pages&gt;105-142&lt;/pages&gt;&lt;keywords&gt;&lt;keyword&gt;discrete_choice&lt;/keyword&gt;&lt;/keywords&gt;&lt;dates&gt;&lt;year&gt;1974&lt;/year&gt;&lt;/dates&gt;&lt;pub-location&gt;New York&lt;/pub-location&gt;&lt;publisher&gt;Academic Press&lt;/publisher&gt;&lt;urls&gt;&lt;/urls&gt;&lt;electronic-resource-num&gt;citeulike-article-id:912734&lt;/electronic-resource-num&gt;&lt;/record&gt;&lt;/Cite&gt;&lt;/EndNote&gt;</w:instrText>
      </w:r>
      <w:r w:rsidR="00406B75" w:rsidRPr="00FE162C">
        <w:fldChar w:fldCharType="separate"/>
      </w:r>
      <w:hyperlink w:anchor="_ENREF_49" w:tooltip="McFadden, 1974 #1334" w:history="1">
        <w:r w:rsidR="00CA7826">
          <w:rPr>
            <w:noProof/>
          </w:rPr>
          <w:t xml:space="preserve">McFadden </w:t>
        </w:r>
        <w:r w:rsidR="00CA754F">
          <w:rPr>
            <w:noProof/>
          </w:rPr>
          <w:t>1974</w:t>
        </w:r>
      </w:hyperlink>
      <w:r w:rsidR="00CA754F">
        <w:rPr>
          <w:noProof/>
        </w:rPr>
        <w:t>)</w:t>
      </w:r>
      <w:r w:rsidR="00406B75" w:rsidRPr="00FE162C">
        <w:fldChar w:fldCharType="end"/>
      </w:r>
      <w:r w:rsidR="00160492" w:rsidRPr="00FE162C">
        <w:t>, to estimate the effects of the job attributes on the probability of accepting job offers</w:t>
      </w:r>
      <w:r w:rsidR="001E091F" w:rsidRPr="00FE162C">
        <w:t>.</w:t>
      </w:r>
      <w:r w:rsidR="005616B0" w:rsidRPr="00FE162C">
        <w:rPr>
          <w:rStyle w:val="FootnoteReference"/>
          <w:color w:val="000000" w:themeColor="text1"/>
        </w:rPr>
        <w:footnoteReference w:id="14"/>
      </w:r>
      <w:r w:rsidR="00D45E40" w:rsidRPr="00FE162C">
        <w:t xml:space="preserve"> First we discuss two issues </w:t>
      </w:r>
      <w:r w:rsidR="0062700D">
        <w:t>with</w:t>
      </w:r>
      <w:r w:rsidR="00D45E40" w:rsidRPr="00FE162C">
        <w:t xml:space="preserve"> the potential to introduce bias in </w:t>
      </w:r>
      <w:r w:rsidR="00F31C9D" w:rsidRPr="00FE162C">
        <w:t xml:space="preserve">the </w:t>
      </w:r>
      <w:r w:rsidR="00D45E40" w:rsidRPr="00FE162C">
        <w:t xml:space="preserve">results </w:t>
      </w:r>
      <w:r w:rsidR="00F31C9D" w:rsidRPr="00FE162C">
        <w:t xml:space="preserve">if they are not </w:t>
      </w:r>
      <w:r w:rsidR="0062700D">
        <w:t>taken into account</w:t>
      </w:r>
      <w:r w:rsidR="00F31C9D" w:rsidRPr="00FE162C">
        <w:t xml:space="preserve"> in the model</w:t>
      </w:r>
      <w:r w:rsidR="00D45E40" w:rsidRPr="00FE162C">
        <w:t xml:space="preserve"> s</w:t>
      </w:r>
      <w:r w:rsidR="00F31C9D" w:rsidRPr="00FE162C">
        <w:t>pecification</w:t>
      </w:r>
      <w:r w:rsidR="00D45E40" w:rsidRPr="00FE162C">
        <w:t>.</w:t>
      </w:r>
      <w:r w:rsidR="00C064C9" w:rsidRPr="00FE162C">
        <w:t xml:space="preserve"> </w:t>
      </w:r>
      <w:r w:rsidR="00160492" w:rsidRPr="00FE162C">
        <w:t>W</w:t>
      </w:r>
      <w:r w:rsidR="00AD47D5" w:rsidRPr="00FE162C">
        <w:t xml:space="preserve">age offers </w:t>
      </w:r>
      <w:r w:rsidR="00D45E40" w:rsidRPr="00FE162C">
        <w:t>in the discrete choice experiment</w:t>
      </w:r>
      <w:r w:rsidR="00AD47D5" w:rsidRPr="00FE162C">
        <w:t xml:space="preserve"> w</w:t>
      </w:r>
      <w:r w:rsidR="00DD2E62" w:rsidRPr="00FE162C">
        <w:t xml:space="preserve">ere </w:t>
      </w:r>
      <w:r w:rsidR="00D45E40" w:rsidRPr="00FE162C">
        <w:t xml:space="preserve">in terms of </w:t>
      </w:r>
      <w:r w:rsidR="00DD2E62" w:rsidRPr="00FE162C">
        <w:t>a multiple of the</w:t>
      </w:r>
      <w:r w:rsidR="00D45E40" w:rsidRPr="00FE162C">
        <w:t xml:space="preserve"> individual</w:t>
      </w:r>
      <w:r w:rsidR="00602830">
        <w:t>’</w:t>
      </w:r>
      <w:r w:rsidR="00D45E40" w:rsidRPr="00FE162C">
        <w:t>s</w:t>
      </w:r>
      <w:r w:rsidR="00DD2E62" w:rsidRPr="00FE162C">
        <w:t xml:space="preserve"> current (</w:t>
      </w:r>
      <w:r w:rsidR="00AD47D5" w:rsidRPr="00FE162C">
        <w:t>expected</w:t>
      </w:r>
      <w:r w:rsidR="00DD2E62" w:rsidRPr="00FE162C">
        <w:t>)</w:t>
      </w:r>
      <w:r w:rsidR="00AD47D5" w:rsidRPr="00FE162C">
        <w:t xml:space="preserve"> wage</w:t>
      </w:r>
      <w:r w:rsidR="00FE67B4" w:rsidRPr="00FE162C">
        <w:t>, which</w:t>
      </w:r>
      <w:r w:rsidR="00554DDC" w:rsidRPr="00FE162C">
        <w:t xml:space="preserve"> means </w:t>
      </w:r>
      <w:r w:rsidR="00FE67B4" w:rsidRPr="00FE162C">
        <w:t xml:space="preserve">that </w:t>
      </w:r>
      <w:r w:rsidR="006F27E3">
        <w:t xml:space="preserve">the </w:t>
      </w:r>
      <w:r w:rsidR="00554DDC" w:rsidRPr="00FE162C">
        <w:t xml:space="preserve">higher the current (expected) wage, the higher </w:t>
      </w:r>
      <w:r w:rsidR="00FE67B4" w:rsidRPr="00FE162C">
        <w:t xml:space="preserve">was </w:t>
      </w:r>
      <w:r w:rsidR="00554DDC" w:rsidRPr="00FE162C">
        <w:t>the amount offered in absolute terms</w:t>
      </w:r>
      <w:r w:rsidR="00FE67B4" w:rsidRPr="00FE162C">
        <w:t xml:space="preserve">. </w:t>
      </w:r>
      <w:r w:rsidR="00AD47D5" w:rsidRPr="00FE162C">
        <w:t xml:space="preserve">This has the potential to </w:t>
      </w:r>
      <w:r w:rsidR="00FE67B4" w:rsidRPr="00FE162C">
        <w:t xml:space="preserve">introduce </w:t>
      </w:r>
      <w:r w:rsidR="00AD47D5" w:rsidRPr="00FE162C">
        <w:t>bias in the results.</w:t>
      </w:r>
      <w:r w:rsidR="00AD47D5" w:rsidRPr="00FE162C">
        <w:rPr>
          <w:rStyle w:val="FootnoteReference"/>
          <w:color w:val="000000" w:themeColor="text1"/>
        </w:rPr>
        <w:footnoteReference w:id="15"/>
      </w:r>
      <w:r w:rsidR="00F15F1F" w:rsidRPr="00FE162C">
        <w:t xml:space="preserve"> </w:t>
      </w:r>
      <w:r w:rsidR="00FE67B4" w:rsidRPr="00FE162C">
        <w:t>The</w:t>
      </w:r>
      <w:r w:rsidR="00CA7826">
        <w:t xml:space="preserve"> problem is overcome by including the individual</w:t>
      </w:r>
      <w:r w:rsidR="00602830">
        <w:t>’</w:t>
      </w:r>
      <w:r w:rsidR="00CA7826">
        <w:t xml:space="preserve">s current (expected) wage as an explanatory variable </w:t>
      </w:r>
      <w:r w:rsidR="00F84159">
        <w:t>in the model</w:t>
      </w:r>
      <w:r w:rsidR="00FE67B4" w:rsidRPr="00FE162C">
        <w:t xml:space="preserve"> specificatio</w:t>
      </w:r>
      <w:r w:rsidR="00F84159">
        <w:t>n</w:t>
      </w:r>
      <w:r w:rsidR="00FE67B4" w:rsidRPr="00FE162C">
        <w:t>.</w:t>
      </w:r>
    </w:p>
    <w:p w:rsidR="00AD47D5" w:rsidRPr="009D2A6D" w:rsidRDefault="00B54E47" w:rsidP="009D2A6D">
      <w:pPr>
        <w:pStyle w:val="Text"/>
      </w:pPr>
      <w:r w:rsidRPr="00FE162C">
        <w:t>The second issue relates to the wage expectation of p</w:t>
      </w:r>
      <w:r w:rsidR="00AD47D5" w:rsidRPr="00FE162C">
        <w:t xml:space="preserve">eople who are employed but </w:t>
      </w:r>
      <w:r w:rsidR="00815395">
        <w:t xml:space="preserve">who are </w:t>
      </w:r>
      <w:r w:rsidR="00AD47D5" w:rsidRPr="00FE162C">
        <w:t>looking for work</w:t>
      </w:r>
      <w:r w:rsidR="00F84159">
        <w:t>. This</w:t>
      </w:r>
      <w:r w:rsidRPr="00FE162C">
        <w:t xml:space="preserve"> group generally expects to earn more in the new job, although there may be individuals who wish to change jobs for non-pecuniary reasons. Based on the sample responses, this gro</w:t>
      </w:r>
      <w:r w:rsidR="004D7852" w:rsidRPr="00FE162C">
        <w:t>up on average expects to earn</w:t>
      </w:r>
      <w:r w:rsidR="0062700D">
        <w:t xml:space="preserve"> $5</w:t>
      </w:r>
      <w:r w:rsidR="00AD47D5" w:rsidRPr="00FE162C">
        <w:t xml:space="preserve">119 </w:t>
      </w:r>
      <w:r w:rsidRPr="00FE162C">
        <w:t>more in a new job</w:t>
      </w:r>
      <w:r w:rsidR="00AD47D5" w:rsidRPr="00FE162C">
        <w:t xml:space="preserve">. As </w:t>
      </w:r>
      <w:r w:rsidRPr="00FE162C">
        <w:t xml:space="preserve">individuals in </w:t>
      </w:r>
      <w:r w:rsidR="00AD47D5" w:rsidRPr="00FE162C">
        <w:t>th</w:t>
      </w:r>
      <w:r w:rsidRPr="00FE162C">
        <w:t>is group</w:t>
      </w:r>
      <w:r w:rsidR="00AD47D5" w:rsidRPr="00FE162C">
        <w:t xml:space="preserve"> were offered wages based on their expected rather than actual wages in the choice sets, it may be difficult to know if </w:t>
      </w:r>
      <w:r w:rsidRPr="00FE162C">
        <w:t xml:space="preserve">the decision </w:t>
      </w:r>
      <w:r w:rsidR="00AD47D5" w:rsidRPr="00FE162C">
        <w:t xml:space="preserve">to </w:t>
      </w:r>
      <w:r w:rsidRPr="00FE162C">
        <w:t>accept a job offer was</w:t>
      </w:r>
      <w:r w:rsidR="00AD47D5" w:rsidRPr="00FE162C">
        <w:t xml:space="preserve"> based on the higher wage offer or</w:t>
      </w:r>
      <w:r w:rsidRPr="00FE162C">
        <w:t xml:space="preserve"> </w:t>
      </w:r>
      <w:r w:rsidR="00F84159" w:rsidRPr="009D2A6D">
        <w:t xml:space="preserve">if </w:t>
      </w:r>
      <w:r w:rsidRPr="009D2A6D">
        <w:t>it was</w:t>
      </w:r>
      <w:r w:rsidR="00AD47D5" w:rsidRPr="009D2A6D">
        <w:t xml:space="preserve"> </w:t>
      </w:r>
      <w:r w:rsidR="004D7852" w:rsidRPr="009D2A6D">
        <w:t xml:space="preserve">on the basis of </w:t>
      </w:r>
      <w:r w:rsidR="00F84159" w:rsidRPr="009D2A6D">
        <w:t>a genuine desire to</w:t>
      </w:r>
      <w:r w:rsidR="00B32C95" w:rsidRPr="009D2A6D">
        <w:t xml:space="preserve"> </w:t>
      </w:r>
      <w:r w:rsidR="00AD47D5" w:rsidRPr="009D2A6D">
        <w:t xml:space="preserve">change jobs. </w:t>
      </w:r>
      <w:r w:rsidR="00B32C95" w:rsidRPr="009D2A6D">
        <w:t>To account for the p</w:t>
      </w:r>
      <w:r w:rsidR="004D7852" w:rsidRPr="009D2A6D">
        <w:t>ossible bias from this</w:t>
      </w:r>
      <w:r w:rsidR="00B32C95" w:rsidRPr="009D2A6D">
        <w:t>, we include t</w:t>
      </w:r>
      <w:r w:rsidR="00AD47D5" w:rsidRPr="009D2A6D">
        <w:t xml:space="preserve">he difference in the expected and current wage </w:t>
      </w:r>
      <w:r w:rsidR="00B32C95" w:rsidRPr="009D2A6D">
        <w:t>as an</w:t>
      </w:r>
      <w:r w:rsidR="00AD47D5" w:rsidRPr="009D2A6D">
        <w:t xml:space="preserve"> explanatory variable in the model specification.</w:t>
      </w:r>
    </w:p>
    <w:p w:rsidR="00AD47D5" w:rsidRPr="00FE162C" w:rsidRDefault="00AD47D5" w:rsidP="009D2A6D">
      <w:pPr>
        <w:pStyle w:val="Text"/>
        <w:ind w:right="-143"/>
      </w:pPr>
      <w:r w:rsidRPr="009D2A6D">
        <w:t xml:space="preserve">As the level of complexity of </w:t>
      </w:r>
      <w:r w:rsidR="00F15F1F" w:rsidRPr="009D2A6D">
        <w:t xml:space="preserve">the </w:t>
      </w:r>
      <w:r w:rsidR="0062700D" w:rsidRPr="009D2A6D">
        <w:t xml:space="preserve">mixed multinomial logit model </w:t>
      </w:r>
      <w:r w:rsidR="00F15F1F" w:rsidRPr="009D2A6D">
        <w:t>is m</w:t>
      </w:r>
      <w:r w:rsidR="00F15F1F" w:rsidRPr="00FE162C">
        <w:t>uch higher than the model</w:t>
      </w:r>
      <w:r w:rsidRPr="00FE162C">
        <w:t xml:space="preserve"> estimated in the previous section, we use a more parsimonious specification by including only variables which</w:t>
      </w:r>
      <w:r w:rsidR="00A77E0A" w:rsidRPr="00FE162C">
        <w:t xml:space="preserve"> were significant at 10</w:t>
      </w:r>
      <w:r w:rsidR="00AF1216">
        <w:t xml:space="preserve">% </w:t>
      </w:r>
      <w:r w:rsidR="00A77E0A" w:rsidRPr="00FE162C">
        <w:t>or lower</w:t>
      </w:r>
      <w:r w:rsidR="004D7852" w:rsidRPr="00FE162C">
        <w:t xml:space="preserve"> level</w:t>
      </w:r>
      <w:r w:rsidRPr="00FE162C">
        <w:t xml:space="preserve"> </w:t>
      </w:r>
      <w:r w:rsidR="00383E89" w:rsidRPr="00FE162C">
        <w:t xml:space="preserve">in the </w:t>
      </w:r>
      <w:r w:rsidR="00F84159">
        <w:t>earlier model</w:t>
      </w:r>
      <w:r w:rsidR="004D7852" w:rsidRPr="00FE162C">
        <w:t>.</w:t>
      </w:r>
      <w:r w:rsidRPr="00FE162C">
        <w:t xml:space="preserve"> The results from </w:t>
      </w:r>
      <w:r w:rsidR="0062700D">
        <w:t xml:space="preserve">estimating this </w:t>
      </w:r>
      <w:r w:rsidRPr="00FE162C">
        <w:lastRenderedPageBreak/>
        <w:t xml:space="preserve">model are in </w:t>
      </w:r>
      <w:r w:rsidR="0062700D">
        <w:t>table C</w:t>
      </w:r>
      <w:r w:rsidR="00C21ED9" w:rsidRPr="00FE162C">
        <w:t>1</w:t>
      </w:r>
      <w:r w:rsidRPr="00FE162C">
        <w:t xml:space="preserve"> in Appendix </w:t>
      </w:r>
      <w:r w:rsidR="00AF0CA4" w:rsidRPr="00FE162C">
        <w:t>C</w:t>
      </w:r>
      <w:r w:rsidRPr="00FE162C">
        <w:t>.</w:t>
      </w:r>
      <w:r w:rsidR="002050E7" w:rsidRPr="00FE162C">
        <w:rPr>
          <w:rStyle w:val="FootnoteReference"/>
          <w:color w:val="000000" w:themeColor="text1"/>
        </w:rPr>
        <w:footnoteReference w:id="16"/>
      </w:r>
      <w:r w:rsidR="00DA0F63" w:rsidRPr="00FE162C">
        <w:t xml:space="preserve"> These results allow us to estimate the </w:t>
      </w:r>
      <w:r w:rsidR="00696FB1" w:rsidRPr="00FE162C">
        <w:t>marginal willingness to</w:t>
      </w:r>
      <w:r w:rsidR="009D2A6D">
        <w:t> </w:t>
      </w:r>
      <w:r w:rsidR="00696FB1" w:rsidRPr="00FE162C">
        <w:t>pay</w:t>
      </w:r>
      <w:r w:rsidR="00DA0F63" w:rsidRPr="00FE162C">
        <w:t>, which is our primary focus in this section.</w:t>
      </w:r>
      <w:r w:rsidR="00DA0F63" w:rsidRPr="00FE162C">
        <w:rPr>
          <w:rStyle w:val="FootnoteReference"/>
          <w:color w:val="000000" w:themeColor="text1"/>
        </w:rPr>
        <w:footnoteReference w:id="17"/>
      </w:r>
      <w:r w:rsidR="00DA0F63" w:rsidRPr="00FE162C">
        <w:t xml:space="preserve"> The results </w:t>
      </w:r>
      <w:r w:rsidR="004D7852" w:rsidRPr="00FE162C">
        <w:t xml:space="preserve">on MWTP </w:t>
      </w:r>
      <w:r w:rsidR="00696FB1">
        <w:t>are presented in t</w:t>
      </w:r>
      <w:r w:rsidR="00DA0F63" w:rsidRPr="00FE162C">
        <w:t>able 4.</w:t>
      </w:r>
    </w:p>
    <w:p w:rsidR="00ED7BE5" w:rsidRPr="00FE162C" w:rsidRDefault="001733D6" w:rsidP="009D2A6D">
      <w:pPr>
        <w:pStyle w:val="Text"/>
      </w:pPr>
      <w:r w:rsidRPr="00FE162C">
        <w:t>T</w:t>
      </w:r>
      <w:r w:rsidR="00267C31" w:rsidRPr="00FE162C">
        <w:t>he MWTP estimates relat</w:t>
      </w:r>
      <w:r w:rsidRPr="00FE162C">
        <w:t>ing</w:t>
      </w:r>
      <w:r w:rsidR="00267C31" w:rsidRPr="00FE162C">
        <w:t xml:space="preserve"> to the job attributes show that </w:t>
      </w:r>
      <w:r w:rsidR="004D39DD" w:rsidRPr="00FE162C">
        <w:t>individuals</w:t>
      </w:r>
      <w:r w:rsidR="00BD5155" w:rsidRPr="00FE162C">
        <w:t xml:space="preserve"> are willing to </w:t>
      </w:r>
      <w:r w:rsidR="00696FB1">
        <w:t xml:space="preserve">trade </w:t>
      </w:r>
      <w:r w:rsidRPr="00FE162C">
        <w:t>off</w:t>
      </w:r>
      <w:r w:rsidR="00815395">
        <w:t xml:space="preserve"> $10 </w:t>
      </w:r>
      <w:r w:rsidR="00BD5155" w:rsidRPr="00FE162C">
        <w:t xml:space="preserve">504 in wages to </w:t>
      </w:r>
      <w:r w:rsidR="009C5B9A" w:rsidRPr="00FE162C">
        <w:t xml:space="preserve">relocate to either Brisbane or Perth and </w:t>
      </w:r>
      <w:r w:rsidR="00BD5155" w:rsidRPr="00FE162C">
        <w:t>secure</w:t>
      </w:r>
      <w:r w:rsidRPr="00FE162C">
        <w:t xml:space="preserve"> a</w:t>
      </w:r>
      <w:r w:rsidR="00BD5155" w:rsidRPr="00FE162C">
        <w:t xml:space="preserve"> </w:t>
      </w:r>
      <w:r w:rsidR="00E16A3B" w:rsidRPr="00FE162C">
        <w:t>fly-in/fly-out</w:t>
      </w:r>
      <w:r w:rsidR="00BD5155" w:rsidRPr="00FE162C">
        <w:t xml:space="preserve"> contract</w:t>
      </w:r>
      <w:r w:rsidR="00E83E3E" w:rsidRPr="00FE162C">
        <w:t xml:space="preserve"> </w:t>
      </w:r>
      <w:r w:rsidR="00BD5155" w:rsidRPr="00FE162C">
        <w:t xml:space="preserve">rather than permanently relocate to </w:t>
      </w:r>
      <w:r w:rsidRPr="00FE162C">
        <w:t xml:space="preserve">one of the two regional locations </w:t>
      </w:r>
      <w:r w:rsidR="00BD5155" w:rsidRPr="00FE162C">
        <w:t>where the job</w:t>
      </w:r>
      <w:r w:rsidR="00EC0E50" w:rsidRPr="00FE162C">
        <w:t>s are</w:t>
      </w:r>
      <w:r w:rsidR="00BD5155" w:rsidRPr="00FE162C">
        <w:t xml:space="preserve"> offered.</w:t>
      </w:r>
      <w:r w:rsidR="003D05C9" w:rsidRPr="00FE162C">
        <w:t xml:space="preserve"> </w:t>
      </w:r>
      <w:r w:rsidRPr="00FE162C">
        <w:t>As all job offers</w:t>
      </w:r>
      <w:r w:rsidR="002D1677" w:rsidRPr="00FE162C">
        <w:t xml:space="preserve"> require relocation </w:t>
      </w:r>
      <w:r w:rsidR="001D57DB" w:rsidRPr="00FE162C">
        <w:t xml:space="preserve">by the worker </w:t>
      </w:r>
      <w:r w:rsidR="009C5B9A" w:rsidRPr="00FE162C">
        <w:t>from their current state of residence</w:t>
      </w:r>
      <w:r w:rsidRPr="00FE162C">
        <w:t xml:space="preserve">, </w:t>
      </w:r>
      <w:r w:rsidR="001D57DB" w:rsidRPr="00FE162C">
        <w:t>accepting a</w:t>
      </w:r>
      <w:r w:rsidR="002D1677" w:rsidRPr="00FE162C">
        <w:t xml:space="preserve"> job offer incurs</w:t>
      </w:r>
      <w:r w:rsidR="00000410" w:rsidRPr="00FE162C">
        <w:t xml:space="preserve"> </w:t>
      </w:r>
      <w:r w:rsidR="00696FB1">
        <w:t xml:space="preserve">the </w:t>
      </w:r>
      <w:r w:rsidR="00A94CE8">
        <w:t xml:space="preserve">non-monetary </w:t>
      </w:r>
      <w:r w:rsidR="002D1677" w:rsidRPr="00FE162C">
        <w:t xml:space="preserve">costs </w:t>
      </w:r>
      <w:r w:rsidR="001D57DB" w:rsidRPr="00FE162C">
        <w:t>of</w:t>
      </w:r>
      <w:r w:rsidR="002D1677" w:rsidRPr="00FE162C">
        <w:t xml:space="preserve"> moving away </w:t>
      </w:r>
      <w:r w:rsidR="00173D2B" w:rsidRPr="00FE162C">
        <w:t xml:space="preserve">from </w:t>
      </w:r>
      <w:r w:rsidR="002D1677" w:rsidRPr="00FE162C">
        <w:t>family, friends and familiar surroundings.</w:t>
      </w:r>
      <w:r w:rsidR="004608F2" w:rsidRPr="00FE162C">
        <w:rPr>
          <w:rStyle w:val="FootnoteReference"/>
          <w:color w:val="000000" w:themeColor="text1"/>
        </w:rPr>
        <w:footnoteReference w:id="18"/>
      </w:r>
      <w:r w:rsidR="00000410" w:rsidRPr="00FE162C">
        <w:t xml:space="preserve"> </w:t>
      </w:r>
      <w:r w:rsidR="00367546" w:rsidRPr="00FE162C">
        <w:t xml:space="preserve">The </w:t>
      </w:r>
      <w:r w:rsidR="00E16A3B" w:rsidRPr="00FE162C">
        <w:t>fly-in/fly-out</w:t>
      </w:r>
      <w:r w:rsidR="00367546" w:rsidRPr="00FE162C">
        <w:t xml:space="preserve"> option, however, has two distinct advantages. First, </w:t>
      </w:r>
      <w:r w:rsidR="00F84159">
        <w:t xml:space="preserve">both </w:t>
      </w:r>
      <w:r w:rsidR="004D1FFB" w:rsidRPr="00FE162C">
        <w:t>Brisbane and Perth</w:t>
      </w:r>
      <w:r w:rsidR="00367546" w:rsidRPr="00FE162C">
        <w:t xml:space="preserve"> ha</w:t>
      </w:r>
      <w:r w:rsidR="004D1FFB" w:rsidRPr="00FE162C">
        <w:t>ve</w:t>
      </w:r>
      <w:r w:rsidR="00000410" w:rsidRPr="00FE162C">
        <w:t xml:space="preserve"> advantages with respect to </w:t>
      </w:r>
      <w:r w:rsidR="004D1FFB" w:rsidRPr="00FE162C">
        <w:t xml:space="preserve">climate and </w:t>
      </w:r>
      <w:r w:rsidR="00000410" w:rsidRPr="00FE162C">
        <w:t>amenities</w:t>
      </w:r>
      <w:r w:rsidR="009C5B9A" w:rsidRPr="00FE162C">
        <w:t xml:space="preserve"> (</w:t>
      </w:r>
      <w:r w:rsidR="00696FB1">
        <w:t>for example,</w:t>
      </w:r>
      <w:r w:rsidR="009C5B9A" w:rsidRPr="00FE162C">
        <w:t xml:space="preserve"> choice of schools, health providers,</w:t>
      </w:r>
      <w:r w:rsidR="004D1FFB" w:rsidRPr="00FE162C">
        <w:t xml:space="preserve"> housing and entertainment</w:t>
      </w:r>
      <w:r w:rsidR="009C5B9A" w:rsidRPr="00FE162C">
        <w:t>)</w:t>
      </w:r>
      <w:r w:rsidR="00000410" w:rsidRPr="00FE162C">
        <w:t xml:space="preserve"> </w:t>
      </w:r>
      <w:r w:rsidR="00000410" w:rsidRPr="009D2A6D">
        <w:t>that</w:t>
      </w:r>
      <w:r w:rsidR="00000410" w:rsidRPr="00FE162C">
        <w:t xml:space="preserve"> Karratha and Emerald are unlikely to be able to match. </w:t>
      </w:r>
      <w:r w:rsidR="00367546" w:rsidRPr="00FE162C">
        <w:t>Seco</w:t>
      </w:r>
      <w:r w:rsidR="003F4A07" w:rsidRPr="00FE162C">
        <w:t xml:space="preserve">nd, there </w:t>
      </w:r>
      <w:r w:rsidR="004D1FFB" w:rsidRPr="00FE162C">
        <w:t>are</w:t>
      </w:r>
      <w:r w:rsidR="00367546" w:rsidRPr="00FE162C">
        <w:t xml:space="preserve"> saving</w:t>
      </w:r>
      <w:r w:rsidR="004D1FFB" w:rsidRPr="00FE162C">
        <w:t>s</w:t>
      </w:r>
      <w:r w:rsidR="00367546" w:rsidRPr="00FE162C">
        <w:t xml:space="preserve"> </w:t>
      </w:r>
      <w:r w:rsidR="003F4A07" w:rsidRPr="00FE162C">
        <w:t xml:space="preserve">in terms of </w:t>
      </w:r>
      <w:r w:rsidR="00696FB1">
        <w:t xml:space="preserve">the </w:t>
      </w:r>
      <w:r w:rsidR="003F4A07" w:rsidRPr="00FE162C">
        <w:t>accommodation and</w:t>
      </w:r>
      <w:r w:rsidR="00EC0E50" w:rsidRPr="00FE162C">
        <w:t xml:space="preserve"> meals provided</w:t>
      </w:r>
      <w:r w:rsidR="00367546" w:rsidRPr="00FE162C">
        <w:t xml:space="preserve"> while rostered for work</w:t>
      </w:r>
      <w:r w:rsidR="006E465A" w:rsidRPr="00FE162C">
        <w:t>.</w:t>
      </w:r>
      <w:r w:rsidR="003F4A07" w:rsidRPr="00FE162C">
        <w:rPr>
          <w:rStyle w:val="FootnoteReference"/>
          <w:color w:val="000000" w:themeColor="text1"/>
        </w:rPr>
        <w:footnoteReference w:id="19"/>
      </w:r>
      <w:r w:rsidR="006E465A" w:rsidRPr="00FE162C">
        <w:t xml:space="preserve"> A combination of both these factors may explain why individuals place a </w:t>
      </w:r>
      <w:r w:rsidR="00D14BA4" w:rsidRPr="00FE162C">
        <w:t xml:space="preserve">slightly </w:t>
      </w:r>
      <w:r w:rsidR="006E465A" w:rsidRPr="00FE162C">
        <w:t xml:space="preserve">higher value on the </w:t>
      </w:r>
      <w:r w:rsidR="00020E10">
        <w:br/>
      </w:r>
      <w:r w:rsidR="00E16A3B" w:rsidRPr="00FE162C">
        <w:t>fly-in/fly-out</w:t>
      </w:r>
      <w:r w:rsidR="006E465A" w:rsidRPr="00FE162C">
        <w:t xml:space="preserve"> option than </w:t>
      </w:r>
      <w:r w:rsidR="00020E10">
        <w:t xml:space="preserve">on </w:t>
      </w:r>
      <w:r w:rsidR="009C5B9A" w:rsidRPr="00FE162C">
        <w:t>the</w:t>
      </w:r>
      <w:r w:rsidR="006E465A" w:rsidRPr="00FE162C">
        <w:t xml:space="preserve"> permanent relocation to </w:t>
      </w:r>
      <w:r w:rsidR="004D1FFB" w:rsidRPr="00FE162C">
        <w:t>one of the regional locations.</w:t>
      </w:r>
    </w:p>
    <w:p w:rsidR="00691B54" w:rsidRPr="009D2A6D" w:rsidRDefault="00691B54" w:rsidP="009D2A6D">
      <w:pPr>
        <w:pStyle w:val="Text"/>
        <w:ind w:right="141"/>
      </w:pPr>
      <w:r w:rsidRPr="00FE162C">
        <w:t xml:space="preserve">An offer </w:t>
      </w:r>
      <w:r w:rsidR="009C5B9A" w:rsidRPr="00FE162C">
        <w:t>of</w:t>
      </w:r>
      <w:r w:rsidRPr="00FE162C">
        <w:t xml:space="preserve"> a temporary job entails only six months of work</w:t>
      </w:r>
      <w:r w:rsidR="004D1FFB" w:rsidRPr="00FE162C">
        <w:t xml:space="preserve"> and</w:t>
      </w:r>
      <w:r w:rsidRPr="00FE162C">
        <w:t>, therefore</w:t>
      </w:r>
      <w:r w:rsidR="004D1FFB" w:rsidRPr="00FE162C">
        <w:t>,</w:t>
      </w:r>
      <w:r w:rsidR="00C90C0D">
        <w:t xml:space="preserve"> the</w:t>
      </w:r>
      <w:r w:rsidRPr="00FE162C">
        <w:t xml:space="preserve"> wage increase is effectively halved. Taking this into account, the results suggest</w:t>
      </w:r>
      <w:r w:rsidR="00493FBE" w:rsidRPr="00FE162C">
        <w:t xml:space="preserve"> that, on average</w:t>
      </w:r>
      <w:r w:rsidR="00A86B0C">
        <w:t xml:space="preserve"> over the six months of the contract</w:t>
      </w:r>
      <w:r w:rsidR="00493FBE" w:rsidRPr="00FE162C">
        <w:t xml:space="preserve">, </w:t>
      </w:r>
      <w:r w:rsidR="004D39DD" w:rsidRPr="00FE162C">
        <w:t>individuals</w:t>
      </w:r>
      <w:r w:rsidR="00493FBE" w:rsidRPr="00FE162C">
        <w:t xml:space="preserve"> </w:t>
      </w:r>
      <w:r w:rsidR="00696FB1">
        <w:t>require compensation of $5</w:t>
      </w:r>
      <w:r w:rsidR="00A86B0C">
        <w:t>618 to accept a temporary contract over an ongoing contract.</w:t>
      </w:r>
      <w:r w:rsidR="00493FBE" w:rsidRPr="00FE162C">
        <w:t xml:space="preserve"> </w:t>
      </w:r>
      <w:r w:rsidR="00C90C0D">
        <w:t>S</w:t>
      </w:r>
      <w:r w:rsidR="00E03311" w:rsidRPr="00FE162C">
        <w:t>hort-</w:t>
      </w:r>
      <w:r w:rsidR="00E56109" w:rsidRPr="00FE162C">
        <w:t>term contracts</w:t>
      </w:r>
      <w:r w:rsidR="006E465A" w:rsidRPr="00FE162C">
        <w:t xml:space="preserve"> </w:t>
      </w:r>
      <w:r w:rsidR="00E03311" w:rsidRPr="00FE162C">
        <w:t xml:space="preserve">can </w:t>
      </w:r>
      <w:r w:rsidR="00815395">
        <w:t>generally</w:t>
      </w:r>
      <w:r w:rsidR="00815395" w:rsidRPr="00FE162C">
        <w:t xml:space="preserve"> </w:t>
      </w:r>
      <w:r w:rsidR="00E03311" w:rsidRPr="00FE162C">
        <w:t xml:space="preserve">incur </w:t>
      </w:r>
      <w:r w:rsidR="00E03311" w:rsidRPr="009D2A6D">
        <w:t>additional costs to</w:t>
      </w:r>
      <w:r w:rsidR="006E465A" w:rsidRPr="009D2A6D">
        <w:t xml:space="preserve"> the worker in terms of</w:t>
      </w:r>
      <w:r w:rsidR="009D2A6D">
        <w:t> </w:t>
      </w:r>
      <w:r w:rsidR="009D5E9F" w:rsidRPr="009D2A6D">
        <w:t>the</w:t>
      </w:r>
      <w:r w:rsidR="00E03311" w:rsidRPr="009D2A6D">
        <w:t xml:space="preserve"> </w:t>
      </w:r>
      <w:r w:rsidR="00E56109" w:rsidRPr="009D2A6D">
        <w:t xml:space="preserve">risk of </w:t>
      </w:r>
      <w:r w:rsidR="00E03311" w:rsidRPr="009D2A6D">
        <w:t xml:space="preserve">periods of </w:t>
      </w:r>
      <w:r w:rsidR="00E56109" w:rsidRPr="009D2A6D">
        <w:t xml:space="preserve">unemployment </w:t>
      </w:r>
      <w:r w:rsidR="004364C5" w:rsidRPr="009D2A6D">
        <w:t xml:space="preserve">between jobs </w:t>
      </w:r>
      <w:r w:rsidR="00E56109" w:rsidRPr="009D2A6D">
        <w:t>and/or possible relocation cost</w:t>
      </w:r>
      <w:r w:rsidR="00E03311" w:rsidRPr="009D2A6D">
        <w:t xml:space="preserve">s </w:t>
      </w:r>
      <w:r w:rsidR="009D5E9F" w:rsidRPr="009D2A6D">
        <w:t>after the contract ends</w:t>
      </w:r>
      <w:r w:rsidR="006E465A" w:rsidRPr="009D2A6D">
        <w:t>.</w:t>
      </w:r>
    </w:p>
    <w:p w:rsidR="00A61222" w:rsidRPr="009D2A6D" w:rsidRDefault="00755F94" w:rsidP="009D2A6D">
      <w:pPr>
        <w:pStyle w:val="Text"/>
      </w:pPr>
      <w:r w:rsidRPr="009D2A6D">
        <w:t xml:space="preserve">A contract </w:t>
      </w:r>
      <w:r w:rsidR="00696FB1" w:rsidRPr="009D2A6D">
        <w:t>that</w:t>
      </w:r>
      <w:r w:rsidR="00807559" w:rsidRPr="009D2A6D">
        <w:t xml:space="preserve"> includes</w:t>
      </w:r>
      <w:r w:rsidRPr="009D2A6D">
        <w:t xml:space="preserve"> training </w:t>
      </w:r>
      <w:r w:rsidR="00807559" w:rsidRPr="009D2A6D">
        <w:t>incurs</w:t>
      </w:r>
      <w:r w:rsidRPr="009D2A6D">
        <w:t xml:space="preserve"> a wage penalty of 50</w:t>
      </w:r>
      <w:r w:rsidR="00AF1216" w:rsidRPr="009D2A6D">
        <w:t xml:space="preserve">% </w:t>
      </w:r>
      <w:r w:rsidR="00691B54" w:rsidRPr="009D2A6D">
        <w:t>for</w:t>
      </w:r>
      <w:r w:rsidRPr="009D2A6D">
        <w:t xml:space="preserve"> the first</w:t>
      </w:r>
      <w:r w:rsidR="00691B54" w:rsidRPr="009D2A6D">
        <w:t xml:space="preserve"> three months, </w:t>
      </w:r>
      <w:r w:rsidR="00BA335E" w:rsidRPr="009D2A6D">
        <w:t xml:space="preserve">which is equivalent to </w:t>
      </w:r>
      <w:r w:rsidR="00807559" w:rsidRPr="009D2A6D">
        <w:t>a reductio</w:t>
      </w:r>
      <w:r w:rsidR="004364C5" w:rsidRPr="009D2A6D">
        <w:t>n in wages in the first year of</w:t>
      </w:r>
      <w:r w:rsidR="00807559" w:rsidRPr="009D2A6D">
        <w:t>, on average,</w:t>
      </w:r>
      <w:r w:rsidR="00BA335E" w:rsidRPr="009D2A6D">
        <w:t xml:space="preserve"> $9298</w:t>
      </w:r>
      <w:r w:rsidR="00691B54" w:rsidRPr="009D2A6D">
        <w:t xml:space="preserve">. </w:t>
      </w:r>
      <w:r w:rsidR="00C90C0D" w:rsidRPr="009D2A6D">
        <w:t>Despite the fact that</w:t>
      </w:r>
      <w:r w:rsidR="00696FB1" w:rsidRPr="009D2A6D">
        <w:t>,</w:t>
      </w:r>
      <w:r w:rsidR="00C90C0D" w:rsidRPr="009D2A6D">
        <w:t xml:space="preserve"> </w:t>
      </w:r>
      <w:r w:rsidR="00597AED" w:rsidRPr="009D2A6D">
        <w:t>as far as possible</w:t>
      </w:r>
      <w:r w:rsidR="00696FB1" w:rsidRPr="009D2A6D">
        <w:t>,</w:t>
      </w:r>
      <w:r w:rsidR="00597AED" w:rsidRPr="009D2A6D">
        <w:t xml:space="preserve"> the </w:t>
      </w:r>
      <w:r w:rsidR="00C90C0D" w:rsidRPr="009D2A6D">
        <w:t>job offers are matched to the individual</w:t>
      </w:r>
      <w:r w:rsidR="00602830">
        <w:t>’</w:t>
      </w:r>
      <w:r w:rsidR="00597AED" w:rsidRPr="009D2A6D">
        <w:t>s skill level, t</w:t>
      </w:r>
      <w:r w:rsidR="00C90C0D" w:rsidRPr="009D2A6D">
        <w:t>he results</w:t>
      </w:r>
      <w:r w:rsidR="004B228F" w:rsidRPr="009D2A6D">
        <w:t xml:space="preserve"> show</w:t>
      </w:r>
      <w:r w:rsidR="00A61222" w:rsidRPr="009D2A6D">
        <w:t xml:space="preserve"> </w:t>
      </w:r>
      <w:r w:rsidR="004D39DD" w:rsidRPr="009D2A6D">
        <w:t>individuals</w:t>
      </w:r>
      <w:r w:rsidR="00815395" w:rsidRPr="009D2A6D">
        <w:t xml:space="preserve"> are willing to trade </w:t>
      </w:r>
      <w:r w:rsidR="00696FB1" w:rsidRPr="009D2A6D">
        <w:t>off $6</w:t>
      </w:r>
      <w:r w:rsidR="00A61222" w:rsidRPr="009D2A6D">
        <w:t>902 in annual wages</w:t>
      </w:r>
      <w:r w:rsidR="00C90C0D" w:rsidRPr="009D2A6D">
        <w:t xml:space="preserve"> for </w:t>
      </w:r>
      <w:r w:rsidR="00A61222" w:rsidRPr="009D2A6D">
        <w:t>a cont</w:t>
      </w:r>
      <w:r w:rsidR="00C90C0D" w:rsidRPr="009D2A6D">
        <w:t>ract which includes</w:t>
      </w:r>
      <w:r w:rsidR="00597AED" w:rsidRPr="009D2A6D">
        <w:t xml:space="preserve"> training.</w:t>
      </w:r>
      <w:r w:rsidR="00C90C0D" w:rsidRPr="009D2A6D">
        <w:t xml:space="preserve"> T</w:t>
      </w:r>
      <w:r w:rsidR="00E56109" w:rsidRPr="009D2A6D">
        <w:t xml:space="preserve">raining </w:t>
      </w:r>
      <w:r w:rsidR="004364C5" w:rsidRPr="009D2A6D">
        <w:t>is</w:t>
      </w:r>
      <w:r w:rsidR="00C90C0D" w:rsidRPr="009D2A6D">
        <w:t xml:space="preserve"> thus</w:t>
      </w:r>
      <w:r w:rsidR="004364C5" w:rsidRPr="009D2A6D">
        <w:t xml:space="preserve"> considered a</w:t>
      </w:r>
      <w:r w:rsidR="00C90C0D" w:rsidRPr="009D2A6D">
        <w:t xml:space="preserve"> human capital investment </w:t>
      </w:r>
      <w:r w:rsidR="004B228F" w:rsidRPr="009D2A6D">
        <w:t xml:space="preserve">and </w:t>
      </w:r>
      <w:r w:rsidR="004364C5" w:rsidRPr="009D2A6D">
        <w:t xml:space="preserve">individuals </w:t>
      </w:r>
      <w:r w:rsidR="004B228F" w:rsidRPr="009D2A6D">
        <w:t>are prepared to</w:t>
      </w:r>
      <w:r w:rsidR="00696FB1" w:rsidRPr="009D2A6D">
        <w:t xml:space="preserve"> trade </w:t>
      </w:r>
      <w:r w:rsidR="00E56109" w:rsidRPr="009D2A6D">
        <w:t>off</w:t>
      </w:r>
      <w:r w:rsidR="00DC77A3" w:rsidRPr="009D2A6D">
        <w:t xml:space="preserve"> wages </w:t>
      </w:r>
      <w:r w:rsidR="004B228F" w:rsidRPr="009D2A6D">
        <w:t>in the short term with the expectation of</w:t>
      </w:r>
      <w:r w:rsidR="00DC77A3" w:rsidRPr="009D2A6D">
        <w:t xml:space="preserve"> higher wages </w:t>
      </w:r>
      <w:r w:rsidR="004364C5" w:rsidRPr="009D2A6D">
        <w:t>later</w:t>
      </w:r>
      <w:r w:rsidR="005A4FEC" w:rsidRPr="009D2A6D">
        <w:t>.</w:t>
      </w:r>
      <w:r w:rsidR="001055B7" w:rsidRPr="009D2A6D">
        <w:t xml:space="preserve"> It is possible that those who have a preference for training expect to change industry and thus require industry-specific </w:t>
      </w:r>
      <w:r w:rsidR="00696FB1" w:rsidRPr="009D2A6D">
        <w:t>re</w:t>
      </w:r>
      <w:r w:rsidR="001055B7" w:rsidRPr="009D2A6D">
        <w:t>skilling.</w:t>
      </w:r>
    </w:p>
    <w:p w:rsidR="00FA00EA" w:rsidRPr="00020E10" w:rsidRDefault="004B228F" w:rsidP="009D2A6D">
      <w:pPr>
        <w:pStyle w:val="Text"/>
      </w:pPr>
      <w:r w:rsidRPr="00020E10">
        <w:t xml:space="preserve">The difference in </w:t>
      </w:r>
      <w:r w:rsidR="005469CC" w:rsidRPr="00020E10">
        <w:t>the information contained</w:t>
      </w:r>
      <w:r w:rsidR="00696FB1" w:rsidRPr="00020E10">
        <w:t xml:space="preserve"> in t</w:t>
      </w:r>
      <w:r w:rsidR="007B0620" w:rsidRPr="00020E10">
        <w:t>able</w:t>
      </w:r>
      <w:r w:rsidR="00696FB1" w:rsidRPr="00020E10">
        <w:t>s</w:t>
      </w:r>
      <w:r w:rsidR="007B0620" w:rsidRPr="00020E10">
        <w:t xml:space="preserve"> 3 and 4 with respect to individual characteristics is </w:t>
      </w:r>
      <w:r w:rsidRPr="00020E10">
        <w:t>mainly in</w:t>
      </w:r>
      <w:r w:rsidR="005469CC" w:rsidRPr="00020E10">
        <w:t xml:space="preserve"> the metric used to report the results.</w:t>
      </w:r>
      <w:r w:rsidR="007B0620" w:rsidRPr="00020E10">
        <w:t xml:space="preserve"> </w:t>
      </w:r>
      <w:r w:rsidR="00696FB1" w:rsidRPr="00020E10">
        <w:t>For instance, from t</w:t>
      </w:r>
      <w:r w:rsidR="005469CC" w:rsidRPr="00020E10">
        <w:t>able 3 we know that</w:t>
      </w:r>
      <w:r w:rsidR="00662C39" w:rsidRPr="00020E10">
        <w:t xml:space="preserve"> </w:t>
      </w:r>
      <w:r w:rsidR="004D39DD" w:rsidRPr="00020E10">
        <w:t>individuals</w:t>
      </w:r>
      <w:r w:rsidR="00602830" w:rsidRPr="00020E10">
        <w:t>’</w:t>
      </w:r>
      <w:r w:rsidR="00C32526" w:rsidRPr="00020E10">
        <w:t xml:space="preserve"> willingness to </w:t>
      </w:r>
      <w:r w:rsidR="00597AED" w:rsidRPr="00020E10">
        <w:t>accept</w:t>
      </w:r>
      <w:r w:rsidRPr="00020E10">
        <w:t xml:space="preserve"> job offer</w:t>
      </w:r>
      <w:r w:rsidR="00597AED" w:rsidRPr="00020E10">
        <w:t>s</w:t>
      </w:r>
      <w:r w:rsidR="00C32526" w:rsidRPr="00020E10">
        <w:t xml:space="preserve"> declines with age. </w:t>
      </w:r>
      <w:r w:rsidR="00696FB1" w:rsidRPr="00020E10">
        <w:t>In t</w:t>
      </w:r>
      <w:r w:rsidR="005469CC" w:rsidRPr="00020E10">
        <w:t>a</w:t>
      </w:r>
      <w:r w:rsidR="00696FB1" w:rsidRPr="00020E10">
        <w:t>ble 4 this is expressed in wage-</w:t>
      </w:r>
      <w:r w:rsidR="005469CC" w:rsidRPr="00020E10">
        <w:t>equivalent terms: a</w:t>
      </w:r>
      <w:r w:rsidR="00C32526" w:rsidRPr="00020E10">
        <w:t xml:space="preserve"> wage premium</w:t>
      </w:r>
      <w:r w:rsidR="00166ED3" w:rsidRPr="00020E10">
        <w:t xml:space="preserve"> </w:t>
      </w:r>
      <w:r w:rsidR="00696FB1" w:rsidRPr="00020E10">
        <w:t>of $1</w:t>
      </w:r>
      <w:r w:rsidR="005469CC" w:rsidRPr="00020E10">
        <w:t xml:space="preserve">046 </w:t>
      </w:r>
      <w:r w:rsidR="00597AED" w:rsidRPr="00020E10">
        <w:t xml:space="preserve">is </w:t>
      </w:r>
      <w:r w:rsidR="006209CF" w:rsidRPr="00020E10">
        <w:t>required for each one</w:t>
      </w:r>
      <w:r w:rsidR="00020E10" w:rsidRPr="00020E10">
        <w:t>-</w:t>
      </w:r>
      <w:r w:rsidR="006209CF" w:rsidRPr="00020E10">
        <w:t>year increase in the age of the individual. The table also shows that to accept a job offer:</w:t>
      </w:r>
      <w:r w:rsidR="00FA00EA" w:rsidRPr="00020E10">
        <w:t xml:space="preserve"> </w:t>
      </w:r>
    </w:p>
    <w:p w:rsidR="00FA00EA" w:rsidRPr="00020E10" w:rsidRDefault="00020E10" w:rsidP="009D2A6D">
      <w:pPr>
        <w:pStyle w:val="Dotpoint1"/>
      </w:pPr>
      <w:r w:rsidRPr="00020E10">
        <w:t xml:space="preserve">Women </w:t>
      </w:r>
      <w:r w:rsidR="006209CF" w:rsidRPr="00020E10">
        <w:t xml:space="preserve">require a </w:t>
      </w:r>
      <w:r w:rsidR="00EB6F30" w:rsidRPr="00020E10">
        <w:t xml:space="preserve">$29 </w:t>
      </w:r>
      <w:r w:rsidR="006209CF" w:rsidRPr="00020E10">
        <w:t>004 higher wage premium than men</w:t>
      </w:r>
      <w:r w:rsidRPr="00020E10">
        <w:t>.</w:t>
      </w:r>
    </w:p>
    <w:p w:rsidR="00FA00EA" w:rsidRPr="00020E10" w:rsidRDefault="00020E10" w:rsidP="009D2A6D">
      <w:pPr>
        <w:pStyle w:val="Dotpoint1"/>
      </w:pPr>
      <w:r w:rsidRPr="00020E10">
        <w:t xml:space="preserve">People </w:t>
      </w:r>
      <w:r w:rsidR="00106864" w:rsidRPr="00020E10">
        <w:t xml:space="preserve">in </w:t>
      </w:r>
      <w:r w:rsidR="00FA00EA" w:rsidRPr="00020E10">
        <w:t xml:space="preserve">married </w:t>
      </w:r>
      <w:r w:rsidR="00106864" w:rsidRPr="00020E10">
        <w:t>or de facto relationship</w:t>
      </w:r>
      <w:r w:rsidRPr="00020E10">
        <w:t>s</w:t>
      </w:r>
      <w:r w:rsidR="00EB6F30" w:rsidRPr="00020E10">
        <w:t xml:space="preserve"> </w:t>
      </w:r>
      <w:r w:rsidR="006209CF" w:rsidRPr="00020E10">
        <w:t xml:space="preserve">require </w:t>
      </w:r>
      <w:r w:rsidRPr="00020E10">
        <w:t xml:space="preserve">a </w:t>
      </w:r>
      <w:r w:rsidR="00EB6F30" w:rsidRPr="00020E10">
        <w:t xml:space="preserve">$19 </w:t>
      </w:r>
      <w:r w:rsidR="006209CF" w:rsidRPr="00020E10">
        <w:t>206 higher wage premium than single people</w:t>
      </w:r>
      <w:r w:rsidRPr="00020E10">
        <w:t>.</w:t>
      </w:r>
    </w:p>
    <w:p w:rsidR="00FA00EA" w:rsidRPr="00020E10" w:rsidRDefault="00020E10" w:rsidP="00020E10">
      <w:pPr>
        <w:pStyle w:val="Dotpoint1"/>
        <w:ind w:right="-143"/>
      </w:pPr>
      <w:r w:rsidRPr="00020E10">
        <w:t xml:space="preserve">People </w:t>
      </w:r>
      <w:r w:rsidR="00EB6F30" w:rsidRPr="00020E10">
        <w:t xml:space="preserve">who are not studying </w:t>
      </w:r>
      <w:r w:rsidR="006209CF" w:rsidRPr="00020E10">
        <w:t xml:space="preserve">require a </w:t>
      </w:r>
      <w:r w:rsidR="00EB6F30" w:rsidRPr="00020E10">
        <w:t xml:space="preserve">$25 </w:t>
      </w:r>
      <w:r w:rsidR="006209CF" w:rsidRPr="00020E10">
        <w:t>736 higher wage premium than people who are studying</w:t>
      </w:r>
      <w:r w:rsidRPr="00020E10">
        <w:t>.</w:t>
      </w:r>
    </w:p>
    <w:p w:rsidR="00FA00EA" w:rsidRPr="00020E10" w:rsidRDefault="00020E10" w:rsidP="009D2A6D">
      <w:pPr>
        <w:pStyle w:val="Dotpoint1"/>
      </w:pPr>
      <w:r w:rsidRPr="00020E10">
        <w:t xml:space="preserve">People </w:t>
      </w:r>
      <w:r w:rsidR="006209CF" w:rsidRPr="00020E10">
        <w:t>who own their home (or have a</w:t>
      </w:r>
      <w:r w:rsidR="00106864" w:rsidRPr="00020E10">
        <w:t xml:space="preserve"> mortgage</w:t>
      </w:r>
      <w:r w:rsidR="006209CF" w:rsidRPr="00020E10">
        <w:t xml:space="preserve">) require a </w:t>
      </w:r>
      <w:r w:rsidR="00EB6F30" w:rsidRPr="00020E10">
        <w:t xml:space="preserve">$25 </w:t>
      </w:r>
      <w:r w:rsidR="006209CF" w:rsidRPr="00020E10">
        <w:t>552 higher wage premium than people who rent</w:t>
      </w:r>
      <w:r w:rsidRPr="00020E10">
        <w:t>.</w:t>
      </w:r>
    </w:p>
    <w:p w:rsidR="00FA00EA" w:rsidRPr="00020E10" w:rsidRDefault="00020E10" w:rsidP="009D2A6D">
      <w:pPr>
        <w:pStyle w:val="Dotpoint1"/>
      </w:pPr>
      <w:r w:rsidRPr="00020E10">
        <w:lastRenderedPageBreak/>
        <w:t xml:space="preserve">Those </w:t>
      </w:r>
      <w:r w:rsidR="006209CF" w:rsidRPr="00020E10">
        <w:t xml:space="preserve">who do </w:t>
      </w:r>
      <w:r w:rsidR="00FA00EA" w:rsidRPr="00020E10">
        <w:t xml:space="preserve">not </w:t>
      </w:r>
      <w:r w:rsidR="00EB6F30" w:rsidRPr="00020E10">
        <w:t>know people at</w:t>
      </w:r>
      <w:r w:rsidR="006209CF" w:rsidRPr="00020E10">
        <w:t xml:space="preserve"> the</w:t>
      </w:r>
      <w:r w:rsidR="00EB6F30" w:rsidRPr="00020E10">
        <w:t xml:space="preserve"> destination</w:t>
      </w:r>
      <w:r w:rsidR="006209CF" w:rsidRPr="00020E10">
        <w:t xml:space="preserve"> require a </w:t>
      </w:r>
      <w:r w:rsidR="00EB6F30" w:rsidRPr="00020E10">
        <w:t xml:space="preserve">$43 </w:t>
      </w:r>
      <w:r w:rsidR="006209CF" w:rsidRPr="00020E10">
        <w:t>884 higher wage premium than those who know people at the destination</w:t>
      </w:r>
      <w:r w:rsidR="00FA00EA" w:rsidRPr="00020E10">
        <w:t>.</w:t>
      </w:r>
    </w:p>
    <w:p w:rsidR="004276F8" w:rsidRPr="009D2A6D" w:rsidRDefault="000C20AD" w:rsidP="009D2A6D">
      <w:pPr>
        <w:pStyle w:val="Text"/>
      </w:pPr>
      <w:r w:rsidRPr="00FE162C">
        <w:t xml:space="preserve">In </w:t>
      </w:r>
      <w:r w:rsidR="007A7741">
        <w:t>other words, a person with one of the</w:t>
      </w:r>
      <w:r w:rsidR="00815395">
        <w:t>se</w:t>
      </w:r>
      <w:r w:rsidR="007A7741">
        <w:t xml:space="preserve"> characteristics has to be compensated by the relevant amount to accept the job </w:t>
      </w:r>
      <w:r w:rsidR="007A7741" w:rsidRPr="009D2A6D">
        <w:t>offer</w:t>
      </w:r>
      <w:r w:rsidR="004F186B" w:rsidRPr="009D2A6D">
        <w:t xml:space="preserve"> c</w:t>
      </w:r>
      <w:r w:rsidR="007A7741" w:rsidRPr="009D2A6D">
        <w:t xml:space="preserve">ompared </w:t>
      </w:r>
      <w:r w:rsidR="00EB6F30" w:rsidRPr="009D2A6D">
        <w:t>with</w:t>
      </w:r>
      <w:r w:rsidR="007A7741" w:rsidRPr="009D2A6D">
        <w:t xml:space="preserve"> a person without the characteristic.</w:t>
      </w:r>
    </w:p>
    <w:p w:rsidR="00FA00EA" w:rsidRPr="00FE162C" w:rsidRDefault="007A7741" w:rsidP="009D2A6D">
      <w:pPr>
        <w:pStyle w:val="Text"/>
      </w:pPr>
      <w:r w:rsidRPr="009D2A6D">
        <w:t>T</w:t>
      </w:r>
      <w:r w:rsidR="00FA00EA" w:rsidRPr="009D2A6D">
        <w:t xml:space="preserve">he </w:t>
      </w:r>
      <w:r w:rsidR="00EB6F30" w:rsidRPr="009D2A6D">
        <w:t>marginal willingness to p</w:t>
      </w:r>
      <w:r w:rsidR="00EB6F30" w:rsidRPr="00FE162C">
        <w:t>ay</w:t>
      </w:r>
      <w:r w:rsidR="00FA00EA" w:rsidRPr="00FE162C">
        <w:t xml:space="preserve"> for an unemployed per</w:t>
      </w:r>
      <w:r w:rsidR="00EB6F30">
        <w:t xml:space="preserve">son is $72 </w:t>
      </w:r>
      <w:r w:rsidR="00227298" w:rsidRPr="00FE162C">
        <w:t>148</w:t>
      </w:r>
      <w:r w:rsidR="00BD27FF">
        <w:t>. This means that the wage premium required to get a</w:t>
      </w:r>
      <w:r w:rsidR="00D55E01" w:rsidRPr="00FE162C">
        <w:t xml:space="preserve"> person who is employed and not looking for work</w:t>
      </w:r>
      <w:r w:rsidR="00B20EAF" w:rsidRPr="00FE162C">
        <w:t xml:space="preserve"> (base category) </w:t>
      </w:r>
      <w:r w:rsidR="00BD27FF">
        <w:t xml:space="preserve">to accept a job offer has to be </w:t>
      </w:r>
      <w:r w:rsidR="00B20EAF" w:rsidRPr="00FE162C">
        <w:t xml:space="preserve">more </w:t>
      </w:r>
      <w:r w:rsidR="00BD27FF">
        <w:t xml:space="preserve">by this amount compared </w:t>
      </w:r>
      <w:r w:rsidR="00EB6F30">
        <w:t>with</w:t>
      </w:r>
      <w:r w:rsidR="00BD27FF">
        <w:t xml:space="preserve"> a wage premium for the same job for an unemployed person.</w:t>
      </w:r>
      <w:r w:rsidR="00FA00EA" w:rsidRPr="00FE162C">
        <w:t xml:space="preserve"> </w:t>
      </w:r>
      <w:r w:rsidR="003C32E0" w:rsidRPr="00FE162C">
        <w:t xml:space="preserve">The estimate may vary depending on how long a person has been unemployed. </w:t>
      </w:r>
      <w:r w:rsidR="002335A1" w:rsidRPr="00FE162C">
        <w:t xml:space="preserve">The </w:t>
      </w:r>
      <w:r w:rsidR="003C32E0" w:rsidRPr="00FE162C">
        <w:t xml:space="preserve">corresponding </w:t>
      </w:r>
      <w:r w:rsidR="002335A1" w:rsidRPr="00FE162C">
        <w:t>M</w:t>
      </w:r>
      <w:r w:rsidR="00D578BD" w:rsidRPr="00FE162C">
        <w:t>W</w:t>
      </w:r>
      <w:r w:rsidR="00E66703" w:rsidRPr="00FE162C">
        <w:t xml:space="preserve">TP for </w:t>
      </w:r>
      <w:r w:rsidR="002335A1" w:rsidRPr="00FE162C">
        <w:t>a</w:t>
      </w:r>
      <w:r w:rsidR="003C32E0" w:rsidRPr="00FE162C">
        <w:t xml:space="preserve"> person who is</w:t>
      </w:r>
      <w:r w:rsidR="002335A1" w:rsidRPr="00FE162C">
        <w:t xml:space="preserve"> employed </w:t>
      </w:r>
      <w:r w:rsidR="003C32E0" w:rsidRPr="00FE162C">
        <w:t>and</w:t>
      </w:r>
      <w:r w:rsidR="00EB6F30">
        <w:t xml:space="preserve"> looking for work is $60 </w:t>
      </w:r>
      <w:r w:rsidR="002335A1" w:rsidRPr="00FE162C">
        <w:t>760</w:t>
      </w:r>
      <w:r w:rsidR="003A5AB1" w:rsidRPr="00FE162C">
        <w:t>.</w:t>
      </w:r>
      <w:r w:rsidR="00227298" w:rsidRPr="00FE162C">
        <w:rPr>
          <w:rStyle w:val="FootnoteReference"/>
          <w:color w:val="000000" w:themeColor="text1"/>
        </w:rPr>
        <w:footnoteReference w:id="20"/>
      </w:r>
    </w:p>
    <w:p w:rsidR="00FE57FA" w:rsidRPr="00FE162C" w:rsidRDefault="004F186B" w:rsidP="009D2A6D">
      <w:pPr>
        <w:pStyle w:val="Text"/>
      </w:pPr>
      <w:r w:rsidRPr="00FE162C">
        <w:t>In summary, t</w:t>
      </w:r>
      <w:r w:rsidR="003A5AB1" w:rsidRPr="00FE162C">
        <w:t>he</w:t>
      </w:r>
      <w:r w:rsidR="00FD59DD" w:rsidRPr="00FE162C">
        <w:t xml:space="preserve"> res</w:t>
      </w:r>
      <w:r w:rsidR="003A5AB1" w:rsidRPr="00FE162C">
        <w:t>ults s</w:t>
      </w:r>
      <w:r w:rsidRPr="00FE162C">
        <w:t>how</w:t>
      </w:r>
      <w:r w:rsidR="003A5AB1" w:rsidRPr="00FE162C">
        <w:t xml:space="preserve"> a preference for</w:t>
      </w:r>
      <w:r w:rsidR="00EB6F30">
        <w:t xml:space="preserve"> longer-</w:t>
      </w:r>
      <w:r w:rsidR="00FD59DD" w:rsidRPr="00FE162C">
        <w:t>term contracts</w:t>
      </w:r>
      <w:r w:rsidRPr="00FE162C">
        <w:t xml:space="preserve"> and contracts that include</w:t>
      </w:r>
      <w:r w:rsidR="00FD59DD" w:rsidRPr="00FE162C">
        <w:t xml:space="preserve"> training</w:t>
      </w:r>
      <w:r w:rsidRPr="00FE162C">
        <w:t xml:space="preserve">. These conditions could be </w:t>
      </w:r>
      <w:r w:rsidR="000D4211" w:rsidRPr="00FE162C">
        <w:t>offered</w:t>
      </w:r>
      <w:r w:rsidR="00FE57FA" w:rsidRPr="00FE162C">
        <w:t xml:space="preserve"> as</w:t>
      </w:r>
      <w:r w:rsidR="00FD59DD" w:rsidRPr="00FE162C">
        <w:t xml:space="preserve"> </w:t>
      </w:r>
      <w:r w:rsidR="00FE57FA" w:rsidRPr="00FE162C">
        <w:t>an alternative to higher wages. The significance of knowing someone at the destination in</w:t>
      </w:r>
      <w:r w:rsidR="008F008E" w:rsidRPr="00FE162C">
        <w:t xml:space="preserve"> the</w:t>
      </w:r>
      <w:r w:rsidR="00FE57FA" w:rsidRPr="00FE162C">
        <w:t xml:space="preserve"> </w:t>
      </w:r>
      <w:r w:rsidR="000D4211" w:rsidRPr="00FE162C">
        <w:t>decision to accept a job offer</w:t>
      </w:r>
      <w:r w:rsidR="00FE57FA" w:rsidRPr="00FE162C">
        <w:t xml:space="preserve"> highlights the </w:t>
      </w:r>
      <w:r w:rsidR="00FE57FA" w:rsidRPr="009D2A6D">
        <w:t>usefulness</w:t>
      </w:r>
      <w:r w:rsidR="00FE57FA" w:rsidRPr="00FE162C">
        <w:t xml:space="preserve"> of local networks in recruitment efforts. Similarly, knowing that those who are studying are relatively more willing to </w:t>
      </w:r>
      <w:r w:rsidR="000D4211" w:rsidRPr="00FE162C">
        <w:t>accept job offers</w:t>
      </w:r>
      <w:r w:rsidR="00FE57FA" w:rsidRPr="00FE162C">
        <w:t xml:space="preserve"> can help </w:t>
      </w:r>
      <w:r w:rsidR="00815395">
        <w:t>in the better targeting of</w:t>
      </w:r>
      <w:r w:rsidR="00FE57FA" w:rsidRPr="00FE162C">
        <w:t xml:space="preserve"> recruitment campaigns.</w:t>
      </w:r>
    </w:p>
    <w:p w:rsidR="00E9393A" w:rsidRPr="00FE162C" w:rsidRDefault="00E9393A">
      <w:pPr>
        <w:spacing w:before="0" w:line="240" w:lineRule="auto"/>
        <w:rPr>
          <w:rFonts w:ascii="Tahoma" w:hAnsi="Tahoma"/>
          <w:b/>
          <w:color w:val="000000" w:themeColor="text1"/>
          <w:sz w:val="17"/>
        </w:rPr>
      </w:pPr>
      <w:r w:rsidRPr="00FE162C">
        <w:rPr>
          <w:color w:val="000000" w:themeColor="text1"/>
        </w:rPr>
        <w:br w:type="page"/>
      </w:r>
    </w:p>
    <w:p w:rsidR="0017798F" w:rsidRPr="00FE162C" w:rsidRDefault="0017798F" w:rsidP="009D2A6D">
      <w:pPr>
        <w:pStyle w:val="tabletitle"/>
      </w:pPr>
      <w:bookmarkStart w:id="58" w:name="_Toc386530553"/>
      <w:r w:rsidRPr="00FE162C">
        <w:lastRenderedPageBreak/>
        <w:t>Table 4</w:t>
      </w:r>
      <w:r w:rsidRPr="00FE162C">
        <w:tab/>
      </w:r>
      <w:r w:rsidRPr="009D2A6D">
        <w:t>Estimates</w:t>
      </w:r>
      <w:r w:rsidRPr="00FE162C">
        <w:t xml:space="preserve"> of marginal willingness to pay</w:t>
      </w:r>
      <w:r w:rsidR="00C44197" w:rsidRPr="00FE162C">
        <w:t xml:space="preserve">, percentage and </w:t>
      </w:r>
      <w:r w:rsidR="00EB6F30">
        <w:t>dollar</w:t>
      </w:r>
      <w:r w:rsidR="00C44197" w:rsidRPr="00FE162C">
        <w:t xml:space="preserve"> equivalent</w:t>
      </w:r>
      <w:r w:rsidR="005320A5" w:rsidRPr="00FE162C">
        <w:t xml:space="preserve"> of average annual wage</w:t>
      </w:r>
      <w:bookmarkEnd w:id="58"/>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1"/>
        <w:gridCol w:w="567"/>
        <w:gridCol w:w="1457"/>
        <w:gridCol w:w="1457"/>
        <w:gridCol w:w="1457"/>
      </w:tblGrid>
      <w:tr w:rsidR="000F5ED7" w:rsidRPr="00FE162C" w:rsidTr="009D2A6D">
        <w:tc>
          <w:tcPr>
            <w:tcW w:w="3851" w:type="dxa"/>
            <w:tcBorders>
              <w:top w:val="single" w:sz="4" w:space="0" w:color="auto"/>
            </w:tcBorders>
          </w:tcPr>
          <w:p w:rsidR="000F5ED7" w:rsidRPr="00FE162C" w:rsidRDefault="000F5ED7" w:rsidP="009D2A6D">
            <w:pPr>
              <w:pStyle w:val="Tablehead1"/>
            </w:pPr>
          </w:p>
        </w:tc>
        <w:tc>
          <w:tcPr>
            <w:tcW w:w="567" w:type="dxa"/>
            <w:tcBorders>
              <w:top w:val="single" w:sz="4" w:space="0" w:color="auto"/>
            </w:tcBorders>
          </w:tcPr>
          <w:p w:rsidR="000F5ED7" w:rsidRPr="00FE162C" w:rsidRDefault="000F5ED7" w:rsidP="003D337E">
            <w:pPr>
              <w:pStyle w:val="Tablehead1"/>
              <w:jc w:val="center"/>
            </w:pPr>
          </w:p>
        </w:tc>
        <w:tc>
          <w:tcPr>
            <w:tcW w:w="1457" w:type="dxa"/>
            <w:tcBorders>
              <w:top w:val="single" w:sz="4" w:space="0" w:color="auto"/>
            </w:tcBorders>
          </w:tcPr>
          <w:p w:rsidR="000F5ED7" w:rsidRPr="00FE162C" w:rsidRDefault="000F5ED7" w:rsidP="003D337E">
            <w:pPr>
              <w:pStyle w:val="Tablehead1"/>
              <w:jc w:val="center"/>
            </w:pPr>
            <w:r w:rsidRPr="00FE162C">
              <w:t>MWTP estimate</w:t>
            </w:r>
          </w:p>
        </w:tc>
        <w:tc>
          <w:tcPr>
            <w:tcW w:w="2914" w:type="dxa"/>
            <w:gridSpan w:val="2"/>
            <w:tcBorders>
              <w:top w:val="single" w:sz="4" w:space="0" w:color="auto"/>
            </w:tcBorders>
          </w:tcPr>
          <w:p w:rsidR="000F5ED7" w:rsidRPr="00FE162C" w:rsidRDefault="006B56E9" w:rsidP="003D337E">
            <w:pPr>
              <w:pStyle w:val="Tablehead1"/>
              <w:jc w:val="center"/>
              <w:rPr>
                <w:vertAlign w:val="superscript"/>
              </w:rPr>
            </w:pPr>
            <w:r w:rsidRPr="00FE162C">
              <w:t>Confidence i</w:t>
            </w:r>
            <w:r w:rsidR="000F5ED7" w:rsidRPr="00FE162C">
              <w:t>nterval</w:t>
            </w:r>
            <w:r w:rsidRPr="00FE162C">
              <w:rPr>
                <w:vertAlign w:val="superscript"/>
              </w:rPr>
              <w:t>1</w:t>
            </w:r>
          </w:p>
        </w:tc>
      </w:tr>
      <w:tr w:rsidR="0017798F" w:rsidRPr="00FE162C" w:rsidTr="009D2A6D">
        <w:tc>
          <w:tcPr>
            <w:tcW w:w="3851" w:type="dxa"/>
            <w:tcBorders>
              <w:bottom w:val="single" w:sz="4" w:space="0" w:color="auto"/>
            </w:tcBorders>
          </w:tcPr>
          <w:p w:rsidR="0017798F" w:rsidRPr="00FE162C" w:rsidRDefault="0017798F" w:rsidP="009D2A6D">
            <w:pPr>
              <w:pStyle w:val="Tablehead2"/>
            </w:pPr>
          </w:p>
        </w:tc>
        <w:tc>
          <w:tcPr>
            <w:tcW w:w="567" w:type="dxa"/>
            <w:tcBorders>
              <w:bottom w:val="single" w:sz="4" w:space="0" w:color="auto"/>
            </w:tcBorders>
          </w:tcPr>
          <w:p w:rsidR="0017798F" w:rsidRPr="00FE162C" w:rsidRDefault="0017798F" w:rsidP="003D337E">
            <w:pPr>
              <w:pStyle w:val="Tablehead2"/>
              <w:jc w:val="center"/>
            </w:pPr>
          </w:p>
        </w:tc>
        <w:tc>
          <w:tcPr>
            <w:tcW w:w="1457" w:type="dxa"/>
            <w:tcBorders>
              <w:bottom w:val="single" w:sz="4" w:space="0" w:color="auto"/>
            </w:tcBorders>
          </w:tcPr>
          <w:p w:rsidR="0017798F" w:rsidRPr="00FE162C" w:rsidRDefault="0017798F" w:rsidP="003D337E">
            <w:pPr>
              <w:pStyle w:val="Tablehead2"/>
              <w:jc w:val="center"/>
            </w:pPr>
          </w:p>
        </w:tc>
        <w:tc>
          <w:tcPr>
            <w:tcW w:w="1457" w:type="dxa"/>
            <w:tcBorders>
              <w:bottom w:val="single" w:sz="4" w:space="0" w:color="auto"/>
            </w:tcBorders>
          </w:tcPr>
          <w:p w:rsidR="0017798F" w:rsidRPr="00FE162C" w:rsidRDefault="0017798F" w:rsidP="003D337E">
            <w:pPr>
              <w:pStyle w:val="Tablehead2"/>
              <w:jc w:val="center"/>
            </w:pPr>
            <w:r w:rsidRPr="00FE162C">
              <w:t>lower 95%</w:t>
            </w:r>
          </w:p>
        </w:tc>
        <w:tc>
          <w:tcPr>
            <w:tcW w:w="1457" w:type="dxa"/>
            <w:tcBorders>
              <w:bottom w:val="single" w:sz="4" w:space="0" w:color="auto"/>
            </w:tcBorders>
          </w:tcPr>
          <w:p w:rsidR="0017798F" w:rsidRPr="00FE162C" w:rsidRDefault="0017798F" w:rsidP="003D337E">
            <w:pPr>
              <w:pStyle w:val="Tablehead2"/>
              <w:jc w:val="center"/>
            </w:pPr>
            <w:r w:rsidRPr="00FE162C">
              <w:t>upper 95%</w:t>
            </w:r>
          </w:p>
        </w:tc>
      </w:tr>
      <w:tr w:rsidR="00245105" w:rsidRPr="009D2A6D" w:rsidTr="009D2A6D">
        <w:tc>
          <w:tcPr>
            <w:tcW w:w="3851" w:type="dxa"/>
            <w:tcBorders>
              <w:top w:val="single" w:sz="4" w:space="0" w:color="auto"/>
            </w:tcBorders>
          </w:tcPr>
          <w:p w:rsidR="00245105" w:rsidRPr="009D2A6D" w:rsidRDefault="00245105" w:rsidP="009D2A6D">
            <w:pPr>
              <w:pStyle w:val="Tabletext"/>
              <w:rPr>
                <w:b/>
              </w:rPr>
            </w:pPr>
            <w:r w:rsidRPr="009D2A6D">
              <w:rPr>
                <w:b/>
              </w:rPr>
              <w:t xml:space="preserve">Job </w:t>
            </w:r>
            <w:r w:rsidR="0024240C" w:rsidRPr="009D2A6D">
              <w:rPr>
                <w:b/>
              </w:rPr>
              <w:t>attributes</w:t>
            </w:r>
          </w:p>
        </w:tc>
        <w:tc>
          <w:tcPr>
            <w:tcW w:w="567" w:type="dxa"/>
            <w:tcBorders>
              <w:top w:val="single" w:sz="4" w:space="0" w:color="auto"/>
            </w:tcBorders>
          </w:tcPr>
          <w:p w:rsidR="00245105" w:rsidRPr="009D2A6D" w:rsidRDefault="00245105" w:rsidP="003D337E">
            <w:pPr>
              <w:pStyle w:val="Tabletext"/>
              <w:jc w:val="center"/>
              <w:rPr>
                <w:iCs/>
              </w:rPr>
            </w:pPr>
          </w:p>
        </w:tc>
        <w:tc>
          <w:tcPr>
            <w:tcW w:w="1457" w:type="dxa"/>
            <w:tcBorders>
              <w:top w:val="single" w:sz="4" w:space="0" w:color="auto"/>
            </w:tcBorders>
          </w:tcPr>
          <w:p w:rsidR="00245105" w:rsidRPr="009D2A6D" w:rsidRDefault="00245105" w:rsidP="009D2A6D">
            <w:pPr>
              <w:pStyle w:val="Tabletext"/>
              <w:rPr>
                <w:iCs/>
              </w:rPr>
            </w:pPr>
          </w:p>
        </w:tc>
        <w:tc>
          <w:tcPr>
            <w:tcW w:w="1457" w:type="dxa"/>
            <w:tcBorders>
              <w:top w:val="single" w:sz="4" w:space="0" w:color="auto"/>
            </w:tcBorders>
          </w:tcPr>
          <w:p w:rsidR="00245105" w:rsidRPr="009D2A6D" w:rsidRDefault="00245105" w:rsidP="009D2A6D">
            <w:pPr>
              <w:pStyle w:val="Tabletext"/>
              <w:rPr>
                <w:iCs/>
              </w:rPr>
            </w:pPr>
          </w:p>
        </w:tc>
        <w:tc>
          <w:tcPr>
            <w:tcW w:w="1457" w:type="dxa"/>
            <w:tcBorders>
              <w:top w:val="single" w:sz="4" w:space="0" w:color="auto"/>
            </w:tcBorders>
          </w:tcPr>
          <w:p w:rsidR="00245105" w:rsidRPr="009D2A6D" w:rsidRDefault="00245105" w:rsidP="009D2A6D">
            <w:pPr>
              <w:pStyle w:val="Tabletext"/>
              <w:rPr>
                <w:iCs/>
              </w:rPr>
            </w:pPr>
          </w:p>
        </w:tc>
      </w:tr>
      <w:tr w:rsidR="0017798F" w:rsidRPr="009D2A6D" w:rsidTr="009D2A6D">
        <w:tc>
          <w:tcPr>
            <w:tcW w:w="3851" w:type="dxa"/>
          </w:tcPr>
          <w:p w:rsidR="0017798F" w:rsidRPr="009D2A6D" w:rsidRDefault="0017798F" w:rsidP="009D2A6D">
            <w:pPr>
              <w:pStyle w:val="Tabletext"/>
              <w:rPr>
                <w:iCs/>
              </w:rPr>
            </w:pPr>
            <w:r w:rsidRPr="009D2A6D">
              <w:rPr>
                <w:iCs/>
              </w:rPr>
              <w:t>Annual wage attribute</w:t>
            </w:r>
          </w:p>
        </w:tc>
        <w:tc>
          <w:tcPr>
            <w:tcW w:w="567" w:type="dxa"/>
          </w:tcPr>
          <w:p w:rsidR="0017798F" w:rsidRPr="009D2A6D" w:rsidRDefault="0017798F" w:rsidP="003D337E">
            <w:pPr>
              <w:pStyle w:val="Tabletext"/>
              <w:jc w:val="center"/>
              <w:rPr>
                <w:iCs/>
              </w:rPr>
            </w:pPr>
            <w:r w:rsidRPr="009D2A6D">
              <w:rPr>
                <w:iCs/>
              </w:rPr>
              <w:t>%</w:t>
            </w:r>
          </w:p>
        </w:tc>
        <w:tc>
          <w:tcPr>
            <w:tcW w:w="1457" w:type="dxa"/>
          </w:tcPr>
          <w:p w:rsidR="0017798F" w:rsidRPr="009D2A6D" w:rsidRDefault="0017798F" w:rsidP="003D337E">
            <w:pPr>
              <w:pStyle w:val="Tabletext"/>
              <w:ind w:right="369"/>
              <w:jc w:val="right"/>
              <w:rPr>
                <w:iCs/>
              </w:rPr>
            </w:pPr>
            <w:r w:rsidRPr="009D2A6D">
              <w:rPr>
                <w:iCs/>
              </w:rPr>
              <w:t>100</w:t>
            </w:r>
          </w:p>
        </w:tc>
        <w:tc>
          <w:tcPr>
            <w:tcW w:w="1457" w:type="dxa"/>
          </w:tcPr>
          <w:p w:rsidR="0017798F" w:rsidRPr="009D2A6D" w:rsidRDefault="0017798F" w:rsidP="003D337E">
            <w:pPr>
              <w:pStyle w:val="Tabletext"/>
              <w:ind w:right="369"/>
              <w:jc w:val="right"/>
              <w:rPr>
                <w:iCs/>
              </w:rPr>
            </w:pPr>
            <w:r w:rsidRPr="009D2A6D">
              <w:rPr>
                <w:iCs/>
              </w:rPr>
              <w:t>100</w:t>
            </w:r>
          </w:p>
        </w:tc>
        <w:tc>
          <w:tcPr>
            <w:tcW w:w="1457" w:type="dxa"/>
          </w:tcPr>
          <w:p w:rsidR="0017798F" w:rsidRPr="009D2A6D" w:rsidRDefault="0017798F" w:rsidP="003D337E">
            <w:pPr>
              <w:pStyle w:val="Tabletext"/>
              <w:ind w:right="369"/>
              <w:jc w:val="right"/>
              <w:rPr>
                <w:iCs/>
              </w:rPr>
            </w:pPr>
            <w:r w:rsidRPr="009D2A6D">
              <w:rPr>
                <w:iCs/>
              </w:rPr>
              <w:t>100</w:t>
            </w:r>
          </w:p>
        </w:tc>
      </w:tr>
      <w:tr w:rsidR="0017798F" w:rsidRPr="009D2A6D" w:rsidTr="009D2A6D">
        <w:tc>
          <w:tcPr>
            <w:tcW w:w="3851" w:type="dxa"/>
          </w:tcPr>
          <w:p w:rsidR="0017798F" w:rsidRPr="009D2A6D" w:rsidRDefault="0017798F" w:rsidP="009D2A6D">
            <w:pPr>
              <w:pStyle w:val="Tabletext"/>
              <w:rPr>
                <w:iCs/>
              </w:rPr>
            </w:pPr>
          </w:p>
        </w:tc>
        <w:tc>
          <w:tcPr>
            <w:tcW w:w="567" w:type="dxa"/>
          </w:tcPr>
          <w:p w:rsidR="0017798F" w:rsidRPr="009D2A6D" w:rsidRDefault="0017798F" w:rsidP="003D337E">
            <w:pPr>
              <w:pStyle w:val="Tabletext"/>
              <w:jc w:val="center"/>
              <w:rPr>
                <w:iCs/>
              </w:rPr>
            </w:pPr>
            <w:r w:rsidRPr="009D2A6D">
              <w:rPr>
                <w:iCs/>
              </w:rPr>
              <w:t>$</w:t>
            </w:r>
          </w:p>
        </w:tc>
        <w:tc>
          <w:tcPr>
            <w:tcW w:w="1457" w:type="dxa"/>
          </w:tcPr>
          <w:p w:rsidR="0017798F" w:rsidRPr="009D2A6D" w:rsidRDefault="0017798F" w:rsidP="003D337E">
            <w:pPr>
              <w:pStyle w:val="Tabletext"/>
              <w:ind w:right="369"/>
              <w:jc w:val="right"/>
              <w:rPr>
                <w:iCs/>
              </w:rPr>
            </w:pPr>
            <w:r w:rsidRPr="009D2A6D">
              <w:rPr>
                <w:iCs/>
              </w:rPr>
              <w:t>74</w:t>
            </w:r>
            <w:r w:rsidR="003E480D" w:rsidRPr="009D2A6D">
              <w:rPr>
                <w:iCs/>
              </w:rPr>
              <w:t>,</w:t>
            </w:r>
            <w:r w:rsidRPr="009D2A6D">
              <w:rPr>
                <w:iCs/>
              </w:rPr>
              <w:t>380</w:t>
            </w:r>
          </w:p>
        </w:tc>
        <w:tc>
          <w:tcPr>
            <w:tcW w:w="1457" w:type="dxa"/>
          </w:tcPr>
          <w:p w:rsidR="0017798F" w:rsidRPr="009D2A6D" w:rsidRDefault="0017798F" w:rsidP="003D337E">
            <w:pPr>
              <w:pStyle w:val="Tabletext"/>
              <w:ind w:right="369"/>
              <w:jc w:val="right"/>
              <w:rPr>
                <w:iCs/>
              </w:rPr>
            </w:pPr>
            <w:r w:rsidRPr="009D2A6D">
              <w:rPr>
                <w:iCs/>
              </w:rPr>
              <w:t>74</w:t>
            </w:r>
            <w:r w:rsidR="003E480D" w:rsidRPr="009D2A6D">
              <w:rPr>
                <w:iCs/>
              </w:rPr>
              <w:t>,</w:t>
            </w:r>
            <w:r w:rsidRPr="009D2A6D">
              <w:rPr>
                <w:iCs/>
              </w:rPr>
              <w:t>380</w:t>
            </w:r>
          </w:p>
        </w:tc>
        <w:tc>
          <w:tcPr>
            <w:tcW w:w="1457" w:type="dxa"/>
          </w:tcPr>
          <w:p w:rsidR="0017798F" w:rsidRPr="009D2A6D" w:rsidRDefault="0017798F" w:rsidP="003D337E">
            <w:pPr>
              <w:pStyle w:val="Tabletext"/>
              <w:ind w:right="369"/>
              <w:jc w:val="right"/>
              <w:rPr>
                <w:iCs/>
              </w:rPr>
            </w:pPr>
            <w:r w:rsidRPr="009D2A6D">
              <w:rPr>
                <w:iCs/>
              </w:rPr>
              <w:t>74</w:t>
            </w:r>
            <w:r w:rsidR="003E480D" w:rsidRPr="009D2A6D">
              <w:rPr>
                <w:iCs/>
              </w:rPr>
              <w:t>,</w:t>
            </w:r>
            <w:r w:rsidRPr="009D2A6D">
              <w:rPr>
                <w:iCs/>
              </w:rPr>
              <w:t>380</w:t>
            </w:r>
          </w:p>
        </w:tc>
      </w:tr>
      <w:tr w:rsidR="0017798F" w:rsidRPr="009D2A6D" w:rsidTr="009D2A6D">
        <w:tc>
          <w:tcPr>
            <w:tcW w:w="3851" w:type="dxa"/>
          </w:tcPr>
          <w:p w:rsidR="0017798F" w:rsidRPr="009D2A6D" w:rsidRDefault="00E16A3B" w:rsidP="009D2A6D">
            <w:pPr>
              <w:pStyle w:val="Tabletext"/>
              <w:rPr>
                <w:iCs/>
              </w:rPr>
            </w:pPr>
            <w:r w:rsidRPr="009D2A6D">
              <w:rPr>
                <w:iCs/>
              </w:rPr>
              <w:t>Fly-in/fly-out</w:t>
            </w:r>
          </w:p>
        </w:tc>
        <w:tc>
          <w:tcPr>
            <w:tcW w:w="567" w:type="dxa"/>
          </w:tcPr>
          <w:p w:rsidR="0017798F" w:rsidRPr="009D2A6D" w:rsidRDefault="0017798F" w:rsidP="003D337E">
            <w:pPr>
              <w:pStyle w:val="Tabletext"/>
              <w:jc w:val="center"/>
              <w:rPr>
                <w:iCs/>
              </w:rPr>
            </w:pPr>
            <w:r w:rsidRPr="009D2A6D">
              <w:rPr>
                <w:iCs/>
              </w:rPr>
              <w:t>%</w:t>
            </w:r>
          </w:p>
        </w:tc>
        <w:tc>
          <w:tcPr>
            <w:tcW w:w="1457" w:type="dxa"/>
          </w:tcPr>
          <w:p w:rsidR="0017798F" w:rsidRPr="009D2A6D" w:rsidRDefault="0017798F" w:rsidP="003D337E">
            <w:pPr>
              <w:pStyle w:val="Tabletext"/>
              <w:ind w:right="369"/>
              <w:jc w:val="right"/>
              <w:rPr>
                <w:iCs/>
              </w:rPr>
            </w:pPr>
            <w:r w:rsidRPr="009D2A6D">
              <w:rPr>
                <w:iCs/>
              </w:rPr>
              <w:t>14.1</w:t>
            </w:r>
          </w:p>
        </w:tc>
        <w:tc>
          <w:tcPr>
            <w:tcW w:w="1457" w:type="dxa"/>
          </w:tcPr>
          <w:p w:rsidR="0017798F" w:rsidRPr="009D2A6D" w:rsidRDefault="0017798F" w:rsidP="003D337E">
            <w:pPr>
              <w:pStyle w:val="Tabletext"/>
              <w:ind w:right="369"/>
              <w:jc w:val="right"/>
              <w:rPr>
                <w:iCs/>
              </w:rPr>
            </w:pPr>
            <w:r w:rsidRPr="009D2A6D">
              <w:rPr>
                <w:iCs/>
              </w:rPr>
              <w:t>10.4</w:t>
            </w:r>
          </w:p>
        </w:tc>
        <w:tc>
          <w:tcPr>
            <w:tcW w:w="1457" w:type="dxa"/>
          </w:tcPr>
          <w:p w:rsidR="0017798F" w:rsidRPr="009D2A6D" w:rsidRDefault="0017798F" w:rsidP="003D337E">
            <w:pPr>
              <w:pStyle w:val="Tabletext"/>
              <w:ind w:right="369"/>
              <w:jc w:val="right"/>
              <w:rPr>
                <w:iCs/>
              </w:rPr>
            </w:pPr>
            <w:r w:rsidRPr="009D2A6D">
              <w:rPr>
                <w:iCs/>
              </w:rPr>
              <w:t>18.0</w:t>
            </w:r>
          </w:p>
        </w:tc>
      </w:tr>
      <w:tr w:rsidR="0017798F" w:rsidRPr="009D2A6D" w:rsidTr="009D2A6D">
        <w:tc>
          <w:tcPr>
            <w:tcW w:w="3851" w:type="dxa"/>
          </w:tcPr>
          <w:p w:rsidR="0017798F" w:rsidRPr="009D2A6D" w:rsidRDefault="0017798F" w:rsidP="009D2A6D">
            <w:pPr>
              <w:pStyle w:val="Tabletext"/>
              <w:rPr>
                <w:iCs/>
              </w:rPr>
            </w:pPr>
          </w:p>
        </w:tc>
        <w:tc>
          <w:tcPr>
            <w:tcW w:w="567" w:type="dxa"/>
          </w:tcPr>
          <w:p w:rsidR="0017798F" w:rsidRPr="009D2A6D" w:rsidRDefault="0017798F" w:rsidP="003D337E">
            <w:pPr>
              <w:pStyle w:val="Tabletext"/>
              <w:jc w:val="center"/>
              <w:rPr>
                <w:iCs/>
              </w:rPr>
            </w:pPr>
            <w:r w:rsidRPr="009D2A6D">
              <w:rPr>
                <w:iCs/>
              </w:rPr>
              <w:t>$</w:t>
            </w:r>
          </w:p>
        </w:tc>
        <w:tc>
          <w:tcPr>
            <w:tcW w:w="1457" w:type="dxa"/>
          </w:tcPr>
          <w:p w:rsidR="0017798F" w:rsidRPr="009D2A6D" w:rsidRDefault="0017798F" w:rsidP="003D337E">
            <w:pPr>
              <w:pStyle w:val="Tabletext"/>
              <w:ind w:right="369"/>
              <w:jc w:val="right"/>
              <w:rPr>
                <w:iCs/>
              </w:rPr>
            </w:pPr>
            <w:r w:rsidRPr="009D2A6D">
              <w:rPr>
                <w:iCs/>
              </w:rPr>
              <w:t>10</w:t>
            </w:r>
            <w:r w:rsidR="003E480D" w:rsidRPr="009D2A6D">
              <w:rPr>
                <w:iCs/>
              </w:rPr>
              <w:t>,</w:t>
            </w:r>
            <w:r w:rsidRPr="009D2A6D">
              <w:rPr>
                <w:iCs/>
              </w:rPr>
              <w:t>504</w:t>
            </w:r>
          </w:p>
        </w:tc>
        <w:tc>
          <w:tcPr>
            <w:tcW w:w="1457" w:type="dxa"/>
          </w:tcPr>
          <w:p w:rsidR="0017798F" w:rsidRPr="009D2A6D" w:rsidRDefault="0017798F" w:rsidP="003D337E">
            <w:pPr>
              <w:pStyle w:val="Tabletext"/>
              <w:ind w:right="369"/>
              <w:jc w:val="right"/>
              <w:rPr>
                <w:iCs/>
              </w:rPr>
            </w:pPr>
            <w:r w:rsidRPr="009D2A6D">
              <w:rPr>
                <w:iCs/>
              </w:rPr>
              <w:t>7</w:t>
            </w:r>
            <w:r w:rsidR="003E480D" w:rsidRPr="009D2A6D">
              <w:rPr>
                <w:iCs/>
              </w:rPr>
              <w:t>,</w:t>
            </w:r>
            <w:r w:rsidRPr="009D2A6D">
              <w:rPr>
                <w:iCs/>
              </w:rPr>
              <w:t>744</w:t>
            </w:r>
          </w:p>
        </w:tc>
        <w:tc>
          <w:tcPr>
            <w:tcW w:w="1457" w:type="dxa"/>
          </w:tcPr>
          <w:p w:rsidR="0017798F" w:rsidRPr="009D2A6D" w:rsidRDefault="0017798F" w:rsidP="003D337E">
            <w:pPr>
              <w:pStyle w:val="Tabletext"/>
              <w:ind w:right="369"/>
              <w:jc w:val="right"/>
              <w:rPr>
                <w:iCs/>
              </w:rPr>
            </w:pPr>
            <w:r w:rsidRPr="009D2A6D">
              <w:rPr>
                <w:iCs/>
              </w:rPr>
              <w:t>13</w:t>
            </w:r>
            <w:r w:rsidR="003E480D" w:rsidRPr="009D2A6D">
              <w:rPr>
                <w:iCs/>
              </w:rPr>
              <w:t>,</w:t>
            </w:r>
            <w:r w:rsidRPr="009D2A6D">
              <w:rPr>
                <w:iCs/>
              </w:rPr>
              <w:t>357</w:t>
            </w:r>
          </w:p>
        </w:tc>
      </w:tr>
      <w:tr w:rsidR="0017798F" w:rsidRPr="009D2A6D" w:rsidTr="009D2A6D">
        <w:tc>
          <w:tcPr>
            <w:tcW w:w="3851" w:type="dxa"/>
          </w:tcPr>
          <w:p w:rsidR="0017798F" w:rsidRPr="009D2A6D" w:rsidRDefault="0017798F" w:rsidP="009D2A6D">
            <w:pPr>
              <w:pStyle w:val="Tabletext"/>
              <w:rPr>
                <w:iCs/>
              </w:rPr>
            </w:pPr>
            <w:r w:rsidRPr="009D2A6D">
              <w:rPr>
                <w:iCs/>
              </w:rPr>
              <w:t xml:space="preserve">Temporary </w:t>
            </w:r>
            <w:r w:rsidR="0024240C" w:rsidRPr="009D2A6D">
              <w:rPr>
                <w:iCs/>
              </w:rPr>
              <w:t>contract</w:t>
            </w:r>
          </w:p>
        </w:tc>
        <w:tc>
          <w:tcPr>
            <w:tcW w:w="567" w:type="dxa"/>
          </w:tcPr>
          <w:p w:rsidR="0017798F" w:rsidRPr="009D2A6D" w:rsidRDefault="0017798F" w:rsidP="003D337E">
            <w:pPr>
              <w:pStyle w:val="Tabletext"/>
              <w:jc w:val="center"/>
              <w:rPr>
                <w:iCs/>
              </w:rPr>
            </w:pPr>
            <w:r w:rsidRPr="009D2A6D">
              <w:rPr>
                <w:iCs/>
              </w:rPr>
              <w:t>%</w:t>
            </w:r>
          </w:p>
        </w:tc>
        <w:tc>
          <w:tcPr>
            <w:tcW w:w="1457" w:type="dxa"/>
          </w:tcPr>
          <w:p w:rsidR="0017798F" w:rsidRPr="009D2A6D" w:rsidRDefault="0017798F" w:rsidP="003D337E">
            <w:pPr>
              <w:pStyle w:val="Tabletext"/>
              <w:ind w:right="369"/>
              <w:jc w:val="right"/>
              <w:rPr>
                <w:iCs/>
              </w:rPr>
            </w:pPr>
            <w:r w:rsidRPr="009D2A6D">
              <w:rPr>
                <w:iCs/>
              </w:rPr>
              <w:t>-15.1</w:t>
            </w:r>
          </w:p>
        </w:tc>
        <w:tc>
          <w:tcPr>
            <w:tcW w:w="1457" w:type="dxa"/>
          </w:tcPr>
          <w:p w:rsidR="0017798F" w:rsidRPr="009D2A6D" w:rsidRDefault="003E480D" w:rsidP="003D337E">
            <w:pPr>
              <w:pStyle w:val="Tabletext"/>
              <w:ind w:right="369"/>
              <w:jc w:val="right"/>
              <w:rPr>
                <w:iCs/>
              </w:rPr>
            </w:pPr>
            <w:r w:rsidRPr="009D2A6D">
              <w:rPr>
                <w:iCs/>
              </w:rPr>
              <w:t>-</w:t>
            </w:r>
            <w:r w:rsidR="0017798F" w:rsidRPr="009D2A6D">
              <w:rPr>
                <w:iCs/>
              </w:rPr>
              <w:t>17.8</w:t>
            </w:r>
          </w:p>
        </w:tc>
        <w:tc>
          <w:tcPr>
            <w:tcW w:w="1457" w:type="dxa"/>
          </w:tcPr>
          <w:p w:rsidR="0017798F" w:rsidRPr="009D2A6D" w:rsidRDefault="003E480D" w:rsidP="003D337E">
            <w:pPr>
              <w:pStyle w:val="Tabletext"/>
              <w:ind w:right="369"/>
              <w:jc w:val="right"/>
              <w:rPr>
                <w:iCs/>
              </w:rPr>
            </w:pPr>
            <w:r w:rsidRPr="009D2A6D">
              <w:rPr>
                <w:iCs/>
              </w:rPr>
              <w:t>-</w:t>
            </w:r>
            <w:r w:rsidR="0017798F" w:rsidRPr="009D2A6D">
              <w:rPr>
                <w:iCs/>
              </w:rPr>
              <w:t>12.5</w:t>
            </w:r>
          </w:p>
        </w:tc>
      </w:tr>
      <w:tr w:rsidR="0017798F" w:rsidRPr="009D2A6D" w:rsidTr="009D2A6D">
        <w:tc>
          <w:tcPr>
            <w:tcW w:w="3851" w:type="dxa"/>
          </w:tcPr>
          <w:p w:rsidR="0017798F" w:rsidRPr="009D2A6D" w:rsidRDefault="0017798F" w:rsidP="009D2A6D">
            <w:pPr>
              <w:pStyle w:val="Tabletext"/>
              <w:rPr>
                <w:iCs/>
              </w:rPr>
            </w:pPr>
          </w:p>
        </w:tc>
        <w:tc>
          <w:tcPr>
            <w:tcW w:w="567" w:type="dxa"/>
          </w:tcPr>
          <w:p w:rsidR="0017798F" w:rsidRPr="009D2A6D" w:rsidRDefault="0017798F" w:rsidP="003D337E">
            <w:pPr>
              <w:pStyle w:val="Tabletext"/>
              <w:jc w:val="center"/>
              <w:rPr>
                <w:iCs/>
              </w:rPr>
            </w:pPr>
            <w:r w:rsidRPr="009D2A6D">
              <w:rPr>
                <w:iCs/>
              </w:rPr>
              <w:t>$</w:t>
            </w:r>
          </w:p>
        </w:tc>
        <w:tc>
          <w:tcPr>
            <w:tcW w:w="1457" w:type="dxa"/>
          </w:tcPr>
          <w:p w:rsidR="0017798F" w:rsidRPr="009D2A6D" w:rsidRDefault="0017798F" w:rsidP="003D337E">
            <w:pPr>
              <w:pStyle w:val="Tabletext"/>
              <w:ind w:right="369"/>
              <w:jc w:val="right"/>
              <w:rPr>
                <w:iCs/>
              </w:rPr>
            </w:pPr>
            <w:r w:rsidRPr="009D2A6D">
              <w:rPr>
                <w:iCs/>
              </w:rPr>
              <w:t>-11</w:t>
            </w:r>
            <w:r w:rsidR="003E480D" w:rsidRPr="009D2A6D">
              <w:rPr>
                <w:iCs/>
              </w:rPr>
              <w:t>,</w:t>
            </w:r>
            <w:r w:rsidRPr="009D2A6D">
              <w:rPr>
                <w:iCs/>
              </w:rPr>
              <w:t>236</w:t>
            </w:r>
          </w:p>
        </w:tc>
        <w:tc>
          <w:tcPr>
            <w:tcW w:w="1457" w:type="dxa"/>
          </w:tcPr>
          <w:p w:rsidR="0017798F" w:rsidRPr="009D2A6D" w:rsidRDefault="0017798F" w:rsidP="003D337E">
            <w:pPr>
              <w:pStyle w:val="Tabletext"/>
              <w:ind w:right="369"/>
              <w:jc w:val="right"/>
              <w:rPr>
                <w:iCs/>
              </w:rPr>
            </w:pPr>
            <w:r w:rsidRPr="009D2A6D">
              <w:rPr>
                <w:iCs/>
              </w:rPr>
              <w:t>-13</w:t>
            </w:r>
            <w:r w:rsidR="003E480D" w:rsidRPr="009D2A6D">
              <w:rPr>
                <w:iCs/>
              </w:rPr>
              <w:t>,</w:t>
            </w:r>
            <w:r w:rsidRPr="009D2A6D">
              <w:rPr>
                <w:iCs/>
              </w:rPr>
              <w:t>260</w:t>
            </w:r>
          </w:p>
        </w:tc>
        <w:tc>
          <w:tcPr>
            <w:tcW w:w="1457" w:type="dxa"/>
          </w:tcPr>
          <w:p w:rsidR="0017798F" w:rsidRPr="009D2A6D" w:rsidRDefault="0017798F" w:rsidP="003D337E">
            <w:pPr>
              <w:pStyle w:val="Tabletext"/>
              <w:ind w:right="369"/>
              <w:jc w:val="right"/>
              <w:rPr>
                <w:iCs/>
              </w:rPr>
            </w:pPr>
            <w:r w:rsidRPr="009D2A6D">
              <w:rPr>
                <w:iCs/>
              </w:rPr>
              <w:t>-9</w:t>
            </w:r>
            <w:r w:rsidR="003E480D" w:rsidRPr="009D2A6D">
              <w:rPr>
                <w:iCs/>
              </w:rPr>
              <w:t>,</w:t>
            </w:r>
            <w:r w:rsidRPr="009D2A6D">
              <w:rPr>
                <w:iCs/>
              </w:rPr>
              <w:t>321</w:t>
            </w:r>
          </w:p>
        </w:tc>
      </w:tr>
      <w:tr w:rsidR="0017798F" w:rsidRPr="009D2A6D" w:rsidTr="009D2A6D">
        <w:tc>
          <w:tcPr>
            <w:tcW w:w="3851" w:type="dxa"/>
          </w:tcPr>
          <w:p w:rsidR="0017798F" w:rsidRPr="009D2A6D" w:rsidRDefault="0017798F" w:rsidP="009D2A6D">
            <w:pPr>
              <w:pStyle w:val="Tabletext"/>
              <w:rPr>
                <w:iCs/>
              </w:rPr>
            </w:pPr>
            <w:r w:rsidRPr="009D2A6D">
              <w:rPr>
                <w:iCs/>
              </w:rPr>
              <w:t>With training</w:t>
            </w:r>
          </w:p>
        </w:tc>
        <w:tc>
          <w:tcPr>
            <w:tcW w:w="567" w:type="dxa"/>
          </w:tcPr>
          <w:p w:rsidR="0017798F" w:rsidRPr="009D2A6D" w:rsidRDefault="0017798F" w:rsidP="003D337E">
            <w:pPr>
              <w:pStyle w:val="Tabletext"/>
              <w:jc w:val="center"/>
              <w:rPr>
                <w:iCs/>
              </w:rPr>
            </w:pPr>
            <w:r w:rsidRPr="009D2A6D">
              <w:rPr>
                <w:iCs/>
              </w:rPr>
              <w:t>%</w:t>
            </w:r>
          </w:p>
        </w:tc>
        <w:tc>
          <w:tcPr>
            <w:tcW w:w="1457" w:type="dxa"/>
          </w:tcPr>
          <w:p w:rsidR="0017798F" w:rsidRPr="009D2A6D" w:rsidRDefault="0017798F" w:rsidP="003D337E">
            <w:pPr>
              <w:pStyle w:val="Tabletext"/>
              <w:ind w:right="369"/>
              <w:jc w:val="right"/>
              <w:rPr>
                <w:iCs/>
              </w:rPr>
            </w:pPr>
            <w:r w:rsidRPr="009D2A6D">
              <w:rPr>
                <w:iCs/>
              </w:rPr>
              <w:t>9.3</w:t>
            </w:r>
          </w:p>
        </w:tc>
        <w:tc>
          <w:tcPr>
            <w:tcW w:w="1457" w:type="dxa"/>
          </w:tcPr>
          <w:p w:rsidR="0017798F" w:rsidRPr="009D2A6D" w:rsidRDefault="0017798F" w:rsidP="003D337E">
            <w:pPr>
              <w:pStyle w:val="Tabletext"/>
              <w:ind w:right="369"/>
              <w:jc w:val="right"/>
              <w:rPr>
                <w:iCs/>
              </w:rPr>
            </w:pPr>
            <w:r w:rsidRPr="009D2A6D">
              <w:rPr>
                <w:iCs/>
              </w:rPr>
              <w:t>6.8</w:t>
            </w:r>
          </w:p>
        </w:tc>
        <w:tc>
          <w:tcPr>
            <w:tcW w:w="1457" w:type="dxa"/>
          </w:tcPr>
          <w:p w:rsidR="0017798F" w:rsidRPr="009D2A6D" w:rsidRDefault="0017798F" w:rsidP="003D337E">
            <w:pPr>
              <w:pStyle w:val="Tabletext"/>
              <w:ind w:right="369"/>
              <w:jc w:val="right"/>
              <w:rPr>
                <w:iCs/>
              </w:rPr>
            </w:pPr>
            <w:r w:rsidRPr="009D2A6D">
              <w:rPr>
                <w:iCs/>
              </w:rPr>
              <w:t>11.9</w:t>
            </w:r>
          </w:p>
        </w:tc>
      </w:tr>
      <w:tr w:rsidR="0017798F" w:rsidRPr="009D2A6D" w:rsidTr="009D2A6D">
        <w:tc>
          <w:tcPr>
            <w:tcW w:w="3851" w:type="dxa"/>
          </w:tcPr>
          <w:p w:rsidR="0017798F" w:rsidRPr="009D2A6D" w:rsidRDefault="0017798F" w:rsidP="009D2A6D">
            <w:pPr>
              <w:pStyle w:val="Tabletext"/>
              <w:rPr>
                <w:iCs/>
              </w:rPr>
            </w:pPr>
          </w:p>
        </w:tc>
        <w:tc>
          <w:tcPr>
            <w:tcW w:w="567" w:type="dxa"/>
          </w:tcPr>
          <w:p w:rsidR="0017798F" w:rsidRPr="009D2A6D" w:rsidRDefault="0017798F" w:rsidP="003D337E">
            <w:pPr>
              <w:pStyle w:val="Tabletext"/>
              <w:jc w:val="center"/>
              <w:rPr>
                <w:iCs/>
              </w:rPr>
            </w:pPr>
            <w:r w:rsidRPr="009D2A6D">
              <w:rPr>
                <w:iCs/>
              </w:rPr>
              <w:t>$</w:t>
            </w:r>
          </w:p>
        </w:tc>
        <w:tc>
          <w:tcPr>
            <w:tcW w:w="1457" w:type="dxa"/>
          </w:tcPr>
          <w:p w:rsidR="0017798F" w:rsidRPr="009D2A6D" w:rsidRDefault="0017798F" w:rsidP="003D337E">
            <w:pPr>
              <w:pStyle w:val="Tabletext"/>
              <w:ind w:right="369"/>
              <w:jc w:val="right"/>
              <w:rPr>
                <w:iCs/>
              </w:rPr>
            </w:pPr>
            <w:r w:rsidRPr="009D2A6D">
              <w:rPr>
                <w:iCs/>
              </w:rPr>
              <w:t>6</w:t>
            </w:r>
            <w:r w:rsidR="003E480D" w:rsidRPr="009D2A6D">
              <w:rPr>
                <w:iCs/>
              </w:rPr>
              <w:t>,</w:t>
            </w:r>
            <w:r w:rsidRPr="009D2A6D">
              <w:rPr>
                <w:iCs/>
              </w:rPr>
              <w:t>902</w:t>
            </w:r>
          </w:p>
        </w:tc>
        <w:tc>
          <w:tcPr>
            <w:tcW w:w="1457" w:type="dxa"/>
          </w:tcPr>
          <w:p w:rsidR="0017798F" w:rsidRPr="009D2A6D" w:rsidRDefault="0017798F" w:rsidP="003D337E">
            <w:pPr>
              <w:pStyle w:val="Tabletext"/>
              <w:ind w:right="369"/>
              <w:jc w:val="right"/>
              <w:rPr>
                <w:iCs/>
              </w:rPr>
            </w:pPr>
            <w:r w:rsidRPr="009D2A6D">
              <w:rPr>
                <w:iCs/>
              </w:rPr>
              <w:t>5</w:t>
            </w:r>
            <w:r w:rsidR="003E480D" w:rsidRPr="009D2A6D">
              <w:rPr>
                <w:iCs/>
              </w:rPr>
              <w:t>,</w:t>
            </w:r>
            <w:r w:rsidRPr="009D2A6D">
              <w:rPr>
                <w:iCs/>
              </w:rPr>
              <w:t>053</w:t>
            </w:r>
          </w:p>
        </w:tc>
        <w:tc>
          <w:tcPr>
            <w:tcW w:w="1457" w:type="dxa"/>
          </w:tcPr>
          <w:p w:rsidR="0017798F" w:rsidRPr="009D2A6D" w:rsidRDefault="0017798F" w:rsidP="003D337E">
            <w:pPr>
              <w:pStyle w:val="Tabletext"/>
              <w:ind w:right="369"/>
              <w:jc w:val="right"/>
              <w:rPr>
                <w:iCs/>
              </w:rPr>
            </w:pPr>
            <w:r w:rsidRPr="009D2A6D">
              <w:rPr>
                <w:iCs/>
              </w:rPr>
              <w:t>8</w:t>
            </w:r>
            <w:r w:rsidR="003E480D" w:rsidRPr="009D2A6D">
              <w:rPr>
                <w:iCs/>
              </w:rPr>
              <w:t>,</w:t>
            </w:r>
            <w:r w:rsidRPr="009D2A6D">
              <w:rPr>
                <w:iCs/>
              </w:rPr>
              <w:t>832</w:t>
            </w:r>
          </w:p>
        </w:tc>
      </w:tr>
      <w:tr w:rsidR="00245105" w:rsidRPr="009D2A6D" w:rsidTr="009D2A6D">
        <w:tc>
          <w:tcPr>
            <w:tcW w:w="3851" w:type="dxa"/>
          </w:tcPr>
          <w:p w:rsidR="00245105" w:rsidRPr="009D2A6D" w:rsidRDefault="00245105" w:rsidP="009D2A6D">
            <w:pPr>
              <w:pStyle w:val="Tabletext"/>
              <w:rPr>
                <w:b/>
              </w:rPr>
            </w:pPr>
            <w:r w:rsidRPr="009D2A6D">
              <w:rPr>
                <w:b/>
              </w:rPr>
              <w:t>Individual characteristics</w:t>
            </w:r>
          </w:p>
        </w:tc>
        <w:tc>
          <w:tcPr>
            <w:tcW w:w="567" w:type="dxa"/>
          </w:tcPr>
          <w:p w:rsidR="00245105" w:rsidRPr="009D2A6D" w:rsidRDefault="00245105" w:rsidP="003D337E">
            <w:pPr>
              <w:pStyle w:val="Tabletext"/>
              <w:jc w:val="center"/>
              <w:rPr>
                <w:iCs/>
              </w:rPr>
            </w:pPr>
          </w:p>
        </w:tc>
        <w:tc>
          <w:tcPr>
            <w:tcW w:w="1457" w:type="dxa"/>
          </w:tcPr>
          <w:p w:rsidR="00245105" w:rsidRPr="009D2A6D" w:rsidRDefault="00245105" w:rsidP="003D337E">
            <w:pPr>
              <w:pStyle w:val="Tabletext"/>
              <w:ind w:right="369"/>
              <w:jc w:val="right"/>
              <w:rPr>
                <w:iCs/>
              </w:rPr>
            </w:pPr>
          </w:p>
        </w:tc>
        <w:tc>
          <w:tcPr>
            <w:tcW w:w="1457" w:type="dxa"/>
          </w:tcPr>
          <w:p w:rsidR="00245105" w:rsidRPr="009D2A6D" w:rsidRDefault="00245105" w:rsidP="003D337E">
            <w:pPr>
              <w:pStyle w:val="Tabletext"/>
              <w:ind w:right="369"/>
              <w:jc w:val="right"/>
              <w:rPr>
                <w:iCs/>
              </w:rPr>
            </w:pPr>
          </w:p>
        </w:tc>
        <w:tc>
          <w:tcPr>
            <w:tcW w:w="1457" w:type="dxa"/>
          </w:tcPr>
          <w:p w:rsidR="00245105" w:rsidRPr="009D2A6D" w:rsidRDefault="00245105" w:rsidP="003D337E">
            <w:pPr>
              <w:pStyle w:val="Tabletext"/>
              <w:ind w:right="369"/>
              <w:jc w:val="right"/>
              <w:rPr>
                <w:iCs/>
              </w:rPr>
            </w:pPr>
          </w:p>
        </w:tc>
      </w:tr>
      <w:tr w:rsidR="0017798F" w:rsidRPr="009D2A6D" w:rsidTr="009D2A6D">
        <w:tc>
          <w:tcPr>
            <w:tcW w:w="3851" w:type="dxa"/>
          </w:tcPr>
          <w:p w:rsidR="0017798F" w:rsidRPr="009D2A6D" w:rsidRDefault="0017798F" w:rsidP="009D2A6D">
            <w:pPr>
              <w:pStyle w:val="Tabletext"/>
              <w:rPr>
                <w:iCs/>
                <w:vertAlign w:val="superscript"/>
              </w:rPr>
            </w:pPr>
            <w:r w:rsidRPr="009D2A6D">
              <w:rPr>
                <w:iCs/>
              </w:rPr>
              <w:t>Age</w:t>
            </w:r>
            <w:r w:rsidR="00A71684" w:rsidRPr="009D2A6D">
              <w:rPr>
                <w:iCs/>
                <w:vertAlign w:val="superscript"/>
              </w:rPr>
              <w:t>2</w:t>
            </w:r>
          </w:p>
        </w:tc>
        <w:tc>
          <w:tcPr>
            <w:tcW w:w="567" w:type="dxa"/>
          </w:tcPr>
          <w:p w:rsidR="0017798F" w:rsidRPr="009D2A6D" w:rsidRDefault="0017798F" w:rsidP="003D337E">
            <w:pPr>
              <w:pStyle w:val="Tabletext"/>
              <w:jc w:val="center"/>
              <w:rPr>
                <w:iCs/>
              </w:rPr>
            </w:pPr>
            <w:r w:rsidRPr="009D2A6D">
              <w:rPr>
                <w:iCs/>
              </w:rPr>
              <w:t>%</w:t>
            </w:r>
          </w:p>
        </w:tc>
        <w:tc>
          <w:tcPr>
            <w:tcW w:w="1457" w:type="dxa"/>
          </w:tcPr>
          <w:p w:rsidR="0017798F" w:rsidRPr="009D2A6D" w:rsidRDefault="003E480D" w:rsidP="003D337E">
            <w:pPr>
              <w:pStyle w:val="Tabletext"/>
              <w:ind w:right="369"/>
              <w:jc w:val="right"/>
              <w:rPr>
                <w:iCs/>
              </w:rPr>
            </w:pPr>
            <w:r w:rsidRPr="009D2A6D">
              <w:rPr>
                <w:iCs/>
              </w:rPr>
              <w:t>-</w:t>
            </w:r>
            <w:r w:rsidR="0017798F" w:rsidRPr="009D2A6D">
              <w:rPr>
                <w:iCs/>
              </w:rPr>
              <w:t>1.4</w:t>
            </w:r>
          </w:p>
        </w:tc>
        <w:tc>
          <w:tcPr>
            <w:tcW w:w="1457" w:type="dxa"/>
          </w:tcPr>
          <w:p w:rsidR="0017798F" w:rsidRPr="009D2A6D" w:rsidRDefault="003E480D" w:rsidP="003D337E">
            <w:pPr>
              <w:pStyle w:val="Tabletext"/>
              <w:ind w:right="369"/>
              <w:jc w:val="right"/>
              <w:rPr>
                <w:iCs/>
              </w:rPr>
            </w:pPr>
            <w:r w:rsidRPr="009D2A6D">
              <w:rPr>
                <w:iCs/>
              </w:rPr>
              <w:t>-</w:t>
            </w:r>
            <w:r w:rsidR="0017798F" w:rsidRPr="009D2A6D">
              <w:rPr>
                <w:iCs/>
              </w:rPr>
              <w:t>2.3</w:t>
            </w:r>
          </w:p>
        </w:tc>
        <w:tc>
          <w:tcPr>
            <w:tcW w:w="1457" w:type="dxa"/>
          </w:tcPr>
          <w:p w:rsidR="0017798F" w:rsidRPr="009D2A6D" w:rsidRDefault="003E480D" w:rsidP="003D337E">
            <w:pPr>
              <w:pStyle w:val="Tabletext"/>
              <w:ind w:right="369"/>
              <w:jc w:val="right"/>
              <w:rPr>
                <w:iCs/>
              </w:rPr>
            </w:pPr>
            <w:r w:rsidRPr="009D2A6D">
              <w:rPr>
                <w:iCs/>
              </w:rPr>
              <w:t>-</w:t>
            </w:r>
            <w:r w:rsidR="0017798F" w:rsidRPr="009D2A6D">
              <w:rPr>
                <w:iCs/>
              </w:rPr>
              <w:t>0.6</w:t>
            </w:r>
          </w:p>
        </w:tc>
      </w:tr>
      <w:tr w:rsidR="0017798F" w:rsidRPr="009D2A6D" w:rsidTr="009D2A6D">
        <w:tc>
          <w:tcPr>
            <w:tcW w:w="3851" w:type="dxa"/>
          </w:tcPr>
          <w:p w:rsidR="0017798F" w:rsidRPr="009D2A6D" w:rsidRDefault="0017798F" w:rsidP="009D2A6D">
            <w:pPr>
              <w:pStyle w:val="Tabletext"/>
              <w:rPr>
                <w:iCs/>
              </w:rPr>
            </w:pPr>
          </w:p>
        </w:tc>
        <w:tc>
          <w:tcPr>
            <w:tcW w:w="567" w:type="dxa"/>
          </w:tcPr>
          <w:p w:rsidR="0017798F" w:rsidRPr="009D2A6D" w:rsidRDefault="0017798F" w:rsidP="003D337E">
            <w:pPr>
              <w:pStyle w:val="Tabletext"/>
              <w:jc w:val="center"/>
              <w:rPr>
                <w:iCs/>
              </w:rPr>
            </w:pPr>
            <w:r w:rsidRPr="009D2A6D">
              <w:rPr>
                <w:iCs/>
              </w:rPr>
              <w:t>$</w:t>
            </w:r>
          </w:p>
        </w:tc>
        <w:tc>
          <w:tcPr>
            <w:tcW w:w="1457" w:type="dxa"/>
          </w:tcPr>
          <w:p w:rsidR="0017798F" w:rsidRPr="009D2A6D" w:rsidRDefault="0017798F" w:rsidP="003D337E">
            <w:pPr>
              <w:pStyle w:val="Tabletext"/>
              <w:ind w:right="369"/>
              <w:jc w:val="right"/>
              <w:rPr>
                <w:iCs/>
              </w:rPr>
            </w:pPr>
            <w:r w:rsidRPr="009D2A6D">
              <w:rPr>
                <w:iCs/>
              </w:rPr>
              <w:t>-1046</w:t>
            </w:r>
          </w:p>
        </w:tc>
        <w:tc>
          <w:tcPr>
            <w:tcW w:w="1457" w:type="dxa"/>
          </w:tcPr>
          <w:p w:rsidR="0017798F" w:rsidRPr="009D2A6D" w:rsidRDefault="0017798F" w:rsidP="003D337E">
            <w:pPr>
              <w:pStyle w:val="Tabletext"/>
              <w:ind w:right="369"/>
              <w:jc w:val="right"/>
              <w:rPr>
                <w:iCs/>
              </w:rPr>
            </w:pPr>
            <w:r w:rsidRPr="009D2A6D">
              <w:rPr>
                <w:iCs/>
              </w:rPr>
              <w:t>-1</w:t>
            </w:r>
            <w:r w:rsidR="003E480D" w:rsidRPr="009D2A6D">
              <w:rPr>
                <w:iCs/>
              </w:rPr>
              <w:t>,</w:t>
            </w:r>
            <w:r w:rsidRPr="009D2A6D">
              <w:rPr>
                <w:iCs/>
              </w:rPr>
              <w:t>731</w:t>
            </w:r>
          </w:p>
        </w:tc>
        <w:tc>
          <w:tcPr>
            <w:tcW w:w="1457" w:type="dxa"/>
          </w:tcPr>
          <w:p w:rsidR="0017798F" w:rsidRPr="009D2A6D" w:rsidRDefault="0017798F" w:rsidP="003D337E">
            <w:pPr>
              <w:pStyle w:val="Tabletext"/>
              <w:ind w:right="369"/>
              <w:jc w:val="right"/>
              <w:rPr>
                <w:iCs/>
              </w:rPr>
            </w:pPr>
            <w:r w:rsidRPr="009D2A6D">
              <w:rPr>
                <w:iCs/>
              </w:rPr>
              <w:t>-421</w:t>
            </w:r>
          </w:p>
        </w:tc>
      </w:tr>
      <w:tr w:rsidR="0017798F" w:rsidRPr="009D2A6D" w:rsidTr="009D2A6D">
        <w:tc>
          <w:tcPr>
            <w:tcW w:w="3851" w:type="dxa"/>
          </w:tcPr>
          <w:p w:rsidR="0017798F" w:rsidRPr="009D2A6D" w:rsidRDefault="0017798F" w:rsidP="009D2A6D">
            <w:pPr>
              <w:pStyle w:val="Tabletext"/>
              <w:rPr>
                <w:iCs/>
              </w:rPr>
            </w:pPr>
            <w:r w:rsidRPr="009D2A6D">
              <w:rPr>
                <w:iCs/>
              </w:rPr>
              <w:t>Male</w:t>
            </w:r>
          </w:p>
        </w:tc>
        <w:tc>
          <w:tcPr>
            <w:tcW w:w="567" w:type="dxa"/>
          </w:tcPr>
          <w:p w:rsidR="0017798F" w:rsidRPr="009D2A6D" w:rsidRDefault="0017798F" w:rsidP="003D337E">
            <w:pPr>
              <w:pStyle w:val="Tabletext"/>
              <w:jc w:val="center"/>
              <w:rPr>
                <w:iCs/>
              </w:rPr>
            </w:pPr>
            <w:r w:rsidRPr="009D2A6D">
              <w:rPr>
                <w:iCs/>
              </w:rPr>
              <w:t>%</w:t>
            </w:r>
          </w:p>
        </w:tc>
        <w:tc>
          <w:tcPr>
            <w:tcW w:w="1457" w:type="dxa"/>
          </w:tcPr>
          <w:p w:rsidR="0017798F" w:rsidRPr="009D2A6D" w:rsidRDefault="0017798F" w:rsidP="003D337E">
            <w:pPr>
              <w:pStyle w:val="Tabletext"/>
              <w:ind w:right="369"/>
              <w:jc w:val="right"/>
              <w:rPr>
                <w:iCs/>
              </w:rPr>
            </w:pPr>
            <w:r w:rsidRPr="009D2A6D">
              <w:rPr>
                <w:iCs/>
              </w:rPr>
              <w:t>39.0</w:t>
            </w:r>
          </w:p>
        </w:tc>
        <w:tc>
          <w:tcPr>
            <w:tcW w:w="1457" w:type="dxa"/>
          </w:tcPr>
          <w:p w:rsidR="0017798F" w:rsidRPr="009D2A6D" w:rsidRDefault="0017798F" w:rsidP="003D337E">
            <w:pPr>
              <w:pStyle w:val="Tabletext"/>
              <w:ind w:right="369"/>
              <w:jc w:val="right"/>
              <w:rPr>
                <w:iCs/>
              </w:rPr>
            </w:pPr>
            <w:r w:rsidRPr="009D2A6D">
              <w:rPr>
                <w:iCs/>
              </w:rPr>
              <w:t>21.9</w:t>
            </w:r>
          </w:p>
        </w:tc>
        <w:tc>
          <w:tcPr>
            <w:tcW w:w="1457" w:type="dxa"/>
          </w:tcPr>
          <w:p w:rsidR="0017798F" w:rsidRPr="009D2A6D" w:rsidRDefault="0017798F" w:rsidP="003D337E">
            <w:pPr>
              <w:pStyle w:val="Tabletext"/>
              <w:ind w:right="369"/>
              <w:jc w:val="right"/>
              <w:rPr>
                <w:iCs/>
              </w:rPr>
            </w:pPr>
            <w:r w:rsidRPr="009D2A6D">
              <w:rPr>
                <w:iCs/>
              </w:rPr>
              <w:t>58.1</w:t>
            </w:r>
          </w:p>
        </w:tc>
      </w:tr>
      <w:tr w:rsidR="0017798F" w:rsidRPr="009D2A6D" w:rsidTr="009D2A6D">
        <w:tc>
          <w:tcPr>
            <w:tcW w:w="3851" w:type="dxa"/>
          </w:tcPr>
          <w:p w:rsidR="0017798F" w:rsidRPr="009D2A6D" w:rsidRDefault="0017798F" w:rsidP="009D2A6D">
            <w:pPr>
              <w:pStyle w:val="Tabletext"/>
              <w:rPr>
                <w:iCs/>
              </w:rPr>
            </w:pPr>
          </w:p>
        </w:tc>
        <w:tc>
          <w:tcPr>
            <w:tcW w:w="567" w:type="dxa"/>
          </w:tcPr>
          <w:p w:rsidR="0017798F" w:rsidRPr="009D2A6D" w:rsidRDefault="0017798F" w:rsidP="003D337E">
            <w:pPr>
              <w:pStyle w:val="Tabletext"/>
              <w:jc w:val="center"/>
              <w:rPr>
                <w:iCs/>
              </w:rPr>
            </w:pPr>
            <w:r w:rsidRPr="009D2A6D">
              <w:rPr>
                <w:iCs/>
              </w:rPr>
              <w:t>$</w:t>
            </w:r>
          </w:p>
        </w:tc>
        <w:tc>
          <w:tcPr>
            <w:tcW w:w="1457" w:type="dxa"/>
          </w:tcPr>
          <w:p w:rsidR="0017798F" w:rsidRPr="009D2A6D" w:rsidRDefault="0017798F" w:rsidP="003D337E">
            <w:pPr>
              <w:pStyle w:val="Tabletext"/>
              <w:ind w:right="369"/>
              <w:jc w:val="right"/>
              <w:rPr>
                <w:iCs/>
              </w:rPr>
            </w:pPr>
            <w:r w:rsidRPr="009D2A6D">
              <w:rPr>
                <w:iCs/>
              </w:rPr>
              <w:t>29</w:t>
            </w:r>
            <w:r w:rsidR="003E480D" w:rsidRPr="009D2A6D">
              <w:rPr>
                <w:iCs/>
              </w:rPr>
              <w:t>,</w:t>
            </w:r>
            <w:r w:rsidRPr="009D2A6D">
              <w:rPr>
                <w:iCs/>
              </w:rPr>
              <w:t>004</w:t>
            </w:r>
          </w:p>
        </w:tc>
        <w:tc>
          <w:tcPr>
            <w:tcW w:w="1457" w:type="dxa"/>
          </w:tcPr>
          <w:p w:rsidR="0017798F" w:rsidRPr="009D2A6D" w:rsidRDefault="0017798F" w:rsidP="003D337E">
            <w:pPr>
              <w:pStyle w:val="Tabletext"/>
              <w:ind w:right="369"/>
              <w:jc w:val="right"/>
              <w:rPr>
                <w:iCs/>
              </w:rPr>
            </w:pPr>
            <w:r w:rsidRPr="009D2A6D">
              <w:rPr>
                <w:iCs/>
              </w:rPr>
              <w:t>16</w:t>
            </w:r>
            <w:r w:rsidR="003E480D" w:rsidRPr="009D2A6D">
              <w:rPr>
                <w:iCs/>
              </w:rPr>
              <w:t>,</w:t>
            </w:r>
            <w:r w:rsidRPr="009D2A6D">
              <w:rPr>
                <w:iCs/>
              </w:rPr>
              <w:t>311</w:t>
            </w:r>
          </w:p>
        </w:tc>
        <w:tc>
          <w:tcPr>
            <w:tcW w:w="1457" w:type="dxa"/>
          </w:tcPr>
          <w:p w:rsidR="0017798F" w:rsidRPr="009D2A6D" w:rsidRDefault="0017798F" w:rsidP="003D337E">
            <w:pPr>
              <w:pStyle w:val="Tabletext"/>
              <w:ind w:right="369"/>
              <w:jc w:val="right"/>
              <w:rPr>
                <w:iCs/>
              </w:rPr>
            </w:pPr>
            <w:r w:rsidRPr="009D2A6D">
              <w:rPr>
                <w:iCs/>
              </w:rPr>
              <w:t>43</w:t>
            </w:r>
            <w:r w:rsidR="003E480D" w:rsidRPr="009D2A6D">
              <w:rPr>
                <w:iCs/>
              </w:rPr>
              <w:t>,</w:t>
            </w:r>
            <w:r w:rsidRPr="009D2A6D">
              <w:rPr>
                <w:iCs/>
              </w:rPr>
              <w:t>249</w:t>
            </w:r>
          </w:p>
        </w:tc>
      </w:tr>
      <w:tr w:rsidR="0017798F" w:rsidRPr="009D2A6D" w:rsidTr="009D2A6D">
        <w:tc>
          <w:tcPr>
            <w:tcW w:w="3851" w:type="dxa"/>
          </w:tcPr>
          <w:p w:rsidR="0017798F" w:rsidRPr="009D2A6D" w:rsidRDefault="0017798F" w:rsidP="009D2A6D">
            <w:pPr>
              <w:pStyle w:val="Tabletext"/>
              <w:rPr>
                <w:iCs/>
              </w:rPr>
            </w:pPr>
            <w:r w:rsidRPr="009D2A6D">
              <w:rPr>
                <w:iCs/>
              </w:rPr>
              <w:t>Born in Australia</w:t>
            </w:r>
          </w:p>
        </w:tc>
        <w:tc>
          <w:tcPr>
            <w:tcW w:w="567" w:type="dxa"/>
          </w:tcPr>
          <w:p w:rsidR="0017798F" w:rsidRPr="009D2A6D" w:rsidRDefault="0017798F" w:rsidP="003D337E">
            <w:pPr>
              <w:pStyle w:val="Tabletext"/>
              <w:jc w:val="center"/>
              <w:rPr>
                <w:iCs/>
              </w:rPr>
            </w:pPr>
            <w:r w:rsidRPr="009D2A6D">
              <w:rPr>
                <w:iCs/>
              </w:rPr>
              <w:t>%</w:t>
            </w:r>
          </w:p>
        </w:tc>
        <w:tc>
          <w:tcPr>
            <w:tcW w:w="1457" w:type="dxa"/>
          </w:tcPr>
          <w:p w:rsidR="0017798F" w:rsidRPr="009D2A6D" w:rsidRDefault="003E480D" w:rsidP="003D337E">
            <w:pPr>
              <w:pStyle w:val="Tabletext"/>
              <w:ind w:right="369"/>
              <w:jc w:val="right"/>
              <w:rPr>
                <w:iCs/>
              </w:rPr>
            </w:pPr>
            <w:r w:rsidRPr="009D2A6D">
              <w:rPr>
                <w:iCs/>
              </w:rPr>
              <w:t>-</w:t>
            </w:r>
            <w:r w:rsidR="0017798F" w:rsidRPr="009D2A6D">
              <w:rPr>
                <w:iCs/>
              </w:rPr>
              <w:t>20.0</w:t>
            </w:r>
          </w:p>
        </w:tc>
        <w:tc>
          <w:tcPr>
            <w:tcW w:w="1457" w:type="dxa"/>
          </w:tcPr>
          <w:p w:rsidR="0017798F" w:rsidRPr="009D2A6D" w:rsidRDefault="003E480D" w:rsidP="003D337E">
            <w:pPr>
              <w:pStyle w:val="Tabletext"/>
              <w:ind w:right="369"/>
              <w:jc w:val="right"/>
              <w:rPr>
                <w:iCs/>
              </w:rPr>
            </w:pPr>
            <w:r w:rsidRPr="009D2A6D">
              <w:rPr>
                <w:iCs/>
              </w:rPr>
              <w:t>-</w:t>
            </w:r>
            <w:r w:rsidR="0017798F" w:rsidRPr="009D2A6D">
              <w:rPr>
                <w:iCs/>
              </w:rPr>
              <w:t>39.2</w:t>
            </w:r>
          </w:p>
        </w:tc>
        <w:tc>
          <w:tcPr>
            <w:tcW w:w="1457" w:type="dxa"/>
          </w:tcPr>
          <w:p w:rsidR="0017798F" w:rsidRPr="009D2A6D" w:rsidRDefault="003E480D" w:rsidP="003D337E">
            <w:pPr>
              <w:pStyle w:val="Tabletext"/>
              <w:ind w:right="369"/>
              <w:jc w:val="right"/>
              <w:rPr>
                <w:iCs/>
              </w:rPr>
            </w:pPr>
            <w:r w:rsidRPr="009D2A6D">
              <w:rPr>
                <w:iCs/>
              </w:rPr>
              <w:t>-</w:t>
            </w:r>
            <w:r w:rsidR="0017798F" w:rsidRPr="009D2A6D">
              <w:rPr>
                <w:iCs/>
              </w:rPr>
              <w:t>0.3</w:t>
            </w:r>
          </w:p>
        </w:tc>
      </w:tr>
      <w:tr w:rsidR="0017798F" w:rsidRPr="009D2A6D" w:rsidTr="009D2A6D">
        <w:tc>
          <w:tcPr>
            <w:tcW w:w="3851" w:type="dxa"/>
          </w:tcPr>
          <w:p w:rsidR="0017798F" w:rsidRPr="009D2A6D" w:rsidRDefault="0017798F" w:rsidP="009D2A6D">
            <w:pPr>
              <w:pStyle w:val="Tabletext"/>
              <w:rPr>
                <w:iCs/>
              </w:rPr>
            </w:pPr>
          </w:p>
        </w:tc>
        <w:tc>
          <w:tcPr>
            <w:tcW w:w="567" w:type="dxa"/>
          </w:tcPr>
          <w:p w:rsidR="0017798F" w:rsidRPr="009D2A6D" w:rsidRDefault="0017798F" w:rsidP="003D337E">
            <w:pPr>
              <w:pStyle w:val="Tabletext"/>
              <w:jc w:val="center"/>
              <w:rPr>
                <w:iCs/>
              </w:rPr>
            </w:pPr>
            <w:r w:rsidRPr="009D2A6D">
              <w:rPr>
                <w:iCs/>
              </w:rPr>
              <w:t>$</w:t>
            </w:r>
          </w:p>
        </w:tc>
        <w:tc>
          <w:tcPr>
            <w:tcW w:w="1457" w:type="dxa"/>
          </w:tcPr>
          <w:p w:rsidR="0017798F" w:rsidRPr="009D2A6D" w:rsidRDefault="0017798F" w:rsidP="003D337E">
            <w:pPr>
              <w:pStyle w:val="Tabletext"/>
              <w:ind w:right="369"/>
              <w:jc w:val="right"/>
              <w:rPr>
                <w:iCs/>
              </w:rPr>
            </w:pPr>
            <w:r w:rsidRPr="009D2A6D">
              <w:rPr>
                <w:iCs/>
              </w:rPr>
              <w:t>-14876</w:t>
            </w:r>
          </w:p>
        </w:tc>
        <w:tc>
          <w:tcPr>
            <w:tcW w:w="1457" w:type="dxa"/>
          </w:tcPr>
          <w:p w:rsidR="0017798F" w:rsidRPr="009D2A6D" w:rsidRDefault="0017798F" w:rsidP="003D337E">
            <w:pPr>
              <w:pStyle w:val="Tabletext"/>
              <w:ind w:right="369"/>
              <w:jc w:val="right"/>
              <w:rPr>
                <w:iCs/>
              </w:rPr>
            </w:pPr>
            <w:r w:rsidRPr="009D2A6D">
              <w:rPr>
                <w:iCs/>
              </w:rPr>
              <w:t>-29</w:t>
            </w:r>
            <w:r w:rsidR="003E480D" w:rsidRPr="009D2A6D">
              <w:rPr>
                <w:iCs/>
              </w:rPr>
              <w:t>,</w:t>
            </w:r>
            <w:r w:rsidRPr="009D2A6D">
              <w:rPr>
                <w:iCs/>
              </w:rPr>
              <w:t>135</w:t>
            </w:r>
          </w:p>
        </w:tc>
        <w:tc>
          <w:tcPr>
            <w:tcW w:w="1457" w:type="dxa"/>
          </w:tcPr>
          <w:p w:rsidR="0017798F" w:rsidRPr="009D2A6D" w:rsidRDefault="0017798F" w:rsidP="003D337E">
            <w:pPr>
              <w:pStyle w:val="Tabletext"/>
              <w:ind w:right="369"/>
              <w:jc w:val="right"/>
              <w:rPr>
                <w:iCs/>
              </w:rPr>
            </w:pPr>
            <w:r w:rsidRPr="009D2A6D">
              <w:rPr>
                <w:iCs/>
              </w:rPr>
              <w:t>-230</w:t>
            </w:r>
          </w:p>
        </w:tc>
      </w:tr>
      <w:tr w:rsidR="0017798F" w:rsidRPr="009D2A6D" w:rsidTr="009D2A6D">
        <w:tc>
          <w:tcPr>
            <w:tcW w:w="3851" w:type="dxa"/>
          </w:tcPr>
          <w:p w:rsidR="0017798F" w:rsidRPr="009D2A6D" w:rsidRDefault="0017798F" w:rsidP="009D2A6D">
            <w:pPr>
              <w:pStyle w:val="Tabletext"/>
              <w:rPr>
                <w:iCs/>
              </w:rPr>
            </w:pPr>
            <w:r w:rsidRPr="009D2A6D">
              <w:rPr>
                <w:iCs/>
              </w:rPr>
              <w:t>Single</w:t>
            </w:r>
          </w:p>
        </w:tc>
        <w:tc>
          <w:tcPr>
            <w:tcW w:w="567" w:type="dxa"/>
          </w:tcPr>
          <w:p w:rsidR="0017798F" w:rsidRPr="009D2A6D" w:rsidRDefault="0017798F" w:rsidP="003D337E">
            <w:pPr>
              <w:pStyle w:val="Tabletext"/>
              <w:jc w:val="center"/>
              <w:rPr>
                <w:iCs/>
              </w:rPr>
            </w:pPr>
            <w:r w:rsidRPr="009D2A6D">
              <w:rPr>
                <w:iCs/>
              </w:rPr>
              <w:t>%</w:t>
            </w:r>
          </w:p>
        </w:tc>
        <w:tc>
          <w:tcPr>
            <w:tcW w:w="1457" w:type="dxa"/>
          </w:tcPr>
          <w:p w:rsidR="0017798F" w:rsidRPr="009D2A6D" w:rsidRDefault="0017798F" w:rsidP="003D337E">
            <w:pPr>
              <w:pStyle w:val="Tabletext"/>
              <w:ind w:right="369"/>
              <w:jc w:val="right"/>
              <w:rPr>
                <w:iCs/>
              </w:rPr>
            </w:pPr>
            <w:r w:rsidRPr="009D2A6D">
              <w:rPr>
                <w:iCs/>
              </w:rPr>
              <w:t>25.8</w:t>
            </w:r>
          </w:p>
        </w:tc>
        <w:tc>
          <w:tcPr>
            <w:tcW w:w="1457" w:type="dxa"/>
          </w:tcPr>
          <w:p w:rsidR="0017798F" w:rsidRPr="009D2A6D" w:rsidRDefault="0017798F" w:rsidP="003D337E">
            <w:pPr>
              <w:pStyle w:val="Tabletext"/>
              <w:ind w:right="369"/>
              <w:jc w:val="right"/>
              <w:rPr>
                <w:iCs/>
              </w:rPr>
            </w:pPr>
            <w:r w:rsidRPr="009D2A6D">
              <w:rPr>
                <w:iCs/>
              </w:rPr>
              <w:t>7.3</w:t>
            </w:r>
          </w:p>
        </w:tc>
        <w:tc>
          <w:tcPr>
            <w:tcW w:w="1457" w:type="dxa"/>
          </w:tcPr>
          <w:p w:rsidR="0017798F" w:rsidRPr="009D2A6D" w:rsidRDefault="0017798F" w:rsidP="003D337E">
            <w:pPr>
              <w:pStyle w:val="Tabletext"/>
              <w:ind w:right="369"/>
              <w:jc w:val="right"/>
              <w:rPr>
                <w:iCs/>
              </w:rPr>
            </w:pPr>
            <w:r w:rsidRPr="009D2A6D">
              <w:rPr>
                <w:iCs/>
              </w:rPr>
              <w:t>45.2</w:t>
            </w:r>
          </w:p>
        </w:tc>
      </w:tr>
      <w:tr w:rsidR="0017798F" w:rsidRPr="009D2A6D" w:rsidTr="009D2A6D">
        <w:tc>
          <w:tcPr>
            <w:tcW w:w="3851" w:type="dxa"/>
          </w:tcPr>
          <w:p w:rsidR="0017798F" w:rsidRPr="009D2A6D" w:rsidRDefault="0017798F" w:rsidP="009D2A6D">
            <w:pPr>
              <w:pStyle w:val="Tabletext"/>
              <w:rPr>
                <w:iCs/>
              </w:rPr>
            </w:pPr>
          </w:p>
        </w:tc>
        <w:tc>
          <w:tcPr>
            <w:tcW w:w="567" w:type="dxa"/>
          </w:tcPr>
          <w:p w:rsidR="0017798F" w:rsidRPr="009D2A6D" w:rsidRDefault="0017798F" w:rsidP="003D337E">
            <w:pPr>
              <w:pStyle w:val="Tabletext"/>
              <w:jc w:val="center"/>
              <w:rPr>
                <w:iCs/>
              </w:rPr>
            </w:pPr>
            <w:r w:rsidRPr="009D2A6D">
              <w:rPr>
                <w:iCs/>
              </w:rPr>
              <w:t>$</w:t>
            </w:r>
          </w:p>
        </w:tc>
        <w:tc>
          <w:tcPr>
            <w:tcW w:w="1457" w:type="dxa"/>
          </w:tcPr>
          <w:p w:rsidR="0017798F" w:rsidRPr="009D2A6D" w:rsidRDefault="0017798F" w:rsidP="003D337E">
            <w:pPr>
              <w:pStyle w:val="Tabletext"/>
              <w:ind w:right="369"/>
              <w:jc w:val="right"/>
              <w:rPr>
                <w:iCs/>
              </w:rPr>
            </w:pPr>
            <w:r w:rsidRPr="009D2A6D">
              <w:rPr>
                <w:iCs/>
              </w:rPr>
              <w:t>19</w:t>
            </w:r>
            <w:r w:rsidR="003E480D" w:rsidRPr="009D2A6D">
              <w:rPr>
                <w:iCs/>
              </w:rPr>
              <w:t>,</w:t>
            </w:r>
            <w:r w:rsidRPr="009D2A6D">
              <w:rPr>
                <w:iCs/>
              </w:rPr>
              <w:t>206</w:t>
            </w:r>
          </w:p>
        </w:tc>
        <w:tc>
          <w:tcPr>
            <w:tcW w:w="1457" w:type="dxa"/>
          </w:tcPr>
          <w:p w:rsidR="0017798F" w:rsidRPr="009D2A6D" w:rsidRDefault="0017798F" w:rsidP="003D337E">
            <w:pPr>
              <w:pStyle w:val="Tabletext"/>
              <w:ind w:right="369"/>
              <w:jc w:val="right"/>
              <w:rPr>
                <w:iCs/>
              </w:rPr>
            </w:pPr>
            <w:r w:rsidRPr="009D2A6D">
              <w:rPr>
                <w:iCs/>
              </w:rPr>
              <w:t>5</w:t>
            </w:r>
            <w:r w:rsidR="003E480D" w:rsidRPr="009D2A6D">
              <w:rPr>
                <w:iCs/>
              </w:rPr>
              <w:t>,</w:t>
            </w:r>
            <w:r w:rsidRPr="009D2A6D">
              <w:rPr>
                <w:iCs/>
              </w:rPr>
              <w:t>398</w:t>
            </w:r>
          </w:p>
        </w:tc>
        <w:tc>
          <w:tcPr>
            <w:tcW w:w="1457" w:type="dxa"/>
          </w:tcPr>
          <w:p w:rsidR="0017798F" w:rsidRPr="009D2A6D" w:rsidRDefault="0017798F" w:rsidP="003D337E">
            <w:pPr>
              <w:pStyle w:val="Tabletext"/>
              <w:ind w:right="369"/>
              <w:jc w:val="right"/>
              <w:rPr>
                <w:iCs/>
              </w:rPr>
            </w:pPr>
            <w:r w:rsidRPr="009D2A6D">
              <w:rPr>
                <w:iCs/>
              </w:rPr>
              <w:t>33</w:t>
            </w:r>
            <w:r w:rsidR="003E480D" w:rsidRPr="009D2A6D">
              <w:rPr>
                <w:iCs/>
              </w:rPr>
              <w:t>,</w:t>
            </w:r>
            <w:r w:rsidRPr="009D2A6D">
              <w:rPr>
                <w:iCs/>
              </w:rPr>
              <w:t>593</w:t>
            </w:r>
          </w:p>
        </w:tc>
      </w:tr>
      <w:tr w:rsidR="007A6785" w:rsidRPr="009D2A6D" w:rsidTr="009D2A6D">
        <w:tc>
          <w:tcPr>
            <w:tcW w:w="3851" w:type="dxa"/>
          </w:tcPr>
          <w:p w:rsidR="007A6785" w:rsidRPr="009D2A6D" w:rsidRDefault="007A6785" w:rsidP="009D2A6D">
            <w:pPr>
              <w:pStyle w:val="Tabletext"/>
              <w:rPr>
                <w:iCs/>
              </w:rPr>
            </w:pPr>
            <w:r w:rsidRPr="009D2A6D">
              <w:rPr>
                <w:iCs/>
              </w:rPr>
              <w:t>Employed and looking for work (Base category)</w:t>
            </w:r>
          </w:p>
        </w:tc>
        <w:tc>
          <w:tcPr>
            <w:tcW w:w="567" w:type="dxa"/>
          </w:tcPr>
          <w:p w:rsidR="007A6785" w:rsidRPr="009D2A6D" w:rsidRDefault="007A6785" w:rsidP="003D337E">
            <w:pPr>
              <w:pStyle w:val="Tabletext"/>
              <w:jc w:val="center"/>
              <w:rPr>
                <w:iCs/>
              </w:rPr>
            </w:pPr>
          </w:p>
        </w:tc>
        <w:tc>
          <w:tcPr>
            <w:tcW w:w="1457" w:type="dxa"/>
          </w:tcPr>
          <w:p w:rsidR="007A6785" w:rsidRPr="009D2A6D" w:rsidRDefault="007A6785" w:rsidP="003D337E">
            <w:pPr>
              <w:pStyle w:val="Tabletext"/>
              <w:ind w:right="369"/>
              <w:jc w:val="right"/>
              <w:rPr>
                <w:iCs/>
              </w:rPr>
            </w:pPr>
          </w:p>
        </w:tc>
        <w:tc>
          <w:tcPr>
            <w:tcW w:w="1457" w:type="dxa"/>
          </w:tcPr>
          <w:p w:rsidR="007A6785" w:rsidRPr="009D2A6D" w:rsidRDefault="007A6785" w:rsidP="003D337E">
            <w:pPr>
              <w:pStyle w:val="Tabletext"/>
              <w:ind w:right="369"/>
              <w:jc w:val="right"/>
              <w:rPr>
                <w:iCs/>
              </w:rPr>
            </w:pPr>
          </w:p>
        </w:tc>
        <w:tc>
          <w:tcPr>
            <w:tcW w:w="1457" w:type="dxa"/>
          </w:tcPr>
          <w:p w:rsidR="007A6785" w:rsidRPr="009D2A6D" w:rsidRDefault="007A6785" w:rsidP="003D337E">
            <w:pPr>
              <w:pStyle w:val="Tabletext"/>
              <w:ind w:right="369"/>
              <w:jc w:val="right"/>
              <w:rPr>
                <w:iCs/>
              </w:rPr>
            </w:pPr>
          </w:p>
        </w:tc>
      </w:tr>
      <w:tr w:rsidR="000F5ED7" w:rsidRPr="009D2A6D" w:rsidTr="009D2A6D">
        <w:tc>
          <w:tcPr>
            <w:tcW w:w="3851" w:type="dxa"/>
          </w:tcPr>
          <w:p w:rsidR="000F5ED7" w:rsidRPr="009D2A6D" w:rsidRDefault="000F5ED7" w:rsidP="003D337E">
            <w:pPr>
              <w:pStyle w:val="Tabletext"/>
              <w:ind w:left="227"/>
              <w:rPr>
                <w:iCs/>
              </w:rPr>
            </w:pPr>
            <w:r w:rsidRPr="009D2A6D">
              <w:rPr>
                <w:iCs/>
              </w:rPr>
              <w:t>Unemployed</w:t>
            </w:r>
          </w:p>
        </w:tc>
        <w:tc>
          <w:tcPr>
            <w:tcW w:w="567" w:type="dxa"/>
          </w:tcPr>
          <w:p w:rsidR="000F5ED7" w:rsidRPr="009D2A6D" w:rsidRDefault="000F5ED7" w:rsidP="003D337E">
            <w:pPr>
              <w:pStyle w:val="Tabletext"/>
              <w:jc w:val="center"/>
              <w:rPr>
                <w:iCs/>
              </w:rPr>
            </w:pPr>
            <w:r w:rsidRPr="009D2A6D">
              <w:rPr>
                <w:iCs/>
              </w:rPr>
              <w:t>%</w:t>
            </w:r>
          </w:p>
        </w:tc>
        <w:tc>
          <w:tcPr>
            <w:tcW w:w="1457" w:type="dxa"/>
          </w:tcPr>
          <w:p w:rsidR="000F5ED7" w:rsidRPr="009D2A6D" w:rsidRDefault="000F5ED7" w:rsidP="003D337E">
            <w:pPr>
              <w:pStyle w:val="Tabletext"/>
              <w:ind w:right="369"/>
              <w:jc w:val="right"/>
              <w:rPr>
                <w:iCs/>
              </w:rPr>
            </w:pPr>
            <w:r w:rsidRPr="009D2A6D">
              <w:rPr>
                <w:iCs/>
              </w:rPr>
              <w:t>97.0</w:t>
            </w:r>
          </w:p>
        </w:tc>
        <w:tc>
          <w:tcPr>
            <w:tcW w:w="1457" w:type="dxa"/>
          </w:tcPr>
          <w:p w:rsidR="000F5ED7" w:rsidRPr="009D2A6D" w:rsidRDefault="000F5ED7" w:rsidP="003D337E">
            <w:pPr>
              <w:pStyle w:val="Tabletext"/>
              <w:ind w:right="369"/>
              <w:jc w:val="right"/>
              <w:rPr>
                <w:iCs/>
              </w:rPr>
            </w:pPr>
            <w:r w:rsidRPr="009D2A6D">
              <w:rPr>
                <w:iCs/>
              </w:rPr>
              <w:t>60.4</w:t>
            </w:r>
          </w:p>
        </w:tc>
        <w:tc>
          <w:tcPr>
            <w:tcW w:w="1457" w:type="dxa"/>
          </w:tcPr>
          <w:p w:rsidR="000F5ED7" w:rsidRPr="009D2A6D" w:rsidRDefault="000F5ED7" w:rsidP="003D337E">
            <w:pPr>
              <w:pStyle w:val="Tabletext"/>
              <w:ind w:right="369"/>
              <w:jc w:val="right"/>
              <w:rPr>
                <w:iCs/>
              </w:rPr>
            </w:pPr>
            <w:r w:rsidRPr="009D2A6D">
              <w:rPr>
                <w:iCs/>
              </w:rPr>
              <w:t>139.6</w:t>
            </w:r>
          </w:p>
        </w:tc>
      </w:tr>
      <w:tr w:rsidR="000F5ED7" w:rsidRPr="009D2A6D" w:rsidTr="009D2A6D">
        <w:tc>
          <w:tcPr>
            <w:tcW w:w="3851" w:type="dxa"/>
          </w:tcPr>
          <w:p w:rsidR="000F5ED7" w:rsidRPr="009D2A6D" w:rsidRDefault="000F5ED7" w:rsidP="003D337E">
            <w:pPr>
              <w:pStyle w:val="Tabletext"/>
              <w:ind w:left="227"/>
              <w:rPr>
                <w:iCs/>
              </w:rPr>
            </w:pPr>
          </w:p>
        </w:tc>
        <w:tc>
          <w:tcPr>
            <w:tcW w:w="567" w:type="dxa"/>
          </w:tcPr>
          <w:p w:rsidR="000F5ED7" w:rsidRPr="009D2A6D" w:rsidRDefault="000F5ED7" w:rsidP="003D337E">
            <w:pPr>
              <w:pStyle w:val="Tabletext"/>
              <w:jc w:val="center"/>
              <w:rPr>
                <w:iCs/>
              </w:rPr>
            </w:pPr>
            <w:r w:rsidRPr="009D2A6D">
              <w:rPr>
                <w:iCs/>
              </w:rPr>
              <w:t>$</w:t>
            </w:r>
          </w:p>
        </w:tc>
        <w:tc>
          <w:tcPr>
            <w:tcW w:w="1457" w:type="dxa"/>
          </w:tcPr>
          <w:p w:rsidR="000F5ED7" w:rsidRPr="009D2A6D" w:rsidRDefault="000F5ED7" w:rsidP="003D337E">
            <w:pPr>
              <w:pStyle w:val="Tabletext"/>
              <w:ind w:right="369"/>
              <w:jc w:val="right"/>
              <w:rPr>
                <w:iCs/>
              </w:rPr>
            </w:pPr>
            <w:r w:rsidRPr="009D2A6D">
              <w:rPr>
                <w:iCs/>
              </w:rPr>
              <w:t>72,148</w:t>
            </w:r>
          </w:p>
        </w:tc>
        <w:tc>
          <w:tcPr>
            <w:tcW w:w="1457" w:type="dxa"/>
          </w:tcPr>
          <w:p w:rsidR="000F5ED7" w:rsidRPr="009D2A6D" w:rsidRDefault="000F5ED7" w:rsidP="003D337E">
            <w:pPr>
              <w:pStyle w:val="Tabletext"/>
              <w:ind w:right="369"/>
              <w:jc w:val="right"/>
              <w:rPr>
                <w:iCs/>
              </w:rPr>
            </w:pPr>
            <w:r w:rsidRPr="009D2A6D">
              <w:rPr>
                <w:iCs/>
              </w:rPr>
              <w:t>44,942</w:t>
            </w:r>
          </w:p>
        </w:tc>
        <w:tc>
          <w:tcPr>
            <w:tcW w:w="1457" w:type="dxa"/>
          </w:tcPr>
          <w:p w:rsidR="000F5ED7" w:rsidRPr="009D2A6D" w:rsidRDefault="000F5ED7" w:rsidP="003D337E">
            <w:pPr>
              <w:pStyle w:val="Tabletext"/>
              <w:ind w:right="369"/>
              <w:jc w:val="right"/>
              <w:rPr>
                <w:iCs/>
              </w:rPr>
            </w:pPr>
            <w:r w:rsidRPr="009D2A6D">
              <w:rPr>
                <w:iCs/>
              </w:rPr>
              <w:t>103,844</w:t>
            </w:r>
          </w:p>
        </w:tc>
      </w:tr>
      <w:tr w:rsidR="000F5ED7" w:rsidRPr="009D2A6D" w:rsidTr="009D2A6D">
        <w:tc>
          <w:tcPr>
            <w:tcW w:w="3851" w:type="dxa"/>
          </w:tcPr>
          <w:p w:rsidR="000F5ED7" w:rsidRPr="009D2A6D" w:rsidRDefault="000F5ED7" w:rsidP="003D337E">
            <w:pPr>
              <w:pStyle w:val="Tabletext"/>
              <w:ind w:left="227"/>
              <w:rPr>
                <w:iCs/>
              </w:rPr>
            </w:pPr>
            <w:r w:rsidRPr="009D2A6D">
              <w:rPr>
                <w:iCs/>
              </w:rPr>
              <w:t>Employed, looking for work</w:t>
            </w:r>
          </w:p>
        </w:tc>
        <w:tc>
          <w:tcPr>
            <w:tcW w:w="567" w:type="dxa"/>
          </w:tcPr>
          <w:p w:rsidR="000F5ED7" w:rsidRPr="009D2A6D" w:rsidRDefault="000F5ED7" w:rsidP="003D337E">
            <w:pPr>
              <w:pStyle w:val="Tabletext"/>
              <w:jc w:val="center"/>
              <w:rPr>
                <w:iCs/>
              </w:rPr>
            </w:pPr>
            <w:r w:rsidRPr="009D2A6D">
              <w:rPr>
                <w:iCs/>
              </w:rPr>
              <w:t>%</w:t>
            </w:r>
          </w:p>
        </w:tc>
        <w:tc>
          <w:tcPr>
            <w:tcW w:w="1457" w:type="dxa"/>
          </w:tcPr>
          <w:p w:rsidR="000F5ED7" w:rsidRPr="009D2A6D" w:rsidRDefault="000F5ED7" w:rsidP="003D337E">
            <w:pPr>
              <w:pStyle w:val="Tabletext"/>
              <w:ind w:right="369"/>
              <w:jc w:val="right"/>
              <w:rPr>
                <w:iCs/>
              </w:rPr>
            </w:pPr>
            <w:r w:rsidRPr="009D2A6D">
              <w:rPr>
                <w:iCs/>
              </w:rPr>
              <w:t>81.7</w:t>
            </w:r>
          </w:p>
        </w:tc>
        <w:tc>
          <w:tcPr>
            <w:tcW w:w="1457" w:type="dxa"/>
          </w:tcPr>
          <w:p w:rsidR="000F5ED7" w:rsidRPr="009D2A6D" w:rsidRDefault="000F5ED7" w:rsidP="003D337E">
            <w:pPr>
              <w:pStyle w:val="Tabletext"/>
              <w:ind w:right="369"/>
              <w:jc w:val="right"/>
              <w:rPr>
                <w:iCs/>
              </w:rPr>
            </w:pPr>
            <w:r w:rsidRPr="009D2A6D">
              <w:rPr>
                <w:iCs/>
              </w:rPr>
              <w:t>61.5</w:t>
            </w:r>
          </w:p>
        </w:tc>
        <w:tc>
          <w:tcPr>
            <w:tcW w:w="1457" w:type="dxa"/>
          </w:tcPr>
          <w:p w:rsidR="000F5ED7" w:rsidRPr="009D2A6D" w:rsidRDefault="000F5ED7" w:rsidP="003D337E">
            <w:pPr>
              <w:pStyle w:val="Tabletext"/>
              <w:ind w:right="369"/>
              <w:jc w:val="right"/>
              <w:rPr>
                <w:iCs/>
              </w:rPr>
            </w:pPr>
            <w:r w:rsidRPr="009D2A6D">
              <w:rPr>
                <w:iCs/>
              </w:rPr>
              <w:t>104.0</w:t>
            </w:r>
          </w:p>
        </w:tc>
      </w:tr>
      <w:tr w:rsidR="000F5ED7" w:rsidRPr="009D2A6D" w:rsidTr="009D2A6D">
        <w:tc>
          <w:tcPr>
            <w:tcW w:w="3851" w:type="dxa"/>
          </w:tcPr>
          <w:p w:rsidR="000F5ED7" w:rsidRPr="009D2A6D" w:rsidRDefault="000F5ED7" w:rsidP="009D2A6D">
            <w:pPr>
              <w:pStyle w:val="Tabletext"/>
              <w:rPr>
                <w:iCs/>
              </w:rPr>
            </w:pPr>
          </w:p>
        </w:tc>
        <w:tc>
          <w:tcPr>
            <w:tcW w:w="567" w:type="dxa"/>
          </w:tcPr>
          <w:p w:rsidR="000F5ED7" w:rsidRPr="009D2A6D" w:rsidRDefault="000F5ED7" w:rsidP="003D337E">
            <w:pPr>
              <w:pStyle w:val="Tabletext"/>
              <w:jc w:val="center"/>
              <w:rPr>
                <w:iCs/>
              </w:rPr>
            </w:pPr>
            <w:r w:rsidRPr="009D2A6D">
              <w:rPr>
                <w:iCs/>
              </w:rPr>
              <w:t>$</w:t>
            </w:r>
          </w:p>
        </w:tc>
        <w:tc>
          <w:tcPr>
            <w:tcW w:w="1457" w:type="dxa"/>
          </w:tcPr>
          <w:p w:rsidR="000F5ED7" w:rsidRPr="009D2A6D" w:rsidRDefault="000F5ED7" w:rsidP="003D337E">
            <w:pPr>
              <w:pStyle w:val="Tabletext"/>
              <w:ind w:right="369"/>
              <w:jc w:val="right"/>
              <w:rPr>
                <w:iCs/>
              </w:rPr>
            </w:pPr>
            <w:r w:rsidRPr="009D2A6D">
              <w:rPr>
                <w:iCs/>
              </w:rPr>
              <w:t>60,760</w:t>
            </w:r>
          </w:p>
        </w:tc>
        <w:tc>
          <w:tcPr>
            <w:tcW w:w="1457" w:type="dxa"/>
          </w:tcPr>
          <w:p w:rsidR="000F5ED7" w:rsidRPr="009D2A6D" w:rsidRDefault="000F5ED7" w:rsidP="003D337E">
            <w:pPr>
              <w:pStyle w:val="Tabletext"/>
              <w:ind w:right="369"/>
              <w:jc w:val="right"/>
              <w:rPr>
                <w:iCs/>
              </w:rPr>
            </w:pPr>
            <w:r w:rsidRPr="009D2A6D">
              <w:rPr>
                <w:iCs/>
              </w:rPr>
              <w:t>45,713</w:t>
            </w:r>
          </w:p>
        </w:tc>
        <w:tc>
          <w:tcPr>
            <w:tcW w:w="1457" w:type="dxa"/>
          </w:tcPr>
          <w:p w:rsidR="000F5ED7" w:rsidRPr="009D2A6D" w:rsidRDefault="000F5ED7" w:rsidP="003D337E">
            <w:pPr>
              <w:pStyle w:val="Tabletext"/>
              <w:ind w:right="369"/>
              <w:jc w:val="right"/>
              <w:rPr>
                <w:iCs/>
              </w:rPr>
            </w:pPr>
            <w:r w:rsidRPr="009D2A6D">
              <w:rPr>
                <w:iCs/>
              </w:rPr>
              <w:t>77,338</w:t>
            </w:r>
          </w:p>
        </w:tc>
      </w:tr>
      <w:tr w:rsidR="000F5ED7" w:rsidRPr="009D2A6D" w:rsidTr="009D2A6D">
        <w:tc>
          <w:tcPr>
            <w:tcW w:w="3851" w:type="dxa"/>
          </w:tcPr>
          <w:p w:rsidR="000F5ED7" w:rsidRPr="009D2A6D" w:rsidRDefault="000F5ED7" w:rsidP="009D2A6D">
            <w:pPr>
              <w:pStyle w:val="Tabletext"/>
              <w:rPr>
                <w:iCs/>
              </w:rPr>
            </w:pPr>
            <w:r w:rsidRPr="009D2A6D">
              <w:rPr>
                <w:iCs/>
              </w:rPr>
              <w:t>Currently studying</w:t>
            </w:r>
          </w:p>
        </w:tc>
        <w:tc>
          <w:tcPr>
            <w:tcW w:w="567" w:type="dxa"/>
          </w:tcPr>
          <w:p w:rsidR="000F5ED7" w:rsidRPr="009D2A6D" w:rsidRDefault="000F5ED7" w:rsidP="003D337E">
            <w:pPr>
              <w:pStyle w:val="Tabletext"/>
              <w:jc w:val="center"/>
              <w:rPr>
                <w:iCs/>
              </w:rPr>
            </w:pPr>
            <w:r w:rsidRPr="009D2A6D">
              <w:rPr>
                <w:iCs/>
              </w:rPr>
              <w:t>%</w:t>
            </w:r>
          </w:p>
        </w:tc>
        <w:tc>
          <w:tcPr>
            <w:tcW w:w="1457" w:type="dxa"/>
          </w:tcPr>
          <w:p w:rsidR="000F5ED7" w:rsidRPr="009D2A6D" w:rsidRDefault="000F5ED7" w:rsidP="003D337E">
            <w:pPr>
              <w:pStyle w:val="Tabletext"/>
              <w:ind w:right="369"/>
              <w:jc w:val="right"/>
              <w:rPr>
                <w:iCs/>
              </w:rPr>
            </w:pPr>
            <w:r w:rsidRPr="009D2A6D">
              <w:rPr>
                <w:iCs/>
              </w:rPr>
              <w:t>34.0</w:t>
            </w:r>
          </w:p>
        </w:tc>
        <w:tc>
          <w:tcPr>
            <w:tcW w:w="1457" w:type="dxa"/>
          </w:tcPr>
          <w:p w:rsidR="000F5ED7" w:rsidRPr="009D2A6D" w:rsidRDefault="000F5ED7" w:rsidP="003D337E">
            <w:pPr>
              <w:pStyle w:val="Tabletext"/>
              <w:ind w:right="369"/>
              <w:jc w:val="right"/>
              <w:rPr>
                <w:iCs/>
              </w:rPr>
            </w:pPr>
            <w:r w:rsidRPr="009D2A6D">
              <w:rPr>
                <w:iCs/>
              </w:rPr>
              <w:t>7.6</w:t>
            </w:r>
          </w:p>
        </w:tc>
        <w:tc>
          <w:tcPr>
            <w:tcW w:w="1457" w:type="dxa"/>
          </w:tcPr>
          <w:p w:rsidR="000F5ED7" w:rsidRPr="009D2A6D" w:rsidRDefault="000F5ED7" w:rsidP="003D337E">
            <w:pPr>
              <w:pStyle w:val="Tabletext"/>
              <w:ind w:right="369"/>
              <w:jc w:val="right"/>
              <w:rPr>
                <w:iCs/>
              </w:rPr>
            </w:pPr>
            <w:r w:rsidRPr="009D2A6D">
              <w:rPr>
                <w:iCs/>
              </w:rPr>
              <w:t>58.4</w:t>
            </w:r>
          </w:p>
        </w:tc>
      </w:tr>
      <w:tr w:rsidR="000F5ED7" w:rsidRPr="009D2A6D" w:rsidTr="009D2A6D">
        <w:tc>
          <w:tcPr>
            <w:tcW w:w="3851" w:type="dxa"/>
          </w:tcPr>
          <w:p w:rsidR="000F5ED7" w:rsidRPr="009D2A6D" w:rsidRDefault="000F5ED7" w:rsidP="009D2A6D">
            <w:pPr>
              <w:pStyle w:val="Tabletext"/>
              <w:rPr>
                <w:iCs/>
              </w:rPr>
            </w:pPr>
          </w:p>
        </w:tc>
        <w:tc>
          <w:tcPr>
            <w:tcW w:w="567" w:type="dxa"/>
          </w:tcPr>
          <w:p w:rsidR="000F5ED7" w:rsidRPr="009D2A6D" w:rsidRDefault="000F5ED7" w:rsidP="003D337E">
            <w:pPr>
              <w:pStyle w:val="Tabletext"/>
              <w:jc w:val="center"/>
              <w:rPr>
                <w:iCs/>
              </w:rPr>
            </w:pPr>
            <w:r w:rsidRPr="009D2A6D">
              <w:rPr>
                <w:iCs/>
              </w:rPr>
              <w:t>$</w:t>
            </w:r>
          </w:p>
        </w:tc>
        <w:tc>
          <w:tcPr>
            <w:tcW w:w="1457" w:type="dxa"/>
          </w:tcPr>
          <w:p w:rsidR="000F5ED7" w:rsidRPr="009D2A6D" w:rsidRDefault="000F5ED7" w:rsidP="003D337E">
            <w:pPr>
              <w:pStyle w:val="Tabletext"/>
              <w:ind w:right="369"/>
              <w:jc w:val="right"/>
              <w:rPr>
                <w:iCs/>
              </w:rPr>
            </w:pPr>
            <w:r w:rsidRPr="009D2A6D">
              <w:rPr>
                <w:iCs/>
              </w:rPr>
              <w:t>25,736</w:t>
            </w:r>
          </w:p>
        </w:tc>
        <w:tc>
          <w:tcPr>
            <w:tcW w:w="1457" w:type="dxa"/>
          </w:tcPr>
          <w:p w:rsidR="000F5ED7" w:rsidRPr="009D2A6D" w:rsidRDefault="000F5ED7" w:rsidP="003D337E">
            <w:pPr>
              <w:pStyle w:val="Tabletext"/>
              <w:ind w:right="369"/>
              <w:jc w:val="right"/>
              <w:rPr>
                <w:iCs/>
              </w:rPr>
            </w:pPr>
            <w:r w:rsidRPr="009D2A6D">
              <w:rPr>
                <w:iCs/>
              </w:rPr>
              <w:t>5,642</w:t>
            </w:r>
          </w:p>
        </w:tc>
        <w:tc>
          <w:tcPr>
            <w:tcW w:w="1457" w:type="dxa"/>
          </w:tcPr>
          <w:p w:rsidR="000F5ED7" w:rsidRPr="009D2A6D" w:rsidRDefault="000F5ED7" w:rsidP="003D337E">
            <w:pPr>
              <w:pStyle w:val="Tabletext"/>
              <w:ind w:right="369"/>
              <w:jc w:val="right"/>
              <w:rPr>
                <w:iCs/>
              </w:rPr>
            </w:pPr>
            <w:r w:rsidRPr="009D2A6D">
              <w:rPr>
                <w:iCs/>
              </w:rPr>
              <w:t>43,439</w:t>
            </w:r>
          </w:p>
        </w:tc>
      </w:tr>
      <w:tr w:rsidR="000F5ED7" w:rsidRPr="009D2A6D" w:rsidTr="009D2A6D">
        <w:tc>
          <w:tcPr>
            <w:tcW w:w="3851" w:type="dxa"/>
          </w:tcPr>
          <w:p w:rsidR="000F5ED7" w:rsidRPr="009D2A6D" w:rsidRDefault="000F5ED7" w:rsidP="009D2A6D">
            <w:pPr>
              <w:pStyle w:val="Tabletext"/>
              <w:rPr>
                <w:iCs/>
              </w:rPr>
            </w:pPr>
            <w:r w:rsidRPr="009D2A6D">
              <w:rPr>
                <w:iCs/>
              </w:rPr>
              <w:t>Own house</w:t>
            </w:r>
          </w:p>
        </w:tc>
        <w:tc>
          <w:tcPr>
            <w:tcW w:w="567" w:type="dxa"/>
          </w:tcPr>
          <w:p w:rsidR="000F5ED7" w:rsidRPr="009D2A6D" w:rsidRDefault="000F5ED7" w:rsidP="003D337E">
            <w:pPr>
              <w:pStyle w:val="Tabletext"/>
              <w:jc w:val="center"/>
              <w:rPr>
                <w:iCs/>
              </w:rPr>
            </w:pPr>
            <w:r w:rsidRPr="009D2A6D">
              <w:rPr>
                <w:iCs/>
              </w:rPr>
              <w:t>%</w:t>
            </w:r>
          </w:p>
        </w:tc>
        <w:tc>
          <w:tcPr>
            <w:tcW w:w="1457" w:type="dxa"/>
          </w:tcPr>
          <w:p w:rsidR="000F5ED7" w:rsidRPr="009D2A6D" w:rsidRDefault="000F5ED7" w:rsidP="003D337E">
            <w:pPr>
              <w:pStyle w:val="Tabletext"/>
              <w:ind w:right="369"/>
              <w:jc w:val="right"/>
              <w:rPr>
                <w:iCs/>
              </w:rPr>
            </w:pPr>
            <w:r w:rsidRPr="009D2A6D">
              <w:rPr>
                <w:iCs/>
              </w:rPr>
              <w:t>-34.4</w:t>
            </w:r>
          </w:p>
        </w:tc>
        <w:tc>
          <w:tcPr>
            <w:tcW w:w="1457" w:type="dxa"/>
          </w:tcPr>
          <w:p w:rsidR="000F5ED7" w:rsidRPr="009D2A6D" w:rsidRDefault="000F5ED7" w:rsidP="003D337E">
            <w:pPr>
              <w:pStyle w:val="Tabletext"/>
              <w:ind w:right="369"/>
              <w:jc w:val="right"/>
              <w:rPr>
                <w:iCs/>
              </w:rPr>
            </w:pPr>
            <w:r w:rsidRPr="009D2A6D">
              <w:rPr>
                <w:iCs/>
              </w:rPr>
              <w:t>-54.7</w:t>
            </w:r>
          </w:p>
        </w:tc>
        <w:tc>
          <w:tcPr>
            <w:tcW w:w="1457" w:type="dxa"/>
          </w:tcPr>
          <w:p w:rsidR="000F5ED7" w:rsidRPr="009D2A6D" w:rsidRDefault="000F5ED7" w:rsidP="003D337E">
            <w:pPr>
              <w:pStyle w:val="Tabletext"/>
              <w:ind w:right="369"/>
              <w:jc w:val="right"/>
              <w:rPr>
                <w:iCs/>
              </w:rPr>
            </w:pPr>
            <w:r w:rsidRPr="009D2A6D">
              <w:rPr>
                <w:iCs/>
              </w:rPr>
              <w:t>-13.4</w:t>
            </w:r>
          </w:p>
        </w:tc>
      </w:tr>
      <w:tr w:rsidR="000F5ED7" w:rsidRPr="009D2A6D" w:rsidTr="009D2A6D">
        <w:tc>
          <w:tcPr>
            <w:tcW w:w="3851" w:type="dxa"/>
          </w:tcPr>
          <w:p w:rsidR="000F5ED7" w:rsidRPr="009D2A6D" w:rsidRDefault="000F5ED7" w:rsidP="009D2A6D">
            <w:pPr>
              <w:pStyle w:val="Tabletext"/>
              <w:rPr>
                <w:iCs/>
              </w:rPr>
            </w:pPr>
          </w:p>
        </w:tc>
        <w:tc>
          <w:tcPr>
            <w:tcW w:w="567" w:type="dxa"/>
          </w:tcPr>
          <w:p w:rsidR="000F5ED7" w:rsidRPr="009D2A6D" w:rsidRDefault="000F5ED7" w:rsidP="003D337E">
            <w:pPr>
              <w:pStyle w:val="Tabletext"/>
              <w:jc w:val="center"/>
              <w:rPr>
                <w:iCs/>
              </w:rPr>
            </w:pPr>
            <w:r w:rsidRPr="009D2A6D">
              <w:rPr>
                <w:iCs/>
              </w:rPr>
              <w:t>$</w:t>
            </w:r>
          </w:p>
        </w:tc>
        <w:tc>
          <w:tcPr>
            <w:tcW w:w="1457" w:type="dxa"/>
          </w:tcPr>
          <w:p w:rsidR="000F5ED7" w:rsidRPr="009D2A6D" w:rsidRDefault="000F5ED7" w:rsidP="003D337E">
            <w:pPr>
              <w:pStyle w:val="Tabletext"/>
              <w:ind w:right="369"/>
              <w:jc w:val="right"/>
              <w:rPr>
                <w:iCs/>
              </w:rPr>
            </w:pPr>
            <w:r w:rsidRPr="009D2A6D">
              <w:rPr>
                <w:iCs/>
              </w:rPr>
              <w:t>-25,552</w:t>
            </w:r>
          </w:p>
        </w:tc>
        <w:tc>
          <w:tcPr>
            <w:tcW w:w="1457" w:type="dxa"/>
          </w:tcPr>
          <w:p w:rsidR="000F5ED7" w:rsidRPr="009D2A6D" w:rsidRDefault="000F5ED7" w:rsidP="003D337E">
            <w:pPr>
              <w:pStyle w:val="Tabletext"/>
              <w:ind w:right="369"/>
              <w:jc w:val="right"/>
              <w:rPr>
                <w:iCs/>
              </w:rPr>
            </w:pPr>
            <w:r w:rsidRPr="009D2A6D">
              <w:rPr>
                <w:iCs/>
              </w:rPr>
              <w:t>-40,687</w:t>
            </w:r>
          </w:p>
        </w:tc>
        <w:tc>
          <w:tcPr>
            <w:tcW w:w="1457" w:type="dxa"/>
          </w:tcPr>
          <w:p w:rsidR="000F5ED7" w:rsidRPr="009D2A6D" w:rsidRDefault="000F5ED7" w:rsidP="003D337E">
            <w:pPr>
              <w:pStyle w:val="Tabletext"/>
              <w:ind w:right="369"/>
              <w:jc w:val="right"/>
              <w:rPr>
                <w:iCs/>
              </w:rPr>
            </w:pPr>
            <w:r w:rsidRPr="009D2A6D">
              <w:rPr>
                <w:iCs/>
              </w:rPr>
              <w:t>-9,949</w:t>
            </w:r>
          </w:p>
        </w:tc>
      </w:tr>
      <w:tr w:rsidR="000F5ED7" w:rsidRPr="009D2A6D" w:rsidTr="009D2A6D">
        <w:tc>
          <w:tcPr>
            <w:tcW w:w="3851" w:type="dxa"/>
          </w:tcPr>
          <w:p w:rsidR="000F5ED7" w:rsidRPr="009D2A6D" w:rsidRDefault="000F5ED7" w:rsidP="009D2A6D">
            <w:pPr>
              <w:pStyle w:val="Tabletext"/>
              <w:rPr>
                <w:iCs/>
              </w:rPr>
            </w:pPr>
            <w:r w:rsidRPr="009D2A6D">
              <w:rPr>
                <w:iCs/>
              </w:rPr>
              <w:t>Have been to destination*</w:t>
            </w:r>
          </w:p>
        </w:tc>
        <w:tc>
          <w:tcPr>
            <w:tcW w:w="567" w:type="dxa"/>
          </w:tcPr>
          <w:p w:rsidR="000F5ED7" w:rsidRPr="009D2A6D" w:rsidRDefault="000F5ED7" w:rsidP="003D337E">
            <w:pPr>
              <w:pStyle w:val="Tabletext"/>
              <w:jc w:val="center"/>
              <w:rPr>
                <w:iCs/>
              </w:rPr>
            </w:pPr>
            <w:r w:rsidRPr="009D2A6D">
              <w:rPr>
                <w:iCs/>
              </w:rPr>
              <w:t>%</w:t>
            </w:r>
          </w:p>
        </w:tc>
        <w:tc>
          <w:tcPr>
            <w:tcW w:w="1457" w:type="dxa"/>
          </w:tcPr>
          <w:p w:rsidR="000F5ED7" w:rsidRPr="009D2A6D" w:rsidRDefault="000F5ED7" w:rsidP="003D337E">
            <w:pPr>
              <w:pStyle w:val="Tabletext"/>
              <w:ind w:right="369"/>
              <w:jc w:val="right"/>
              <w:rPr>
                <w:iCs/>
              </w:rPr>
            </w:pPr>
            <w:r w:rsidRPr="009D2A6D">
              <w:rPr>
                <w:iCs/>
              </w:rPr>
              <w:t>25.0</w:t>
            </w:r>
          </w:p>
        </w:tc>
        <w:tc>
          <w:tcPr>
            <w:tcW w:w="1457" w:type="dxa"/>
          </w:tcPr>
          <w:p w:rsidR="000F5ED7" w:rsidRPr="009D2A6D" w:rsidRDefault="000F5ED7" w:rsidP="003D337E">
            <w:pPr>
              <w:pStyle w:val="Tabletext"/>
              <w:ind w:right="369"/>
              <w:jc w:val="right"/>
              <w:rPr>
                <w:iCs/>
              </w:rPr>
            </w:pPr>
            <w:r w:rsidRPr="009D2A6D">
              <w:rPr>
                <w:iCs/>
              </w:rPr>
              <w:t>-15.7</w:t>
            </w:r>
          </w:p>
        </w:tc>
        <w:tc>
          <w:tcPr>
            <w:tcW w:w="1457" w:type="dxa"/>
          </w:tcPr>
          <w:p w:rsidR="000F5ED7" w:rsidRPr="009D2A6D" w:rsidRDefault="000F5ED7" w:rsidP="003D337E">
            <w:pPr>
              <w:pStyle w:val="Tabletext"/>
              <w:ind w:right="369"/>
              <w:jc w:val="right"/>
              <w:rPr>
                <w:iCs/>
              </w:rPr>
            </w:pPr>
            <w:r w:rsidRPr="009D2A6D">
              <w:rPr>
                <w:iCs/>
              </w:rPr>
              <w:t>63.0</w:t>
            </w:r>
          </w:p>
        </w:tc>
      </w:tr>
      <w:tr w:rsidR="000F5ED7" w:rsidRPr="009D2A6D" w:rsidTr="009D2A6D">
        <w:tc>
          <w:tcPr>
            <w:tcW w:w="3851" w:type="dxa"/>
          </w:tcPr>
          <w:p w:rsidR="000F5ED7" w:rsidRPr="009D2A6D" w:rsidRDefault="000F5ED7" w:rsidP="009D2A6D">
            <w:pPr>
              <w:pStyle w:val="Tabletext"/>
              <w:rPr>
                <w:iCs/>
              </w:rPr>
            </w:pPr>
          </w:p>
        </w:tc>
        <w:tc>
          <w:tcPr>
            <w:tcW w:w="567" w:type="dxa"/>
          </w:tcPr>
          <w:p w:rsidR="000F5ED7" w:rsidRPr="009D2A6D" w:rsidRDefault="000F5ED7" w:rsidP="003D337E">
            <w:pPr>
              <w:pStyle w:val="Tabletext"/>
              <w:jc w:val="center"/>
              <w:rPr>
                <w:iCs/>
              </w:rPr>
            </w:pPr>
            <w:r w:rsidRPr="009D2A6D">
              <w:rPr>
                <w:iCs/>
              </w:rPr>
              <w:t>$</w:t>
            </w:r>
          </w:p>
        </w:tc>
        <w:tc>
          <w:tcPr>
            <w:tcW w:w="1457" w:type="dxa"/>
          </w:tcPr>
          <w:p w:rsidR="000F5ED7" w:rsidRPr="009D2A6D" w:rsidRDefault="000F5ED7" w:rsidP="003D337E">
            <w:pPr>
              <w:pStyle w:val="Tabletext"/>
              <w:ind w:right="369"/>
              <w:jc w:val="right"/>
              <w:rPr>
                <w:iCs/>
              </w:rPr>
            </w:pPr>
            <w:r w:rsidRPr="009D2A6D">
              <w:rPr>
                <w:iCs/>
              </w:rPr>
              <w:t>18,595</w:t>
            </w:r>
          </w:p>
        </w:tc>
        <w:tc>
          <w:tcPr>
            <w:tcW w:w="1457" w:type="dxa"/>
          </w:tcPr>
          <w:p w:rsidR="000F5ED7" w:rsidRPr="009D2A6D" w:rsidRDefault="000F5ED7" w:rsidP="003D337E">
            <w:pPr>
              <w:pStyle w:val="Tabletext"/>
              <w:ind w:right="369"/>
              <w:jc w:val="right"/>
              <w:rPr>
                <w:iCs/>
              </w:rPr>
            </w:pPr>
            <w:r w:rsidRPr="009D2A6D">
              <w:rPr>
                <w:iCs/>
              </w:rPr>
              <w:t>-11,699</w:t>
            </w:r>
          </w:p>
        </w:tc>
        <w:tc>
          <w:tcPr>
            <w:tcW w:w="1457" w:type="dxa"/>
          </w:tcPr>
          <w:p w:rsidR="000F5ED7" w:rsidRPr="009D2A6D" w:rsidRDefault="000F5ED7" w:rsidP="003D337E">
            <w:pPr>
              <w:pStyle w:val="Tabletext"/>
              <w:ind w:right="369"/>
              <w:jc w:val="right"/>
              <w:rPr>
                <w:iCs/>
              </w:rPr>
            </w:pPr>
            <w:r w:rsidRPr="009D2A6D">
              <w:rPr>
                <w:iCs/>
              </w:rPr>
              <w:t>46,856</w:t>
            </w:r>
          </w:p>
        </w:tc>
      </w:tr>
      <w:tr w:rsidR="000F5ED7" w:rsidRPr="009D2A6D" w:rsidTr="009D2A6D">
        <w:tc>
          <w:tcPr>
            <w:tcW w:w="3851" w:type="dxa"/>
          </w:tcPr>
          <w:p w:rsidR="000F5ED7" w:rsidRPr="009D2A6D" w:rsidRDefault="000F5ED7" w:rsidP="009D2A6D">
            <w:pPr>
              <w:pStyle w:val="Tabletext"/>
              <w:rPr>
                <w:iCs/>
              </w:rPr>
            </w:pPr>
            <w:r w:rsidRPr="009D2A6D">
              <w:rPr>
                <w:iCs/>
              </w:rPr>
              <w:t>Know people living in destination</w:t>
            </w:r>
          </w:p>
        </w:tc>
        <w:tc>
          <w:tcPr>
            <w:tcW w:w="567" w:type="dxa"/>
          </w:tcPr>
          <w:p w:rsidR="000F5ED7" w:rsidRPr="009D2A6D" w:rsidRDefault="000F5ED7" w:rsidP="003D337E">
            <w:pPr>
              <w:pStyle w:val="Tabletext"/>
              <w:jc w:val="center"/>
              <w:rPr>
                <w:iCs/>
              </w:rPr>
            </w:pPr>
            <w:r w:rsidRPr="009D2A6D">
              <w:rPr>
                <w:iCs/>
              </w:rPr>
              <w:t>%</w:t>
            </w:r>
          </w:p>
        </w:tc>
        <w:tc>
          <w:tcPr>
            <w:tcW w:w="1457" w:type="dxa"/>
          </w:tcPr>
          <w:p w:rsidR="000F5ED7" w:rsidRPr="009D2A6D" w:rsidRDefault="000F5ED7" w:rsidP="003D337E">
            <w:pPr>
              <w:pStyle w:val="Tabletext"/>
              <w:ind w:right="369"/>
              <w:jc w:val="right"/>
              <w:rPr>
                <w:iCs/>
              </w:rPr>
            </w:pPr>
            <w:r w:rsidRPr="009D2A6D">
              <w:rPr>
                <w:iCs/>
              </w:rPr>
              <w:t>59.0</w:t>
            </w:r>
          </w:p>
        </w:tc>
        <w:tc>
          <w:tcPr>
            <w:tcW w:w="1457" w:type="dxa"/>
          </w:tcPr>
          <w:p w:rsidR="000F5ED7" w:rsidRPr="009D2A6D" w:rsidRDefault="000F5ED7" w:rsidP="003D337E">
            <w:pPr>
              <w:pStyle w:val="Tabletext"/>
              <w:ind w:right="369"/>
              <w:jc w:val="right"/>
              <w:rPr>
                <w:iCs/>
              </w:rPr>
            </w:pPr>
            <w:r w:rsidRPr="009D2A6D">
              <w:rPr>
                <w:iCs/>
              </w:rPr>
              <w:t>17.2</w:t>
            </w:r>
          </w:p>
        </w:tc>
        <w:tc>
          <w:tcPr>
            <w:tcW w:w="1457" w:type="dxa"/>
          </w:tcPr>
          <w:p w:rsidR="000F5ED7" w:rsidRPr="009D2A6D" w:rsidRDefault="000F5ED7" w:rsidP="003D337E">
            <w:pPr>
              <w:pStyle w:val="Tabletext"/>
              <w:ind w:right="369"/>
              <w:jc w:val="right"/>
              <w:rPr>
                <w:iCs/>
              </w:rPr>
            </w:pPr>
            <w:r w:rsidRPr="009D2A6D">
              <w:rPr>
                <w:iCs/>
              </w:rPr>
              <w:t>98.6</w:t>
            </w:r>
          </w:p>
        </w:tc>
      </w:tr>
      <w:tr w:rsidR="000F5ED7" w:rsidRPr="009D2A6D" w:rsidTr="009D2A6D">
        <w:tc>
          <w:tcPr>
            <w:tcW w:w="3851" w:type="dxa"/>
          </w:tcPr>
          <w:p w:rsidR="000F5ED7" w:rsidRPr="009D2A6D" w:rsidRDefault="000F5ED7" w:rsidP="009D2A6D">
            <w:pPr>
              <w:pStyle w:val="Tabletext"/>
              <w:rPr>
                <w:iCs/>
              </w:rPr>
            </w:pPr>
          </w:p>
        </w:tc>
        <w:tc>
          <w:tcPr>
            <w:tcW w:w="567" w:type="dxa"/>
          </w:tcPr>
          <w:p w:rsidR="000F5ED7" w:rsidRPr="009D2A6D" w:rsidRDefault="000F5ED7" w:rsidP="003D337E">
            <w:pPr>
              <w:pStyle w:val="Tabletext"/>
              <w:jc w:val="center"/>
              <w:rPr>
                <w:iCs/>
              </w:rPr>
            </w:pPr>
            <w:r w:rsidRPr="009D2A6D">
              <w:rPr>
                <w:iCs/>
              </w:rPr>
              <w:t>$</w:t>
            </w:r>
          </w:p>
        </w:tc>
        <w:tc>
          <w:tcPr>
            <w:tcW w:w="1457" w:type="dxa"/>
          </w:tcPr>
          <w:p w:rsidR="000F5ED7" w:rsidRPr="009D2A6D" w:rsidRDefault="000F5ED7" w:rsidP="003D337E">
            <w:pPr>
              <w:pStyle w:val="Tabletext"/>
              <w:ind w:right="369"/>
              <w:jc w:val="right"/>
              <w:rPr>
                <w:iCs/>
              </w:rPr>
            </w:pPr>
            <w:r w:rsidRPr="009D2A6D">
              <w:rPr>
                <w:iCs/>
              </w:rPr>
              <w:t>43,884</w:t>
            </w:r>
          </w:p>
        </w:tc>
        <w:tc>
          <w:tcPr>
            <w:tcW w:w="1457" w:type="dxa"/>
          </w:tcPr>
          <w:p w:rsidR="000F5ED7" w:rsidRPr="009D2A6D" w:rsidRDefault="000F5ED7" w:rsidP="003D337E">
            <w:pPr>
              <w:pStyle w:val="Tabletext"/>
              <w:ind w:right="369"/>
              <w:jc w:val="right"/>
              <w:rPr>
                <w:iCs/>
              </w:rPr>
            </w:pPr>
            <w:r w:rsidRPr="009D2A6D">
              <w:rPr>
                <w:iCs/>
              </w:rPr>
              <w:t>12,760</w:t>
            </w:r>
          </w:p>
        </w:tc>
        <w:tc>
          <w:tcPr>
            <w:tcW w:w="1457" w:type="dxa"/>
          </w:tcPr>
          <w:p w:rsidR="000F5ED7" w:rsidRPr="009D2A6D" w:rsidRDefault="000F5ED7" w:rsidP="003D337E">
            <w:pPr>
              <w:pStyle w:val="Tabletext"/>
              <w:ind w:right="369"/>
              <w:jc w:val="right"/>
              <w:rPr>
                <w:iCs/>
              </w:rPr>
            </w:pPr>
            <w:r w:rsidRPr="009D2A6D">
              <w:rPr>
                <w:iCs/>
              </w:rPr>
              <w:t>73,339</w:t>
            </w:r>
          </w:p>
        </w:tc>
      </w:tr>
      <w:tr w:rsidR="000F5ED7" w:rsidRPr="009D2A6D" w:rsidTr="009D2A6D">
        <w:tc>
          <w:tcPr>
            <w:tcW w:w="3851" w:type="dxa"/>
          </w:tcPr>
          <w:p w:rsidR="000F5ED7" w:rsidRPr="009D2A6D" w:rsidRDefault="00C44197" w:rsidP="009D2A6D">
            <w:pPr>
              <w:pStyle w:val="Tabletext"/>
              <w:rPr>
                <w:iCs/>
              </w:rPr>
            </w:pPr>
            <w:r w:rsidRPr="009D2A6D">
              <w:rPr>
                <w:iCs/>
              </w:rPr>
              <w:t>Frequency of social contact</w:t>
            </w:r>
            <w:r w:rsidRPr="009D2A6D">
              <w:rPr>
                <w:iCs/>
                <w:vertAlign w:val="superscript"/>
              </w:rPr>
              <w:t>2</w:t>
            </w:r>
            <w:r w:rsidR="000F5ED7" w:rsidRPr="009D2A6D">
              <w:rPr>
                <w:iCs/>
              </w:rPr>
              <w:t>*</w:t>
            </w:r>
          </w:p>
        </w:tc>
        <w:tc>
          <w:tcPr>
            <w:tcW w:w="567" w:type="dxa"/>
          </w:tcPr>
          <w:p w:rsidR="000F5ED7" w:rsidRPr="009D2A6D" w:rsidRDefault="000F5ED7" w:rsidP="003D337E">
            <w:pPr>
              <w:pStyle w:val="Tabletext"/>
              <w:jc w:val="center"/>
              <w:rPr>
                <w:iCs/>
              </w:rPr>
            </w:pPr>
            <w:r w:rsidRPr="009D2A6D">
              <w:rPr>
                <w:iCs/>
              </w:rPr>
              <w:t>%</w:t>
            </w:r>
          </w:p>
        </w:tc>
        <w:tc>
          <w:tcPr>
            <w:tcW w:w="1457" w:type="dxa"/>
          </w:tcPr>
          <w:p w:rsidR="000F5ED7" w:rsidRPr="009D2A6D" w:rsidRDefault="000F5ED7" w:rsidP="003D337E">
            <w:pPr>
              <w:pStyle w:val="Tabletext"/>
              <w:ind w:right="369"/>
              <w:jc w:val="right"/>
              <w:rPr>
                <w:iCs/>
              </w:rPr>
            </w:pPr>
            <w:r w:rsidRPr="009D2A6D">
              <w:rPr>
                <w:iCs/>
              </w:rPr>
              <w:t>7.3</w:t>
            </w:r>
          </w:p>
        </w:tc>
        <w:tc>
          <w:tcPr>
            <w:tcW w:w="1457" w:type="dxa"/>
          </w:tcPr>
          <w:p w:rsidR="000F5ED7" w:rsidRPr="009D2A6D" w:rsidRDefault="000F5ED7" w:rsidP="003D337E">
            <w:pPr>
              <w:pStyle w:val="Tabletext"/>
              <w:ind w:right="369"/>
              <w:jc w:val="right"/>
              <w:rPr>
                <w:iCs/>
              </w:rPr>
            </w:pPr>
            <w:r w:rsidRPr="009D2A6D">
              <w:rPr>
                <w:iCs/>
              </w:rPr>
              <w:t>-4.1</w:t>
            </w:r>
          </w:p>
        </w:tc>
        <w:tc>
          <w:tcPr>
            <w:tcW w:w="1457" w:type="dxa"/>
          </w:tcPr>
          <w:p w:rsidR="000F5ED7" w:rsidRPr="009D2A6D" w:rsidRDefault="000F5ED7" w:rsidP="003D337E">
            <w:pPr>
              <w:pStyle w:val="Tabletext"/>
              <w:ind w:right="369"/>
              <w:jc w:val="right"/>
              <w:rPr>
                <w:iCs/>
              </w:rPr>
            </w:pPr>
            <w:r w:rsidRPr="009D2A6D">
              <w:rPr>
                <w:iCs/>
              </w:rPr>
              <w:t>18.7</w:t>
            </w:r>
          </w:p>
        </w:tc>
      </w:tr>
      <w:tr w:rsidR="000F5ED7" w:rsidRPr="009D2A6D" w:rsidTr="009D2A6D">
        <w:tc>
          <w:tcPr>
            <w:tcW w:w="3851" w:type="dxa"/>
          </w:tcPr>
          <w:p w:rsidR="000F5ED7" w:rsidRPr="009D2A6D" w:rsidRDefault="000F5ED7" w:rsidP="009D2A6D">
            <w:pPr>
              <w:pStyle w:val="Tabletext"/>
              <w:rPr>
                <w:iCs/>
              </w:rPr>
            </w:pPr>
          </w:p>
        </w:tc>
        <w:tc>
          <w:tcPr>
            <w:tcW w:w="567" w:type="dxa"/>
          </w:tcPr>
          <w:p w:rsidR="000F5ED7" w:rsidRPr="009D2A6D" w:rsidRDefault="000F5ED7" w:rsidP="003D337E">
            <w:pPr>
              <w:pStyle w:val="Tabletext"/>
              <w:jc w:val="center"/>
              <w:rPr>
                <w:iCs/>
              </w:rPr>
            </w:pPr>
            <w:r w:rsidRPr="009D2A6D">
              <w:rPr>
                <w:iCs/>
              </w:rPr>
              <w:t>$</w:t>
            </w:r>
          </w:p>
        </w:tc>
        <w:tc>
          <w:tcPr>
            <w:tcW w:w="1457" w:type="dxa"/>
          </w:tcPr>
          <w:p w:rsidR="000F5ED7" w:rsidRPr="009D2A6D" w:rsidRDefault="000F5ED7" w:rsidP="003D337E">
            <w:pPr>
              <w:pStyle w:val="Tabletext"/>
              <w:ind w:right="369"/>
              <w:jc w:val="right"/>
              <w:rPr>
                <w:iCs/>
              </w:rPr>
            </w:pPr>
            <w:r w:rsidRPr="009D2A6D">
              <w:rPr>
                <w:iCs/>
              </w:rPr>
              <w:t>5,401</w:t>
            </w:r>
          </w:p>
        </w:tc>
        <w:tc>
          <w:tcPr>
            <w:tcW w:w="1457" w:type="dxa"/>
          </w:tcPr>
          <w:p w:rsidR="000F5ED7" w:rsidRPr="009D2A6D" w:rsidRDefault="000F5ED7" w:rsidP="003D337E">
            <w:pPr>
              <w:pStyle w:val="Tabletext"/>
              <w:ind w:right="369"/>
              <w:jc w:val="right"/>
              <w:rPr>
                <w:iCs/>
              </w:rPr>
            </w:pPr>
            <w:r w:rsidRPr="009D2A6D">
              <w:rPr>
                <w:iCs/>
              </w:rPr>
              <w:t>-3,049</w:t>
            </w:r>
          </w:p>
        </w:tc>
        <w:tc>
          <w:tcPr>
            <w:tcW w:w="1457" w:type="dxa"/>
          </w:tcPr>
          <w:p w:rsidR="000F5ED7" w:rsidRPr="009D2A6D" w:rsidRDefault="000F5ED7" w:rsidP="003D337E">
            <w:pPr>
              <w:pStyle w:val="Tabletext"/>
              <w:ind w:right="369"/>
              <w:jc w:val="right"/>
              <w:rPr>
                <w:iCs/>
              </w:rPr>
            </w:pPr>
            <w:r w:rsidRPr="009D2A6D">
              <w:rPr>
                <w:iCs/>
              </w:rPr>
              <w:t>13,913</w:t>
            </w:r>
          </w:p>
        </w:tc>
      </w:tr>
      <w:tr w:rsidR="000F5ED7" w:rsidRPr="009D2A6D" w:rsidTr="009D2A6D">
        <w:tc>
          <w:tcPr>
            <w:tcW w:w="3851" w:type="dxa"/>
          </w:tcPr>
          <w:p w:rsidR="000F5ED7" w:rsidRPr="009D2A6D" w:rsidRDefault="000F5ED7" w:rsidP="009D2A6D">
            <w:pPr>
              <w:pStyle w:val="Tabletext"/>
              <w:rPr>
                <w:iCs/>
                <w:vertAlign w:val="superscript"/>
              </w:rPr>
            </w:pPr>
            <w:r w:rsidRPr="009D2A6D">
              <w:rPr>
                <w:iCs/>
              </w:rPr>
              <w:t>O</w:t>
            </w:r>
            <w:r w:rsidR="00C44197" w:rsidRPr="009D2A6D">
              <w:rPr>
                <w:iCs/>
              </w:rPr>
              <w:t>pinion on current accommodation</w:t>
            </w:r>
            <w:r w:rsidR="00C44197" w:rsidRPr="009D2A6D">
              <w:rPr>
                <w:iCs/>
                <w:vertAlign w:val="superscript"/>
              </w:rPr>
              <w:t>2</w:t>
            </w:r>
          </w:p>
        </w:tc>
        <w:tc>
          <w:tcPr>
            <w:tcW w:w="567" w:type="dxa"/>
          </w:tcPr>
          <w:p w:rsidR="000F5ED7" w:rsidRPr="009D2A6D" w:rsidRDefault="000F5ED7" w:rsidP="003D337E">
            <w:pPr>
              <w:pStyle w:val="Tabletext"/>
              <w:jc w:val="center"/>
              <w:rPr>
                <w:iCs/>
              </w:rPr>
            </w:pPr>
            <w:r w:rsidRPr="009D2A6D">
              <w:rPr>
                <w:iCs/>
              </w:rPr>
              <w:t>%</w:t>
            </w:r>
          </w:p>
        </w:tc>
        <w:tc>
          <w:tcPr>
            <w:tcW w:w="1457" w:type="dxa"/>
          </w:tcPr>
          <w:p w:rsidR="000F5ED7" w:rsidRPr="009D2A6D" w:rsidRDefault="000F5ED7" w:rsidP="003D337E">
            <w:pPr>
              <w:pStyle w:val="Tabletext"/>
              <w:ind w:right="369"/>
              <w:jc w:val="right"/>
              <w:rPr>
                <w:iCs/>
              </w:rPr>
            </w:pPr>
            <w:r w:rsidRPr="009D2A6D">
              <w:rPr>
                <w:iCs/>
              </w:rPr>
              <w:t>-22.3</w:t>
            </w:r>
          </w:p>
        </w:tc>
        <w:tc>
          <w:tcPr>
            <w:tcW w:w="1457" w:type="dxa"/>
          </w:tcPr>
          <w:p w:rsidR="000F5ED7" w:rsidRPr="009D2A6D" w:rsidRDefault="000F5ED7" w:rsidP="003D337E">
            <w:pPr>
              <w:pStyle w:val="Tabletext"/>
              <w:ind w:right="369"/>
              <w:jc w:val="right"/>
              <w:rPr>
                <w:iCs/>
              </w:rPr>
            </w:pPr>
            <w:r w:rsidRPr="009D2A6D">
              <w:rPr>
                <w:iCs/>
              </w:rPr>
              <w:t>-34.6</w:t>
            </w:r>
          </w:p>
        </w:tc>
        <w:tc>
          <w:tcPr>
            <w:tcW w:w="1457" w:type="dxa"/>
          </w:tcPr>
          <w:p w:rsidR="000F5ED7" w:rsidRPr="009D2A6D" w:rsidRDefault="000F5ED7" w:rsidP="003D337E">
            <w:pPr>
              <w:pStyle w:val="Tabletext"/>
              <w:ind w:right="369"/>
              <w:jc w:val="right"/>
              <w:rPr>
                <w:iCs/>
              </w:rPr>
            </w:pPr>
            <w:r w:rsidRPr="009D2A6D">
              <w:rPr>
                <w:iCs/>
              </w:rPr>
              <w:t>-10.3</w:t>
            </w:r>
          </w:p>
        </w:tc>
      </w:tr>
      <w:tr w:rsidR="000F5ED7" w:rsidRPr="009D2A6D" w:rsidTr="009D2A6D">
        <w:tc>
          <w:tcPr>
            <w:tcW w:w="3851" w:type="dxa"/>
          </w:tcPr>
          <w:p w:rsidR="000F5ED7" w:rsidRPr="009D2A6D" w:rsidRDefault="000F5ED7" w:rsidP="009D2A6D">
            <w:pPr>
              <w:pStyle w:val="Tabletext"/>
              <w:rPr>
                <w:iCs/>
              </w:rPr>
            </w:pPr>
          </w:p>
        </w:tc>
        <w:tc>
          <w:tcPr>
            <w:tcW w:w="567" w:type="dxa"/>
          </w:tcPr>
          <w:p w:rsidR="000F5ED7" w:rsidRPr="009D2A6D" w:rsidRDefault="000F5ED7" w:rsidP="003D337E">
            <w:pPr>
              <w:pStyle w:val="Tabletext"/>
              <w:jc w:val="center"/>
              <w:rPr>
                <w:iCs/>
              </w:rPr>
            </w:pPr>
            <w:r w:rsidRPr="009D2A6D">
              <w:rPr>
                <w:iCs/>
              </w:rPr>
              <w:t>$</w:t>
            </w:r>
          </w:p>
        </w:tc>
        <w:tc>
          <w:tcPr>
            <w:tcW w:w="1457" w:type="dxa"/>
          </w:tcPr>
          <w:p w:rsidR="000F5ED7" w:rsidRPr="009D2A6D" w:rsidRDefault="000F5ED7" w:rsidP="003D337E">
            <w:pPr>
              <w:pStyle w:val="Tabletext"/>
              <w:ind w:right="369"/>
              <w:jc w:val="right"/>
              <w:rPr>
                <w:iCs/>
              </w:rPr>
            </w:pPr>
            <w:r w:rsidRPr="009D2A6D">
              <w:rPr>
                <w:iCs/>
              </w:rPr>
              <w:t>-16,618</w:t>
            </w:r>
          </w:p>
        </w:tc>
        <w:tc>
          <w:tcPr>
            <w:tcW w:w="1457" w:type="dxa"/>
          </w:tcPr>
          <w:p w:rsidR="000F5ED7" w:rsidRPr="009D2A6D" w:rsidRDefault="000F5ED7" w:rsidP="003D337E">
            <w:pPr>
              <w:pStyle w:val="Tabletext"/>
              <w:ind w:right="369"/>
              <w:jc w:val="right"/>
              <w:rPr>
                <w:iCs/>
              </w:rPr>
            </w:pPr>
            <w:r w:rsidRPr="009D2A6D">
              <w:rPr>
                <w:iCs/>
              </w:rPr>
              <w:t>-25,716</w:t>
            </w:r>
          </w:p>
        </w:tc>
        <w:tc>
          <w:tcPr>
            <w:tcW w:w="1457" w:type="dxa"/>
          </w:tcPr>
          <w:p w:rsidR="000F5ED7" w:rsidRPr="009D2A6D" w:rsidRDefault="000F5ED7" w:rsidP="003D337E">
            <w:pPr>
              <w:pStyle w:val="Tabletext"/>
              <w:ind w:right="369"/>
              <w:jc w:val="right"/>
              <w:rPr>
                <w:iCs/>
              </w:rPr>
            </w:pPr>
            <w:r w:rsidRPr="009D2A6D">
              <w:rPr>
                <w:iCs/>
              </w:rPr>
              <w:t>-7,636</w:t>
            </w:r>
          </w:p>
        </w:tc>
      </w:tr>
      <w:tr w:rsidR="000F5ED7" w:rsidRPr="009D2A6D" w:rsidTr="009D2A6D">
        <w:tc>
          <w:tcPr>
            <w:tcW w:w="3851" w:type="dxa"/>
          </w:tcPr>
          <w:p w:rsidR="000F5ED7" w:rsidRPr="009D2A6D" w:rsidRDefault="000F5ED7" w:rsidP="009D2A6D">
            <w:pPr>
              <w:pStyle w:val="Tabletext"/>
              <w:rPr>
                <w:b/>
              </w:rPr>
            </w:pPr>
            <w:r w:rsidRPr="009D2A6D">
              <w:rPr>
                <w:b/>
              </w:rPr>
              <w:t>Other controls</w:t>
            </w:r>
          </w:p>
        </w:tc>
        <w:tc>
          <w:tcPr>
            <w:tcW w:w="567" w:type="dxa"/>
          </w:tcPr>
          <w:p w:rsidR="000F5ED7" w:rsidRPr="009D2A6D" w:rsidRDefault="000F5ED7" w:rsidP="003D337E">
            <w:pPr>
              <w:pStyle w:val="Tabletext"/>
              <w:jc w:val="center"/>
              <w:rPr>
                <w:iCs/>
              </w:rPr>
            </w:pPr>
          </w:p>
        </w:tc>
        <w:tc>
          <w:tcPr>
            <w:tcW w:w="1457" w:type="dxa"/>
          </w:tcPr>
          <w:p w:rsidR="000F5ED7" w:rsidRPr="009D2A6D" w:rsidRDefault="000F5ED7" w:rsidP="003D337E">
            <w:pPr>
              <w:pStyle w:val="Tabletext"/>
              <w:ind w:right="369"/>
              <w:jc w:val="right"/>
              <w:rPr>
                <w:iCs/>
              </w:rPr>
            </w:pPr>
          </w:p>
        </w:tc>
        <w:tc>
          <w:tcPr>
            <w:tcW w:w="1457" w:type="dxa"/>
          </w:tcPr>
          <w:p w:rsidR="000F5ED7" w:rsidRPr="009D2A6D" w:rsidRDefault="000F5ED7" w:rsidP="003D337E">
            <w:pPr>
              <w:pStyle w:val="Tabletext"/>
              <w:ind w:right="369"/>
              <w:jc w:val="right"/>
              <w:rPr>
                <w:iCs/>
              </w:rPr>
            </w:pPr>
          </w:p>
        </w:tc>
        <w:tc>
          <w:tcPr>
            <w:tcW w:w="1457" w:type="dxa"/>
          </w:tcPr>
          <w:p w:rsidR="000F5ED7" w:rsidRPr="009D2A6D" w:rsidRDefault="000F5ED7" w:rsidP="003D337E">
            <w:pPr>
              <w:pStyle w:val="Tabletext"/>
              <w:ind w:right="369"/>
              <w:jc w:val="right"/>
              <w:rPr>
                <w:iCs/>
              </w:rPr>
            </w:pPr>
          </w:p>
        </w:tc>
      </w:tr>
      <w:tr w:rsidR="000F5ED7" w:rsidRPr="009D2A6D" w:rsidTr="009D2A6D">
        <w:tc>
          <w:tcPr>
            <w:tcW w:w="3851" w:type="dxa"/>
          </w:tcPr>
          <w:p w:rsidR="000F5ED7" w:rsidRPr="009D2A6D" w:rsidRDefault="000F5ED7" w:rsidP="009D2A6D">
            <w:pPr>
              <w:pStyle w:val="Tabletext"/>
              <w:rPr>
                <w:iCs/>
              </w:rPr>
            </w:pPr>
            <w:r w:rsidRPr="009D2A6D">
              <w:rPr>
                <w:iCs/>
              </w:rPr>
              <w:t>Constant (moving-specific)</w:t>
            </w:r>
          </w:p>
        </w:tc>
        <w:tc>
          <w:tcPr>
            <w:tcW w:w="567" w:type="dxa"/>
          </w:tcPr>
          <w:p w:rsidR="000F5ED7" w:rsidRPr="009D2A6D" w:rsidRDefault="000F5ED7" w:rsidP="003D337E">
            <w:pPr>
              <w:pStyle w:val="Tabletext"/>
              <w:jc w:val="center"/>
              <w:rPr>
                <w:iCs/>
              </w:rPr>
            </w:pPr>
            <w:r w:rsidRPr="009D2A6D">
              <w:rPr>
                <w:iCs/>
              </w:rPr>
              <w:t>%</w:t>
            </w:r>
          </w:p>
        </w:tc>
        <w:tc>
          <w:tcPr>
            <w:tcW w:w="1457" w:type="dxa"/>
          </w:tcPr>
          <w:p w:rsidR="000F5ED7" w:rsidRPr="009D2A6D" w:rsidRDefault="000F5ED7" w:rsidP="003D337E">
            <w:pPr>
              <w:pStyle w:val="Tabletext"/>
              <w:ind w:right="369"/>
              <w:jc w:val="right"/>
              <w:rPr>
                <w:iCs/>
              </w:rPr>
            </w:pPr>
            <w:r w:rsidRPr="009D2A6D">
              <w:rPr>
                <w:iCs/>
              </w:rPr>
              <w:t>-41.0</w:t>
            </w:r>
          </w:p>
        </w:tc>
        <w:tc>
          <w:tcPr>
            <w:tcW w:w="1457" w:type="dxa"/>
          </w:tcPr>
          <w:p w:rsidR="000F5ED7" w:rsidRPr="009D2A6D" w:rsidRDefault="000F5ED7" w:rsidP="003D337E">
            <w:pPr>
              <w:pStyle w:val="Tabletext"/>
              <w:ind w:right="369"/>
              <w:jc w:val="right"/>
              <w:rPr>
                <w:iCs/>
              </w:rPr>
            </w:pPr>
            <w:r w:rsidRPr="009D2A6D">
              <w:rPr>
                <w:iCs/>
              </w:rPr>
              <w:t>-93.4</w:t>
            </w:r>
          </w:p>
        </w:tc>
        <w:tc>
          <w:tcPr>
            <w:tcW w:w="1457" w:type="dxa"/>
          </w:tcPr>
          <w:p w:rsidR="000F5ED7" w:rsidRPr="009D2A6D" w:rsidRDefault="000F5ED7" w:rsidP="003D337E">
            <w:pPr>
              <w:pStyle w:val="Tabletext"/>
              <w:ind w:right="369"/>
              <w:jc w:val="right"/>
              <w:rPr>
                <w:iCs/>
              </w:rPr>
            </w:pPr>
            <w:r w:rsidRPr="009D2A6D">
              <w:rPr>
                <w:iCs/>
              </w:rPr>
              <w:t>11.5</w:t>
            </w:r>
          </w:p>
        </w:tc>
      </w:tr>
      <w:tr w:rsidR="000F5ED7" w:rsidRPr="009D2A6D" w:rsidTr="009D2A6D">
        <w:tc>
          <w:tcPr>
            <w:tcW w:w="3851" w:type="dxa"/>
          </w:tcPr>
          <w:p w:rsidR="000F5ED7" w:rsidRPr="009D2A6D" w:rsidRDefault="000F5ED7" w:rsidP="009D2A6D">
            <w:pPr>
              <w:pStyle w:val="Tabletext"/>
              <w:rPr>
                <w:iCs/>
              </w:rPr>
            </w:pPr>
          </w:p>
        </w:tc>
        <w:tc>
          <w:tcPr>
            <w:tcW w:w="567" w:type="dxa"/>
          </w:tcPr>
          <w:p w:rsidR="000F5ED7" w:rsidRPr="009D2A6D" w:rsidRDefault="000F5ED7" w:rsidP="003D337E">
            <w:pPr>
              <w:pStyle w:val="Tabletext"/>
              <w:jc w:val="center"/>
              <w:rPr>
                <w:iCs/>
              </w:rPr>
            </w:pPr>
            <w:r w:rsidRPr="009D2A6D">
              <w:rPr>
                <w:iCs/>
              </w:rPr>
              <w:t>$</w:t>
            </w:r>
          </w:p>
        </w:tc>
        <w:tc>
          <w:tcPr>
            <w:tcW w:w="1457" w:type="dxa"/>
          </w:tcPr>
          <w:p w:rsidR="000F5ED7" w:rsidRPr="009D2A6D" w:rsidRDefault="000F5ED7" w:rsidP="003D337E">
            <w:pPr>
              <w:pStyle w:val="Tabletext"/>
              <w:ind w:right="369"/>
              <w:jc w:val="right"/>
              <w:rPr>
                <w:iCs/>
              </w:rPr>
            </w:pPr>
            <w:r w:rsidRPr="009D2A6D">
              <w:rPr>
                <w:iCs/>
              </w:rPr>
              <w:t>-30,496</w:t>
            </w:r>
          </w:p>
        </w:tc>
        <w:tc>
          <w:tcPr>
            <w:tcW w:w="1457" w:type="dxa"/>
          </w:tcPr>
          <w:p w:rsidR="000F5ED7" w:rsidRPr="009D2A6D" w:rsidRDefault="000F5ED7" w:rsidP="003D337E">
            <w:pPr>
              <w:pStyle w:val="Tabletext"/>
              <w:ind w:right="369"/>
              <w:jc w:val="right"/>
              <w:rPr>
                <w:iCs/>
              </w:rPr>
            </w:pPr>
            <w:r w:rsidRPr="009D2A6D">
              <w:rPr>
                <w:iCs/>
              </w:rPr>
              <w:t>-69,503</w:t>
            </w:r>
          </w:p>
        </w:tc>
        <w:tc>
          <w:tcPr>
            <w:tcW w:w="1457" w:type="dxa"/>
          </w:tcPr>
          <w:p w:rsidR="000F5ED7" w:rsidRPr="009D2A6D" w:rsidRDefault="000F5ED7" w:rsidP="003D337E">
            <w:pPr>
              <w:pStyle w:val="Tabletext"/>
              <w:ind w:right="369"/>
              <w:jc w:val="right"/>
              <w:rPr>
                <w:iCs/>
              </w:rPr>
            </w:pPr>
            <w:r w:rsidRPr="009D2A6D">
              <w:rPr>
                <w:iCs/>
              </w:rPr>
              <w:t>8,534</w:t>
            </w:r>
          </w:p>
        </w:tc>
      </w:tr>
      <w:tr w:rsidR="000F5ED7" w:rsidRPr="009D2A6D" w:rsidTr="009D2A6D">
        <w:tc>
          <w:tcPr>
            <w:tcW w:w="3851" w:type="dxa"/>
          </w:tcPr>
          <w:p w:rsidR="000F5ED7" w:rsidRPr="009D2A6D" w:rsidRDefault="000F5ED7" w:rsidP="009D2A6D">
            <w:pPr>
              <w:pStyle w:val="Tabletext"/>
              <w:rPr>
                <w:iCs/>
              </w:rPr>
            </w:pPr>
            <w:r w:rsidRPr="009D2A6D">
              <w:rPr>
                <w:iCs/>
              </w:rPr>
              <w:t>Current/expected wage (</w:t>
            </w:r>
            <w:r w:rsidR="00602830">
              <w:rPr>
                <w:iCs/>
              </w:rPr>
              <w:t>‘</w:t>
            </w:r>
            <w:r w:rsidRPr="009D2A6D">
              <w:rPr>
                <w:iCs/>
              </w:rPr>
              <w:t>000)</w:t>
            </w:r>
          </w:p>
        </w:tc>
        <w:tc>
          <w:tcPr>
            <w:tcW w:w="567" w:type="dxa"/>
          </w:tcPr>
          <w:p w:rsidR="000F5ED7" w:rsidRPr="009D2A6D" w:rsidRDefault="000F5ED7" w:rsidP="003D337E">
            <w:pPr>
              <w:pStyle w:val="Tabletext"/>
              <w:jc w:val="center"/>
              <w:rPr>
                <w:iCs/>
              </w:rPr>
            </w:pPr>
            <w:r w:rsidRPr="009D2A6D">
              <w:rPr>
                <w:iCs/>
              </w:rPr>
              <w:t>%</w:t>
            </w:r>
          </w:p>
        </w:tc>
        <w:tc>
          <w:tcPr>
            <w:tcW w:w="1457" w:type="dxa"/>
          </w:tcPr>
          <w:p w:rsidR="000F5ED7" w:rsidRPr="009D2A6D" w:rsidRDefault="000F5ED7" w:rsidP="003D337E">
            <w:pPr>
              <w:pStyle w:val="Tabletext"/>
              <w:ind w:right="369"/>
              <w:jc w:val="right"/>
              <w:rPr>
                <w:iCs/>
              </w:rPr>
            </w:pPr>
            <w:r w:rsidRPr="009D2A6D">
              <w:rPr>
                <w:iCs/>
              </w:rPr>
              <w:t>0.5</w:t>
            </w:r>
          </w:p>
        </w:tc>
        <w:tc>
          <w:tcPr>
            <w:tcW w:w="1457" w:type="dxa"/>
          </w:tcPr>
          <w:p w:rsidR="000F5ED7" w:rsidRPr="009D2A6D" w:rsidRDefault="000F5ED7" w:rsidP="003D337E">
            <w:pPr>
              <w:pStyle w:val="Tabletext"/>
              <w:ind w:right="369"/>
              <w:jc w:val="right"/>
              <w:rPr>
                <w:iCs/>
              </w:rPr>
            </w:pPr>
            <w:r w:rsidRPr="009D2A6D">
              <w:rPr>
                <w:iCs/>
              </w:rPr>
              <w:t>0.3</w:t>
            </w:r>
          </w:p>
        </w:tc>
        <w:tc>
          <w:tcPr>
            <w:tcW w:w="1457" w:type="dxa"/>
          </w:tcPr>
          <w:p w:rsidR="000F5ED7" w:rsidRPr="009D2A6D" w:rsidRDefault="000F5ED7" w:rsidP="003D337E">
            <w:pPr>
              <w:pStyle w:val="Tabletext"/>
              <w:ind w:right="369"/>
              <w:jc w:val="right"/>
              <w:rPr>
                <w:iCs/>
              </w:rPr>
            </w:pPr>
            <w:r w:rsidRPr="009D2A6D">
              <w:rPr>
                <w:iCs/>
              </w:rPr>
              <w:t>0.8</w:t>
            </w:r>
          </w:p>
        </w:tc>
      </w:tr>
      <w:tr w:rsidR="000F5ED7" w:rsidRPr="009D2A6D" w:rsidTr="009D2A6D">
        <w:tc>
          <w:tcPr>
            <w:tcW w:w="3851" w:type="dxa"/>
          </w:tcPr>
          <w:p w:rsidR="000F5ED7" w:rsidRPr="009D2A6D" w:rsidRDefault="000F5ED7" w:rsidP="009D2A6D">
            <w:pPr>
              <w:pStyle w:val="Tabletext"/>
              <w:rPr>
                <w:iCs/>
              </w:rPr>
            </w:pPr>
          </w:p>
        </w:tc>
        <w:tc>
          <w:tcPr>
            <w:tcW w:w="567" w:type="dxa"/>
          </w:tcPr>
          <w:p w:rsidR="000F5ED7" w:rsidRPr="009D2A6D" w:rsidRDefault="000F5ED7" w:rsidP="003D337E">
            <w:pPr>
              <w:pStyle w:val="Tabletext"/>
              <w:jc w:val="center"/>
              <w:rPr>
                <w:iCs/>
              </w:rPr>
            </w:pPr>
            <w:r w:rsidRPr="009D2A6D">
              <w:rPr>
                <w:iCs/>
              </w:rPr>
              <w:t>$</w:t>
            </w:r>
          </w:p>
        </w:tc>
        <w:tc>
          <w:tcPr>
            <w:tcW w:w="1457" w:type="dxa"/>
          </w:tcPr>
          <w:p w:rsidR="000F5ED7" w:rsidRPr="009D2A6D" w:rsidRDefault="000F5ED7" w:rsidP="003D337E">
            <w:pPr>
              <w:pStyle w:val="Tabletext"/>
              <w:ind w:right="369"/>
              <w:jc w:val="right"/>
              <w:rPr>
                <w:iCs/>
              </w:rPr>
            </w:pPr>
            <w:r w:rsidRPr="009D2A6D">
              <w:rPr>
                <w:iCs/>
              </w:rPr>
              <w:t>370</w:t>
            </w:r>
          </w:p>
        </w:tc>
        <w:tc>
          <w:tcPr>
            <w:tcW w:w="1457" w:type="dxa"/>
          </w:tcPr>
          <w:p w:rsidR="000F5ED7" w:rsidRPr="009D2A6D" w:rsidRDefault="000F5ED7" w:rsidP="003D337E">
            <w:pPr>
              <w:pStyle w:val="Tabletext"/>
              <w:ind w:right="369"/>
              <w:jc w:val="right"/>
              <w:rPr>
                <w:iCs/>
              </w:rPr>
            </w:pPr>
            <w:r w:rsidRPr="009D2A6D">
              <w:rPr>
                <w:iCs/>
              </w:rPr>
              <w:t>194</w:t>
            </w:r>
          </w:p>
        </w:tc>
        <w:tc>
          <w:tcPr>
            <w:tcW w:w="1457" w:type="dxa"/>
          </w:tcPr>
          <w:p w:rsidR="000F5ED7" w:rsidRPr="009D2A6D" w:rsidRDefault="000F5ED7" w:rsidP="003D337E">
            <w:pPr>
              <w:pStyle w:val="Tabletext"/>
              <w:ind w:right="369"/>
              <w:jc w:val="right"/>
              <w:rPr>
                <w:iCs/>
              </w:rPr>
            </w:pPr>
            <w:r w:rsidRPr="009D2A6D">
              <w:rPr>
                <w:iCs/>
              </w:rPr>
              <w:t>567</w:t>
            </w:r>
          </w:p>
        </w:tc>
      </w:tr>
      <w:tr w:rsidR="000F5ED7" w:rsidRPr="009D2A6D" w:rsidTr="009D2A6D">
        <w:tc>
          <w:tcPr>
            <w:tcW w:w="3851" w:type="dxa"/>
          </w:tcPr>
          <w:p w:rsidR="000F5ED7" w:rsidRPr="009D2A6D" w:rsidRDefault="000F5ED7" w:rsidP="009D2A6D">
            <w:pPr>
              <w:pStyle w:val="Tabletext"/>
              <w:rPr>
                <w:iCs/>
              </w:rPr>
            </w:pPr>
            <w:r w:rsidRPr="009D2A6D">
              <w:rPr>
                <w:iCs/>
              </w:rPr>
              <w:t>Actual/expected wage gap for employed</w:t>
            </w:r>
          </w:p>
        </w:tc>
        <w:tc>
          <w:tcPr>
            <w:tcW w:w="567" w:type="dxa"/>
          </w:tcPr>
          <w:p w:rsidR="000F5ED7" w:rsidRPr="009D2A6D" w:rsidRDefault="000F5ED7" w:rsidP="003D337E">
            <w:pPr>
              <w:pStyle w:val="Tabletext"/>
              <w:jc w:val="center"/>
              <w:rPr>
                <w:iCs/>
              </w:rPr>
            </w:pPr>
            <w:r w:rsidRPr="009D2A6D">
              <w:rPr>
                <w:iCs/>
              </w:rPr>
              <w:t>%</w:t>
            </w:r>
          </w:p>
        </w:tc>
        <w:tc>
          <w:tcPr>
            <w:tcW w:w="1457" w:type="dxa"/>
          </w:tcPr>
          <w:p w:rsidR="000F5ED7" w:rsidRPr="009D2A6D" w:rsidRDefault="000F5ED7" w:rsidP="003D337E">
            <w:pPr>
              <w:pStyle w:val="Tabletext"/>
              <w:ind w:right="369"/>
              <w:jc w:val="right"/>
              <w:rPr>
                <w:iCs/>
              </w:rPr>
            </w:pPr>
            <w:r w:rsidRPr="009D2A6D">
              <w:rPr>
                <w:iCs/>
              </w:rPr>
              <w:t>0.4</w:t>
            </w:r>
          </w:p>
        </w:tc>
        <w:tc>
          <w:tcPr>
            <w:tcW w:w="1457" w:type="dxa"/>
          </w:tcPr>
          <w:p w:rsidR="000F5ED7" w:rsidRPr="009D2A6D" w:rsidRDefault="000F5ED7" w:rsidP="003D337E">
            <w:pPr>
              <w:pStyle w:val="Tabletext"/>
              <w:ind w:right="369"/>
              <w:jc w:val="right"/>
              <w:rPr>
                <w:iCs/>
              </w:rPr>
            </w:pPr>
            <w:r w:rsidRPr="009D2A6D">
              <w:rPr>
                <w:iCs/>
              </w:rPr>
              <w:t>0.04</w:t>
            </w:r>
          </w:p>
        </w:tc>
        <w:tc>
          <w:tcPr>
            <w:tcW w:w="1457" w:type="dxa"/>
          </w:tcPr>
          <w:p w:rsidR="000F5ED7" w:rsidRPr="009D2A6D" w:rsidRDefault="000F5ED7" w:rsidP="003D337E">
            <w:pPr>
              <w:pStyle w:val="Tabletext"/>
              <w:ind w:right="369"/>
              <w:jc w:val="right"/>
              <w:rPr>
                <w:iCs/>
              </w:rPr>
            </w:pPr>
            <w:r w:rsidRPr="009D2A6D">
              <w:rPr>
                <w:iCs/>
              </w:rPr>
              <w:t>0.77</w:t>
            </w:r>
          </w:p>
        </w:tc>
      </w:tr>
      <w:tr w:rsidR="000F5ED7" w:rsidRPr="009D2A6D" w:rsidTr="009D2A6D">
        <w:tc>
          <w:tcPr>
            <w:tcW w:w="3851" w:type="dxa"/>
            <w:tcBorders>
              <w:bottom w:val="single" w:sz="4" w:space="0" w:color="auto"/>
            </w:tcBorders>
          </w:tcPr>
          <w:p w:rsidR="000F5ED7" w:rsidRPr="009D2A6D" w:rsidRDefault="000F5ED7" w:rsidP="009D2A6D">
            <w:pPr>
              <w:pStyle w:val="Tabletext"/>
              <w:rPr>
                <w:iCs/>
              </w:rPr>
            </w:pPr>
          </w:p>
        </w:tc>
        <w:tc>
          <w:tcPr>
            <w:tcW w:w="567" w:type="dxa"/>
            <w:tcBorders>
              <w:bottom w:val="single" w:sz="4" w:space="0" w:color="auto"/>
            </w:tcBorders>
          </w:tcPr>
          <w:p w:rsidR="000F5ED7" w:rsidRPr="009D2A6D" w:rsidRDefault="000F5ED7" w:rsidP="003D337E">
            <w:pPr>
              <w:pStyle w:val="Tabletext"/>
              <w:jc w:val="center"/>
              <w:rPr>
                <w:iCs/>
              </w:rPr>
            </w:pPr>
            <w:r w:rsidRPr="009D2A6D">
              <w:rPr>
                <w:iCs/>
              </w:rPr>
              <w:t>$</w:t>
            </w:r>
          </w:p>
        </w:tc>
        <w:tc>
          <w:tcPr>
            <w:tcW w:w="1457" w:type="dxa"/>
            <w:tcBorders>
              <w:bottom w:val="single" w:sz="4" w:space="0" w:color="auto"/>
            </w:tcBorders>
          </w:tcPr>
          <w:p w:rsidR="000F5ED7" w:rsidRPr="009D2A6D" w:rsidRDefault="000F5ED7" w:rsidP="003D337E">
            <w:pPr>
              <w:pStyle w:val="Tabletext"/>
              <w:ind w:right="369"/>
              <w:jc w:val="right"/>
              <w:rPr>
                <w:iCs/>
              </w:rPr>
            </w:pPr>
            <w:r w:rsidRPr="009D2A6D">
              <w:rPr>
                <w:iCs/>
              </w:rPr>
              <w:t>297</w:t>
            </w:r>
          </w:p>
        </w:tc>
        <w:tc>
          <w:tcPr>
            <w:tcW w:w="1457" w:type="dxa"/>
            <w:tcBorders>
              <w:bottom w:val="single" w:sz="4" w:space="0" w:color="auto"/>
            </w:tcBorders>
          </w:tcPr>
          <w:p w:rsidR="000F5ED7" w:rsidRPr="009D2A6D" w:rsidRDefault="000F5ED7" w:rsidP="003D337E">
            <w:pPr>
              <w:pStyle w:val="Tabletext"/>
              <w:ind w:right="369"/>
              <w:jc w:val="right"/>
              <w:rPr>
                <w:iCs/>
              </w:rPr>
            </w:pPr>
            <w:r w:rsidRPr="009D2A6D">
              <w:rPr>
                <w:iCs/>
              </w:rPr>
              <w:t>33</w:t>
            </w:r>
          </w:p>
        </w:tc>
        <w:tc>
          <w:tcPr>
            <w:tcW w:w="1457" w:type="dxa"/>
            <w:tcBorders>
              <w:bottom w:val="single" w:sz="4" w:space="0" w:color="auto"/>
            </w:tcBorders>
          </w:tcPr>
          <w:p w:rsidR="000F5ED7" w:rsidRPr="009D2A6D" w:rsidRDefault="000F5ED7" w:rsidP="003D337E">
            <w:pPr>
              <w:pStyle w:val="Tabletext"/>
              <w:ind w:right="369"/>
              <w:jc w:val="right"/>
              <w:rPr>
                <w:iCs/>
              </w:rPr>
            </w:pPr>
            <w:r w:rsidRPr="009D2A6D">
              <w:rPr>
                <w:iCs/>
              </w:rPr>
              <w:t>569</w:t>
            </w:r>
          </w:p>
        </w:tc>
      </w:tr>
    </w:tbl>
    <w:p w:rsidR="003C32E0" w:rsidRPr="00FE162C" w:rsidRDefault="000F5ED7" w:rsidP="00CA754F">
      <w:pPr>
        <w:pStyle w:val="Source"/>
        <w:rPr>
          <w:color w:val="000000" w:themeColor="text1"/>
        </w:rPr>
      </w:pPr>
      <w:r w:rsidRPr="00FE162C">
        <w:rPr>
          <w:color w:val="000000" w:themeColor="text1"/>
        </w:rPr>
        <w:t>Notes:</w:t>
      </w:r>
      <w:r w:rsidRPr="00FE162C">
        <w:rPr>
          <w:color w:val="000000" w:themeColor="text1"/>
        </w:rPr>
        <w:tab/>
      </w:r>
      <w:r w:rsidR="0024240C" w:rsidRPr="00FE162C">
        <w:rPr>
          <w:color w:val="000000" w:themeColor="text1"/>
        </w:rPr>
        <w:t>Random coefficients were specified for all four job attributes and estimated using 400 Halton draws</w:t>
      </w:r>
      <w:r w:rsidR="00A77E0A" w:rsidRPr="00FE162C">
        <w:rPr>
          <w:color w:val="000000" w:themeColor="text1"/>
        </w:rPr>
        <w:t xml:space="preserve"> (</w:t>
      </w:r>
      <w:r w:rsidR="00406B75">
        <w:rPr>
          <w:color w:val="000000" w:themeColor="text1"/>
        </w:rPr>
        <w:fldChar w:fldCharType="begin"/>
      </w:r>
      <w:r w:rsidR="00CA754F">
        <w:rPr>
          <w:color w:val="000000" w:themeColor="text1"/>
        </w:rPr>
        <w:instrText xml:space="preserve"> ADDIN EN.CITE &lt;EndNote&gt;&lt;Cite&gt;&lt;Author&gt;Train&lt;/Author&gt;&lt;Year&gt;2009&lt;/Year&gt;&lt;RecNum&gt;953&lt;/RecNum&gt;&lt;DisplayText&gt;Train (2009)&lt;/DisplayText&gt;&lt;record&gt;&lt;rec-number&gt;953&lt;/rec-number&gt;&lt;foreign-keys&gt;&lt;key app="EN" db-id="refafpv0nd2rd4e9e2qxeaf6rw5xxvv2ds22" timestamp="1322798307"&gt;953&lt;/key&gt;&lt;/foreign-keys&gt;&lt;ref-type name="Book"&gt;6&lt;/ref-type&gt;&lt;contributors&gt;&lt;authors&gt;&lt;author&gt;Train, K&lt;/author&gt;&lt;/authors&gt;&lt;/contributors&gt;&lt;titles&gt;&lt;title&gt;Discrete Choice Methods with Simulation&lt;/title&gt;&lt;/titles&gt;&lt;edition&gt;Second&lt;/edition&gt;&lt;dates&gt;&lt;year&gt;2009&lt;/year&gt;&lt;/dates&gt;&lt;pub-location&gt;Cambridge&lt;/pub-location&gt;&lt;publisher&gt;Cambridge University Press&lt;/publisher&gt;&lt;urls&gt;&lt;/urls&gt;&lt;/record&gt;&lt;/Cite&gt;&lt;/EndNote&gt;</w:instrText>
      </w:r>
      <w:r w:rsidR="00406B75">
        <w:rPr>
          <w:color w:val="000000" w:themeColor="text1"/>
        </w:rPr>
        <w:fldChar w:fldCharType="separate"/>
      </w:r>
      <w:hyperlink w:anchor="_ENREF_65" w:tooltip="Train, 2009 #953" w:history="1">
        <w:r w:rsidR="00EB6F30">
          <w:rPr>
            <w:noProof/>
            <w:color w:val="000000" w:themeColor="text1"/>
          </w:rPr>
          <w:t xml:space="preserve">Train </w:t>
        </w:r>
        <w:r w:rsidR="00CA754F">
          <w:rPr>
            <w:noProof/>
            <w:color w:val="000000" w:themeColor="text1"/>
          </w:rPr>
          <w:t>2009</w:t>
        </w:r>
      </w:hyperlink>
      <w:r w:rsidR="00CA754F">
        <w:rPr>
          <w:noProof/>
          <w:color w:val="000000" w:themeColor="text1"/>
        </w:rPr>
        <w:t>)</w:t>
      </w:r>
      <w:r w:rsidR="00406B75">
        <w:rPr>
          <w:color w:val="000000" w:themeColor="text1"/>
        </w:rPr>
        <w:fldChar w:fldCharType="end"/>
      </w:r>
      <w:r w:rsidR="0024240C" w:rsidRPr="00FE162C">
        <w:rPr>
          <w:color w:val="000000" w:themeColor="text1"/>
        </w:rPr>
        <w:t>. The triangular distribution was used for the annual wage attribute to restrict the estim</w:t>
      </w:r>
      <w:r w:rsidR="00646993" w:rsidRPr="00FE162C">
        <w:rPr>
          <w:color w:val="000000" w:themeColor="text1"/>
        </w:rPr>
        <w:t>ates between to</w:t>
      </w:r>
      <w:r w:rsidR="0024240C" w:rsidRPr="00FE162C">
        <w:rPr>
          <w:color w:val="000000" w:themeColor="text1"/>
        </w:rPr>
        <w:t xml:space="preserve"> non-negative</w:t>
      </w:r>
      <w:r w:rsidR="00646993" w:rsidRPr="00FE162C">
        <w:rPr>
          <w:color w:val="000000" w:themeColor="text1"/>
        </w:rPr>
        <w:t xml:space="preserve"> values. For the other three attributes the</w:t>
      </w:r>
      <w:r w:rsidR="0024240C" w:rsidRPr="00FE162C">
        <w:rPr>
          <w:color w:val="000000" w:themeColor="text1"/>
        </w:rPr>
        <w:t xml:space="preserve"> normal distribution was used.</w:t>
      </w:r>
      <w:r w:rsidR="003167DB" w:rsidRPr="00FE162C">
        <w:rPr>
          <w:color w:val="000000" w:themeColor="text1"/>
        </w:rPr>
        <w:t xml:space="preserve"> </w:t>
      </w:r>
      <w:r w:rsidR="003167DB" w:rsidRPr="00FE162C">
        <w:rPr>
          <w:rFonts w:cs="Arial"/>
          <w:color w:val="000000" w:themeColor="text1"/>
          <w:szCs w:val="15"/>
        </w:rPr>
        <w:t xml:space="preserve">The wage attribute was imputed into the model as a percentage increase </w:t>
      </w:r>
      <w:r w:rsidR="00890D24" w:rsidRPr="00FE162C">
        <w:rPr>
          <w:rFonts w:cs="Arial"/>
          <w:color w:val="000000" w:themeColor="text1"/>
          <w:szCs w:val="15"/>
        </w:rPr>
        <w:t>from the</w:t>
      </w:r>
      <w:r w:rsidR="005320A5" w:rsidRPr="00FE162C">
        <w:rPr>
          <w:rFonts w:cs="Arial"/>
          <w:color w:val="000000" w:themeColor="text1"/>
          <w:szCs w:val="15"/>
        </w:rPr>
        <w:t xml:space="preserve"> </w:t>
      </w:r>
      <w:r w:rsidR="003C32E0" w:rsidRPr="00FE162C">
        <w:rPr>
          <w:rFonts w:cs="Arial"/>
          <w:color w:val="000000" w:themeColor="text1"/>
          <w:szCs w:val="15"/>
        </w:rPr>
        <w:t>person</w:t>
      </w:r>
      <w:r w:rsidR="00602830">
        <w:rPr>
          <w:rFonts w:cs="Arial"/>
          <w:color w:val="000000" w:themeColor="text1"/>
          <w:szCs w:val="15"/>
        </w:rPr>
        <w:t>’</w:t>
      </w:r>
      <w:r w:rsidR="003C32E0" w:rsidRPr="00FE162C">
        <w:rPr>
          <w:rFonts w:cs="Arial"/>
          <w:color w:val="000000" w:themeColor="text1"/>
          <w:szCs w:val="15"/>
        </w:rPr>
        <w:t xml:space="preserve">s </w:t>
      </w:r>
      <w:r w:rsidR="005320A5" w:rsidRPr="00FE162C">
        <w:rPr>
          <w:rFonts w:cs="Arial"/>
          <w:color w:val="000000" w:themeColor="text1"/>
          <w:szCs w:val="15"/>
        </w:rPr>
        <w:t>current (</w:t>
      </w:r>
      <w:r w:rsidR="003167DB" w:rsidRPr="00FE162C">
        <w:rPr>
          <w:rFonts w:cs="Arial"/>
          <w:color w:val="000000" w:themeColor="text1"/>
          <w:szCs w:val="15"/>
        </w:rPr>
        <w:t>expected</w:t>
      </w:r>
      <w:r w:rsidR="005320A5" w:rsidRPr="00FE162C">
        <w:rPr>
          <w:rFonts w:cs="Arial"/>
          <w:color w:val="000000" w:themeColor="text1"/>
          <w:szCs w:val="15"/>
        </w:rPr>
        <w:t>)</w:t>
      </w:r>
      <w:r w:rsidR="003167DB" w:rsidRPr="00FE162C">
        <w:rPr>
          <w:rFonts w:cs="Arial"/>
          <w:color w:val="000000" w:themeColor="text1"/>
          <w:szCs w:val="15"/>
        </w:rPr>
        <w:t xml:space="preserve"> wage.</w:t>
      </w:r>
      <w:r w:rsidR="00B40BD3" w:rsidRPr="00FE162C">
        <w:rPr>
          <w:rFonts w:cs="Arial"/>
          <w:color w:val="000000" w:themeColor="text1"/>
          <w:szCs w:val="15"/>
        </w:rPr>
        <w:t xml:space="preserve"> MWTP</w:t>
      </w:r>
      <w:r w:rsidR="00F71584">
        <w:rPr>
          <w:rFonts w:cs="Arial"/>
          <w:color w:val="000000" w:themeColor="text1"/>
          <w:szCs w:val="15"/>
        </w:rPr>
        <w:t>s</w:t>
      </w:r>
      <w:r w:rsidR="00B40BD3" w:rsidRPr="00FE162C">
        <w:rPr>
          <w:rFonts w:cs="Arial"/>
          <w:color w:val="000000" w:themeColor="text1"/>
          <w:szCs w:val="15"/>
        </w:rPr>
        <w:t xml:space="preserve"> in absolute terms were derived by multiplying t</w:t>
      </w:r>
      <w:r w:rsidR="001B4B08">
        <w:rPr>
          <w:rFonts w:cs="Arial"/>
          <w:color w:val="000000" w:themeColor="text1"/>
          <w:szCs w:val="15"/>
        </w:rPr>
        <w:t>he percentage</w:t>
      </w:r>
      <w:r w:rsidR="00F71584">
        <w:rPr>
          <w:rFonts w:cs="Arial"/>
          <w:color w:val="000000" w:themeColor="text1"/>
          <w:szCs w:val="15"/>
        </w:rPr>
        <w:t>-</w:t>
      </w:r>
      <w:r w:rsidR="001B4B08">
        <w:rPr>
          <w:rFonts w:cs="Arial"/>
          <w:color w:val="000000" w:themeColor="text1"/>
          <w:szCs w:val="15"/>
        </w:rPr>
        <w:t xml:space="preserve">based MWTP by $74 </w:t>
      </w:r>
      <w:r w:rsidR="00B40BD3" w:rsidRPr="00FE162C">
        <w:rPr>
          <w:rFonts w:cs="Arial"/>
          <w:color w:val="000000" w:themeColor="text1"/>
          <w:szCs w:val="15"/>
        </w:rPr>
        <w:t>380</w:t>
      </w:r>
      <w:r w:rsidR="001B4B08">
        <w:rPr>
          <w:rFonts w:cs="Arial"/>
          <w:color w:val="000000" w:themeColor="text1"/>
          <w:szCs w:val="15"/>
        </w:rPr>
        <w:t>,</w:t>
      </w:r>
      <w:r w:rsidR="00B40BD3" w:rsidRPr="00FE162C">
        <w:rPr>
          <w:rFonts w:cs="Arial"/>
          <w:color w:val="000000" w:themeColor="text1"/>
          <w:szCs w:val="15"/>
        </w:rPr>
        <w:t xml:space="preserve"> which is the average current/expected annual wage for the sample.</w:t>
      </w:r>
    </w:p>
    <w:p w:rsidR="000F5ED7" w:rsidRPr="00FE162C" w:rsidRDefault="007B11BD" w:rsidP="0024240C">
      <w:pPr>
        <w:pStyle w:val="Source"/>
        <w:ind w:firstLine="0"/>
        <w:rPr>
          <w:color w:val="000000" w:themeColor="text1"/>
        </w:rPr>
      </w:pPr>
      <w:r w:rsidRPr="00FE162C">
        <w:rPr>
          <w:color w:val="000000" w:themeColor="text1"/>
        </w:rPr>
        <w:t>All variables are significant at the</w:t>
      </w:r>
      <w:r w:rsidR="000F5ED7" w:rsidRPr="00FE162C">
        <w:rPr>
          <w:color w:val="000000" w:themeColor="text1"/>
        </w:rPr>
        <w:t xml:space="preserve"> 5</w:t>
      </w:r>
      <w:r w:rsidR="00AF1216">
        <w:rPr>
          <w:color w:val="000000" w:themeColor="text1"/>
        </w:rPr>
        <w:t xml:space="preserve">% </w:t>
      </w:r>
      <w:r w:rsidR="000F5ED7" w:rsidRPr="00FE162C">
        <w:rPr>
          <w:color w:val="000000" w:themeColor="text1"/>
        </w:rPr>
        <w:t>or lower level</w:t>
      </w:r>
      <w:r w:rsidRPr="00FE162C">
        <w:rPr>
          <w:color w:val="000000" w:themeColor="text1"/>
        </w:rPr>
        <w:t xml:space="preserve"> exc</w:t>
      </w:r>
      <w:r w:rsidR="005320A5" w:rsidRPr="00FE162C">
        <w:rPr>
          <w:color w:val="000000" w:themeColor="text1"/>
        </w:rPr>
        <w:t>ept those marked with an asterisk</w:t>
      </w:r>
      <w:r w:rsidR="00912DDF" w:rsidRPr="00FE162C">
        <w:rPr>
          <w:color w:val="000000" w:themeColor="text1"/>
        </w:rPr>
        <w:t xml:space="preserve"> (*)</w:t>
      </w:r>
      <w:r w:rsidRPr="00FE162C">
        <w:rPr>
          <w:color w:val="000000" w:themeColor="text1"/>
        </w:rPr>
        <w:t>.</w:t>
      </w:r>
    </w:p>
    <w:p w:rsidR="000F5ED7" w:rsidRPr="00FE162C" w:rsidRDefault="000F5ED7" w:rsidP="00CA754F">
      <w:pPr>
        <w:pStyle w:val="Source"/>
        <w:rPr>
          <w:color w:val="000000" w:themeColor="text1"/>
        </w:rPr>
      </w:pPr>
      <w:r w:rsidRPr="00FE162C">
        <w:rPr>
          <w:color w:val="000000" w:themeColor="text1"/>
        </w:rPr>
        <w:tab/>
      </w:r>
      <w:r w:rsidRPr="009D2A6D">
        <w:rPr>
          <w:color w:val="000000" w:themeColor="text1"/>
        </w:rPr>
        <w:t>1</w:t>
      </w:r>
      <w:r w:rsidR="00B87039" w:rsidRPr="00FE162C">
        <w:rPr>
          <w:color w:val="000000" w:themeColor="text1"/>
          <w:vertAlign w:val="superscript"/>
        </w:rPr>
        <w:t xml:space="preserve"> </w:t>
      </w:r>
      <w:r w:rsidR="006B56E9" w:rsidRPr="00FE162C">
        <w:rPr>
          <w:color w:val="000000" w:themeColor="text1"/>
        </w:rPr>
        <w:t>Simulated confidence intervals using</w:t>
      </w:r>
      <w:r w:rsidR="005320A5" w:rsidRPr="00FE162C">
        <w:rPr>
          <w:color w:val="000000" w:themeColor="text1"/>
        </w:rPr>
        <w:t xml:space="preserve"> Krinsky-Robb procedure</w:t>
      </w:r>
      <w:r w:rsidR="006B56E9" w:rsidRPr="00FE162C">
        <w:rPr>
          <w:color w:val="000000" w:themeColor="text1"/>
        </w:rPr>
        <w:t xml:space="preserve"> </w:t>
      </w:r>
      <w:r w:rsidR="00BD7A55" w:rsidRPr="00FE162C">
        <w:rPr>
          <w:color w:val="000000" w:themeColor="text1"/>
        </w:rPr>
        <w:t>(</w:t>
      </w:r>
      <w:r w:rsidR="00406B75" w:rsidRPr="00FE162C">
        <w:rPr>
          <w:color w:val="000000" w:themeColor="text1"/>
        </w:rPr>
        <w:fldChar w:fldCharType="begin"/>
      </w:r>
      <w:r w:rsidR="00CA754F">
        <w:rPr>
          <w:color w:val="000000" w:themeColor="text1"/>
        </w:rPr>
        <w:instrText xml:space="preserve"> ADDIN EN.CITE &lt;EndNote&gt;&lt;Cite&gt;&lt;Author&gt;Krinsky&lt;/Author&gt;&lt;Year&gt;1986&lt;/Year&gt;&lt;RecNum&gt;1342&lt;/RecNum&gt;&lt;DisplayText&gt;Krinsky and Robb (1986)&lt;/DisplayText&gt;&lt;record&gt;&lt;rec-number&gt;1342&lt;/rec-number&gt;&lt;foreign-keys&gt;&lt;key app="EN" db-id="refafpv0nd2rd4e9e2qxeaf6rw5xxvv2ds22" timestamp="1380865332"&gt;1342&lt;/key&gt;&lt;/foreign-keys&gt;&lt;ref-type name="Journal Article"&gt;17&lt;/ref-type&gt;&lt;contributors&gt;&lt;authors&gt;&lt;author&gt;Krinsky, Itzhak&lt;/author&gt;&lt;author&gt;Robb, A. Leslie&lt;/author&gt;&lt;/authors&gt;&lt;/contributors&gt;&lt;titles&gt;&lt;title&gt;On Approximating the Statistical Properties of Elasticities&lt;/title&gt;&lt;secondary-title&gt;The Review of Economics and Statistics&lt;/secondary-title&gt;&lt;/titles&gt;&lt;periodical&gt;&lt;full-title&gt;The Review of Economics and Statistics&lt;/full-title&gt;&lt;/periodical&gt;&lt;pages&gt;715-719&lt;/pages&gt;&lt;volume&gt;68&lt;/volume&gt;&lt;number&gt;4&lt;/number&gt;&lt;dates&gt;&lt;year&gt;1986&lt;/year&gt;&lt;/dates&gt;&lt;publisher&gt;The MIT Press&lt;/publisher&gt;&lt;isbn&gt;00346535&lt;/isbn&gt;&lt;urls&gt;&lt;related-urls&gt;&lt;url&gt;http://www.jstor.org/stable/1924536&lt;/url&gt;&lt;/related-urls&gt;&lt;/urls&gt;&lt;electronic-resource-num&gt;10.2307/1924536&lt;/electronic-resource-num&gt;&lt;/record&gt;&lt;/Cite&gt;&lt;/EndNote&gt;</w:instrText>
      </w:r>
      <w:r w:rsidR="00406B75" w:rsidRPr="00FE162C">
        <w:rPr>
          <w:color w:val="000000" w:themeColor="text1"/>
        </w:rPr>
        <w:fldChar w:fldCharType="separate"/>
      </w:r>
      <w:hyperlink w:anchor="_ENREF_34" w:tooltip="Krinsky, 1986 #1342" w:history="1">
        <w:r w:rsidR="00CA754F">
          <w:rPr>
            <w:noProof/>
            <w:color w:val="000000" w:themeColor="text1"/>
          </w:rPr>
          <w:t xml:space="preserve">Krinsky </w:t>
        </w:r>
        <w:r w:rsidR="001B4B08">
          <w:rPr>
            <w:noProof/>
            <w:color w:val="000000" w:themeColor="text1"/>
          </w:rPr>
          <w:t xml:space="preserve">&amp; Robb </w:t>
        </w:r>
        <w:r w:rsidR="00CA754F">
          <w:rPr>
            <w:noProof/>
            <w:color w:val="000000" w:themeColor="text1"/>
          </w:rPr>
          <w:t>1986</w:t>
        </w:r>
      </w:hyperlink>
      <w:r w:rsidR="00CA754F">
        <w:rPr>
          <w:noProof/>
          <w:color w:val="000000" w:themeColor="text1"/>
        </w:rPr>
        <w:t>)</w:t>
      </w:r>
      <w:r w:rsidR="00406B75" w:rsidRPr="00FE162C">
        <w:rPr>
          <w:color w:val="000000" w:themeColor="text1"/>
        </w:rPr>
        <w:fldChar w:fldCharType="end"/>
      </w:r>
      <w:r w:rsidR="001B4B08">
        <w:rPr>
          <w:color w:val="000000" w:themeColor="text1"/>
        </w:rPr>
        <w:t>.</w:t>
      </w:r>
    </w:p>
    <w:p w:rsidR="00C44197" w:rsidRPr="00FE162C" w:rsidRDefault="00C44197" w:rsidP="000F5ED7">
      <w:pPr>
        <w:pStyle w:val="Source"/>
        <w:rPr>
          <w:color w:val="000000" w:themeColor="text1"/>
        </w:rPr>
      </w:pPr>
      <w:r w:rsidRPr="00FE162C">
        <w:rPr>
          <w:color w:val="000000" w:themeColor="text1"/>
        </w:rPr>
        <w:tab/>
      </w:r>
      <w:r w:rsidRPr="009D2A6D">
        <w:rPr>
          <w:color w:val="000000" w:themeColor="text1"/>
        </w:rPr>
        <w:t>2</w:t>
      </w:r>
      <w:r w:rsidR="00B87039" w:rsidRPr="00FE162C">
        <w:rPr>
          <w:color w:val="000000" w:themeColor="text1"/>
          <w:vertAlign w:val="superscript"/>
        </w:rPr>
        <w:t xml:space="preserve"> </w:t>
      </w:r>
      <w:r w:rsidRPr="00FE162C">
        <w:rPr>
          <w:color w:val="000000" w:themeColor="text1"/>
        </w:rPr>
        <w:t>Non-dummy variable</w:t>
      </w:r>
      <w:r w:rsidR="00885F8A" w:rsidRPr="00FE162C">
        <w:rPr>
          <w:color w:val="000000" w:themeColor="text1"/>
        </w:rPr>
        <w:t>s</w:t>
      </w:r>
      <w:r w:rsidR="001B4B08">
        <w:rPr>
          <w:color w:val="000000" w:themeColor="text1"/>
        </w:rPr>
        <w:t>.</w:t>
      </w:r>
    </w:p>
    <w:p w:rsidR="00912DDF" w:rsidRPr="00FE162C" w:rsidRDefault="00912DDF" w:rsidP="00912DDF">
      <w:pPr>
        <w:pStyle w:val="Heading2"/>
        <w:rPr>
          <w:color w:val="000000" w:themeColor="text1"/>
        </w:rPr>
      </w:pPr>
      <w:bookmarkStart w:id="59" w:name="_Toc386530493"/>
      <w:r w:rsidRPr="00FE162C">
        <w:rPr>
          <w:color w:val="000000" w:themeColor="text1"/>
        </w:rPr>
        <w:lastRenderedPageBreak/>
        <w:t>Estimates of total willingness to pay</w:t>
      </w:r>
      <w:bookmarkEnd w:id="59"/>
    </w:p>
    <w:p w:rsidR="008C7235" w:rsidRPr="00FE162C" w:rsidRDefault="00382404" w:rsidP="00C00BF0">
      <w:pPr>
        <w:pStyle w:val="Text"/>
      </w:pPr>
      <w:r w:rsidRPr="00FE162C">
        <w:t>F</w:t>
      </w:r>
      <w:r w:rsidR="00122010" w:rsidRPr="00FE162C">
        <w:t>rom a policy per</w:t>
      </w:r>
      <w:r w:rsidR="00061161" w:rsidRPr="00FE162C">
        <w:t>spective it is useful</w:t>
      </w:r>
      <w:r w:rsidR="00122010" w:rsidRPr="00FE162C">
        <w:t xml:space="preserve"> to know the </w:t>
      </w:r>
      <w:r w:rsidR="0062735F" w:rsidRPr="00FE162C">
        <w:t>total</w:t>
      </w:r>
      <w:r w:rsidR="001B4B08">
        <w:t>, in wage-</w:t>
      </w:r>
      <w:r w:rsidR="006102D2" w:rsidRPr="00FE162C">
        <w:t xml:space="preserve">equivalent terms, </w:t>
      </w:r>
      <w:r w:rsidR="0062735F" w:rsidRPr="00FE162C">
        <w:t>that a person</w:t>
      </w:r>
      <w:r w:rsidR="00B40BD3" w:rsidRPr="00FE162C">
        <w:t xml:space="preserve"> </w:t>
      </w:r>
      <w:r w:rsidRPr="00FE162C">
        <w:t>with certain</w:t>
      </w:r>
      <w:r w:rsidR="007A6785">
        <w:t xml:space="preserve"> characteristics</w:t>
      </w:r>
      <w:r w:rsidR="0062735F" w:rsidRPr="00FE162C">
        <w:t xml:space="preserve"> is willing to forgo, or requires</w:t>
      </w:r>
      <w:r w:rsidR="007A6785">
        <w:t xml:space="preserve"> to be compensated, to</w:t>
      </w:r>
      <w:r w:rsidR="0062735F" w:rsidRPr="00FE162C">
        <w:t xml:space="preserve"> a</w:t>
      </w:r>
      <w:r w:rsidR="007A6785">
        <w:t>ccept</w:t>
      </w:r>
      <w:r w:rsidR="00711960" w:rsidRPr="00FE162C">
        <w:t xml:space="preserve"> a</w:t>
      </w:r>
      <w:r w:rsidR="00772531">
        <w:t xml:space="preserve"> specific</w:t>
      </w:r>
      <w:r w:rsidR="0062735F" w:rsidRPr="00FE162C">
        <w:t xml:space="preserve"> job</w:t>
      </w:r>
      <w:r w:rsidR="00B40BD3" w:rsidRPr="00FE162C">
        <w:t xml:space="preserve"> offer</w:t>
      </w:r>
      <w:r w:rsidR="006102D2" w:rsidRPr="00FE162C">
        <w:t>.</w:t>
      </w:r>
      <w:r w:rsidR="00122010" w:rsidRPr="00FE162C">
        <w:t xml:space="preserve"> </w:t>
      </w:r>
      <w:r w:rsidR="00715447" w:rsidRPr="00FE162C">
        <w:t>This is referred to as the total willingness to pay (TWTP)</w:t>
      </w:r>
      <w:r w:rsidR="001B4B08">
        <w:t>,</w:t>
      </w:r>
      <w:r w:rsidR="00885F8A" w:rsidRPr="00FE162C">
        <w:rPr>
          <w:rStyle w:val="FootnoteReference"/>
          <w:color w:val="000000" w:themeColor="text1"/>
        </w:rPr>
        <w:footnoteReference w:id="21"/>
      </w:r>
      <w:r w:rsidR="00715447" w:rsidRPr="00FE162C">
        <w:t xml:space="preserve"> with </w:t>
      </w:r>
      <w:r w:rsidR="00711960" w:rsidRPr="00FE162C">
        <w:t xml:space="preserve">a </w:t>
      </w:r>
      <w:r w:rsidR="00DB701F" w:rsidRPr="00FE162C">
        <w:t>positive</w:t>
      </w:r>
      <w:r w:rsidR="00715447" w:rsidRPr="00FE162C">
        <w:t xml:space="preserve"> value </w:t>
      </w:r>
      <w:r w:rsidR="00711960" w:rsidRPr="00FE162C">
        <w:t>indicating the amount individuals</w:t>
      </w:r>
      <w:r w:rsidR="00715447" w:rsidRPr="00FE162C">
        <w:t xml:space="preserve"> are willing to forgo and a </w:t>
      </w:r>
      <w:r w:rsidR="00DB701F" w:rsidRPr="00FE162C">
        <w:t>negative</w:t>
      </w:r>
      <w:r w:rsidR="00711960" w:rsidRPr="00FE162C">
        <w:t xml:space="preserve"> value indicating the amount they have to be</w:t>
      </w:r>
      <w:r w:rsidR="00715447" w:rsidRPr="00FE162C">
        <w:t xml:space="preserve"> compensated.</w:t>
      </w:r>
      <w:r w:rsidR="00772531">
        <w:t xml:space="preserve"> The</w:t>
      </w:r>
      <w:r w:rsidR="001B4B08">
        <w:t xml:space="preserve"> results from t</w:t>
      </w:r>
      <w:r w:rsidR="008C7235" w:rsidRPr="00FE162C">
        <w:t>able 4 allow us to calculate the TWTP for any individual in the sample and for any combination of the th</w:t>
      </w:r>
      <w:r w:rsidR="00AF0CA4" w:rsidRPr="00FE162C">
        <w:t>ree non-wage job attributes.</w:t>
      </w:r>
      <w:r w:rsidR="008C7235" w:rsidRPr="00FE162C">
        <w:t xml:space="preserve"> Appendix D </w:t>
      </w:r>
      <w:r w:rsidR="00AF0CA4" w:rsidRPr="00FE162C">
        <w:t>includes</w:t>
      </w:r>
      <w:r w:rsidR="008C7235" w:rsidRPr="00FE162C">
        <w:t xml:space="preserve"> the f</w:t>
      </w:r>
      <w:r w:rsidR="00AF0CA4" w:rsidRPr="00FE162C">
        <w:t xml:space="preserve">ormula for calculating the </w:t>
      </w:r>
      <w:r w:rsidR="001B4B08" w:rsidRPr="00FE162C">
        <w:t>total willingness to pay</w:t>
      </w:r>
      <w:r w:rsidR="008C7235" w:rsidRPr="00FE162C">
        <w:t>.</w:t>
      </w:r>
    </w:p>
    <w:p w:rsidR="00B40BD3" w:rsidRPr="00FE162C" w:rsidRDefault="00814619" w:rsidP="00C00BF0">
      <w:pPr>
        <w:pStyle w:val="Text"/>
      </w:pPr>
      <w:r w:rsidRPr="00FE162C">
        <w:t xml:space="preserve">Our experimental design does not include </w:t>
      </w:r>
      <w:r w:rsidR="008C7235" w:rsidRPr="00FE162C">
        <w:t xml:space="preserve">a </w:t>
      </w:r>
      <w:r w:rsidRPr="00FE162C">
        <w:t>wage redu</w:t>
      </w:r>
      <w:r w:rsidR="00E11797" w:rsidRPr="00FE162C">
        <w:t>ction as a condition of any job</w:t>
      </w:r>
      <w:r w:rsidRPr="00FE162C">
        <w:t xml:space="preserve"> </w:t>
      </w:r>
      <w:r w:rsidR="008C7235" w:rsidRPr="00FE162C">
        <w:t>offer and,</w:t>
      </w:r>
      <w:r w:rsidR="00F6771B" w:rsidRPr="00FE162C">
        <w:t xml:space="preserve"> therefore,</w:t>
      </w:r>
      <w:r w:rsidRPr="00FE162C">
        <w:t xml:space="preserve"> interpreting positive TWTPs</w:t>
      </w:r>
      <w:r w:rsidR="008C7235" w:rsidRPr="00FE162C">
        <w:t xml:space="preserve"> requires caution</w:t>
      </w:r>
      <w:r w:rsidR="00A07734">
        <w:t>.</w:t>
      </w:r>
      <w:r w:rsidR="006D493F" w:rsidRPr="00FE162C">
        <w:t xml:space="preserve"> As positive values of TWTP relate to individuals who are implicitly willing to accept job offers without being offered a wage premium, for practical pu</w:t>
      </w:r>
      <w:r w:rsidR="00772531">
        <w:t>rposes the TWTP for them</w:t>
      </w:r>
      <w:r w:rsidR="006D493F" w:rsidRPr="00FE162C">
        <w:t xml:space="preserve"> </w:t>
      </w:r>
      <w:r w:rsidR="00772531">
        <w:t>might</w:t>
      </w:r>
      <w:r w:rsidR="006D493F" w:rsidRPr="00FE162C">
        <w:t xml:space="preserve"> as well </w:t>
      </w:r>
      <w:r w:rsidR="009216A2" w:rsidRPr="00FE162C">
        <w:t xml:space="preserve">be </w:t>
      </w:r>
      <w:r w:rsidR="00772531">
        <w:t xml:space="preserve">considered </w:t>
      </w:r>
      <w:r w:rsidR="009216A2" w:rsidRPr="00FE162C">
        <w:t>zero</w:t>
      </w:r>
      <w:r w:rsidR="00F0126D" w:rsidRPr="00FE162C">
        <w:t>.</w:t>
      </w:r>
    </w:p>
    <w:p w:rsidR="00686A91" w:rsidRPr="00FE162C" w:rsidRDefault="006D493F" w:rsidP="00C00BF0">
      <w:pPr>
        <w:pStyle w:val="Text"/>
      </w:pPr>
      <w:r w:rsidRPr="00FE162C">
        <w:t>As an illustration</w:t>
      </w:r>
      <w:r w:rsidR="00A07734">
        <w:t>,</w:t>
      </w:r>
      <w:r w:rsidR="005D4474" w:rsidRPr="00FE162C">
        <w:t xml:space="preserve"> we calculated</w:t>
      </w:r>
      <w:r w:rsidR="00AC4226" w:rsidRPr="00FE162C">
        <w:t xml:space="preserve"> for each person in the sa</w:t>
      </w:r>
      <w:r w:rsidR="001B4B08">
        <w:t>mple</w:t>
      </w:r>
      <w:r w:rsidR="00842E6A">
        <w:t xml:space="preserve"> the TWTP for accepting jobs that are</w:t>
      </w:r>
      <w:r w:rsidR="00AC4226" w:rsidRPr="00FE162C">
        <w:t xml:space="preserve"> </w:t>
      </w:r>
      <w:r w:rsidR="00965475">
        <w:t>ongoing</w:t>
      </w:r>
      <w:r w:rsidRPr="00FE162C">
        <w:t>,</w:t>
      </w:r>
      <w:r w:rsidR="00842E6A">
        <w:t xml:space="preserve"> have</w:t>
      </w:r>
      <w:r w:rsidR="00A90795" w:rsidRPr="00FE162C">
        <w:t xml:space="preserve"> no training component and</w:t>
      </w:r>
      <w:r w:rsidR="00842E6A">
        <w:t xml:space="preserve"> which require relocation</w:t>
      </w:r>
      <w:r w:rsidR="00AC4226" w:rsidRPr="00FE162C">
        <w:t xml:space="preserve"> to</w:t>
      </w:r>
      <w:r w:rsidR="00A3506D" w:rsidRPr="00FE162C">
        <w:t xml:space="preserve"> either</w:t>
      </w:r>
      <w:r w:rsidR="00221805" w:rsidRPr="00FE162C">
        <w:t xml:space="preserve"> Emerald or Karratha</w:t>
      </w:r>
      <w:r w:rsidR="005D4474" w:rsidRPr="00FE162C">
        <w:t>.</w:t>
      </w:r>
      <w:r w:rsidR="00590B8E" w:rsidRPr="00FE162C">
        <w:rPr>
          <w:rStyle w:val="FootnoteReference"/>
          <w:color w:val="000000" w:themeColor="text1"/>
        </w:rPr>
        <w:footnoteReference w:id="22"/>
      </w:r>
      <w:r w:rsidR="001D52A4" w:rsidRPr="00FE162C">
        <w:t xml:space="preserve"> </w:t>
      </w:r>
      <w:r w:rsidR="005D4474" w:rsidRPr="00FE162C">
        <w:t xml:space="preserve">The distribution of </w:t>
      </w:r>
      <w:r w:rsidR="00203106" w:rsidRPr="00FE162C">
        <w:t>these TWTP</w:t>
      </w:r>
      <w:r w:rsidR="005D7655" w:rsidRPr="00FE162C">
        <w:t>s</w:t>
      </w:r>
      <w:r w:rsidR="00203106" w:rsidRPr="00FE162C">
        <w:t xml:space="preserve"> is shown</w:t>
      </w:r>
      <w:r w:rsidR="001B4B08">
        <w:t xml:space="preserve"> in f</w:t>
      </w:r>
      <w:r w:rsidR="000A7256" w:rsidRPr="00FE162C">
        <w:t>igure 1.</w:t>
      </w:r>
      <w:r w:rsidR="00A94347" w:rsidRPr="00FE162C">
        <w:t xml:space="preserve"> </w:t>
      </w:r>
      <w:r w:rsidR="00EC0AA2" w:rsidRPr="00FE162C">
        <w:t>The variation in the TWTP</w:t>
      </w:r>
      <w:r w:rsidR="000F5980" w:rsidRPr="00FE162C">
        <w:t xml:space="preserve"> reflect</w:t>
      </w:r>
      <w:r w:rsidR="00EC0AA2" w:rsidRPr="00FE162C">
        <w:t>s the differences in</w:t>
      </w:r>
      <w:r w:rsidR="001B4B08">
        <w:t xml:space="preserve"> individual characteristics. </w:t>
      </w:r>
      <w:r w:rsidR="005D7655" w:rsidRPr="00FE162C">
        <w:t xml:space="preserve">Overlayed </w:t>
      </w:r>
      <w:r w:rsidR="00B93FFD" w:rsidRPr="00FE162C">
        <w:t>on the histogram is the kernel density plot of</w:t>
      </w:r>
      <w:r w:rsidR="005D7655" w:rsidRPr="00FE162C">
        <w:t xml:space="preserve"> </w:t>
      </w:r>
      <w:r w:rsidR="00DB701F" w:rsidRPr="00FE162C">
        <w:t xml:space="preserve">the </w:t>
      </w:r>
      <w:r w:rsidR="005D7655" w:rsidRPr="00FE162C">
        <w:t>distribution (solid line)</w:t>
      </w:r>
      <w:r w:rsidR="00B93FFD" w:rsidRPr="00FE162C">
        <w:t xml:space="preserve"> and </w:t>
      </w:r>
      <w:r w:rsidR="005169AB" w:rsidRPr="00FE162C">
        <w:t xml:space="preserve">also </w:t>
      </w:r>
      <w:r w:rsidR="00DB701F" w:rsidRPr="00FE162C">
        <w:t>the</w:t>
      </w:r>
      <w:r w:rsidR="00B93FFD" w:rsidRPr="00FE162C">
        <w:t xml:space="preserve"> normal distribution (dotted line) with the same mean and standard deviation</w:t>
      </w:r>
      <w:r w:rsidR="002B26B9" w:rsidRPr="00FE162C">
        <w:t xml:space="preserve"> to indicate the closeness of the sample distribution to the normal distribution</w:t>
      </w:r>
      <w:r w:rsidR="005169AB" w:rsidRPr="00FE162C">
        <w:t xml:space="preserve">. The mean value of this distribution is </w:t>
      </w:r>
      <w:r w:rsidRPr="00FE162C">
        <w:t>negative</w:t>
      </w:r>
      <w:r w:rsidR="00772531">
        <w:t xml:space="preserve"> </w:t>
      </w:r>
      <w:r w:rsidR="001B4B08">
        <w:t xml:space="preserve">$51 </w:t>
      </w:r>
      <w:r w:rsidR="00826D8C" w:rsidRPr="00FE162C">
        <w:t>752</w:t>
      </w:r>
      <w:r w:rsidR="000A7256" w:rsidRPr="00FE162C">
        <w:t xml:space="preserve"> an</w:t>
      </w:r>
      <w:r w:rsidR="001B4B08">
        <w:t xml:space="preserve">d the standard deviation is $54 </w:t>
      </w:r>
      <w:r w:rsidR="000A7256" w:rsidRPr="00FE162C">
        <w:t>000</w:t>
      </w:r>
      <w:r w:rsidR="00826D8C" w:rsidRPr="00FE162C">
        <w:t>. Th</w:t>
      </w:r>
      <w:r w:rsidR="00485FD8" w:rsidRPr="00FE162C">
        <w:t>is means that</w:t>
      </w:r>
      <w:r w:rsidR="00772531">
        <w:t xml:space="preserve"> to get 50</w:t>
      </w:r>
      <w:r w:rsidR="00AF1216">
        <w:t xml:space="preserve">% </w:t>
      </w:r>
      <w:r w:rsidR="00772531">
        <w:t>of the sample to accept jobs of this type requires offering wage compensation</w:t>
      </w:r>
      <w:r w:rsidR="00826D8C" w:rsidRPr="00FE162C">
        <w:t xml:space="preserve"> of</w:t>
      </w:r>
      <w:r w:rsidR="001B4B08">
        <w:t xml:space="preserve"> at least $51 </w:t>
      </w:r>
      <w:r w:rsidR="00772531">
        <w:t>752</w:t>
      </w:r>
      <w:r w:rsidR="00BC3AE1" w:rsidRPr="00FE162C">
        <w:t xml:space="preserve">. </w:t>
      </w:r>
      <w:r w:rsidR="00772531">
        <w:t>The</w:t>
      </w:r>
      <w:r w:rsidR="00BC3AE1" w:rsidRPr="00FE162C">
        <w:t xml:space="preserve"> 14</w:t>
      </w:r>
      <w:r w:rsidR="00AF1216">
        <w:t xml:space="preserve">% </w:t>
      </w:r>
      <w:r w:rsidR="002B26B9" w:rsidRPr="00FE162C">
        <w:t xml:space="preserve">of the </w:t>
      </w:r>
      <w:r w:rsidR="00772531">
        <w:t xml:space="preserve">sample with positive </w:t>
      </w:r>
      <w:r w:rsidR="002B26B9" w:rsidRPr="00FE162C">
        <w:t>TWTPs</w:t>
      </w:r>
      <w:r w:rsidR="00C86489" w:rsidRPr="00FE162C">
        <w:rPr>
          <w:rStyle w:val="FootnoteReference"/>
          <w:color w:val="000000" w:themeColor="text1"/>
        </w:rPr>
        <w:footnoteReference w:id="23"/>
      </w:r>
      <w:r w:rsidR="00C86489" w:rsidRPr="00FE162C">
        <w:t xml:space="preserve"> </w:t>
      </w:r>
      <w:r w:rsidR="00485FD8" w:rsidRPr="00FE162C">
        <w:t>are</w:t>
      </w:r>
      <w:r w:rsidR="00BC3AE1" w:rsidRPr="00FE162C">
        <w:t xml:space="preserve"> </w:t>
      </w:r>
      <w:r w:rsidR="00772531">
        <w:t>individuals willing to accept job offers without any wage premium</w:t>
      </w:r>
      <w:r w:rsidR="00C86489" w:rsidRPr="00FE162C">
        <w:t>.</w:t>
      </w:r>
    </w:p>
    <w:p w:rsidR="00E9393A" w:rsidRPr="00FE162C" w:rsidRDefault="00E9393A">
      <w:pPr>
        <w:spacing w:before="0" w:line="240" w:lineRule="auto"/>
        <w:rPr>
          <w:rFonts w:ascii="Tahoma" w:hAnsi="Tahoma"/>
          <w:b/>
          <w:color w:val="000000" w:themeColor="text1"/>
          <w:sz w:val="17"/>
        </w:rPr>
      </w:pPr>
      <w:r w:rsidRPr="00FE162C">
        <w:rPr>
          <w:color w:val="000000" w:themeColor="text1"/>
        </w:rPr>
        <w:br w:type="page"/>
      </w:r>
    </w:p>
    <w:p w:rsidR="00686A91" w:rsidRPr="00FE162C" w:rsidRDefault="00C00BF0" w:rsidP="00C00BF0">
      <w:pPr>
        <w:pStyle w:val="Figuretitle"/>
      </w:pPr>
      <w:bookmarkStart w:id="60" w:name="_Toc386530558"/>
      <w:r w:rsidRPr="00FE162C">
        <w:rPr>
          <w:noProof/>
          <w:color w:val="000000" w:themeColor="text1"/>
          <w:lang w:eastAsia="en-AU"/>
        </w:rPr>
        <w:lastRenderedPageBreak/>
        <w:drawing>
          <wp:anchor distT="0" distB="0" distL="114300" distR="114300" simplePos="0" relativeHeight="251724800" behindDoc="0" locked="0" layoutInCell="1" allowOverlap="1" wp14:anchorId="6CC7184E" wp14:editId="2CFC5A74">
            <wp:simplePos x="0" y="0"/>
            <wp:positionH relativeFrom="column">
              <wp:posOffset>-40640</wp:posOffset>
            </wp:positionH>
            <wp:positionV relativeFrom="paragraph">
              <wp:posOffset>356235</wp:posOffset>
            </wp:positionV>
            <wp:extent cx="5114925" cy="3743325"/>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14925" cy="3743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6A91" w:rsidRPr="00FE162C">
        <w:t>Figure 1</w:t>
      </w:r>
      <w:r w:rsidR="00686A91" w:rsidRPr="00FE162C">
        <w:tab/>
      </w:r>
      <w:r w:rsidR="00686A91" w:rsidRPr="00C00BF0">
        <w:t>Distribution</w:t>
      </w:r>
      <w:r w:rsidR="00686A91" w:rsidRPr="00FE162C">
        <w:t xml:space="preserve"> of total willingness to pay</w:t>
      </w:r>
      <w:r w:rsidR="00221805" w:rsidRPr="00FE162C">
        <w:t xml:space="preserve"> (TWTP) for accepting a</w:t>
      </w:r>
      <w:r w:rsidR="00C47E60" w:rsidRPr="00FE162C">
        <w:t xml:space="preserve"> job </w:t>
      </w:r>
      <w:r w:rsidR="000F5980" w:rsidRPr="00FE162C">
        <w:t>offer</w:t>
      </w:r>
      <w:r w:rsidR="00C47E60" w:rsidRPr="00FE162C">
        <w:t xml:space="preserve"> </w:t>
      </w:r>
      <w:r w:rsidR="00423830" w:rsidRPr="00FE162C">
        <w:t>which</w:t>
      </w:r>
      <w:r w:rsidR="00C47E60" w:rsidRPr="00FE162C">
        <w:t xml:space="preserve"> is</w:t>
      </w:r>
      <w:r w:rsidR="00221805" w:rsidRPr="00FE162C">
        <w:t xml:space="preserve"> </w:t>
      </w:r>
      <w:r w:rsidR="00965475">
        <w:t>ongoing</w:t>
      </w:r>
      <w:r w:rsidR="00C47E60" w:rsidRPr="00FE162C">
        <w:t>, has no</w:t>
      </w:r>
      <w:r w:rsidR="00093F88" w:rsidRPr="00FE162C">
        <w:t xml:space="preserve"> training</w:t>
      </w:r>
      <w:r w:rsidR="003F242D" w:rsidRPr="00FE162C">
        <w:t xml:space="preserve"> component</w:t>
      </w:r>
      <w:r w:rsidR="00093F88" w:rsidRPr="00FE162C">
        <w:t xml:space="preserve"> and requir</w:t>
      </w:r>
      <w:r w:rsidR="00C47E60" w:rsidRPr="00FE162C">
        <w:t>es</w:t>
      </w:r>
      <w:r w:rsidR="00221805" w:rsidRPr="00FE162C">
        <w:t xml:space="preserve"> </w:t>
      </w:r>
      <w:r w:rsidR="003F242D" w:rsidRPr="00FE162C">
        <w:t xml:space="preserve">a person to </w:t>
      </w:r>
      <w:r w:rsidR="00221805" w:rsidRPr="00FE162C">
        <w:t>relocat</w:t>
      </w:r>
      <w:r w:rsidR="003F242D" w:rsidRPr="00FE162C">
        <w:t>e</w:t>
      </w:r>
      <w:r w:rsidR="00221805" w:rsidRPr="00FE162C">
        <w:t xml:space="preserve"> to either Emerald or Karratha</w:t>
      </w:r>
      <w:bookmarkEnd w:id="60"/>
    </w:p>
    <w:p w:rsidR="00686A91" w:rsidRPr="00FE162C" w:rsidRDefault="009A278B" w:rsidP="00C00BF0">
      <w:pPr>
        <w:pStyle w:val="Source"/>
      </w:pPr>
      <w:r w:rsidRPr="00FE162C">
        <w:t>Note:</w:t>
      </w:r>
      <w:r w:rsidRPr="00FE162C">
        <w:tab/>
      </w:r>
      <w:r>
        <w:t>The mean and standard deviation of the above distribution is</w:t>
      </w:r>
      <w:r w:rsidRPr="009A278B">
        <w:t xml:space="preserve"> </w:t>
      </w:r>
      <w:r>
        <w:t>$</w:t>
      </w:r>
      <w:r w:rsidR="001B4B08">
        <w:t xml:space="preserve">51 </w:t>
      </w:r>
      <w:r w:rsidRPr="00FE162C">
        <w:t>752</w:t>
      </w:r>
      <w:r>
        <w:t xml:space="preserve"> and</w:t>
      </w:r>
      <w:r w:rsidR="001B4B08">
        <w:t xml:space="preserve"> $54 </w:t>
      </w:r>
      <w:r w:rsidRPr="00FE162C">
        <w:t>000</w:t>
      </w:r>
      <w:r>
        <w:t>, respectively.</w:t>
      </w:r>
    </w:p>
    <w:p w:rsidR="00660F42" w:rsidRPr="00FE162C" w:rsidRDefault="00E85F8D" w:rsidP="00C00BF0">
      <w:pPr>
        <w:pStyle w:val="Textmorebefore"/>
      </w:pPr>
      <w:r w:rsidRPr="00FE162C">
        <w:t>W</w:t>
      </w:r>
      <w:r w:rsidR="00660F42" w:rsidRPr="00FE162C">
        <w:t xml:space="preserve">e </w:t>
      </w:r>
      <w:r w:rsidRPr="00FE162C">
        <w:t xml:space="preserve">next </w:t>
      </w:r>
      <w:r w:rsidR="00660F42" w:rsidRPr="00FE162C">
        <w:t>consider the</w:t>
      </w:r>
      <w:r w:rsidR="005B036B" w:rsidRPr="00FE162C">
        <w:t xml:space="preserve"> </w:t>
      </w:r>
      <w:r w:rsidR="001B4B08" w:rsidRPr="00FE162C">
        <w:t>total willingness to pay</w:t>
      </w:r>
      <w:r w:rsidR="00BD11DA" w:rsidRPr="00FE162C">
        <w:t xml:space="preserve"> </w:t>
      </w:r>
      <w:r w:rsidR="00221805" w:rsidRPr="00FE162C">
        <w:t>for</w:t>
      </w:r>
      <w:r w:rsidR="00633737" w:rsidRPr="00FE162C">
        <w:t xml:space="preserve"> three</w:t>
      </w:r>
      <w:r w:rsidR="00660F42" w:rsidRPr="00FE162C">
        <w:t xml:space="preserve"> mutually exclusive and exhaustive</w:t>
      </w:r>
      <w:r w:rsidRPr="00FE162C">
        <w:t xml:space="preserve"> groups</w:t>
      </w:r>
      <w:r w:rsidR="00BD11DA" w:rsidRPr="00FE162C">
        <w:t xml:space="preserve"> who are offered the same type of jobs as above</w:t>
      </w:r>
      <w:r w:rsidR="00660F42" w:rsidRPr="00FE162C">
        <w:t>. These groups are:</w:t>
      </w:r>
    </w:p>
    <w:p w:rsidR="00337E7F" w:rsidRPr="00FE162C" w:rsidRDefault="001B4B08" w:rsidP="00C00BF0">
      <w:pPr>
        <w:pStyle w:val="Dotpoint1"/>
      </w:pPr>
      <w:r>
        <w:t xml:space="preserve">young: </w:t>
      </w:r>
      <w:r w:rsidR="00DE6B51">
        <w:t>single,</w:t>
      </w:r>
      <w:r w:rsidR="00337E7F" w:rsidRPr="00FE162C">
        <w:t xml:space="preserve"> looking</w:t>
      </w:r>
      <w:r w:rsidR="00660F42" w:rsidRPr="00FE162C">
        <w:t xml:space="preserve"> for work</w:t>
      </w:r>
      <w:r w:rsidR="00DE6B51">
        <w:t xml:space="preserve"> (includes all who are unemployed)</w:t>
      </w:r>
      <w:r>
        <w:t xml:space="preserve"> and under 30 years of age (4%</w:t>
      </w:r>
      <w:r w:rsidR="00337E7F" w:rsidRPr="00FE162C">
        <w:t>)</w:t>
      </w:r>
    </w:p>
    <w:p w:rsidR="00337E7F" w:rsidRPr="00FE162C" w:rsidRDefault="001B4B08" w:rsidP="00C00BF0">
      <w:pPr>
        <w:pStyle w:val="Dotpoint1"/>
      </w:pPr>
      <w:r>
        <w:t xml:space="preserve">old: </w:t>
      </w:r>
      <w:r w:rsidR="00337E7F" w:rsidRPr="00FE162C">
        <w:t>married, employed and not looking for work, o</w:t>
      </w:r>
      <w:r w:rsidR="00660F42" w:rsidRPr="00FE162C">
        <w:t>wn a house and over 40 years of age</w:t>
      </w:r>
      <w:r>
        <w:t xml:space="preserve"> (18%</w:t>
      </w:r>
      <w:r w:rsidR="00337E7F" w:rsidRPr="00FE162C">
        <w:t>)</w:t>
      </w:r>
    </w:p>
    <w:p w:rsidR="00337E7F" w:rsidRPr="00FE162C" w:rsidRDefault="001B4B08" w:rsidP="00C00BF0">
      <w:pPr>
        <w:pStyle w:val="Dotpoint1"/>
      </w:pPr>
      <w:r>
        <w:t>t</w:t>
      </w:r>
      <w:r w:rsidR="00660F42" w:rsidRPr="00FE162C">
        <w:t>he rest</w:t>
      </w:r>
      <w:r>
        <w:t xml:space="preserve">: </w:t>
      </w:r>
      <w:r w:rsidR="00633737" w:rsidRPr="00FE162C">
        <w:t>neither</w:t>
      </w:r>
      <w:r w:rsidR="00660F42" w:rsidRPr="00FE162C">
        <w:t xml:space="preserve"> </w:t>
      </w:r>
      <w:r w:rsidRPr="00FE162C">
        <w:t xml:space="preserve">young nor old </w:t>
      </w:r>
      <w:r>
        <w:t>(78%</w:t>
      </w:r>
      <w:r w:rsidR="00337E7F" w:rsidRPr="00FE162C">
        <w:t>).</w:t>
      </w:r>
    </w:p>
    <w:p w:rsidR="000A7256" w:rsidRPr="00FE162C" w:rsidRDefault="006A15F7" w:rsidP="00C00BF0">
      <w:pPr>
        <w:pStyle w:val="Text"/>
      </w:pPr>
      <w:r>
        <w:t xml:space="preserve">Comparing the average TWTP of the </w:t>
      </w:r>
      <w:r w:rsidR="001B4B08">
        <w:t xml:space="preserve">old and young </w:t>
      </w:r>
      <w:r>
        <w:t>groups will provide a contrast in the</w:t>
      </w:r>
      <w:r w:rsidR="00D77635">
        <w:t xml:space="preserve"> willingness to accept job offers</w:t>
      </w:r>
      <w:r w:rsidR="00575B57">
        <w:t>,</w:t>
      </w:r>
      <w:r w:rsidR="00D77635">
        <w:t xml:space="preserve"> as the</w:t>
      </w:r>
      <w:r>
        <w:t xml:space="preserve"> groups are at the </w:t>
      </w:r>
      <w:r w:rsidR="00D77635">
        <w:t>opposite</w:t>
      </w:r>
      <w:r>
        <w:t xml:space="preserve"> ends of the mobility spectrum.</w:t>
      </w:r>
    </w:p>
    <w:p w:rsidR="00854DAD" w:rsidRPr="00FE162C" w:rsidRDefault="00D85BBE" w:rsidP="00C00BF0">
      <w:pPr>
        <w:pStyle w:val="Text"/>
      </w:pPr>
      <w:r w:rsidRPr="00FE162C">
        <w:t>Table 5 shows the minimum</w:t>
      </w:r>
      <w:r w:rsidR="002B6D30" w:rsidRPr="00FE162C">
        <w:t xml:space="preserve"> </w:t>
      </w:r>
      <w:r w:rsidR="00D77635">
        <w:t>TWTP for</w:t>
      </w:r>
      <w:r w:rsidR="00ED24C5" w:rsidRPr="00FE162C">
        <w:t xml:space="preserve"> 25</w:t>
      </w:r>
      <w:r w:rsidRPr="00FE162C">
        <w:t>, 50 and 75</w:t>
      </w:r>
      <w:r w:rsidR="00AF1216">
        <w:t xml:space="preserve">% </w:t>
      </w:r>
      <w:r w:rsidR="00BD11DA" w:rsidRPr="00FE162C">
        <w:t>of</w:t>
      </w:r>
      <w:r w:rsidR="00E6712B">
        <w:t xml:space="preserve"> each</w:t>
      </w:r>
      <w:r w:rsidR="00456721" w:rsidRPr="00FE162C">
        <w:t xml:space="preserve"> </w:t>
      </w:r>
      <w:r w:rsidR="002B6D30" w:rsidRPr="00FE162C">
        <w:t>group</w:t>
      </w:r>
      <w:r w:rsidR="00826D8C" w:rsidRPr="00FE162C">
        <w:t xml:space="preserve"> </w:t>
      </w:r>
      <w:r w:rsidRPr="00FE162C">
        <w:t xml:space="preserve">to </w:t>
      </w:r>
      <w:r w:rsidR="00826D8C" w:rsidRPr="00FE162C">
        <w:t>accept</w:t>
      </w:r>
      <w:r w:rsidR="00F0126D" w:rsidRPr="00FE162C">
        <w:t xml:space="preserve"> </w:t>
      </w:r>
      <w:r w:rsidRPr="00FE162C">
        <w:t>job</w:t>
      </w:r>
      <w:r w:rsidR="00D77635">
        <w:t xml:space="preserve"> offer</w:t>
      </w:r>
      <w:r w:rsidRPr="00FE162C">
        <w:t>s</w:t>
      </w:r>
      <w:r w:rsidR="00F0126D" w:rsidRPr="00FE162C">
        <w:t xml:space="preserve">. </w:t>
      </w:r>
      <w:r w:rsidR="00D77635">
        <w:t>As discussed earlier, a positive value for the TWTP is an indication that</w:t>
      </w:r>
      <w:r w:rsidR="00A614C9" w:rsidRPr="00FE162C">
        <w:t xml:space="preserve"> individuals are willing to forgo</w:t>
      </w:r>
      <w:r w:rsidRPr="00FE162C">
        <w:t xml:space="preserve"> </w:t>
      </w:r>
      <w:r w:rsidR="00D77635">
        <w:t>a</w:t>
      </w:r>
      <w:r w:rsidRPr="00FE162C">
        <w:t xml:space="preserve"> wage premium </w:t>
      </w:r>
      <w:r w:rsidR="00D77635">
        <w:t>to accept a job offer. A</w:t>
      </w:r>
      <w:r w:rsidR="00F0126D" w:rsidRPr="00FE162C">
        <w:t xml:space="preserve"> negative</w:t>
      </w:r>
      <w:r w:rsidR="00F00F93" w:rsidRPr="00FE162C">
        <w:t xml:space="preserve"> value</w:t>
      </w:r>
      <w:r w:rsidR="00D77635">
        <w:t>, on the other hand,</w:t>
      </w:r>
      <w:r w:rsidR="00F0126D" w:rsidRPr="00FE162C">
        <w:t xml:space="preserve"> </w:t>
      </w:r>
      <w:r w:rsidR="00826D8C" w:rsidRPr="00FE162C">
        <w:t>indicates</w:t>
      </w:r>
      <w:r w:rsidR="00A614C9" w:rsidRPr="00FE162C">
        <w:t xml:space="preserve"> </w:t>
      </w:r>
      <w:r w:rsidR="001B4B08">
        <w:t xml:space="preserve">that </w:t>
      </w:r>
      <w:r w:rsidR="00D77635">
        <w:t>a job offer will only be accepted if a</w:t>
      </w:r>
      <w:r w:rsidR="00A614C9" w:rsidRPr="00FE162C">
        <w:t xml:space="preserve"> </w:t>
      </w:r>
      <w:r w:rsidR="00FD6374" w:rsidRPr="00FE162C">
        <w:t xml:space="preserve">wage premium </w:t>
      </w:r>
      <w:r w:rsidR="00D77635">
        <w:t>is paid</w:t>
      </w:r>
      <w:r w:rsidR="00F00F93" w:rsidRPr="00FE162C">
        <w:t>.</w:t>
      </w:r>
      <w:r w:rsidR="00A614C9" w:rsidRPr="00FE162C">
        <w:t xml:space="preserve"> </w:t>
      </w:r>
      <w:r w:rsidR="00DC5DC2">
        <w:t>The results show that u</w:t>
      </w:r>
      <w:r w:rsidR="00B46152" w:rsidRPr="00FE162C">
        <w:t xml:space="preserve">p to </w:t>
      </w:r>
      <w:r w:rsidR="00A614C9" w:rsidRPr="00FE162C">
        <w:t>25</w:t>
      </w:r>
      <w:r w:rsidR="00AF1216">
        <w:t xml:space="preserve">% </w:t>
      </w:r>
      <w:r w:rsidR="00B46152" w:rsidRPr="00FE162C">
        <w:t>of the</w:t>
      </w:r>
      <w:r w:rsidR="00A614C9" w:rsidRPr="00FE162C">
        <w:t xml:space="preserve"> sample </w:t>
      </w:r>
      <w:r w:rsidR="00F00F93" w:rsidRPr="00FE162C">
        <w:t>is</w:t>
      </w:r>
      <w:r w:rsidR="00B46152" w:rsidRPr="00FE162C">
        <w:t xml:space="preserve"> willin</w:t>
      </w:r>
      <w:r w:rsidR="00DC5DC2">
        <w:t>g to accept the job offer if it includes a minimum</w:t>
      </w:r>
      <w:r w:rsidR="00F00F93" w:rsidRPr="00FE162C">
        <w:t xml:space="preserve"> annual wage premium of </w:t>
      </w:r>
      <w:r w:rsidR="00E503BB">
        <w:t xml:space="preserve">$22 </w:t>
      </w:r>
      <w:r w:rsidR="00B46152" w:rsidRPr="00FE162C">
        <w:t xml:space="preserve">379. </w:t>
      </w:r>
      <w:r w:rsidR="00DC5DC2">
        <w:t>The minimum wage premia for</w:t>
      </w:r>
      <w:r w:rsidR="00B46152" w:rsidRPr="00FE162C">
        <w:t xml:space="preserve"> 50 and 75</w:t>
      </w:r>
      <w:r w:rsidR="00AF1216">
        <w:t xml:space="preserve">% </w:t>
      </w:r>
      <w:r w:rsidR="00DC5DC2">
        <w:t>of the sample to accept the job offer are</w:t>
      </w:r>
      <w:r w:rsidR="00F00F93" w:rsidRPr="00FE162C">
        <w:t xml:space="preserve"> </w:t>
      </w:r>
      <w:r w:rsidR="00B46152" w:rsidRPr="00FE162C">
        <w:t>$</w:t>
      </w:r>
      <w:r w:rsidR="00E503BB">
        <w:t xml:space="preserve">52 875 and $85 </w:t>
      </w:r>
      <w:r w:rsidR="00FD6374" w:rsidRPr="00FE162C">
        <w:t>725, respectively</w:t>
      </w:r>
      <w:r w:rsidR="00B46152" w:rsidRPr="00FE162C">
        <w:t xml:space="preserve">. </w:t>
      </w:r>
      <w:r w:rsidR="00020300" w:rsidRPr="00FE162C">
        <w:t>M</w:t>
      </w:r>
      <w:r w:rsidR="00F07B30" w:rsidRPr="00FE162C">
        <w:t>ore than 75</w:t>
      </w:r>
      <w:r w:rsidR="00AF1216">
        <w:t xml:space="preserve">% </w:t>
      </w:r>
      <w:r w:rsidR="00E503BB">
        <w:t>of the y</w:t>
      </w:r>
      <w:r w:rsidR="00F07B30" w:rsidRPr="00FE162C">
        <w:t xml:space="preserve">oung group </w:t>
      </w:r>
      <w:r w:rsidR="00830D81" w:rsidRPr="00FE162C">
        <w:t>is</w:t>
      </w:r>
      <w:r w:rsidR="00F07B30" w:rsidRPr="00FE162C">
        <w:t xml:space="preserve"> wi</w:t>
      </w:r>
      <w:r w:rsidR="00A05DA9" w:rsidRPr="00FE162C">
        <w:t xml:space="preserve">lling to accept </w:t>
      </w:r>
      <w:r w:rsidR="005F1C9B" w:rsidRPr="00FE162C">
        <w:t>the</w:t>
      </w:r>
      <w:r w:rsidR="00A05DA9" w:rsidRPr="00FE162C">
        <w:t xml:space="preserve"> job</w:t>
      </w:r>
      <w:r w:rsidR="00DC5DC2">
        <w:t xml:space="preserve"> offer. In contrast</w:t>
      </w:r>
      <w:r w:rsidR="00E503BB">
        <w:t>,</w:t>
      </w:r>
      <w:r w:rsidR="00DC5DC2">
        <w:t xml:space="preserve"> non</w:t>
      </w:r>
      <w:r w:rsidR="00E503BB">
        <w:t>e of the o</w:t>
      </w:r>
      <w:r w:rsidR="00E6712B">
        <w:t xml:space="preserve">ld group </w:t>
      </w:r>
      <w:r w:rsidR="00DE6B51">
        <w:t xml:space="preserve">is </w:t>
      </w:r>
      <w:r w:rsidR="00E6712B">
        <w:t>will</w:t>
      </w:r>
      <w:r w:rsidR="00DE6B51">
        <w:t>ing to</w:t>
      </w:r>
      <w:r w:rsidR="00E6712B">
        <w:t xml:space="preserve"> accept the</w:t>
      </w:r>
      <w:r w:rsidR="00DC5DC2">
        <w:t xml:space="preserve"> job offer without a wage premium. </w:t>
      </w:r>
      <w:r w:rsidR="00DE6B51">
        <w:t>As the wage offer for those who are looking for work is based on their expected wage, t</w:t>
      </w:r>
      <w:r w:rsidR="00E503BB">
        <w:t>he results for the y</w:t>
      </w:r>
      <w:r w:rsidR="008C797E" w:rsidRPr="00FE162C">
        <w:t>oung group</w:t>
      </w:r>
      <w:r w:rsidR="002563B8" w:rsidRPr="00FE162C">
        <w:t>,</w:t>
      </w:r>
      <w:r w:rsidR="00DE6B51">
        <w:t xml:space="preserve"> which includes all</w:t>
      </w:r>
      <w:r w:rsidR="008C797E" w:rsidRPr="00FE162C">
        <w:t xml:space="preserve"> unemployed</w:t>
      </w:r>
      <w:r w:rsidR="00DE6B51">
        <w:t xml:space="preserve"> people</w:t>
      </w:r>
      <w:r w:rsidR="002563B8" w:rsidRPr="00FE162C">
        <w:t xml:space="preserve">, </w:t>
      </w:r>
      <w:r w:rsidR="00DE6B51">
        <w:t xml:space="preserve">suggest willingness to lower </w:t>
      </w:r>
      <w:r w:rsidR="00575B57">
        <w:t xml:space="preserve">their </w:t>
      </w:r>
      <w:r w:rsidR="00DE6B51">
        <w:t>wage expectation</w:t>
      </w:r>
      <w:r w:rsidR="002563B8" w:rsidRPr="00FE162C">
        <w:t xml:space="preserve"> to </w:t>
      </w:r>
      <w:r w:rsidR="00DE6B51">
        <w:t>secure a job offer</w:t>
      </w:r>
      <w:r w:rsidR="002563B8" w:rsidRPr="00FE162C">
        <w:t>.</w:t>
      </w:r>
    </w:p>
    <w:p w:rsidR="00775948" w:rsidRDefault="00775948">
      <w:pPr>
        <w:spacing w:before="0" w:line="240" w:lineRule="auto"/>
        <w:rPr>
          <w:rFonts w:ascii="Tahoma" w:hAnsi="Tahoma"/>
          <w:b/>
          <w:color w:val="000000" w:themeColor="text1"/>
          <w:sz w:val="17"/>
        </w:rPr>
      </w:pPr>
      <w:r>
        <w:rPr>
          <w:color w:val="000000" w:themeColor="text1"/>
        </w:rPr>
        <w:br w:type="page"/>
      </w:r>
    </w:p>
    <w:p w:rsidR="00854DAD" w:rsidRPr="00FE162C" w:rsidRDefault="005802F4" w:rsidP="00C00BF0">
      <w:pPr>
        <w:pStyle w:val="tabletitle"/>
      </w:pPr>
      <w:bookmarkStart w:id="61" w:name="_Toc386530554"/>
      <w:r w:rsidRPr="00FE162C">
        <w:lastRenderedPageBreak/>
        <w:t>Table 5</w:t>
      </w:r>
      <w:r w:rsidR="00633737" w:rsidRPr="00FE162C">
        <w:tab/>
      </w:r>
      <w:r w:rsidR="00FD6374" w:rsidRPr="00FE162C">
        <w:t>Minimum</w:t>
      </w:r>
      <w:r w:rsidR="002B6D30" w:rsidRPr="00FE162C">
        <w:t xml:space="preserve"> t</w:t>
      </w:r>
      <w:r w:rsidR="0056685A" w:rsidRPr="00FE162C">
        <w:t xml:space="preserve">otal willingness </w:t>
      </w:r>
      <w:r w:rsidR="002B6D30" w:rsidRPr="00FE162C">
        <w:t>to pay</w:t>
      </w:r>
      <w:r w:rsidR="00A614C9" w:rsidRPr="00FE162C">
        <w:t xml:space="preserve"> </w:t>
      </w:r>
      <w:r w:rsidR="00FD6374" w:rsidRPr="00FE162C">
        <w:t>to get</w:t>
      </w:r>
      <w:r w:rsidR="00854DAD" w:rsidRPr="00FE162C">
        <w:t xml:space="preserve"> </w:t>
      </w:r>
      <w:r w:rsidRPr="00FE162C">
        <w:t xml:space="preserve">25, 50 and </w:t>
      </w:r>
      <w:r w:rsidR="002B6D30" w:rsidRPr="00FE162C">
        <w:t>7</w:t>
      </w:r>
      <w:r w:rsidR="00FD6374" w:rsidRPr="00FE162C">
        <w:t>5</w:t>
      </w:r>
      <w:r w:rsidR="00AF1216">
        <w:t xml:space="preserve">% </w:t>
      </w:r>
      <w:r w:rsidR="00FD6374" w:rsidRPr="00FE162C">
        <w:t xml:space="preserve">of </w:t>
      </w:r>
      <w:r w:rsidR="005C7756" w:rsidRPr="00FE162C">
        <w:t>a</w:t>
      </w:r>
      <w:r w:rsidR="00FD6374" w:rsidRPr="00FE162C">
        <w:t xml:space="preserve"> group to</w:t>
      </w:r>
      <w:r w:rsidR="00093F88" w:rsidRPr="00FE162C">
        <w:t xml:space="preserve"> accept</w:t>
      </w:r>
      <w:r w:rsidR="002B6D30" w:rsidRPr="00FE162C">
        <w:t xml:space="preserve"> </w:t>
      </w:r>
      <w:r w:rsidR="00C47E60" w:rsidRPr="00FE162C">
        <w:t>job</w:t>
      </w:r>
      <w:r w:rsidR="002B6D30" w:rsidRPr="00FE162C">
        <w:t xml:space="preserve">s </w:t>
      </w:r>
      <w:r w:rsidR="00CA6DE3" w:rsidRPr="00FE162C">
        <w:t>which</w:t>
      </w:r>
      <w:r w:rsidR="002B6D30" w:rsidRPr="00FE162C">
        <w:t xml:space="preserve"> are</w:t>
      </w:r>
      <w:r w:rsidR="00093F88" w:rsidRPr="00FE162C">
        <w:t xml:space="preserve"> </w:t>
      </w:r>
      <w:r w:rsidR="00965475">
        <w:t>ongoing</w:t>
      </w:r>
      <w:r w:rsidR="00EC6FCC" w:rsidRPr="00FE162C">
        <w:t>,</w:t>
      </w:r>
      <w:r w:rsidR="00FD6374" w:rsidRPr="00FE162C">
        <w:t xml:space="preserve"> have</w:t>
      </w:r>
      <w:r w:rsidR="00C47E60" w:rsidRPr="00FE162C">
        <w:t xml:space="preserve"> no</w:t>
      </w:r>
      <w:r w:rsidR="00093F88" w:rsidRPr="00FE162C">
        <w:t xml:space="preserve"> </w:t>
      </w:r>
      <w:r w:rsidR="00093F88" w:rsidRPr="00C00BF0">
        <w:t>training</w:t>
      </w:r>
      <w:r w:rsidR="00093F88" w:rsidRPr="00FE162C">
        <w:t xml:space="preserve"> </w:t>
      </w:r>
      <w:r w:rsidR="002B6D30" w:rsidRPr="00FE162C">
        <w:t xml:space="preserve">component </w:t>
      </w:r>
      <w:r w:rsidR="00093F88" w:rsidRPr="00FE162C">
        <w:t>and requir</w:t>
      </w:r>
      <w:r w:rsidR="002B6D30" w:rsidRPr="00FE162C">
        <w:t>e</w:t>
      </w:r>
      <w:r w:rsidR="00093F88" w:rsidRPr="00FE162C">
        <w:t xml:space="preserve"> relocation to either Emerald or Karratha</w:t>
      </w:r>
      <w:bookmarkEnd w:id="61"/>
    </w:p>
    <w:tbl>
      <w:tblPr>
        <w:tblW w:w="8789" w:type="dxa"/>
        <w:tblInd w:w="93" w:type="dxa"/>
        <w:tblLayout w:type="fixed"/>
        <w:tblLook w:val="04A0" w:firstRow="1" w:lastRow="0" w:firstColumn="1" w:lastColumn="0" w:noHBand="0" w:noVBand="1"/>
      </w:tblPr>
      <w:tblGrid>
        <w:gridCol w:w="1715"/>
        <w:gridCol w:w="1418"/>
        <w:gridCol w:w="1885"/>
        <w:gridCol w:w="1885"/>
        <w:gridCol w:w="1886"/>
      </w:tblGrid>
      <w:tr w:rsidR="00F80453" w:rsidRPr="00FE162C" w:rsidTr="00A97BE7">
        <w:tc>
          <w:tcPr>
            <w:tcW w:w="1715" w:type="dxa"/>
            <w:tcBorders>
              <w:top w:val="single" w:sz="4" w:space="0" w:color="auto"/>
              <w:left w:val="nil"/>
              <w:bottom w:val="nil"/>
              <w:right w:val="nil"/>
            </w:tcBorders>
            <w:shd w:val="clear" w:color="auto" w:fill="auto"/>
          </w:tcPr>
          <w:p w:rsidR="00F80453" w:rsidRPr="00FE162C" w:rsidRDefault="00F80453" w:rsidP="00C00BF0">
            <w:pPr>
              <w:pStyle w:val="Tablehead1"/>
            </w:pPr>
          </w:p>
        </w:tc>
        <w:tc>
          <w:tcPr>
            <w:tcW w:w="1418" w:type="dxa"/>
            <w:tcBorders>
              <w:top w:val="single" w:sz="4" w:space="0" w:color="auto"/>
              <w:left w:val="nil"/>
              <w:bottom w:val="nil"/>
              <w:right w:val="nil"/>
            </w:tcBorders>
            <w:shd w:val="clear" w:color="auto" w:fill="auto"/>
          </w:tcPr>
          <w:p w:rsidR="00F80453" w:rsidRPr="00FE162C" w:rsidRDefault="00F80453" w:rsidP="00C00BF0">
            <w:pPr>
              <w:pStyle w:val="Tablehead1"/>
            </w:pPr>
          </w:p>
        </w:tc>
        <w:tc>
          <w:tcPr>
            <w:tcW w:w="5656" w:type="dxa"/>
            <w:gridSpan w:val="3"/>
            <w:tcBorders>
              <w:top w:val="single" w:sz="4" w:space="0" w:color="auto"/>
              <w:left w:val="nil"/>
              <w:right w:val="nil"/>
            </w:tcBorders>
            <w:shd w:val="clear" w:color="auto" w:fill="auto"/>
          </w:tcPr>
          <w:p w:rsidR="00F80453" w:rsidRPr="00FE162C" w:rsidRDefault="00FD6374" w:rsidP="00C00BF0">
            <w:pPr>
              <w:pStyle w:val="Tablehead1"/>
              <w:jc w:val="center"/>
            </w:pPr>
            <w:r w:rsidRPr="00FE162C">
              <w:t>Minimum wage premium</w:t>
            </w:r>
            <w:r w:rsidR="00F80453" w:rsidRPr="00FE162C">
              <w:t xml:space="preserve"> ($)</w:t>
            </w:r>
          </w:p>
        </w:tc>
      </w:tr>
      <w:tr w:rsidR="00C00BF0" w:rsidRPr="00FE162C" w:rsidTr="00A97BE7">
        <w:tc>
          <w:tcPr>
            <w:tcW w:w="1715" w:type="dxa"/>
            <w:tcBorders>
              <w:top w:val="nil"/>
              <w:left w:val="nil"/>
              <w:right w:val="nil"/>
            </w:tcBorders>
            <w:shd w:val="clear" w:color="auto" w:fill="auto"/>
          </w:tcPr>
          <w:p w:rsidR="00C00BF0" w:rsidRPr="00FE162C" w:rsidRDefault="00C00BF0" w:rsidP="00C00BF0">
            <w:pPr>
              <w:pStyle w:val="Tablehead2"/>
            </w:pPr>
          </w:p>
        </w:tc>
        <w:tc>
          <w:tcPr>
            <w:tcW w:w="1418" w:type="dxa"/>
            <w:tcBorders>
              <w:top w:val="nil"/>
              <w:left w:val="nil"/>
              <w:right w:val="nil"/>
            </w:tcBorders>
            <w:shd w:val="clear" w:color="auto" w:fill="auto"/>
          </w:tcPr>
          <w:p w:rsidR="00C00BF0" w:rsidRPr="00FE162C" w:rsidRDefault="00C00BF0" w:rsidP="00C00BF0">
            <w:pPr>
              <w:pStyle w:val="Tablehead2"/>
            </w:pPr>
          </w:p>
        </w:tc>
        <w:tc>
          <w:tcPr>
            <w:tcW w:w="1885" w:type="dxa"/>
            <w:tcBorders>
              <w:left w:val="nil"/>
              <w:right w:val="nil"/>
            </w:tcBorders>
            <w:shd w:val="clear" w:color="auto" w:fill="auto"/>
          </w:tcPr>
          <w:p w:rsidR="00C00BF0" w:rsidRPr="00FE162C" w:rsidRDefault="00C00BF0" w:rsidP="00C00BF0">
            <w:pPr>
              <w:pStyle w:val="Tablehead2"/>
              <w:jc w:val="center"/>
            </w:pPr>
          </w:p>
        </w:tc>
        <w:tc>
          <w:tcPr>
            <w:tcW w:w="3771" w:type="dxa"/>
            <w:gridSpan w:val="2"/>
            <w:tcBorders>
              <w:left w:val="nil"/>
              <w:right w:val="nil"/>
            </w:tcBorders>
            <w:shd w:val="clear" w:color="auto" w:fill="auto"/>
          </w:tcPr>
          <w:p w:rsidR="00C00BF0" w:rsidRPr="00FE162C" w:rsidRDefault="00C00BF0" w:rsidP="00C00BF0">
            <w:pPr>
              <w:pStyle w:val="Tablehead2"/>
              <w:jc w:val="center"/>
            </w:pPr>
            <w:r w:rsidRPr="00FE162C">
              <w:t>95% confidence interval</w:t>
            </w:r>
          </w:p>
        </w:tc>
      </w:tr>
      <w:tr w:rsidR="006B6B53" w:rsidRPr="00FE162C" w:rsidTr="00A97BE7">
        <w:tc>
          <w:tcPr>
            <w:tcW w:w="1715" w:type="dxa"/>
            <w:tcBorders>
              <w:top w:val="nil"/>
              <w:left w:val="nil"/>
              <w:bottom w:val="single" w:sz="4" w:space="0" w:color="auto"/>
              <w:right w:val="nil"/>
            </w:tcBorders>
            <w:shd w:val="clear" w:color="auto" w:fill="auto"/>
          </w:tcPr>
          <w:p w:rsidR="006B6B53" w:rsidRPr="00FE162C" w:rsidRDefault="00A90EBF" w:rsidP="00C00BF0">
            <w:pPr>
              <w:pStyle w:val="Tablehead3"/>
            </w:pPr>
            <w:r w:rsidRPr="00FE162C">
              <w:t>Group</w:t>
            </w:r>
          </w:p>
        </w:tc>
        <w:tc>
          <w:tcPr>
            <w:tcW w:w="1418" w:type="dxa"/>
            <w:tcBorders>
              <w:top w:val="nil"/>
              <w:left w:val="nil"/>
              <w:bottom w:val="single" w:sz="4" w:space="0" w:color="auto"/>
              <w:right w:val="nil"/>
            </w:tcBorders>
            <w:shd w:val="clear" w:color="auto" w:fill="auto"/>
          </w:tcPr>
          <w:p w:rsidR="006B6B53" w:rsidRPr="00FE162C" w:rsidRDefault="00F80453" w:rsidP="00C00BF0">
            <w:pPr>
              <w:pStyle w:val="Tablehead3"/>
              <w:jc w:val="center"/>
            </w:pPr>
            <w:r w:rsidRPr="00FE162C">
              <w:t>% of sample</w:t>
            </w:r>
            <w:r w:rsidR="006B6B53" w:rsidRPr="00FE162C">
              <w:t xml:space="preserve"> accept</w:t>
            </w:r>
            <w:r w:rsidRPr="00FE162C">
              <w:t>ing</w:t>
            </w:r>
            <w:r w:rsidR="006B6B53" w:rsidRPr="00FE162C">
              <w:t xml:space="preserve"> job</w:t>
            </w:r>
          </w:p>
        </w:tc>
        <w:tc>
          <w:tcPr>
            <w:tcW w:w="1885" w:type="dxa"/>
            <w:tcBorders>
              <w:top w:val="nil"/>
              <w:left w:val="nil"/>
              <w:bottom w:val="single" w:sz="4" w:space="0" w:color="auto"/>
              <w:right w:val="nil"/>
            </w:tcBorders>
            <w:shd w:val="clear" w:color="auto" w:fill="auto"/>
          </w:tcPr>
          <w:p w:rsidR="006B6B53" w:rsidRPr="00FE162C" w:rsidRDefault="006B6B53" w:rsidP="00C00BF0">
            <w:pPr>
              <w:pStyle w:val="Tablehead3"/>
              <w:jc w:val="center"/>
            </w:pPr>
            <w:r w:rsidRPr="00FE162C">
              <w:t>Estimate</w:t>
            </w:r>
          </w:p>
        </w:tc>
        <w:tc>
          <w:tcPr>
            <w:tcW w:w="1885" w:type="dxa"/>
            <w:tcBorders>
              <w:left w:val="nil"/>
              <w:bottom w:val="single" w:sz="4" w:space="0" w:color="auto"/>
              <w:right w:val="nil"/>
            </w:tcBorders>
            <w:shd w:val="clear" w:color="auto" w:fill="auto"/>
          </w:tcPr>
          <w:p w:rsidR="006B6B53" w:rsidRPr="00FE162C" w:rsidRDefault="006B6B53" w:rsidP="00C00BF0">
            <w:pPr>
              <w:pStyle w:val="Tablehead3"/>
              <w:jc w:val="center"/>
            </w:pPr>
            <w:r w:rsidRPr="00FE162C">
              <w:t>Lower</w:t>
            </w:r>
          </w:p>
        </w:tc>
        <w:tc>
          <w:tcPr>
            <w:tcW w:w="1886" w:type="dxa"/>
            <w:tcBorders>
              <w:left w:val="nil"/>
              <w:bottom w:val="single" w:sz="4" w:space="0" w:color="auto"/>
              <w:right w:val="nil"/>
            </w:tcBorders>
            <w:shd w:val="clear" w:color="auto" w:fill="auto"/>
          </w:tcPr>
          <w:p w:rsidR="006B6B53" w:rsidRPr="00FE162C" w:rsidRDefault="006B6B53" w:rsidP="00C00BF0">
            <w:pPr>
              <w:pStyle w:val="Tablehead3"/>
              <w:jc w:val="center"/>
            </w:pPr>
            <w:r w:rsidRPr="00FE162C">
              <w:t>Upper</w:t>
            </w:r>
          </w:p>
        </w:tc>
      </w:tr>
      <w:tr w:rsidR="00A90EBF" w:rsidRPr="00FE162C" w:rsidTr="00A97BE7">
        <w:tc>
          <w:tcPr>
            <w:tcW w:w="1715" w:type="dxa"/>
            <w:tcBorders>
              <w:top w:val="single" w:sz="4" w:space="0" w:color="auto"/>
              <w:left w:val="nil"/>
              <w:bottom w:val="nil"/>
              <w:right w:val="nil"/>
            </w:tcBorders>
            <w:shd w:val="clear" w:color="auto" w:fill="auto"/>
            <w:hideMark/>
          </w:tcPr>
          <w:p w:rsidR="00A90EBF" w:rsidRPr="00FE162C" w:rsidRDefault="00C00BF0" w:rsidP="00BE2D1F">
            <w:pPr>
              <w:pStyle w:val="Tabletext"/>
            </w:pPr>
            <w:r>
              <w:t>Young</w:t>
            </w:r>
          </w:p>
        </w:tc>
        <w:tc>
          <w:tcPr>
            <w:tcW w:w="1418" w:type="dxa"/>
            <w:tcBorders>
              <w:top w:val="single" w:sz="4" w:space="0" w:color="auto"/>
              <w:left w:val="nil"/>
              <w:bottom w:val="nil"/>
              <w:right w:val="nil"/>
            </w:tcBorders>
            <w:shd w:val="clear" w:color="auto" w:fill="auto"/>
            <w:hideMark/>
          </w:tcPr>
          <w:p w:rsidR="00A90EBF" w:rsidRPr="00FE162C" w:rsidRDefault="00A90EBF" w:rsidP="00BE2D1F">
            <w:pPr>
              <w:pStyle w:val="Tabletext"/>
              <w:ind w:right="510"/>
              <w:jc w:val="right"/>
            </w:pPr>
            <w:r w:rsidRPr="00FE162C">
              <w:t>25</w:t>
            </w:r>
          </w:p>
        </w:tc>
        <w:tc>
          <w:tcPr>
            <w:tcW w:w="1885" w:type="dxa"/>
            <w:tcBorders>
              <w:top w:val="single" w:sz="4" w:space="0" w:color="auto"/>
              <w:left w:val="nil"/>
              <w:bottom w:val="nil"/>
              <w:right w:val="nil"/>
            </w:tcBorders>
            <w:shd w:val="clear" w:color="auto" w:fill="auto"/>
            <w:hideMark/>
          </w:tcPr>
          <w:p w:rsidR="00A90EBF" w:rsidRPr="00FE162C" w:rsidRDefault="00A90EBF" w:rsidP="00BE2D1F">
            <w:pPr>
              <w:pStyle w:val="Tabletext"/>
              <w:ind w:right="567"/>
              <w:jc w:val="right"/>
            </w:pPr>
            <w:r w:rsidRPr="00FE162C">
              <w:t>32</w:t>
            </w:r>
            <w:r w:rsidR="00F80453" w:rsidRPr="00FE162C">
              <w:t>,</w:t>
            </w:r>
            <w:r w:rsidRPr="00FE162C">
              <w:t>200</w:t>
            </w:r>
          </w:p>
        </w:tc>
        <w:tc>
          <w:tcPr>
            <w:tcW w:w="1885" w:type="dxa"/>
            <w:tcBorders>
              <w:top w:val="single" w:sz="4" w:space="0" w:color="auto"/>
              <w:left w:val="nil"/>
              <w:bottom w:val="nil"/>
              <w:right w:val="nil"/>
            </w:tcBorders>
            <w:shd w:val="clear" w:color="auto" w:fill="auto"/>
            <w:hideMark/>
          </w:tcPr>
          <w:p w:rsidR="00A90EBF" w:rsidRPr="00FE162C" w:rsidRDefault="0056685A" w:rsidP="00BE2D1F">
            <w:pPr>
              <w:pStyle w:val="Tabletext"/>
              <w:ind w:right="567"/>
              <w:jc w:val="right"/>
            </w:pPr>
            <w:r w:rsidRPr="00FE162C">
              <w:t>-</w:t>
            </w:r>
            <w:r w:rsidR="00A90EBF" w:rsidRPr="00FE162C">
              <w:t>11</w:t>
            </w:r>
            <w:r w:rsidR="00F80453" w:rsidRPr="00FE162C">
              <w:t>,</w:t>
            </w:r>
            <w:r w:rsidR="00A90EBF" w:rsidRPr="00FE162C">
              <w:t>370</w:t>
            </w:r>
          </w:p>
        </w:tc>
        <w:tc>
          <w:tcPr>
            <w:tcW w:w="1886" w:type="dxa"/>
            <w:tcBorders>
              <w:top w:val="single" w:sz="4" w:space="0" w:color="auto"/>
              <w:left w:val="nil"/>
              <w:bottom w:val="nil"/>
              <w:right w:val="nil"/>
            </w:tcBorders>
            <w:shd w:val="clear" w:color="auto" w:fill="auto"/>
            <w:hideMark/>
          </w:tcPr>
          <w:p w:rsidR="00A90EBF" w:rsidRPr="00FE162C" w:rsidRDefault="00A90EBF" w:rsidP="00BE2D1F">
            <w:pPr>
              <w:pStyle w:val="Tabletext"/>
              <w:ind w:right="567"/>
              <w:jc w:val="right"/>
            </w:pPr>
            <w:r w:rsidRPr="00FE162C">
              <w:t>84</w:t>
            </w:r>
            <w:r w:rsidR="00F80453" w:rsidRPr="00FE162C">
              <w:t>,</w:t>
            </w:r>
            <w:r w:rsidRPr="00FE162C">
              <w:t>746</w:t>
            </w:r>
          </w:p>
        </w:tc>
      </w:tr>
      <w:tr w:rsidR="00A90EBF" w:rsidRPr="00FE162C" w:rsidTr="00A97BE7">
        <w:tc>
          <w:tcPr>
            <w:tcW w:w="1715" w:type="dxa"/>
            <w:tcBorders>
              <w:top w:val="nil"/>
              <w:left w:val="nil"/>
              <w:right w:val="nil"/>
            </w:tcBorders>
            <w:shd w:val="clear" w:color="auto" w:fill="auto"/>
            <w:hideMark/>
          </w:tcPr>
          <w:p w:rsidR="00A90EBF" w:rsidRPr="00FE162C" w:rsidRDefault="00A90EBF" w:rsidP="00BE2D1F">
            <w:pPr>
              <w:pStyle w:val="Tabletext"/>
            </w:pPr>
          </w:p>
        </w:tc>
        <w:tc>
          <w:tcPr>
            <w:tcW w:w="1418" w:type="dxa"/>
            <w:tcBorders>
              <w:top w:val="nil"/>
              <w:left w:val="nil"/>
              <w:right w:val="nil"/>
            </w:tcBorders>
            <w:shd w:val="clear" w:color="auto" w:fill="auto"/>
            <w:hideMark/>
          </w:tcPr>
          <w:p w:rsidR="00A90EBF" w:rsidRPr="00FE162C" w:rsidRDefault="00A90EBF" w:rsidP="00BE2D1F">
            <w:pPr>
              <w:pStyle w:val="Tabletext"/>
              <w:ind w:right="510"/>
              <w:jc w:val="right"/>
            </w:pPr>
            <w:r w:rsidRPr="00FE162C">
              <w:t>50</w:t>
            </w:r>
          </w:p>
        </w:tc>
        <w:tc>
          <w:tcPr>
            <w:tcW w:w="1885" w:type="dxa"/>
            <w:tcBorders>
              <w:top w:val="nil"/>
              <w:left w:val="nil"/>
              <w:right w:val="nil"/>
            </w:tcBorders>
            <w:shd w:val="clear" w:color="auto" w:fill="auto"/>
            <w:hideMark/>
          </w:tcPr>
          <w:p w:rsidR="00A90EBF" w:rsidRPr="00FE162C" w:rsidRDefault="00A90EBF" w:rsidP="00BE2D1F">
            <w:pPr>
              <w:pStyle w:val="Tabletext"/>
              <w:ind w:right="567"/>
              <w:jc w:val="right"/>
            </w:pPr>
            <w:r w:rsidRPr="00FE162C">
              <w:t>18</w:t>
            </w:r>
            <w:r w:rsidR="00F80453" w:rsidRPr="00FE162C">
              <w:t>,</w:t>
            </w:r>
            <w:r w:rsidRPr="00FE162C">
              <w:t>343</w:t>
            </w:r>
          </w:p>
        </w:tc>
        <w:tc>
          <w:tcPr>
            <w:tcW w:w="1885" w:type="dxa"/>
            <w:tcBorders>
              <w:top w:val="nil"/>
              <w:left w:val="nil"/>
              <w:right w:val="nil"/>
            </w:tcBorders>
            <w:shd w:val="clear" w:color="auto" w:fill="auto"/>
            <w:hideMark/>
          </w:tcPr>
          <w:p w:rsidR="00A90EBF" w:rsidRPr="00FE162C" w:rsidRDefault="0056685A" w:rsidP="00BE2D1F">
            <w:pPr>
              <w:pStyle w:val="Tabletext"/>
              <w:ind w:right="567"/>
              <w:jc w:val="right"/>
            </w:pPr>
            <w:r w:rsidRPr="00FE162C">
              <w:t>-</w:t>
            </w:r>
            <w:r w:rsidR="00A90EBF" w:rsidRPr="00FE162C">
              <w:t>25</w:t>
            </w:r>
            <w:r w:rsidR="00F80453" w:rsidRPr="00FE162C">
              <w:t>,</w:t>
            </w:r>
            <w:r w:rsidR="00A90EBF" w:rsidRPr="00FE162C">
              <w:t>899</w:t>
            </w:r>
          </w:p>
        </w:tc>
        <w:tc>
          <w:tcPr>
            <w:tcW w:w="1886" w:type="dxa"/>
            <w:tcBorders>
              <w:top w:val="nil"/>
              <w:left w:val="nil"/>
              <w:right w:val="nil"/>
            </w:tcBorders>
            <w:shd w:val="clear" w:color="auto" w:fill="auto"/>
            <w:hideMark/>
          </w:tcPr>
          <w:p w:rsidR="00A90EBF" w:rsidRPr="00FE162C" w:rsidRDefault="00A90EBF" w:rsidP="00BE2D1F">
            <w:pPr>
              <w:pStyle w:val="Tabletext"/>
              <w:ind w:right="567"/>
              <w:jc w:val="right"/>
            </w:pPr>
            <w:r w:rsidRPr="00FE162C">
              <w:t>65</w:t>
            </w:r>
            <w:r w:rsidR="00F80453" w:rsidRPr="00FE162C">
              <w:t>,</w:t>
            </w:r>
            <w:r w:rsidRPr="00FE162C">
              <w:t>283</w:t>
            </w:r>
          </w:p>
        </w:tc>
      </w:tr>
      <w:tr w:rsidR="00A90EBF" w:rsidRPr="00FE162C" w:rsidTr="00A97BE7">
        <w:tc>
          <w:tcPr>
            <w:tcW w:w="1715" w:type="dxa"/>
            <w:tcBorders>
              <w:top w:val="nil"/>
              <w:left w:val="nil"/>
              <w:bottom w:val="dashed" w:sz="4" w:space="0" w:color="auto"/>
              <w:right w:val="nil"/>
            </w:tcBorders>
            <w:shd w:val="clear" w:color="auto" w:fill="auto"/>
            <w:hideMark/>
          </w:tcPr>
          <w:p w:rsidR="00A90EBF" w:rsidRPr="00FE162C" w:rsidRDefault="00A90EBF" w:rsidP="00BE2D1F">
            <w:pPr>
              <w:pStyle w:val="Tabletext"/>
            </w:pPr>
          </w:p>
        </w:tc>
        <w:tc>
          <w:tcPr>
            <w:tcW w:w="1418" w:type="dxa"/>
            <w:tcBorders>
              <w:top w:val="nil"/>
              <w:left w:val="nil"/>
              <w:bottom w:val="dashed" w:sz="4" w:space="0" w:color="auto"/>
              <w:right w:val="nil"/>
            </w:tcBorders>
            <w:shd w:val="clear" w:color="auto" w:fill="auto"/>
            <w:hideMark/>
          </w:tcPr>
          <w:p w:rsidR="00A90EBF" w:rsidRPr="00FE162C" w:rsidRDefault="00A90EBF" w:rsidP="00BE2D1F">
            <w:pPr>
              <w:pStyle w:val="Tabletext"/>
              <w:ind w:right="510"/>
              <w:jc w:val="right"/>
            </w:pPr>
            <w:r w:rsidRPr="00FE162C">
              <w:t>75</w:t>
            </w:r>
          </w:p>
        </w:tc>
        <w:tc>
          <w:tcPr>
            <w:tcW w:w="1885" w:type="dxa"/>
            <w:tcBorders>
              <w:top w:val="nil"/>
              <w:left w:val="nil"/>
              <w:bottom w:val="dashed" w:sz="4" w:space="0" w:color="auto"/>
              <w:right w:val="nil"/>
            </w:tcBorders>
            <w:shd w:val="clear" w:color="auto" w:fill="auto"/>
            <w:hideMark/>
          </w:tcPr>
          <w:p w:rsidR="00A90EBF" w:rsidRPr="00FE162C" w:rsidRDefault="00A90EBF" w:rsidP="00BE2D1F">
            <w:pPr>
              <w:pStyle w:val="Tabletext"/>
              <w:ind w:right="567"/>
              <w:jc w:val="right"/>
            </w:pPr>
            <w:r w:rsidRPr="00FE162C">
              <w:t>795</w:t>
            </w:r>
          </w:p>
        </w:tc>
        <w:tc>
          <w:tcPr>
            <w:tcW w:w="1885" w:type="dxa"/>
            <w:tcBorders>
              <w:top w:val="nil"/>
              <w:left w:val="nil"/>
              <w:bottom w:val="dashed" w:sz="4" w:space="0" w:color="auto"/>
              <w:right w:val="nil"/>
            </w:tcBorders>
            <w:shd w:val="clear" w:color="auto" w:fill="auto"/>
            <w:hideMark/>
          </w:tcPr>
          <w:p w:rsidR="00A90EBF" w:rsidRPr="00FE162C" w:rsidRDefault="0056685A" w:rsidP="00BE2D1F">
            <w:pPr>
              <w:pStyle w:val="Tabletext"/>
              <w:ind w:right="567"/>
              <w:jc w:val="right"/>
            </w:pPr>
            <w:r w:rsidRPr="00FE162C">
              <w:t>-</w:t>
            </w:r>
            <w:r w:rsidR="00A90EBF" w:rsidRPr="00FE162C">
              <w:t>46</w:t>
            </w:r>
            <w:r w:rsidR="00F80453" w:rsidRPr="00FE162C">
              <w:t>,</w:t>
            </w:r>
            <w:r w:rsidR="00A90EBF" w:rsidRPr="00FE162C">
              <w:t>324</w:t>
            </w:r>
          </w:p>
        </w:tc>
        <w:tc>
          <w:tcPr>
            <w:tcW w:w="1886" w:type="dxa"/>
            <w:tcBorders>
              <w:top w:val="nil"/>
              <w:left w:val="nil"/>
              <w:bottom w:val="dashed" w:sz="4" w:space="0" w:color="auto"/>
              <w:right w:val="nil"/>
            </w:tcBorders>
            <w:shd w:val="clear" w:color="auto" w:fill="auto"/>
            <w:hideMark/>
          </w:tcPr>
          <w:p w:rsidR="00A90EBF" w:rsidRPr="00FE162C" w:rsidRDefault="00A90EBF" w:rsidP="00BE2D1F">
            <w:pPr>
              <w:pStyle w:val="Tabletext"/>
              <w:ind w:right="567"/>
              <w:jc w:val="right"/>
            </w:pPr>
            <w:r w:rsidRPr="00FE162C">
              <w:t>43</w:t>
            </w:r>
            <w:r w:rsidR="00F80453" w:rsidRPr="00FE162C">
              <w:t>,</w:t>
            </w:r>
            <w:r w:rsidRPr="00FE162C">
              <w:t>058</w:t>
            </w:r>
          </w:p>
        </w:tc>
      </w:tr>
      <w:tr w:rsidR="00A90EBF" w:rsidRPr="00FE162C" w:rsidTr="00A97BE7">
        <w:tc>
          <w:tcPr>
            <w:tcW w:w="1715" w:type="dxa"/>
            <w:tcBorders>
              <w:top w:val="dashed" w:sz="4" w:space="0" w:color="auto"/>
              <w:left w:val="nil"/>
              <w:bottom w:val="nil"/>
              <w:right w:val="nil"/>
            </w:tcBorders>
            <w:shd w:val="clear" w:color="auto" w:fill="auto"/>
          </w:tcPr>
          <w:p w:rsidR="00A90EBF" w:rsidRPr="00FE162C" w:rsidRDefault="00C00BF0" w:rsidP="00BE2D1F">
            <w:pPr>
              <w:pStyle w:val="Tabletext"/>
            </w:pPr>
            <w:r>
              <w:t>Old</w:t>
            </w:r>
          </w:p>
        </w:tc>
        <w:tc>
          <w:tcPr>
            <w:tcW w:w="1418" w:type="dxa"/>
            <w:tcBorders>
              <w:top w:val="dashed" w:sz="4" w:space="0" w:color="auto"/>
              <w:left w:val="nil"/>
              <w:bottom w:val="nil"/>
              <w:right w:val="nil"/>
            </w:tcBorders>
            <w:shd w:val="clear" w:color="auto" w:fill="auto"/>
          </w:tcPr>
          <w:p w:rsidR="00A90EBF" w:rsidRPr="00FE162C" w:rsidRDefault="00A90EBF" w:rsidP="00BE2D1F">
            <w:pPr>
              <w:pStyle w:val="Tabletext"/>
              <w:ind w:right="510"/>
              <w:jc w:val="right"/>
            </w:pPr>
            <w:r w:rsidRPr="00FE162C">
              <w:t>25</w:t>
            </w:r>
          </w:p>
        </w:tc>
        <w:tc>
          <w:tcPr>
            <w:tcW w:w="1885" w:type="dxa"/>
            <w:tcBorders>
              <w:top w:val="dashed" w:sz="4" w:space="0" w:color="auto"/>
              <w:left w:val="nil"/>
              <w:bottom w:val="nil"/>
              <w:right w:val="nil"/>
            </w:tcBorders>
            <w:shd w:val="clear" w:color="auto" w:fill="auto"/>
          </w:tcPr>
          <w:p w:rsidR="00A90EBF" w:rsidRPr="00FE162C" w:rsidRDefault="0056685A" w:rsidP="00BE2D1F">
            <w:pPr>
              <w:pStyle w:val="Tabletext"/>
              <w:ind w:right="567"/>
              <w:jc w:val="right"/>
            </w:pPr>
            <w:r w:rsidRPr="00FE162C">
              <w:t>-</w:t>
            </w:r>
            <w:r w:rsidR="00A90EBF" w:rsidRPr="00FE162C">
              <w:t>78</w:t>
            </w:r>
            <w:r w:rsidR="00F80453" w:rsidRPr="00FE162C">
              <w:t>,</w:t>
            </w:r>
            <w:r w:rsidR="00A90EBF" w:rsidRPr="00FE162C">
              <w:t>132</w:t>
            </w:r>
          </w:p>
        </w:tc>
        <w:tc>
          <w:tcPr>
            <w:tcW w:w="1885" w:type="dxa"/>
            <w:tcBorders>
              <w:top w:val="dashed" w:sz="4" w:space="0" w:color="auto"/>
              <w:left w:val="nil"/>
              <w:bottom w:val="nil"/>
              <w:right w:val="nil"/>
            </w:tcBorders>
            <w:shd w:val="clear" w:color="auto" w:fill="auto"/>
          </w:tcPr>
          <w:p w:rsidR="00A90EBF" w:rsidRPr="00FE162C" w:rsidRDefault="0056685A" w:rsidP="00BE2D1F">
            <w:pPr>
              <w:pStyle w:val="Tabletext"/>
              <w:ind w:right="567"/>
              <w:jc w:val="right"/>
            </w:pPr>
            <w:r w:rsidRPr="00FE162C">
              <w:t>-</w:t>
            </w:r>
            <w:r w:rsidR="00A90EBF" w:rsidRPr="00FE162C">
              <w:t>123</w:t>
            </w:r>
            <w:r w:rsidR="00F80453" w:rsidRPr="00FE162C">
              <w:t>,</w:t>
            </w:r>
            <w:r w:rsidR="00A90EBF" w:rsidRPr="00FE162C">
              <w:t>722</w:t>
            </w:r>
          </w:p>
        </w:tc>
        <w:tc>
          <w:tcPr>
            <w:tcW w:w="1886" w:type="dxa"/>
            <w:tcBorders>
              <w:top w:val="dashed" w:sz="4" w:space="0" w:color="auto"/>
              <w:left w:val="nil"/>
              <w:bottom w:val="nil"/>
              <w:right w:val="nil"/>
            </w:tcBorders>
            <w:shd w:val="clear" w:color="auto" w:fill="auto"/>
          </w:tcPr>
          <w:p w:rsidR="00A90EBF" w:rsidRPr="00FE162C" w:rsidRDefault="0056685A" w:rsidP="00BE2D1F">
            <w:pPr>
              <w:pStyle w:val="Tabletext"/>
              <w:ind w:right="567"/>
              <w:jc w:val="right"/>
            </w:pPr>
            <w:r w:rsidRPr="00FE162C">
              <w:t>-</w:t>
            </w:r>
            <w:r w:rsidR="00A90EBF" w:rsidRPr="00FE162C">
              <w:t>27</w:t>
            </w:r>
            <w:r w:rsidR="00F80453" w:rsidRPr="00FE162C">
              <w:t>,</w:t>
            </w:r>
            <w:r w:rsidR="00A90EBF" w:rsidRPr="00FE162C">
              <w:t>346</w:t>
            </w:r>
          </w:p>
        </w:tc>
      </w:tr>
      <w:tr w:rsidR="00A90EBF" w:rsidRPr="00FE162C" w:rsidTr="00A97BE7">
        <w:tc>
          <w:tcPr>
            <w:tcW w:w="1715" w:type="dxa"/>
            <w:tcBorders>
              <w:top w:val="nil"/>
              <w:left w:val="nil"/>
              <w:right w:val="nil"/>
            </w:tcBorders>
            <w:shd w:val="clear" w:color="auto" w:fill="auto"/>
          </w:tcPr>
          <w:p w:rsidR="00A90EBF" w:rsidRPr="00FE162C" w:rsidRDefault="00A90EBF" w:rsidP="00BE2D1F">
            <w:pPr>
              <w:pStyle w:val="Tabletext"/>
            </w:pPr>
          </w:p>
        </w:tc>
        <w:tc>
          <w:tcPr>
            <w:tcW w:w="1418" w:type="dxa"/>
            <w:tcBorders>
              <w:top w:val="nil"/>
              <w:left w:val="nil"/>
              <w:right w:val="nil"/>
            </w:tcBorders>
            <w:shd w:val="clear" w:color="auto" w:fill="auto"/>
          </w:tcPr>
          <w:p w:rsidR="00A90EBF" w:rsidRPr="00FE162C" w:rsidRDefault="00A90EBF" w:rsidP="00BE2D1F">
            <w:pPr>
              <w:pStyle w:val="Tabletext"/>
              <w:ind w:right="510"/>
              <w:jc w:val="right"/>
            </w:pPr>
            <w:r w:rsidRPr="00FE162C">
              <w:t>50</w:t>
            </w:r>
          </w:p>
        </w:tc>
        <w:tc>
          <w:tcPr>
            <w:tcW w:w="1885" w:type="dxa"/>
            <w:tcBorders>
              <w:top w:val="nil"/>
              <w:left w:val="nil"/>
              <w:right w:val="nil"/>
            </w:tcBorders>
            <w:shd w:val="clear" w:color="auto" w:fill="auto"/>
          </w:tcPr>
          <w:p w:rsidR="00A90EBF" w:rsidRPr="00FE162C" w:rsidRDefault="0056685A" w:rsidP="00BE2D1F">
            <w:pPr>
              <w:pStyle w:val="Tabletext"/>
              <w:ind w:right="567"/>
              <w:jc w:val="right"/>
            </w:pPr>
            <w:r w:rsidRPr="00FE162C">
              <w:t>-</w:t>
            </w:r>
            <w:r w:rsidR="00A90EBF" w:rsidRPr="00FE162C">
              <w:t>98</w:t>
            </w:r>
            <w:r w:rsidR="00F80453" w:rsidRPr="00FE162C">
              <w:t>,</w:t>
            </w:r>
            <w:r w:rsidR="00A90EBF" w:rsidRPr="00FE162C">
              <w:t>400</w:t>
            </w:r>
          </w:p>
        </w:tc>
        <w:tc>
          <w:tcPr>
            <w:tcW w:w="1885" w:type="dxa"/>
            <w:tcBorders>
              <w:top w:val="nil"/>
              <w:left w:val="nil"/>
              <w:right w:val="nil"/>
            </w:tcBorders>
            <w:shd w:val="clear" w:color="auto" w:fill="auto"/>
          </w:tcPr>
          <w:p w:rsidR="00A90EBF" w:rsidRPr="00FE162C" w:rsidRDefault="0056685A" w:rsidP="00BE2D1F">
            <w:pPr>
              <w:pStyle w:val="Tabletext"/>
              <w:ind w:right="567"/>
              <w:jc w:val="right"/>
            </w:pPr>
            <w:r w:rsidRPr="00FE162C">
              <w:t>-</w:t>
            </w:r>
            <w:r w:rsidR="00A90EBF" w:rsidRPr="00FE162C">
              <w:t>159</w:t>
            </w:r>
            <w:r w:rsidR="00F80453" w:rsidRPr="00FE162C">
              <w:t>,</w:t>
            </w:r>
            <w:r w:rsidR="00A90EBF" w:rsidRPr="00FE162C">
              <w:t>619</w:t>
            </w:r>
          </w:p>
        </w:tc>
        <w:tc>
          <w:tcPr>
            <w:tcW w:w="1886" w:type="dxa"/>
            <w:tcBorders>
              <w:top w:val="nil"/>
              <w:left w:val="nil"/>
              <w:right w:val="nil"/>
            </w:tcBorders>
            <w:shd w:val="clear" w:color="auto" w:fill="auto"/>
          </w:tcPr>
          <w:p w:rsidR="00A90EBF" w:rsidRPr="00FE162C" w:rsidRDefault="0056685A" w:rsidP="00BE2D1F">
            <w:pPr>
              <w:pStyle w:val="Tabletext"/>
              <w:ind w:right="567"/>
              <w:jc w:val="right"/>
            </w:pPr>
            <w:r w:rsidRPr="00FE162C">
              <w:t>-</w:t>
            </w:r>
            <w:r w:rsidR="00A90EBF" w:rsidRPr="00FE162C">
              <w:t>39</w:t>
            </w:r>
            <w:r w:rsidR="00F80453" w:rsidRPr="00FE162C">
              <w:t>,</w:t>
            </w:r>
            <w:r w:rsidR="00A90EBF" w:rsidRPr="00FE162C">
              <w:t>618</w:t>
            </w:r>
          </w:p>
        </w:tc>
      </w:tr>
      <w:tr w:rsidR="00A90EBF" w:rsidRPr="00FE162C" w:rsidTr="00A97BE7">
        <w:tc>
          <w:tcPr>
            <w:tcW w:w="1715" w:type="dxa"/>
            <w:tcBorders>
              <w:top w:val="nil"/>
              <w:left w:val="nil"/>
              <w:bottom w:val="dashed" w:sz="4" w:space="0" w:color="auto"/>
              <w:right w:val="nil"/>
            </w:tcBorders>
            <w:shd w:val="clear" w:color="auto" w:fill="auto"/>
          </w:tcPr>
          <w:p w:rsidR="00A90EBF" w:rsidRPr="00FE162C" w:rsidRDefault="00A90EBF" w:rsidP="00BE2D1F">
            <w:pPr>
              <w:pStyle w:val="Tabletext"/>
            </w:pPr>
          </w:p>
        </w:tc>
        <w:tc>
          <w:tcPr>
            <w:tcW w:w="1418" w:type="dxa"/>
            <w:tcBorders>
              <w:top w:val="nil"/>
              <w:left w:val="nil"/>
              <w:bottom w:val="dashed" w:sz="4" w:space="0" w:color="auto"/>
              <w:right w:val="nil"/>
            </w:tcBorders>
            <w:shd w:val="clear" w:color="auto" w:fill="auto"/>
          </w:tcPr>
          <w:p w:rsidR="00A90EBF" w:rsidRPr="00FE162C" w:rsidRDefault="00A90EBF" w:rsidP="00BE2D1F">
            <w:pPr>
              <w:pStyle w:val="Tabletext"/>
              <w:ind w:right="510"/>
              <w:jc w:val="right"/>
            </w:pPr>
            <w:r w:rsidRPr="00FE162C">
              <w:t>75</w:t>
            </w:r>
          </w:p>
        </w:tc>
        <w:tc>
          <w:tcPr>
            <w:tcW w:w="1885" w:type="dxa"/>
            <w:tcBorders>
              <w:top w:val="nil"/>
              <w:left w:val="nil"/>
              <w:bottom w:val="dashed" w:sz="4" w:space="0" w:color="auto"/>
              <w:right w:val="nil"/>
            </w:tcBorders>
            <w:shd w:val="clear" w:color="auto" w:fill="auto"/>
          </w:tcPr>
          <w:p w:rsidR="00A90EBF" w:rsidRPr="00FE162C" w:rsidRDefault="0056685A" w:rsidP="00BE2D1F">
            <w:pPr>
              <w:pStyle w:val="Tabletext"/>
              <w:ind w:right="567"/>
              <w:jc w:val="right"/>
            </w:pPr>
            <w:r w:rsidRPr="00FE162C">
              <w:t>-</w:t>
            </w:r>
            <w:r w:rsidR="00A90EBF" w:rsidRPr="00FE162C">
              <w:t>123</w:t>
            </w:r>
            <w:r w:rsidR="00F80453" w:rsidRPr="00FE162C">
              <w:t>,</w:t>
            </w:r>
            <w:r w:rsidR="00A90EBF" w:rsidRPr="00FE162C">
              <w:t>080</w:t>
            </w:r>
          </w:p>
        </w:tc>
        <w:tc>
          <w:tcPr>
            <w:tcW w:w="1885" w:type="dxa"/>
            <w:tcBorders>
              <w:top w:val="nil"/>
              <w:left w:val="nil"/>
              <w:bottom w:val="dashed" w:sz="4" w:space="0" w:color="auto"/>
              <w:right w:val="nil"/>
            </w:tcBorders>
            <w:shd w:val="clear" w:color="auto" w:fill="auto"/>
          </w:tcPr>
          <w:p w:rsidR="00A90EBF" w:rsidRPr="00FE162C" w:rsidRDefault="0056685A" w:rsidP="00BE2D1F">
            <w:pPr>
              <w:pStyle w:val="Tabletext"/>
              <w:ind w:right="567"/>
              <w:jc w:val="right"/>
            </w:pPr>
            <w:r w:rsidRPr="00FE162C">
              <w:t>-</w:t>
            </w:r>
            <w:r w:rsidR="00A90EBF" w:rsidRPr="00FE162C">
              <w:t>213</w:t>
            </w:r>
            <w:r w:rsidR="00F80453" w:rsidRPr="00FE162C">
              <w:t>,</w:t>
            </w:r>
            <w:r w:rsidR="00A90EBF" w:rsidRPr="00FE162C">
              <w:t>616</w:t>
            </w:r>
          </w:p>
        </w:tc>
        <w:tc>
          <w:tcPr>
            <w:tcW w:w="1886" w:type="dxa"/>
            <w:tcBorders>
              <w:top w:val="nil"/>
              <w:left w:val="nil"/>
              <w:bottom w:val="dashed" w:sz="4" w:space="0" w:color="auto"/>
              <w:right w:val="nil"/>
            </w:tcBorders>
            <w:shd w:val="clear" w:color="auto" w:fill="auto"/>
          </w:tcPr>
          <w:p w:rsidR="00A90EBF" w:rsidRPr="00FE162C" w:rsidRDefault="0056685A" w:rsidP="00BE2D1F">
            <w:pPr>
              <w:pStyle w:val="Tabletext"/>
              <w:ind w:right="567"/>
              <w:jc w:val="right"/>
            </w:pPr>
            <w:r w:rsidRPr="00FE162C">
              <w:t>-</w:t>
            </w:r>
            <w:r w:rsidR="00A90EBF" w:rsidRPr="00FE162C">
              <w:t>52</w:t>
            </w:r>
            <w:r w:rsidR="00F80453" w:rsidRPr="00FE162C">
              <w:t>,</w:t>
            </w:r>
            <w:r w:rsidR="00A90EBF" w:rsidRPr="00FE162C">
              <w:t>472</w:t>
            </w:r>
          </w:p>
        </w:tc>
      </w:tr>
      <w:tr w:rsidR="00A90EBF" w:rsidRPr="00FE162C" w:rsidTr="00A97BE7">
        <w:tc>
          <w:tcPr>
            <w:tcW w:w="1715" w:type="dxa"/>
            <w:tcBorders>
              <w:top w:val="dashed" w:sz="4" w:space="0" w:color="auto"/>
              <w:left w:val="nil"/>
              <w:bottom w:val="nil"/>
              <w:right w:val="nil"/>
            </w:tcBorders>
            <w:shd w:val="clear" w:color="auto" w:fill="auto"/>
          </w:tcPr>
          <w:p w:rsidR="00A90EBF" w:rsidRPr="00FE162C" w:rsidRDefault="00C00BF0" w:rsidP="00BE2D1F">
            <w:pPr>
              <w:pStyle w:val="Tabletext"/>
            </w:pPr>
            <w:r>
              <w:t>The rest</w:t>
            </w:r>
          </w:p>
        </w:tc>
        <w:tc>
          <w:tcPr>
            <w:tcW w:w="1418" w:type="dxa"/>
            <w:tcBorders>
              <w:top w:val="dashed" w:sz="4" w:space="0" w:color="auto"/>
              <w:left w:val="nil"/>
              <w:bottom w:val="nil"/>
              <w:right w:val="nil"/>
            </w:tcBorders>
            <w:shd w:val="clear" w:color="auto" w:fill="auto"/>
          </w:tcPr>
          <w:p w:rsidR="00A90EBF" w:rsidRPr="00FE162C" w:rsidRDefault="00A90EBF" w:rsidP="00BE2D1F">
            <w:pPr>
              <w:pStyle w:val="Tabletext"/>
              <w:ind w:right="510"/>
              <w:jc w:val="right"/>
            </w:pPr>
            <w:r w:rsidRPr="00FE162C">
              <w:t>25</w:t>
            </w:r>
          </w:p>
        </w:tc>
        <w:tc>
          <w:tcPr>
            <w:tcW w:w="1885" w:type="dxa"/>
            <w:tcBorders>
              <w:top w:val="dashed" w:sz="4" w:space="0" w:color="auto"/>
              <w:left w:val="nil"/>
              <w:bottom w:val="nil"/>
              <w:right w:val="nil"/>
            </w:tcBorders>
            <w:shd w:val="clear" w:color="auto" w:fill="auto"/>
          </w:tcPr>
          <w:p w:rsidR="00A90EBF" w:rsidRPr="00FE162C" w:rsidRDefault="0056685A" w:rsidP="00BE2D1F">
            <w:pPr>
              <w:pStyle w:val="Tabletext"/>
              <w:ind w:right="567"/>
              <w:jc w:val="right"/>
            </w:pPr>
            <w:r w:rsidRPr="00FE162C">
              <w:t>-</w:t>
            </w:r>
            <w:r w:rsidR="00A90EBF" w:rsidRPr="00FE162C">
              <w:t>19</w:t>
            </w:r>
            <w:r w:rsidR="00F80453" w:rsidRPr="00FE162C">
              <w:t>,</w:t>
            </w:r>
            <w:r w:rsidR="00A90EBF" w:rsidRPr="00FE162C">
              <w:t>872</w:t>
            </w:r>
          </w:p>
        </w:tc>
        <w:tc>
          <w:tcPr>
            <w:tcW w:w="1885" w:type="dxa"/>
            <w:tcBorders>
              <w:top w:val="dashed" w:sz="4" w:space="0" w:color="auto"/>
              <w:left w:val="nil"/>
              <w:bottom w:val="nil"/>
              <w:right w:val="nil"/>
            </w:tcBorders>
            <w:shd w:val="clear" w:color="auto" w:fill="auto"/>
          </w:tcPr>
          <w:p w:rsidR="00A90EBF" w:rsidRPr="00FE162C" w:rsidRDefault="0056685A" w:rsidP="00BE2D1F">
            <w:pPr>
              <w:pStyle w:val="Tabletext"/>
              <w:ind w:right="567"/>
              <w:jc w:val="right"/>
            </w:pPr>
            <w:r w:rsidRPr="00FE162C">
              <w:t>-</w:t>
            </w:r>
            <w:r w:rsidR="00A90EBF" w:rsidRPr="00FE162C">
              <w:t>66</w:t>
            </w:r>
            <w:r w:rsidR="00F80453" w:rsidRPr="00FE162C">
              <w:t>,</w:t>
            </w:r>
            <w:r w:rsidR="00A90EBF" w:rsidRPr="00FE162C">
              <w:t>038</w:t>
            </w:r>
          </w:p>
        </w:tc>
        <w:tc>
          <w:tcPr>
            <w:tcW w:w="1886" w:type="dxa"/>
            <w:tcBorders>
              <w:top w:val="dashed" w:sz="4" w:space="0" w:color="auto"/>
              <w:left w:val="nil"/>
              <w:bottom w:val="nil"/>
              <w:right w:val="nil"/>
            </w:tcBorders>
            <w:shd w:val="clear" w:color="auto" w:fill="auto"/>
          </w:tcPr>
          <w:p w:rsidR="00A90EBF" w:rsidRPr="00FE162C" w:rsidRDefault="00A90EBF" w:rsidP="00BE2D1F">
            <w:pPr>
              <w:pStyle w:val="Tabletext"/>
              <w:ind w:right="567"/>
              <w:jc w:val="right"/>
            </w:pPr>
            <w:r w:rsidRPr="00FE162C">
              <w:t>33</w:t>
            </w:r>
            <w:r w:rsidR="00F80453" w:rsidRPr="00FE162C">
              <w:t>,</w:t>
            </w:r>
            <w:r w:rsidRPr="00FE162C">
              <w:t>211</w:t>
            </w:r>
          </w:p>
        </w:tc>
      </w:tr>
      <w:tr w:rsidR="00A90EBF" w:rsidRPr="00FE162C" w:rsidTr="00A97BE7">
        <w:tc>
          <w:tcPr>
            <w:tcW w:w="1715" w:type="dxa"/>
            <w:tcBorders>
              <w:top w:val="nil"/>
              <w:left w:val="nil"/>
              <w:right w:val="nil"/>
            </w:tcBorders>
            <w:shd w:val="clear" w:color="auto" w:fill="auto"/>
          </w:tcPr>
          <w:p w:rsidR="00A90EBF" w:rsidRPr="00FE162C" w:rsidRDefault="00A90EBF" w:rsidP="00BE2D1F">
            <w:pPr>
              <w:pStyle w:val="Tabletext"/>
            </w:pPr>
          </w:p>
        </w:tc>
        <w:tc>
          <w:tcPr>
            <w:tcW w:w="1418" w:type="dxa"/>
            <w:tcBorders>
              <w:top w:val="nil"/>
              <w:left w:val="nil"/>
              <w:right w:val="nil"/>
            </w:tcBorders>
            <w:shd w:val="clear" w:color="auto" w:fill="auto"/>
          </w:tcPr>
          <w:p w:rsidR="00A90EBF" w:rsidRPr="00FE162C" w:rsidRDefault="00A90EBF" w:rsidP="00BE2D1F">
            <w:pPr>
              <w:pStyle w:val="Tabletext"/>
              <w:ind w:right="510"/>
              <w:jc w:val="right"/>
            </w:pPr>
            <w:r w:rsidRPr="00FE162C">
              <w:t>50</w:t>
            </w:r>
          </w:p>
        </w:tc>
        <w:tc>
          <w:tcPr>
            <w:tcW w:w="1885" w:type="dxa"/>
            <w:tcBorders>
              <w:top w:val="nil"/>
              <w:left w:val="nil"/>
              <w:right w:val="nil"/>
            </w:tcBorders>
            <w:shd w:val="clear" w:color="auto" w:fill="auto"/>
          </w:tcPr>
          <w:p w:rsidR="00A90EBF" w:rsidRPr="00FE162C" w:rsidRDefault="0056685A" w:rsidP="00BE2D1F">
            <w:pPr>
              <w:pStyle w:val="Tabletext"/>
              <w:ind w:right="567"/>
              <w:jc w:val="right"/>
            </w:pPr>
            <w:r w:rsidRPr="00FE162C">
              <w:t>-</w:t>
            </w:r>
            <w:r w:rsidR="00A90EBF" w:rsidRPr="00FE162C">
              <w:t>45</w:t>
            </w:r>
            <w:r w:rsidR="00F80453" w:rsidRPr="00FE162C">
              <w:t>,</w:t>
            </w:r>
            <w:r w:rsidR="00A90EBF" w:rsidRPr="00FE162C">
              <w:t>607</w:t>
            </w:r>
          </w:p>
        </w:tc>
        <w:tc>
          <w:tcPr>
            <w:tcW w:w="1885" w:type="dxa"/>
            <w:tcBorders>
              <w:top w:val="nil"/>
              <w:left w:val="nil"/>
              <w:right w:val="nil"/>
            </w:tcBorders>
            <w:shd w:val="clear" w:color="auto" w:fill="auto"/>
          </w:tcPr>
          <w:p w:rsidR="00A90EBF" w:rsidRPr="00FE162C" w:rsidRDefault="0056685A" w:rsidP="00BE2D1F">
            <w:pPr>
              <w:pStyle w:val="Tabletext"/>
              <w:ind w:right="567"/>
              <w:jc w:val="right"/>
            </w:pPr>
            <w:r w:rsidRPr="00FE162C">
              <w:t>-</w:t>
            </w:r>
            <w:r w:rsidR="00A90EBF" w:rsidRPr="00FE162C">
              <w:t>95</w:t>
            </w:r>
            <w:r w:rsidR="00F80453" w:rsidRPr="00FE162C">
              <w:t>,</w:t>
            </w:r>
            <w:r w:rsidR="00A90EBF" w:rsidRPr="00FE162C">
              <w:t>102</w:t>
            </w:r>
          </w:p>
        </w:tc>
        <w:tc>
          <w:tcPr>
            <w:tcW w:w="1886" w:type="dxa"/>
            <w:tcBorders>
              <w:top w:val="nil"/>
              <w:left w:val="nil"/>
              <w:right w:val="nil"/>
            </w:tcBorders>
            <w:shd w:val="clear" w:color="auto" w:fill="auto"/>
          </w:tcPr>
          <w:p w:rsidR="00A90EBF" w:rsidRPr="00FE162C" w:rsidRDefault="00A90EBF" w:rsidP="00BE2D1F">
            <w:pPr>
              <w:pStyle w:val="Tabletext"/>
              <w:ind w:right="567"/>
              <w:jc w:val="right"/>
            </w:pPr>
            <w:r w:rsidRPr="00FE162C">
              <w:t>2</w:t>
            </w:r>
            <w:r w:rsidR="00F80453" w:rsidRPr="00FE162C">
              <w:t>,</w:t>
            </w:r>
            <w:r w:rsidRPr="00FE162C">
              <w:t>489</w:t>
            </w:r>
          </w:p>
        </w:tc>
      </w:tr>
      <w:tr w:rsidR="00A90EBF" w:rsidRPr="00FE162C" w:rsidTr="00A97BE7">
        <w:tc>
          <w:tcPr>
            <w:tcW w:w="1715" w:type="dxa"/>
            <w:tcBorders>
              <w:top w:val="nil"/>
              <w:left w:val="nil"/>
              <w:bottom w:val="dashed" w:sz="4" w:space="0" w:color="auto"/>
              <w:right w:val="nil"/>
            </w:tcBorders>
            <w:shd w:val="clear" w:color="auto" w:fill="auto"/>
          </w:tcPr>
          <w:p w:rsidR="00A90EBF" w:rsidRPr="00FE162C" w:rsidRDefault="00A90EBF" w:rsidP="00BE2D1F">
            <w:pPr>
              <w:pStyle w:val="Tabletext"/>
            </w:pPr>
          </w:p>
        </w:tc>
        <w:tc>
          <w:tcPr>
            <w:tcW w:w="1418" w:type="dxa"/>
            <w:tcBorders>
              <w:top w:val="nil"/>
              <w:left w:val="nil"/>
              <w:bottom w:val="dashed" w:sz="4" w:space="0" w:color="auto"/>
              <w:right w:val="nil"/>
            </w:tcBorders>
            <w:shd w:val="clear" w:color="auto" w:fill="auto"/>
          </w:tcPr>
          <w:p w:rsidR="00A90EBF" w:rsidRPr="00FE162C" w:rsidRDefault="00A90EBF" w:rsidP="00BE2D1F">
            <w:pPr>
              <w:pStyle w:val="Tabletext"/>
              <w:ind w:right="510"/>
              <w:jc w:val="right"/>
            </w:pPr>
            <w:r w:rsidRPr="00FE162C">
              <w:t>75</w:t>
            </w:r>
          </w:p>
        </w:tc>
        <w:tc>
          <w:tcPr>
            <w:tcW w:w="1885" w:type="dxa"/>
            <w:tcBorders>
              <w:top w:val="nil"/>
              <w:left w:val="nil"/>
              <w:bottom w:val="dashed" w:sz="4" w:space="0" w:color="auto"/>
              <w:right w:val="nil"/>
            </w:tcBorders>
            <w:shd w:val="clear" w:color="auto" w:fill="auto"/>
          </w:tcPr>
          <w:p w:rsidR="00A90EBF" w:rsidRPr="00FE162C" w:rsidRDefault="0056685A" w:rsidP="00BE2D1F">
            <w:pPr>
              <w:pStyle w:val="Tabletext"/>
              <w:ind w:right="567"/>
              <w:jc w:val="right"/>
            </w:pPr>
            <w:r w:rsidRPr="00FE162C">
              <w:t>-</w:t>
            </w:r>
            <w:r w:rsidR="00A90EBF" w:rsidRPr="00FE162C">
              <w:t>75</w:t>
            </w:r>
            <w:r w:rsidR="00F80453" w:rsidRPr="00FE162C">
              <w:t>,</w:t>
            </w:r>
            <w:r w:rsidR="00A90EBF" w:rsidRPr="00FE162C">
              <w:t>240</w:t>
            </w:r>
          </w:p>
        </w:tc>
        <w:tc>
          <w:tcPr>
            <w:tcW w:w="1885" w:type="dxa"/>
            <w:tcBorders>
              <w:top w:val="nil"/>
              <w:left w:val="nil"/>
              <w:bottom w:val="dashed" w:sz="4" w:space="0" w:color="auto"/>
              <w:right w:val="nil"/>
            </w:tcBorders>
            <w:shd w:val="clear" w:color="auto" w:fill="auto"/>
          </w:tcPr>
          <w:p w:rsidR="00A90EBF" w:rsidRPr="00FE162C" w:rsidRDefault="0056685A" w:rsidP="00BE2D1F">
            <w:pPr>
              <w:pStyle w:val="Tabletext"/>
              <w:ind w:right="567"/>
              <w:jc w:val="right"/>
            </w:pPr>
            <w:r w:rsidRPr="00FE162C">
              <w:t>-</w:t>
            </w:r>
            <w:r w:rsidR="00A90EBF" w:rsidRPr="00FE162C">
              <w:t>134</w:t>
            </w:r>
            <w:r w:rsidR="00F80453" w:rsidRPr="00FE162C">
              <w:t>,</w:t>
            </w:r>
            <w:r w:rsidR="00A90EBF" w:rsidRPr="00FE162C">
              <w:t>410</w:t>
            </w:r>
          </w:p>
        </w:tc>
        <w:tc>
          <w:tcPr>
            <w:tcW w:w="1886" w:type="dxa"/>
            <w:tcBorders>
              <w:top w:val="nil"/>
              <w:left w:val="nil"/>
              <w:bottom w:val="dashed" w:sz="4" w:space="0" w:color="auto"/>
              <w:right w:val="nil"/>
            </w:tcBorders>
            <w:shd w:val="clear" w:color="auto" w:fill="auto"/>
          </w:tcPr>
          <w:p w:rsidR="00A90EBF" w:rsidRPr="00FE162C" w:rsidRDefault="0056685A" w:rsidP="00BE2D1F">
            <w:pPr>
              <w:pStyle w:val="Tabletext"/>
              <w:ind w:right="567"/>
              <w:jc w:val="right"/>
            </w:pPr>
            <w:r w:rsidRPr="00FE162C">
              <w:t>-</w:t>
            </w:r>
            <w:r w:rsidR="00A90EBF" w:rsidRPr="00FE162C">
              <w:t>21</w:t>
            </w:r>
            <w:r w:rsidR="00F80453" w:rsidRPr="00FE162C">
              <w:t>,</w:t>
            </w:r>
            <w:r w:rsidR="00A90EBF" w:rsidRPr="00FE162C">
              <w:t>344</w:t>
            </w:r>
          </w:p>
        </w:tc>
      </w:tr>
      <w:tr w:rsidR="00A90EBF" w:rsidRPr="00FE162C" w:rsidTr="00A97BE7">
        <w:tc>
          <w:tcPr>
            <w:tcW w:w="1715" w:type="dxa"/>
            <w:tcBorders>
              <w:top w:val="dashed" w:sz="4" w:space="0" w:color="auto"/>
              <w:left w:val="nil"/>
              <w:bottom w:val="nil"/>
              <w:right w:val="nil"/>
            </w:tcBorders>
            <w:shd w:val="clear" w:color="auto" w:fill="auto"/>
          </w:tcPr>
          <w:p w:rsidR="00A90EBF" w:rsidRPr="00FE162C" w:rsidRDefault="00C00BF0" w:rsidP="00BE2D1F">
            <w:pPr>
              <w:pStyle w:val="Tabletext"/>
            </w:pPr>
            <w:r>
              <w:t>All</w:t>
            </w:r>
          </w:p>
        </w:tc>
        <w:tc>
          <w:tcPr>
            <w:tcW w:w="1418" w:type="dxa"/>
            <w:tcBorders>
              <w:top w:val="dashed" w:sz="4" w:space="0" w:color="auto"/>
              <w:left w:val="nil"/>
              <w:bottom w:val="nil"/>
              <w:right w:val="nil"/>
            </w:tcBorders>
            <w:shd w:val="clear" w:color="auto" w:fill="auto"/>
          </w:tcPr>
          <w:p w:rsidR="00A90EBF" w:rsidRPr="00FE162C" w:rsidRDefault="00A90EBF" w:rsidP="00BE2D1F">
            <w:pPr>
              <w:pStyle w:val="Tabletext"/>
              <w:ind w:right="510"/>
              <w:jc w:val="right"/>
            </w:pPr>
            <w:r w:rsidRPr="00FE162C">
              <w:t>25</w:t>
            </w:r>
          </w:p>
        </w:tc>
        <w:tc>
          <w:tcPr>
            <w:tcW w:w="1885" w:type="dxa"/>
            <w:tcBorders>
              <w:top w:val="dashed" w:sz="4" w:space="0" w:color="auto"/>
              <w:left w:val="nil"/>
              <w:bottom w:val="nil"/>
              <w:right w:val="nil"/>
            </w:tcBorders>
            <w:shd w:val="clear" w:color="auto" w:fill="auto"/>
          </w:tcPr>
          <w:p w:rsidR="00A90EBF" w:rsidRPr="00FE162C" w:rsidRDefault="0056685A" w:rsidP="00BE2D1F">
            <w:pPr>
              <w:pStyle w:val="Tabletext"/>
              <w:ind w:right="567"/>
              <w:jc w:val="right"/>
            </w:pPr>
            <w:r w:rsidRPr="00FE162C">
              <w:t>-</w:t>
            </w:r>
            <w:r w:rsidR="00A90EBF" w:rsidRPr="00FE162C">
              <w:t>22</w:t>
            </w:r>
            <w:r w:rsidR="00F80453" w:rsidRPr="00FE162C">
              <w:t>,</w:t>
            </w:r>
            <w:r w:rsidR="00A90EBF" w:rsidRPr="00FE162C">
              <w:t>379</w:t>
            </w:r>
          </w:p>
        </w:tc>
        <w:tc>
          <w:tcPr>
            <w:tcW w:w="1885" w:type="dxa"/>
            <w:tcBorders>
              <w:top w:val="dashed" w:sz="4" w:space="0" w:color="auto"/>
              <w:left w:val="nil"/>
              <w:bottom w:val="nil"/>
              <w:right w:val="nil"/>
            </w:tcBorders>
            <w:shd w:val="clear" w:color="auto" w:fill="auto"/>
          </w:tcPr>
          <w:p w:rsidR="00A90EBF" w:rsidRPr="00FE162C" w:rsidRDefault="0056685A" w:rsidP="00BE2D1F">
            <w:pPr>
              <w:pStyle w:val="Tabletext"/>
              <w:ind w:right="567"/>
              <w:jc w:val="right"/>
            </w:pPr>
            <w:r w:rsidRPr="00FE162C">
              <w:t>-</w:t>
            </w:r>
            <w:r w:rsidR="00A90EBF" w:rsidRPr="00FE162C">
              <w:t>68</w:t>
            </w:r>
            <w:r w:rsidR="00F80453" w:rsidRPr="00FE162C">
              <w:t>,</w:t>
            </w:r>
            <w:r w:rsidR="00A90EBF" w:rsidRPr="00FE162C">
              <w:t>576</w:t>
            </w:r>
          </w:p>
        </w:tc>
        <w:tc>
          <w:tcPr>
            <w:tcW w:w="1886" w:type="dxa"/>
            <w:tcBorders>
              <w:top w:val="dashed" w:sz="4" w:space="0" w:color="auto"/>
              <w:left w:val="nil"/>
              <w:bottom w:val="nil"/>
              <w:right w:val="nil"/>
            </w:tcBorders>
            <w:shd w:val="clear" w:color="auto" w:fill="auto"/>
          </w:tcPr>
          <w:p w:rsidR="00A90EBF" w:rsidRPr="00FE162C" w:rsidRDefault="00A90EBF" w:rsidP="00BE2D1F">
            <w:pPr>
              <w:pStyle w:val="Tabletext"/>
              <w:ind w:right="567"/>
              <w:jc w:val="right"/>
            </w:pPr>
            <w:r w:rsidRPr="00FE162C">
              <w:t>29</w:t>
            </w:r>
            <w:r w:rsidR="00F80453" w:rsidRPr="00FE162C">
              <w:t>,</w:t>
            </w:r>
            <w:r w:rsidRPr="00FE162C">
              <w:t>971</w:t>
            </w:r>
          </w:p>
        </w:tc>
      </w:tr>
      <w:tr w:rsidR="00A90EBF" w:rsidRPr="00FE162C" w:rsidTr="00A97BE7">
        <w:tc>
          <w:tcPr>
            <w:tcW w:w="1715" w:type="dxa"/>
            <w:tcBorders>
              <w:top w:val="nil"/>
              <w:left w:val="nil"/>
              <w:right w:val="nil"/>
            </w:tcBorders>
            <w:shd w:val="clear" w:color="auto" w:fill="auto"/>
          </w:tcPr>
          <w:p w:rsidR="00A90EBF" w:rsidRPr="00FE162C" w:rsidRDefault="00A90EBF" w:rsidP="00BE2D1F">
            <w:pPr>
              <w:pStyle w:val="Tabletext"/>
            </w:pPr>
          </w:p>
        </w:tc>
        <w:tc>
          <w:tcPr>
            <w:tcW w:w="1418" w:type="dxa"/>
            <w:tcBorders>
              <w:top w:val="nil"/>
              <w:left w:val="nil"/>
              <w:right w:val="nil"/>
            </w:tcBorders>
            <w:shd w:val="clear" w:color="auto" w:fill="auto"/>
          </w:tcPr>
          <w:p w:rsidR="00A90EBF" w:rsidRPr="00FE162C" w:rsidRDefault="00A90EBF" w:rsidP="00BE2D1F">
            <w:pPr>
              <w:pStyle w:val="Tabletext"/>
              <w:ind w:right="510"/>
              <w:jc w:val="right"/>
            </w:pPr>
            <w:r w:rsidRPr="00FE162C">
              <w:t>50</w:t>
            </w:r>
          </w:p>
        </w:tc>
        <w:tc>
          <w:tcPr>
            <w:tcW w:w="1885" w:type="dxa"/>
            <w:tcBorders>
              <w:top w:val="nil"/>
              <w:left w:val="nil"/>
              <w:right w:val="nil"/>
            </w:tcBorders>
            <w:shd w:val="clear" w:color="auto" w:fill="auto"/>
          </w:tcPr>
          <w:p w:rsidR="00A90EBF" w:rsidRPr="00FE162C" w:rsidRDefault="0056685A" w:rsidP="00BE2D1F">
            <w:pPr>
              <w:pStyle w:val="Tabletext"/>
              <w:ind w:right="567"/>
              <w:jc w:val="right"/>
            </w:pPr>
            <w:r w:rsidRPr="00FE162C">
              <w:t>-</w:t>
            </w:r>
            <w:r w:rsidR="00A90EBF" w:rsidRPr="00FE162C">
              <w:t>52</w:t>
            </w:r>
            <w:r w:rsidR="00F80453" w:rsidRPr="00FE162C">
              <w:t>,</w:t>
            </w:r>
            <w:r w:rsidR="00A90EBF" w:rsidRPr="00FE162C">
              <w:t>875</w:t>
            </w:r>
          </w:p>
        </w:tc>
        <w:tc>
          <w:tcPr>
            <w:tcW w:w="1885" w:type="dxa"/>
            <w:tcBorders>
              <w:top w:val="nil"/>
              <w:left w:val="nil"/>
              <w:right w:val="nil"/>
            </w:tcBorders>
            <w:shd w:val="clear" w:color="auto" w:fill="auto"/>
          </w:tcPr>
          <w:p w:rsidR="00A90EBF" w:rsidRPr="00FE162C" w:rsidRDefault="0056685A" w:rsidP="00BE2D1F">
            <w:pPr>
              <w:pStyle w:val="Tabletext"/>
              <w:ind w:right="567"/>
              <w:jc w:val="right"/>
            </w:pPr>
            <w:r w:rsidRPr="00FE162C">
              <w:t>-</w:t>
            </w:r>
            <w:r w:rsidR="00A90EBF" w:rsidRPr="00FE162C">
              <w:t>102</w:t>
            </w:r>
            <w:r w:rsidR="00F80453" w:rsidRPr="00FE162C">
              <w:t>,</w:t>
            </w:r>
            <w:r w:rsidR="00A90EBF" w:rsidRPr="00FE162C">
              <w:t>753</w:t>
            </w:r>
          </w:p>
        </w:tc>
        <w:tc>
          <w:tcPr>
            <w:tcW w:w="1886" w:type="dxa"/>
            <w:tcBorders>
              <w:top w:val="nil"/>
              <w:left w:val="nil"/>
              <w:right w:val="nil"/>
            </w:tcBorders>
            <w:shd w:val="clear" w:color="auto" w:fill="auto"/>
          </w:tcPr>
          <w:p w:rsidR="00A90EBF" w:rsidRPr="00FE162C" w:rsidRDefault="0056685A" w:rsidP="00BE2D1F">
            <w:pPr>
              <w:pStyle w:val="Tabletext"/>
              <w:ind w:right="567"/>
              <w:jc w:val="right"/>
            </w:pPr>
            <w:r w:rsidRPr="00FE162C">
              <w:t>-</w:t>
            </w:r>
            <w:r w:rsidR="00A90EBF" w:rsidRPr="00FE162C">
              <w:t>3</w:t>
            </w:r>
            <w:r w:rsidR="00F80453" w:rsidRPr="00FE162C">
              <w:t>,</w:t>
            </w:r>
            <w:r w:rsidR="00A90EBF" w:rsidRPr="00FE162C">
              <w:t>787</w:t>
            </w:r>
          </w:p>
        </w:tc>
      </w:tr>
      <w:tr w:rsidR="00A90EBF" w:rsidRPr="00FE162C" w:rsidTr="00A97BE7">
        <w:tc>
          <w:tcPr>
            <w:tcW w:w="1715" w:type="dxa"/>
            <w:tcBorders>
              <w:top w:val="nil"/>
              <w:left w:val="nil"/>
              <w:bottom w:val="single" w:sz="4" w:space="0" w:color="auto"/>
              <w:right w:val="nil"/>
            </w:tcBorders>
            <w:shd w:val="clear" w:color="auto" w:fill="auto"/>
          </w:tcPr>
          <w:p w:rsidR="00A90EBF" w:rsidRPr="00FE162C" w:rsidRDefault="00A90EBF" w:rsidP="00BE2D1F">
            <w:pPr>
              <w:pStyle w:val="Tabletext"/>
            </w:pPr>
          </w:p>
        </w:tc>
        <w:tc>
          <w:tcPr>
            <w:tcW w:w="1418" w:type="dxa"/>
            <w:tcBorders>
              <w:top w:val="nil"/>
              <w:left w:val="nil"/>
              <w:bottom w:val="single" w:sz="4" w:space="0" w:color="auto"/>
              <w:right w:val="nil"/>
            </w:tcBorders>
            <w:shd w:val="clear" w:color="auto" w:fill="auto"/>
          </w:tcPr>
          <w:p w:rsidR="00A90EBF" w:rsidRPr="00FE162C" w:rsidRDefault="00A90EBF" w:rsidP="00BE2D1F">
            <w:pPr>
              <w:pStyle w:val="Tabletext"/>
              <w:ind w:right="510"/>
              <w:jc w:val="right"/>
            </w:pPr>
            <w:r w:rsidRPr="00FE162C">
              <w:t>75</w:t>
            </w:r>
          </w:p>
        </w:tc>
        <w:tc>
          <w:tcPr>
            <w:tcW w:w="1885" w:type="dxa"/>
            <w:tcBorders>
              <w:top w:val="nil"/>
              <w:left w:val="nil"/>
              <w:bottom w:val="single" w:sz="4" w:space="0" w:color="auto"/>
              <w:right w:val="nil"/>
            </w:tcBorders>
            <w:shd w:val="clear" w:color="auto" w:fill="auto"/>
          </w:tcPr>
          <w:p w:rsidR="00A90EBF" w:rsidRPr="00FE162C" w:rsidRDefault="0056685A" w:rsidP="00BE2D1F">
            <w:pPr>
              <w:pStyle w:val="Tabletext"/>
              <w:ind w:right="567"/>
              <w:jc w:val="right"/>
            </w:pPr>
            <w:r w:rsidRPr="00FE162C">
              <w:t>-</w:t>
            </w:r>
            <w:r w:rsidR="00A90EBF" w:rsidRPr="00FE162C">
              <w:t>85</w:t>
            </w:r>
            <w:r w:rsidR="00F80453" w:rsidRPr="00FE162C">
              <w:t>,</w:t>
            </w:r>
            <w:r w:rsidR="00A90EBF" w:rsidRPr="00FE162C">
              <w:t>725</w:t>
            </w:r>
          </w:p>
        </w:tc>
        <w:tc>
          <w:tcPr>
            <w:tcW w:w="1885" w:type="dxa"/>
            <w:tcBorders>
              <w:top w:val="nil"/>
              <w:left w:val="nil"/>
              <w:bottom w:val="single" w:sz="4" w:space="0" w:color="auto"/>
              <w:right w:val="nil"/>
            </w:tcBorders>
            <w:shd w:val="clear" w:color="auto" w:fill="auto"/>
          </w:tcPr>
          <w:p w:rsidR="00A90EBF" w:rsidRPr="00FE162C" w:rsidRDefault="0056685A" w:rsidP="00BE2D1F">
            <w:pPr>
              <w:pStyle w:val="Tabletext"/>
              <w:ind w:right="567"/>
              <w:jc w:val="right"/>
            </w:pPr>
            <w:r w:rsidRPr="00FE162C">
              <w:t>-</w:t>
            </w:r>
            <w:r w:rsidR="00A90EBF" w:rsidRPr="00FE162C">
              <w:t>148</w:t>
            </w:r>
            <w:r w:rsidR="00F80453" w:rsidRPr="00FE162C">
              <w:t>,</w:t>
            </w:r>
            <w:r w:rsidR="00A90EBF" w:rsidRPr="00FE162C">
              <w:t>730</w:t>
            </w:r>
          </w:p>
        </w:tc>
        <w:tc>
          <w:tcPr>
            <w:tcW w:w="1886" w:type="dxa"/>
            <w:tcBorders>
              <w:top w:val="nil"/>
              <w:left w:val="nil"/>
              <w:bottom w:val="single" w:sz="4" w:space="0" w:color="auto"/>
              <w:right w:val="nil"/>
            </w:tcBorders>
            <w:shd w:val="clear" w:color="auto" w:fill="auto"/>
          </w:tcPr>
          <w:p w:rsidR="00A90EBF" w:rsidRPr="00FE162C" w:rsidRDefault="0056685A" w:rsidP="00BE2D1F">
            <w:pPr>
              <w:pStyle w:val="Tabletext"/>
              <w:ind w:right="567"/>
              <w:jc w:val="right"/>
            </w:pPr>
            <w:r w:rsidRPr="00FE162C">
              <w:t>-</w:t>
            </w:r>
            <w:r w:rsidR="00A90EBF" w:rsidRPr="00FE162C">
              <w:t>30</w:t>
            </w:r>
            <w:r w:rsidR="00F80453" w:rsidRPr="00FE162C">
              <w:t>,</w:t>
            </w:r>
            <w:r w:rsidR="00A90EBF" w:rsidRPr="00FE162C">
              <w:t>797</w:t>
            </w:r>
          </w:p>
        </w:tc>
      </w:tr>
    </w:tbl>
    <w:p w:rsidR="00BF6CA0" w:rsidRPr="00FE162C" w:rsidRDefault="00BF6CA0" w:rsidP="00BE2D1F">
      <w:pPr>
        <w:pStyle w:val="Source"/>
      </w:pPr>
      <w:r w:rsidRPr="00FE162C">
        <w:t>Note:</w:t>
      </w:r>
      <w:r w:rsidRPr="00FE162C">
        <w:tab/>
        <w:t xml:space="preserve">Confidence intervals are calculated by summing the simulated variance of </w:t>
      </w:r>
      <w:r w:rsidRPr="00BE2D1F">
        <w:t>each</w:t>
      </w:r>
      <w:r w:rsidRPr="00FE162C">
        <w:t xml:space="preserve"> MWTP est</w:t>
      </w:r>
      <w:r w:rsidR="002C0F8C" w:rsidRPr="00FE162C">
        <w:t>imate.</w:t>
      </w:r>
    </w:p>
    <w:p w:rsidR="00BD11DA" w:rsidRPr="00FE162C" w:rsidRDefault="00C120CD" w:rsidP="00BE2D1F">
      <w:pPr>
        <w:pStyle w:val="Textmorebefore"/>
      </w:pPr>
      <w:r w:rsidRPr="00FE162C">
        <w:t>Table 6 shows the percentage of each group willing to accept the</w:t>
      </w:r>
      <w:r w:rsidR="00BD11DA" w:rsidRPr="00FE162C">
        <w:t xml:space="preserve"> jobs without a wage premium. </w:t>
      </w:r>
      <w:r w:rsidR="00F80E1D">
        <w:t>Thus</w:t>
      </w:r>
      <w:r w:rsidR="00CA6DE3" w:rsidRPr="00FE162C">
        <w:t xml:space="preserve"> willingness to accept job offers in Karratha and Emerald without a wage premium, </w:t>
      </w:r>
      <w:r w:rsidR="00E503BB">
        <w:t>especially among the y</w:t>
      </w:r>
      <w:r w:rsidR="00F80E1D">
        <w:t>oung, is strong</w:t>
      </w:r>
      <w:r w:rsidR="00CA6DE3" w:rsidRPr="00FE162C">
        <w:t>. The reaso</w:t>
      </w:r>
      <w:r w:rsidR="00F80E1D">
        <w:t>ns why this is not actually</w:t>
      </w:r>
      <w:r w:rsidR="00CA6DE3" w:rsidRPr="00FE162C">
        <w:t xml:space="preserve"> observed could be due to a lack of information on job opportunities. It could also be that there is a mismatch in the skills these people have to offer and the skills in demand.</w:t>
      </w:r>
    </w:p>
    <w:p w:rsidR="00F80453" w:rsidRPr="00FE162C" w:rsidRDefault="00FD6374" w:rsidP="006909DB">
      <w:pPr>
        <w:pStyle w:val="tabletitle"/>
        <w:rPr>
          <w:color w:val="000000" w:themeColor="text1"/>
        </w:rPr>
      </w:pPr>
      <w:bookmarkStart w:id="62" w:name="_Toc386530555"/>
      <w:r w:rsidRPr="00FE162C">
        <w:rPr>
          <w:color w:val="000000" w:themeColor="text1"/>
        </w:rPr>
        <w:t>Table 6</w:t>
      </w:r>
      <w:r w:rsidRPr="00FE162C">
        <w:rPr>
          <w:color w:val="000000" w:themeColor="text1"/>
        </w:rPr>
        <w:tab/>
        <w:t xml:space="preserve">Per cent of </w:t>
      </w:r>
      <w:r w:rsidR="00EC6FCC" w:rsidRPr="00FE162C">
        <w:rPr>
          <w:color w:val="000000" w:themeColor="text1"/>
        </w:rPr>
        <w:t xml:space="preserve">a </w:t>
      </w:r>
      <w:r w:rsidRPr="00FE162C">
        <w:rPr>
          <w:color w:val="000000" w:themeColor="text1"/>
        </w:rPr>
        <w:t>group</w:t>
      </w:r>
      <w:r w:rsidR="00F80453" w:rsidRPr="00FE162C">
        <w:rPr>
          <w:color w:val="000000" w:themeColor="text1"/>
        </w:rPr>
        <w:t xml:space="preserve"> willing to accept</w:t>
      </w:r>
      <w:r w:rsidR="008C797E" w:rsidRPr="00FE162C">
        <w:rPr>
          <w:color w:val="000000" w:themeColor="text1"/>
        </w:rPr>
        <w:t xml:space="preserve"> </w:t>
      </w:r>
      <w:r w:rsidR="002B6D30" w:rsidRPr="00FE162C">
        <w:rPr>
          <w:color w:val="000000" w:themeColor="text1"/>
        </w:rPr>
        <w:t>jobs</w:t>
      </w:r>
      <w:r w:rsidR="00F80E1D">
        <w:rPr>
          <w:color w:val="000000" w:themeColor="text1"/>
        </w:rPr>
        <w:t>,</w:t>
      </w:r>
      <w:r w:rsidR="002B6D30" w:rsidRPr="00FE162C">
        <w:rPr>
          <w:color w:val="000000" w:themeColor="text1"/>
        </w:rPr>
        <w:t xml:space="preserve"> </w:t>
      </w:r>
      <w:r w:rsidR="00CA6DE3" w:rsidRPr="00FE162C">
        <w:rPr>
          <w:color w:val="000000" w:themeColor="text1"/>
        </w:rPr>
        <w:t>which</w:t>
      </w:r>
      <w:r w:rsidR="002B6D30" w:rsidRPr="00FE162C">
        <w:rPr>
          <w:color w:val="000000" w:themeColor="text1"/>
        </w:rPr>
        <w:t xml:space="preserve"> are</w:t>
      </w:r>
      <w:r w:rsidR="00F80453" w:rsidRPr="00FE162C">
        <w:rPr>
          <w:color w:val="000000" w:themeColor="text1"/>
        </w:rPr>
        <w:t xml:space="preserve"> </w:t>
      </w:r>
      <w:r w:rsidR="00965475">
        <w:rPr>
          <w:color w:val="000000" w:themeColor="text1"/>
        </w:rPr>
        <w:t>ongoing</w:t>
      </w:r>
      <w:r w:rsidR="00EC6FCC" w:rsidRPr="00FE162C">
        <w:rPr>
          <w:color w:val="000000" w:themeColor="text1"/>
        </w:rPr>
        <w:t>,</w:t>
      </w:r>
      <w:r w:rsidR="002B6D30" w:rsidRPr="00FE162C">
        <w:rPr>
          <w:color w:val="000000" w:themeColor="text1"/>
        </w:rPr>
        <w:t xml:space="preserve"> have</w:t>
      </w:r>
      <w:r w:rsidR="00F80453" w:rsidRPr="00FE162C">
        <w:rPr>
          <w:color w:val="000000" w:themeColor="text1"/>
        </w:rPr>
        <w:t xml:space="preserve"> no training </w:t>
      </w:r>
      <w:r w:rsidR="002B6D30" w:rsidRPr="00FE162C">
        <w:rPr>
          <w:color w:val="000000" w:themeColor="text1"/>
        </w:rPr>
        <w:t>component and require</w:t>
      </w:r>
      <w:r w:rsidR="00F80453" w:rsidRPr="00FE162C">
        <w:rPr>
          <w:color w:val="000000" w:themeColor="text1"/>
        </w:rPr>
        <w:t xml:space="preserve"> relocation to either Emerald or Karratha</w:t>
      </w:r>
      <w:r w:rsidR="00F80E1D">
        <w:rPr>
          <w:color w:val="000000" w:themeColor="text1"/>
        </w:rPr>
        <w:t>, without a wage premium</w:t>
      </w:r>
      <w:bookmarkEnd w:id="62"/>
    </w:p>
    <w:tbl>
      <w:tblPr>
        <w:tblW w:w="8804" w:type="dxa"/>
        <w:tblInd w:w="93" w:type="dxa"/>
        <w:tblLayout w:type="fixed"/>
        <w:tblLook w:val="04A0" w:firstRow="1" w:lastRow="0" w:firstColumn="1" w:lastColumn="0" w:noHBand="0" w:noVBand="1"/>
      </w:tblPr>
      <w:tblGrid>
        <w:gridCol w:w="2199"/>
        <w:gridCol w:w="2211"/>
        <w:gridCol w:w="2180"/>
        <w:gridCol w:w="2214"/>
      </w:tblGrid>
      <w:tr w:rsidR="00F80453" w:rsidRPr="00FE162C" w:rsidTr="00A97BE7">
        <w:tc>
          <w:tcPr>
            <w:tcW w:w="2199" w:type="dxa"/>
            <w:tcBorders>
              <w:top w:val="single" w:sz="4" w:space="0" w:color="auto"/>
              <w:left w:val="nil"/>
              <w:right w:val="nil"/>
            </w:tcBorders>
            <w:shd w:val="clear" w:color="auto" w:fill="auto"/>
          </w:tcPr>
          <w:p w:rsidR="00F80453" w:rsidRPr="00FE162C" w:rsidRDefault="00F80453" w:rsidP="00BE2D1F">
            <w:pPr>
              <w:pStyle w:val="Tablehead1"/>
            </w:pPr>
          </w:p>
        </w:tc>
        <w:tc>
          <w:tcPr>
            <w:tcW w:w="2211" w:type="dxa"/>
            <w:tcBorders>
              <w:top w:val="single" w:sz="4" w:space="0" w:color="auto"/>
              <w:left w:val="nil"/>
              <w:right w:val="nil"/>
            </w:tcBorders>
            <w:shd w:val="clear" w:color="auto" w:fill="auto"/>
          </w:tcPr>
          <w:p w:rsidR="00F80453" w:rsidRPr="00FE162C" w:rsidRDefault="00F80453" w:rsidP="00BE2D1F">
            <w:pPr>
              <w:pStyle w:val="Tablehead1"/>
              <w:jc w:val="center"/>
            </w:pPr>
          </w:p>
        </w:tc>
        <w:tc>
          <w:tcPr>
            <w:tcW w:w="4394" w:type="dxa"/>
            <w:gridSpan w:val="2"/>
            <w:tcBorders>
              <w:top w:val="single" w:sz="4" w:space="0" w:color="auto"/>
              <w:left w:val="nil"/>
              <w:right w:val="nil"/>
            </w:tcBorders>
            <w:shd w:val="clear" w:color="auto" w:fill="auto"/>
          </w:tcPr>
          <w:p w:rsidR="00F80453" w:rsidRPr="00FE162C" w:rsidRDefault="00F80453" w:rsidP="00BE2D1F">
            <w:pPr>
              <w:pStyle w:val="Tablehead1"/>
              <w:jc w:val="center"/>
            </w:pPr>
            <w:r w:rsidRPr="00FE162C">
              <w:t>95% confidence interval</w:t>
            </w:r>
          </w:p>
        </w:tc>
      </w:tr>
      <w:tr w:rsidR="00F80453" w:rsidRPr="00FE162C" w:rsidTr="00A97BE7">
        <w:tc>
          <w:tcPr>
            <w:tcW w:w="2199" w:type="dxa"/>
            <w:tcBorders>
              <w:top w:val="nil"/>
              <w:left w:val="nil"/>
              <w:bottom w:val="single" w:sz="4" w:space="0" w:color="auto"/>
              <w:right w:val="nil"/>
            </w:tcBorders>
            <w:shd w:val="clear" w:color="auto" w:fill="auto"/>
          </w:tcPr>
          <w:p w:rsidR="00F80453" w:rsidRPr="00FE162C" w:rsidRDefault="00F80453" w:rsidP="00BE2D1F">
            <w:pPr>
              <w:pStyle w:val="Tablehead2"/>
            </w:pPr>
            <w:r w:rsidRPr="00FE162C">
              <w:t>Group</w:t>
            </w:r>
          </w:p>
        </w:tc>
        <w:tc>
          <w:tcPr>
            <w:tcW w:w="2211" w:type="dxa"/>
            <w:tcBorders>
              <w:top w:val="nil"/>
              <w:left w:val="nil"/>
              <w:bottom w:val="single" w:sz="4" w:space="0" w:color="auto"/>
              <w:right w:val="nil"/>
            </w:tcBorders>
            <w:shd w:val="clear" w:color="auto" w:fill="auto"/>
          </w:tcPr>
          <w:p w:rsidR="00F80453" w:rsidRPr="00FE162C" w:rsidRDefault="00F80453" w:rsidP="00BE2D1F">
            <w:pPr>
              <w:pStyle w:val="Tablehead2"/>
              <w:jc w:val="center"/>
            </w:pPr>
            <w:r w:rsidRPr="00FE162C">
              <w:t>Estimate</w:t>
            </w:r>
          </w:p>
        </w:tc>
        <w:tc>
          <w:tcPr>
            <w:tcW w:w="2180" w:type="dxa"/>
            <w:tcBorders>
              <w:left w:val="nil"/>
              <w:bottom w:val="single" w:sz="4" w:space="0" w:color="auto"/>
              <w:right w:val="nil"/>
            </w:tcBorders>
            <w:shd w:val="clear" w:color="auto" w:fill="auto"/>
          </w:tcPr>
          <w:p w:rsidR="00F80453" w:rsidRPr="00FE162C" w:rsidRDefault="00F80453" w:rsidP="00BE2D1F">
            <w:pPr>
              <w:pStyle w:val="Tablehead2"/>
              <w:jc w:val="center"/>
            </w:pPr>
            <w:r w:rsidRPr="00FE162C">
              <w:t>Lower</w:t>
            </w:r>
          </w:p>
        </w:tc>
        <w:tc>
          <w:tcPr>
            <w:tcW w:w="2214" w:type="dxa"/>
            <w:tcBorders>
              <w:left w:val="nil"/>
              <w:bottom w:val="single" w:sz="4" w:space="0" w:color="auto"/>
              <w:right w:val="nil"/>
            </w:tcBorders>
            <w:shd w:val="clear" w:color="auto" w:fill="auto"/>
          </w:tcPr>
          <w:p w:rsidR="00F80453" w:rsidRPr="00FE162C" w:rsidRDefault="00F80453" w:rsidP="00BE2D1F">
            <w:pPr>
              <w:pStyle w:val="Tablehead2"/>
              <w:jc w:val="center"/>
            </w:pPr>
            <w:r w:rsidRPr="00FE162C">
              <w:t>Upper</w:t>
            </w:r>
          </w:p>
        </w:tc>
      </w:tr>
      <w:tr w:rsidR="00F80453" w:rsidRPr="00BE2D1F" w:rsidTr="00A97BE7">
        <w:tc>
          <w:tcPr>
            <w:tcW w:w="2199" w:type="dxa"/>
            <w:tcBorders>
              <w:top w:val="single" w:sz="4" w:space="0" w:color="auto"/>
              <w:left w:val="nil"/>
              <w:bottom w:val="nil"/>
              <w:right w:val="nil"/>
            </w:tcBorders>
            <w:shd w:val="clear" w:color="auto" w:fill="auto"/>
            <w:hideMark/>
          </w:tcPr>
          <w:p w:rsidR="00F80453" w:rsidRPr="00BE2D1F" w:rsidRDefault="005B612E" w:rsidP="00BE2D1F">
            <w:pPr>
              <w:pStyle w:val="Tabletext"/>
            </w:pPr>
            <w:r w:rsidRPr="00BE2D1F">
              <w:t>Young</w:t>
            </w:r>
          </w:p>
        </w:tc>
        <w:tc>
          <w:tcPr>
            <w:tcW w:w="2211" w:type="dxa"/>
            <w:tcBorders>
              <w:top w:val="single" w:sz="4" w:space="0" w:color="auto"/>
              <w:left w:val="nil"/>
              <w:bottom w:val="nil"/>
              <w:right w:val="nil"/>
            </w:tcBorders>
            <w:shd w:val="clear" w:color="auto" w:fill="auto"/>
          </w:tcPr>
          <w:p w:rsidR="00F80453" w:rsidRPr="00BE2D1F" w:rsidRDefault="00F80453" w:rsidP="00BE2D1F">
            <w:pPr>
              <w:pStyle w:val="Tabletext"/>
              <w:tabs>
                <w:tab w:val="decimal" w:pos="1077"/>
              </w:tabs>
            </w:pPr>
            <w:r w:rsidRPr="00BE2D1F">
              <w:t>75</w:t>
            </w:r>
          </w:p>
        </w:tc>
        <w:tc>
          <w:tcPr>
            <w:tcW w:w="2180" w:type="dxa"/>
            <w:tcBorders>
              <w:top w:val="single" w:sz="4" w:space="0" w:color="auto"/>
              <w:left w:val="nil"/>
              <w:bottom w:val="nil"/>
              <w:right w:val="nil"/>
            </w:tcBorders>
            <w:shd w:val="clear" w:color="auto" w:fill="auto"/>
          </w:tcPr>
          <w:p w:rsidR="00F80453" w:rsidRPr="00BE2D1F" w:rsidRDefault="00F80453" w:rsidP="00BE2D1F">
            <w:pPr>
              <w:pStyle w:val="Tabletext"/>
              <w:tabs>
                <w:tab w:val="decimal" w:pos="1077"/>
              </w:tabs>
            </w:pPr>
            <w:r w:rsidRPr="00BE2D1F">
              <w:t>11</w:t>
            </w:r>
          </w:p>
        </w:tc>
        <w:tc>
          <w:tcPr>
            <w:tcW w:w="2214" w:type="dxa"/>
            <w:tcBorders>
              <w:top w:val="single" w:sz="4" w:space="0" w:color="auto"/>
              <w:left w:val="nil"/>
              <w:bottom w:val="nil"/>
              <w:right w:val="nil"/>
            </w:tcBorders>
            <w:shd w:val="clear" w:color="auto" w:fill="auto"/>
          </w:tcPr>
          <w:p w:rsidR="00F80453" w:rsidRPr="00BE2D1F" w:rsidRDefault="00F80453" w:rsidP="00BE2D1F">
            <w:pPr>
              <w:pStyle w:val="Tabletext"/>
              <w:tabs>
                <w:tab w:val="decimal" w:pos="1134"/>
              </w:tabs>
            </w:pPr>
            <w:r w:rsidRPr="00BE2D1F">
              <w:t>100</w:t>
            </w:r>
          </w:p>
        </w:tc>
      </w:tr>
      <w:tr w:rsidR="00F80453" w:rsidRPr="00BE2D1F" w:rsidTr="00A97BE7">
        <w:tc>
          <w:tcPr>
            <w:tcW w:w="2199" w:type="dxa"/>
            <w:tcBorders>
              <w:top w:val="nil"/>
              <w:left w:val="nil"/>
              <w:bottom w:val="nil"/>
              <w:right w:val="nil"/>
            </w:tcBorders>
            <w:shd w:val="clear" w:color="auto" w:fill="auto"/>
            <w:hideMark/>
          </w:tcPr>
          <w:p w:rsidR="00F80453" w:rsidRPr="00BE2D1F" w:rsidRDefault="005B612E" w:rsidP="00BE2D1F">
            <w:pPr>
              <w:pStyle w:val="Tabletext"/>
            </w:pPr>
            <w:r w:rsidRPr="00BE2D1F">
              <w:t>Old</w:t>
            </w:r>
          </w:p>
        </w:tc>
        <w:tc>
          <w:tcPr>
            <w:tcW w:w="2211" w:type="dxa"/>
            <w:tcBorders>
              <w:top w:val="nil"/>
              <w:left w:val="nil"/>
              <w:bottom w:val="nil"/>
              <w:right w:val="nil"/>
            </w:tcBorders>
            <w:shd w:val="clear" w:color="auto" w:fill="auto"/>
          </w:tcPr>
          <w:p w:rsidR="00F80453" w:rsidRPr="00BE2D1F" w:rsidRDefault="005B612E" w:rsidP="00BE2D1F">
            <w:pPr>
              <w:pStyle w:val="Tabletext"/>
              <w:tabs>
                <w:tab w:val="decimal" w:pos="1077"/>
              </w:tabs>
            </w:pPr>
            <w:r w:rsidRPr="00BE2D1F">
              <w:t>0</w:t>
            </w:r>
          </w:p>
        </w:tc>
        <w:tc>
          <w:tcPr>
            <w:tcW w:w="2180" w:type="dxa"/>
            <w:tcBorders>
              <w:top w:val="nil"/>
              <w:left w:val="nil"/>
              <w:bottom w:val="nil"/>
              <w:right w:val="nil"/>
            </w:tcBorders>
            <w:shd w:val="clear" w:color="auto" w:fill="auto"/>
          </w:tcPr>
          <w:p w:rsidR="00F80453" w:rsidRPr="00BE2D1F" w:rsidRDefault="005B612E" w:rsidP="00BE2D1F">
            <w:pPr>
              <w:pStyle w:val="Tabletext"/>
              <w:tabs>
                <w:tab w:val="decimal" w:pos="1077"/>
              </w:tabs>
            </w:pPr>
            <w:r w:rsidRPr="00BE2D1F">
              <w:t>0</w:t>
            </w:r>
          </w:p>
        </w:tc>
        <w:tc>
          <w:tcPr>
            <w:tcW w:w="2214" w:type="dxa"/>
            <w:tcBorders>
              <w:top w:val="nil"/>
              <w:left w:val="nil"/>
              <w:bottom w:val="nil"/>
              <w:right w:val="nil"/>
            </w:tcBorders>
            <w:shd w:val="clear" w:color="auto" w:fill="auto"/>
          </w:tcPr>
          <w:p w:rsidR="00F80453" w:rsidRPr="00BE2D1F" w:rsidRDefault="005B612E" w:rsidP="00BE2D1F">
            <w:pPr>
              <w:pStyle w:val="Tabletext"/>
              <w:tabs>
                <w:tab w:val="decimal" w:pos="1134"/>
              </w:tabs>
            </w:pPr>
            <w:r w:rsidRPr="00BE2D1F">
              <w:t>9</w:t>
            </w:r>
          </w:p>
        </w:tc>
      </w:tr>
      <w:tr w:rsidR="00F80453" w:rsidRPr="00BE2D1F" w:rsidTr="00A97BE7">
        <w:tc>
          <w:tcPr>
            <w:tcW w:w="2199" w:type="dxa"/>
            <w:tcBorders>
              <w:top w:val="nil"/>
              <w:left w:val="nil"/>
              <w:right w:val="nil"/>
            </w:tcBorders>
            <w:shd w:val="clear" w:color="auto" w:fill="auto"/>
            <w:hideMark/>
          </w:tcPr>
          <w:p w:rsidR="00F80453" w:rsidRPr="00BE2D1F" w:rsidRDefault="005B612E" w:rsidP="00BE2D1F">
            <w:pPr>
              <w:pStyle w:val="Tabletext"/>
            </w:pPr>
            <w:r w:rsidRPr="00BE2D1F">
              <w:t>The rest</w:t>
            </w:r>
          </w:p>
        </w:tc>
        <w:tc>
          <w:tcPr>
            <w:tcW w:w="2211" w:type="dxa"/>
            <w:tcBorders>
              <w:top w:val="nil"/>
              <w:left w:val="nil"/>
              <w:right w:val="nil"/>
            </w:tcBorders>
            <w:shd w:val="clear" w:color="auto" w:fill="auto"/>
          </w:tcPr>
          <w:p w:rsidR="00F80453" w:rsidRPr="00BE2D1F" w:rsidRDefault="005B612E" w:rsidP="00BE2D1F">
            <w:pPr>
              <w:pStyle w:val="Tabletext"/>
              <w:tabs>
                <w:tab w:val="decimal" w:pos="1077"/>
              </w:tabs>
            </w:pPr>
            <w:r w:rsidRPr="00BE2D1F">
              <w:t>14</w:t>
            </w:r>
          </w:p>
        </w:tc>
        <w:tc>
          <w:tcPr>
            <w:tcW w:w="2180" w:type="dxa"/>
            <w:tcBorders>
              <w:top w:val="nil"/>
              <w:left w:val="nil"/>
              <w:right w:val="nil"/>
            </w:tcBorders>
            <w:shd w:val="clear" w:color="auto" w:fill="auto"/>
          </w:tcPr>
          <w:p w:rsidR="00F80453" w:rsidRPr="00BE2D1F" w:rsidRDefault="005B612E" w:rsidP="00BE2D1F">
            <w:pPr>
              <w:pStyle w:val="Tabletext"/>
              <w:tabs>
                <w:tab w:val="decimal" w:pos="1077"/>
              </w:tabs>
            </w:pPr>
            <w:r w:rsidRPr="00BE2D1F">
              <w:t>0</w:t>
            </w:r>
          </w:p>
        </w:tc>
        <w:tc>
          <w:tcPr>
            <w:tcW w:w="2214" w:type="dxa"/>
            <w:tcBorders>
              <w:top w:val="nil"/>
              <w:left w:val="nil"/>
              <w:right w:val="nil"/>
            </w:tcBorders>
            <w:shd w:val="clear" w:color="auto" w:fill="auto"/>
          </w:tcPr>
          <w:p w:rsidR="00F80453" w:rsidRPr="00BE2D1F" w:rsidRDefault="005B612E" w:rsidP="00BE2D1F">
            <w:pPr>
              <w:pStyle w:val="Tabletext"/>
              <w:tabs>
                <w:tab w:val="decimal" w:pos="1134"/>
              </w:tabs>
            </w:pPr>
            <w:r w:rsidRPr="00BE2D1F">
              <w:t>48</w:t>
            </w:r>
          </w:p>
        </w:tc>
      </w:tr>
      <w:tr w:rsidR="00F80453" w:rsidRPr="00BE2D1F" w:rsidTr="00A97BE7">
        <w:tc>
          <w:tcPr>
            <w:tcW w:w="2199" w:type="dxa"/>
            <w:tcBorders>
              <w:top w:val="nil"/>
              <w:left w:val="nil"/>
              <w:bottom w:val="single" w:sz="4" w:space="0" w:color="auto"/>
              <w:right w:val="nil"/>
            </w:tcBorders>
            <w:shd w:val="clear" w:color="auto" w:fill="auto"/>
          </w:tcPr>
          <w:p w:rsidR="00F80453" w:rsidRPr="00BE2D1F" w:rsidRDefault="005B612E" w:rsidP="00BE2D1F">
            <w:pPr>
              <w:pStyle w:val="Tabletext"/>
            </w:pPr>
            <w:r w:rsidRPr="00BE2D1F">
              <w:t>All</w:t>
            </w:r>
          </w:p>
        </w:tc>
        <w:tc>
          <w:tcPr>
            <w:tcW w:w="2211" w:type="dxa"/>
            <w:tcBorders>
              <w:top w:val="nil"/>
              <w:left w:val="nil"/>
              <w:bottom w:val="single" w:sz="4" w:space="0" w:color="auto"/>
              <w:right w:val="nil"/>
            </w:tcBorders>
            <w:shd w:val="clear" w:color="auto" w:fill="auto"/>
          </w:tcPr>
          <w:p w:rsidR="00F80453" w:rsidRPr="00BE2D1F" w:rsidRDefault="005B612E" w:rsidP="00BE2D1F">
            <w:pPr>
              <w:pStyle w:val="Tabletext"/>
              <w:tabs>
                <w:tab w:val="decimal" w:pos="1077"/>
              </w:tabs>
            </w:pPr>
            <w:r w:rsidRPr="00BE2D1F">
              <w:t>14</w:t>
            </w:r>
          </w:p>
        </w:tc>
        <w:tc>
          <w:tcPr>
            <w:tcW w:w="2180" w:type="dxa"/>
            <w:tcBorders>
              <w:top w:val="nil"/>
              <w:left w:val="nil"/>
              <w:bottom w:val="single" w:sz="4" w:space="0" w:color="auto"/>
              <w:right w:val="nil"/>
            </w:tcBorders>
            <w:shd w:val="clear" w:color="auto" w:fill="auto"/>
          </w:tcPr>
          <w:p w:rsidR="00F80453" w:rsidRPr="00BE2D1F" w:rsidRDefault="005B612E" w:rsidP="00BE2D1F">
            <w:pPr>
              <w:pStyle w:val="Tabletext"/>
              <w:tabs>
                <w:tab w:val="decimal" w:pos="1077"/>
              </w:tabs>
            </w:pPr>
            <w:r w:rsidRPr="00BE2D1F">
              <w:t>1</w:t>
            </w:r>
          </w:p>
        </w:tc>
        <w:tc>
          <w:tcPr>
            <w:tcW w:w="2214" w:type="dxa"/>
            <w:tcBorders>
              <w:top w:val="nil"/>
              <w:left w:val="nil"/>
              <w:bottom w:val="single" w:sz="4" w:space="0" w:color="auto"/>
              <w:right w:val="nil"/>
            </w:tcBorders>
            <w:shd w:val="clear" w:color="auto" w:fill="auto"/>
          </w:tcPr>
          <w:p w:rsidR="00F80453" w:rsidRPr="00BE2D1F" w:rsidRDefault="005B612E" w:rsidP="00BE2D1F">
            <w:pPr>
              <w:pStyle w:val="Tabletext"/>
              <w:tabs>
                <w:tab w:val="decimal" w:pos="1134"/>
              </w:tabs>
            </w:pPr>
            <w:r w:rsidRPr="00BE2D1F">
              <w:t>53</w:t>
            </w:r>
          </w:p>
        </w:tc>
      </w:tr>
    </w:tbl>
    <w:p w:rsidR="002C0F8C" w:rsidRPr="00FE162C" w:rsidRDefault="002C0F8C" w:rsidP="00BE2D1F">
      <w:pPr>
        <w:pStyle w:val="Source"/>
      </w:pPr>
      <w:r w:rsidRPr="00FE162C">
        <w:t>Note:</w:t>
      </w:r>
      <w:r w:rsidRPr="00FE162C">
        <w:tab/>
        <w:t xml:space="preserve">Confidence intervals are calculated by summing the </w:t>
      </w:r>
      <w:r w:rsidRPr="00BE2D1F">
        <w:t>simulated</w:t>
      </w:r>
      <w:r w:rsidRPr="00FE162C">
        <w:t xml:space="preserve"> variance of each MWTP estimate.</w:t>
      </w:r>
    </w:p>
    <w:p w:rsidR="00BF6CA0" w:rsidRPr="00FE162C" w:rsidRDefault="00832E30" w:rsidP="00BE2D1F">
      <w:pPr>
        <w:pStyle w:val="Textmorebefore"/>
      </w:pPr>
      <w:r w:rsidRPr="00FE162C">
        <w:t>For the purposes of</w:t>
      </w:r>
      <w:r w:rsidR="005853FC" w:rsidRPr="00FE162C">
        <w:t xml:space="preserve"> devel</w:t>
      </w:r>
      <w:r w:rsidR="00CA6DE3" w:rsidRPr="00FE162C">
        <w:t>oping</w:t>
      </w:r>
      <w:r w:rsidRPr="00FE162C">
        <w:t xml:space="preserve"> policies that seek to use wage incentives </w:t>
      </w:r>
      <w:r w:rsidR="00E503BB">
        <w:t>to</w:t>
      </w:r>
      <w:r w:rsidRPr="00FE162C">
        <w:t xml:space="preserve"> encourag</w:t>
      </w:r>
      <w:r w:rsidR="00E503BB">
        <w:t>e</w:t>
      </w:r>
      <w:r w:rsidRPr="00FE162C">
        <w:t xml:space="preserve"> labour mobility, it thus makes </w:t>
      </w:r>
      <w:r w:rsidR="00E40CBE" w:rsidRPr="00FE162C">
        <w:t xml:space="preserve">sense to exclude </w:t>
      </w:r>
      <w:r w:rsidR="00CA6DE3" w:rsidRPr="00FE162C">
        <w:t>from the analysis</w:t>
      </w:r>
      <w:r w:rsidR="00E40CBE" w:rsidRPr="00FE162C">
        <w:t xml:space="preserve"> individuals</w:t>
      </w:r>
      <w:r w:rsidRPr="00FE162C">
        <w:t xml:space="preserve"> </w:t>
      </w:r>
      <w:r w:rsidR="00CA6DE3" w:rsidRPr="00FE162C">
        <w:t>who are likely to move without a wage premium</w:t>
      </w:r>
      <w:r w:rsidR="00F80E1D">
        <w:t>. As they</w:t>
      </w:r>
      <w:r w:rsidR="00DF0A12" w:rsidRPr="00FE162C">
        <w:t xml:space="preserve"> would have accepted the jobs without a </w:t>
      </w:r>
      <w:r w:rsidR="006F03F6">
        <w:t xml:space="preserve">wage </w:t>
      </w:r>
      <w:r w:rsidR="00DF0A12" w:rsidRPr="00FE162C">
        <w:t>premium</w:t>
      </w:r>
      <w:r w:rsidR="00F80E1D">
        <w:t xml:space="preserve">, they are not of </w:t>
      </w:r>
      <w:r w:rsidR="006F03F6">
        <w:t>interest for policies using monetary incentives to move people for work</w:t>
      </w:r>
      <w:r w:rsidRPr="00FE162C">
        <w:t xml:space="preserve">. </w:t>
      </w:r>
      <w:r w:rsidR="00CA6DE3" w:rsidRPr="00FE162C">
        <w:t xml:space="preserve">In </w:t>
      </w:r>
      <w:r w:rsidR="00E503BB">
        <w:t>t</w:t>
      </w:r>
      <w:r w:rsidR="00BF6CA0" w:rsidRPr="00FE162C">
        <w:t xml:space="preserve">able 7 </w:t>
      </w:r>
      <w:r w:rsidR="00CA6DE3" w:rsidRPr="00FE162C">
        <w:t>we re-</w:t>
      </w:r>
      <w:r w:rsidR="00BF6CA0" w:rsidRPr="00FE162C">
        <w:t xml:space="preserve">estimate </w:t>
      </w:r>
      <w:r w:rsidR="00CA6DE3" w:rsidRPr="00FE162C">
        <w:t>the</w:t>
      </w:r>
      <w:r w:rsidR="00BF6CA0" w:rsidRPr="00FE162C">
        <w:t xml:space="preserve"> </w:t>
      </w:r>
      <w:r w:rsidR="00DF0A12" w:rsidRPr="00FE162C">
        <w:t xml:space="preserve">minimum </w:t>
      </w:r>
      <w:r w:rsidR="00BF6CA0" w:rsidRPr="00FE162C">
        <w:t>TWTP</w:t>
      </w:r>
      <w:r w:rsidR="00CA6DE3" w:rsidRPr="00FE162C">
        <w:t>s</w:t>
      </w:r>
      <w:r w:rsidR="00BF6CA0" w:rsidRPr="00FE162C">
        <w:t xml:space="preserve"> </w:t>
      </w:r>
      <w:r w:rsidR="00E503BB">
        <w:t>shown in t</w:t>
      </w:r>
      <w:r w:rsidR="00CA6DE3" w:rsidRPr="00FE162C">
        <w:t>able 5 but for a</w:t>
      </w:r>
      <w:r w:rsidR="00BF6CA0" w:rsidRPr="00FE162C">
        <w:t xml:space="preserve"> restricted sample</w:t>
      </w:r>
      <w:r w:rsidR="00575B57">
        <w:t>, one</w:t>
      </w:r>
      <w:r w:rsidR="00CA6DE3" w:rsidRPr="00FE162C">
        <w:t xml:space="preserve"> that excludes all individuals who would have accepted a job offer without a wage premium</w:t>
      </w:r>
      <w:r w:rsidR="00BF6CA0" w:rsidRPr="00FE162C">
        <w:t>.</w:t>
      </w:r>
    </w:p>
    <w:p w:rsidR="00937607" w:rsidRPr="00FE162C" w:rsidRDefault="00FF583A" w:rsidP="00BE2D1F">
      <w:pPr>
        <w:pStyle w:val="Text"/>
      </w:pPr>
      <w:r w:rsidRPr="00FE162C">
        <w:t>As none of</w:t>
      </w:r>
      <w:r w:rsidR="00E503BB">
        <w:t xml:space="preserve"> the o</w:t>
      </w:r>
      <w:r w:rsidR="00423830" w:rsidRPr="00FE162C">
        <w:t>ld group is willing to accept a job offer without a wage premium</w:t>
      </w:r>
      <w:r w:rsidR="00883565" w:rsidRPr="00FE162C">
        <w:t>, the whole group is</w:t>
      </w:r>
      <w:r w:rsidR="00423830" w:rsidRPr="00FE162C">
        <w:t xml:space="preserve"> included in the restricted sample, which means</w:t>
      </w:r>
      <w:r w:rsidR="006F03F6">
        <w:t xml:space="preserve"> that</w:t>
      </w:r>
      <w:r w:rsidR="00423830" w:rsidRPr="00FE162C">
        <w:t xml:space="preserve"> the </w:t>
      </w:r>
      <w:r w:rsidR="00883565" w:rsidRPr="00FE162C">
        <w:t xml:space="preserve">results for </w:t>
      </w:r>
      <w:r w:rsidR="00166ED3">
        <w:t>this</w:t>
      </w:r>
      <w:r w:rsidR="00166ED3" w:rsidRPr="00FE162C">
        <w:t xml:space="preserve"> </w:t>
      </w:r>
      <w:r w:rsidR="00E503BB">
        <w:t>group in t</w:t>
      </w:r>
      <w:r w:rsidR="00423830" w:rsidRPr="00FE162C">
        <w:t xml:space="preserve">ables 5 and 7 are identical. </w:t>
      </w:r>
      <w:r w:rsidR="00205717" w:rsidRPr="00FE162C">
        <w:t>The minimum</w:t>
      </w:r>
      <w:r w:rsidR="00A05DA9" w:rsidRPr="00FE162C">
        <w:t xml:space="preserve"> TWTP</w:t>
      </w:r>
      <w:r w:rsidR="00205717" w:rsidRPr="00FE162C">
        <w:t>s</w:t>
      </w:r>
      <w:r w:rsidR="00A05DA9" w:rsidRPr="00FE162C">
        <w:t xml:space="preserve"> however change for all other groups.</w:t>
      </w:r>
      <w:r w:rsidR="005F1C9B" w:rsidRPr="00FE162C">
        <w:t xml:space="preserve"> For i</w:t>
      </w:r>
      <w:r w:rsidR="00205717" w:rsidRPr="00FE162C">
        <w:t>nstance, the minimum wage premium required</w:t>
      </w:r>
      <w:r w:rsidR="005F1C9B" w:rsidRPr="00FE162C">
        <w:t xml:space="preserve"> to get 75</w:t>
      </w:r>
      <w:r w:rsidR="00AF1216">
        <w:t xml:space="preserve">% </w:t>
      </w:r>
      <w:r w:rsidR="005F1C9B" w:rsidRPr="00FE162C">
        <w:t>of</w:t>
      </w:r>
      <w:r w:rsidR="00E503BB">
        <w:t xml:space="preserve"> individuals in the restricted y</w:t>
      </w:r>
      <w:r w:rsidR="005F1C9B" w:rsidRPr="00FE162C">
        <w:t>oung grou</w:t>
      </w:r>
      <w:r w:rsidR="00575B57">
        <w:t>p to accept the jobs is now $15 </w:t>
      </w:r>
      <w:r w:rsidR="005F1C9B" w:rsidRPr="00FE162C">
        <w:t>680</w:t>
      </w:r>
      <w:r w:rsidR="00F71584">
        <w:t>,</w:t>
      </w:r>
      <w:r w:rsidR="005F1C9B" w:rsidRPr="00FE162C">
        <w:t xml:space="preserve"> and to get 25</w:t>
      </w:r>
      <w:r w:rsidR="00AF1216">
        <w:t xml:space="preserve">% </w:t>
      </w:r>
      <w:r w:rsidR="005F1C9B" w:rsidRPr="00FE162C">
        <w:t xml:space="preserve">of the whole restricted sample to </w:t>
      </w:r>
      <w:r w:rsidR="00E503BB">
        <w:t xml:space="preserve">accept the jobs it is $37 </w:t>
      </w:r>
      <w:r w:rsidR="005F1C9B" w:rsidRPr="00FE162C">
        <w:t>671.</w:t>
      </w:r>
    </w:p>
    <w:p w:rsidR="00FF583A" w:rsidRPr="00FE162C" w:rsidRDefault="00FF583A" w:rsidP="00A97BE7">
      <w:pPr>
        <w:pStyle w:val="Text"/>
      </w:pPr>
      <w:r w:rsidRPr="00FE162C">
        <w:t>About 25</w:t>
      </w:r>
      <w:r w:rsidR="00AF1216">
        <w:t xml:space="preserve">% </w:t>
      </w:r>
      <w:r w:rsidR="00E503BB">
        <w:t>of the restricted y</w:t>
      </w:r>
      <w:r w:rsidRPr="00FE162C">
        <w:t>oung group</w:t>
      </w:r>
      <w:r w:rsidR="008E2B1C" w:rsidRPr="00FE162C">
        <w:t xml:space="preserve">, </w:t>
      </w:r>
      <w:r w:rsidR="006F03F6">
        <w:t>which is</w:t>
      </w:r>
      <w:r w:rsidRPr="00FE162C">
        <w:t xml:space="preserve"> 6</w:t>
      </w:r>
      <w:r w:rsidR="00AF1216">
        <w:t xml:space="preserve">% </w:t>
      </w:r>
      <w:r w:rsidR="008E2B1C" w:rsidRPr="00FE162C">
        <w:t>of the original group,</w:t>
      </w:r>
      <w:r w:rsidRPr="00FE162C">
        <w:t xml:space="preserve"> is</w:t>
      </w:r>
      <w:r w:rsidR="006F03F6">
        <w:t xml:space="preserve"> willing to accept the job offer if it included</w:t>
      </w:r>
      <w:r w:rsidR="00E503BB">
        <w:t xml:space="preserve"> a wage premium of $3</w:t>
      </w:r>
      <w:r w:rsidRPr="00FE162C">
        <w:t>720. The limited success</w:t>
      </w:r>
      <w:r w:rsidR="006F03F6">
        <w:t>,</w:t>
      </w:r>
      <w:r w:rsidR="00937607" w:rsidRPr="00FE162C">
        <w:t xml:space="preserve"> in terms of the number</w:t>
      </w:r>
      <w:r w:rsidR="00137E58">
        <w:t>s of people</w:t>
      </w:r>
      <w:r w:rsidR="00937607" w:rsidRPr="00FE162C">
        <w:t xml:space="preserve"> </w:t>
      </w:r>
      <w:r w:rsidR="00937607" w:rsidRPr="00FE162C">
        <w:lastRenderedPageBreak/>
        <w:t>who participated</w:t>
      </w:r>
      <w:r w:rsidR="006F03F6">
        <w:t>,</w:t>
      </w:r>
      <w:r w:rsidR="00937607" w:rsidRPr="00FE162C">
        <w:t xml:space="preserve"> </w:t>
      </w:r>
      <w:r w:rsidR="006F03F6">
        <w:t>of</w:t>
      </w:r>
      <w:r w:rsidRPr="00FE162C">
        <w:t xml:space="preserve"> p</w:t>
      </w:r>
      <w:r w:rsidR="00E503BB">
        <w:t>rogram</w:t>
      </w:r>
      <w:r w:rsidRPr="00FE162C">
        <w:t xml:space="preserve">s such as </w:t>
      </w:r>
      <w:r w:rsidRPr="00575B57">
        <w:t>Move 2 Work</w:t>
      </w:r>
      <w:r w:rsidRPr="00FE162C">
        <w:t xml:space="preserve"> and </w:t>
      </w:r>
      <w:r w:rsidRPr="00E503BB">
        <w:t>Connecting People with Jobs</w:t>
      </w:r>
      <w:r w:rsidR="00E503BB">
        <w:t>,</w:t>
      </w:r>
      <w:r w:rsidRPr="00FE162C">
        <w:t xml:space="preserve"> which offer</w:t>
      </w:r>
      <w:r w:rsidR="00937607" w:rsidRPr="00FE162C">
        <w:t>ed</w:t>
      </w:r>
      <w:r w:rsidR="008E2B1C" w:rsidRPr="00FE162C">
        <w:t xml:space="preserve"> </w:t>
      </w:r>
      <w:r w:rsidR="00166ED3">
        <w:t xml:space="preserve">a </w:t>
      </w:r>
      <w:r w:rsidR="008E2B1C" w:rsidRPr="00FE162C">
        <w:t xml:space="preserve">similar </w:t>
      </w:r>
      <w:r w:rsidRPr="00FE162C">
        <w:t>amoun</w:t>
      </w:r>
      <w:r w:rsidR="006F03F6">
        <w:t xml:space="preserve">t in direct monetary </w:t>
      </w:r>
      <w:r w:rsidR="006F03F6" w:rsidRPr="00A97BE7">
        <w:t>incentives</w:t>
      </w:r>
      <w:r w:rsidR="00E503BB">
        <w:t>,</w:t>
      </w:r>
      <w:r w:rsidRPr="00FE162C">
        <w:t xml:space="preserve"> suggests that the observed patterns in geographic labour mobility in Australia may be less </w:t>
      </w:r>
      <w:r w:rsidR="00E503BB">
        <w:t xml:space="preserve">related to a </w:t>
      </w:r>
      <w:r w:rsidRPr="00FE162C">
        <w:t>willingness to move and more to labour demand-side factors.</w:t>
      </w:r>
    </w:p>
    <w:p w:rsidR="00BF6CA0" w:rsidRPr="00FE162C" w:rsidRDefault="00FD6374" w:rsidP="00A97BE7">
      <w:pPr>
        <w:pStyle w:val="tabletitle"/>
      </w:pPr>
      <w:bookmarkStart w:id="63" w:name="_Toc386530556"/>
      <w:r w:rsidRPr="00FE162C">
        <w:t>Table 7</w:t>
      </w:r>
      <w:r w:rsidRPr="00FE162C">
        <w:tab/>
        <w:t>Minimum total willingness to pay to get 25, 50 and 75</w:t>
      </w:r>
      <w:r w:rsidR="00AF1216">
        <w:t xml:space="preserve">% </w:t>
      </w:r>
      <w:r w:rsidR="008C797E" w:rsidRPr="00FE162C">
        <w:t xml:space="preserve">of a group </w:t>
      </w:r>
      <w:r w:rsidRPr="00FE162C">
        <w:t>in</w:t>
      </w:r>
      <w:r w:rsidR="00BF6CA0" w:rsidRPr="00FE162C">
        <w:t xml:space="preserve"> </w:t>
      </w:r>
      <w:r w:rsidR="008C797E" w:rsidRPr="00FE162C">
        <w:t xml:space="preserve">the </w:t>
      </w:r>
      <w:r w:rsidR="00BF6CA0" w:rsidRPr="00FE162C">
        <w:t>restricted</w:t>
      </w:r>
      <w:r w:rsidR="002C0F8C" w:rsidRPr="00FE162C">
        <w:rPr>
          <w:vertAlign w:val="superscript"/>
        </w:rPr>
        <w:t>1</w:t>
      </w:r>
      <w:r w:rsidR="00BF6CA0" w:rsidRPr="00FE162C">
        <w:t xml:space="preserve"> sample </w:t>
      </w:r>
      <w:r w:rsidRPr="00FE162C">
        <w:t xml:space="preserve">to </w:t>
      </w:r>
      <w:r w:rsidR="00957992" w:rsidRPr="00FE162C">
        <w:t>accept</w:t>
      </w:r>
      <w:r w:rsidR="00BF6CA0" w:rsidRPr="00FE162C">
        <w:t xml:space="preserve"> jobs </w:t>
      </w:r>
      <w:r w:rsidR="00CA6DE3" w:rsidRPr="00A97BE7">
        <w:t>which</w:t>
      </w:r>
      <w:r w:rsidR="00BF6CA0" w:rsidRPr="00FE162C">
        <w:t xml:space="preserve"> are </w:t>
      </w:r>
      <w:r w:rsidR="00965475">
        <w:t>ongoing</w:t>
      </w:r>
      <w:r w:rsidR="008C797E" w:rsidRPr="00FE162C">
        <w:t>,</w:t>
      </w:r>
      <w:r w:rsidR="00957992" w:rsidRPr="00FE162C">
        <w:t xml:space="preserve"> have</w:t>
      </w:r>
      <w:r w:rsidR="00BF6CA0" w:rsidRPr="00FE162C">
        <w:t xml:space="preserve"> no training component and require relocation to either Emerald or Karratha</w:t>
      </w:r>
      <w:bookmarkEnd w:id="63"/>
    </w:p>
    <w:tbl>
      <w:tblPr>
        <w:tblW w:w="8789" w:type="dxa"/>
        <w:tblInd w:w="93" w:type="dxa"/>
        <w:tblLayout w:type="fixed"/>
        <w:tblLook w:val="04A0" w:firstRow="1" w:lastRow="0" w:firstColumn="1" w:lastColumn="0" w:noHBand="0" w:noVBand="1"/>
      </w:tblPr>
      <w:tblGrid>
        <w:gridCol w:w="1715"/>
        <w:gridCol w:w="1418"/>
        <w:gridCol w:w="1885"/>
        <w:gridCol w:w="1885"/>
        <w:gridCol w:w="1886"/>
      </w:tblGrid>
      <w:tr w:rsidR="00BF6CA0" w:rsidRPr="00FE162C" w:rsidTr="00602830">
        <w:tc>
          <w:tcPr>
            <w:tcW w:w="1715" w:type="dxa"/>
            <w:tcBorders>
              <w:top w:val="single" w:sz="4" w:space="0" w:color="auto"/>
              <w:left w:val="nil"/>
              <w:bottom w:val="nil"/>
              <w:right w:val="nil"/>
            </w:tcBorders>
            <w:shd w:val="clear" w:color="auto" w:fill="auto"/>
          </w:tcPr>
          <w:p w:rsidR="00BF6CA0" w:rsidRPr="00FE162C" w:rsidRDefault="00BF6CA0" w:rsidP="00602830">
            <w:pPr>
              <w:pStyle w:val="Tablehead1"/>
            </w:pPr>
          </w:p>
        </w:tc>
        <w:tc>
          <w:tcPr>
            <w:tcW w:w="1418" w:type="dxa"/>
            <w:tcBorders>
              <w:top w:val="single" w:sz="4" w:space="0" w:color="auto"/>
              <w:left w:val="nil"/>
              <w:bottom w:val="nil"/>
              <w:right w:val="nil"/>
            </w:tcBorders>
            <w:shd w:val="clear" w:color="auto" w:fill="auto"/>
          </w:tcPr>
          <w:p w:rsidR="00BF6CA0" w:rsidRPr="00FE162C" w:rsidRDefault="00BF6CA0" w:rsidP="00602830">
            <w:pPr>
              <w:pStyle w:val="Tablehead1"/>
            </w:pPr>
          </w:p>
        </w:tc>
        <w:tc>
          <w:tcPr>
            <w:tcW w:w="5656" w:type="dxa"/>
            <w:gridSpan w:val="3"/>
            <w:tcBorders>
              <w:top w:val="single" w:sz="4" w:space="0" w:color="auto"/>
              <w:left w:val="nil"/>
              <w:right w:val="nil"/>
            </w:tcBorders>
            <w:shd w:val="clear" w:color="auto" w:fill="auto"/>
          </w:tcPr>
          <w:p w:rsidR="00BF6CA0" w:rsidRPr="00FE162C" w:rsidRDefault="00BF6CA0" w:rsidP="00602830">
            <w:pPr>
              <w:pStyle w:val="Tablehead1"/>
              <w:jc w:val="center"/>
            </w:pPr>
            <w:r w:rsidRPr="00FE162C">
              <w:t>Incentive required ($)</w:t>
            </w:r>
          </w:p>
        </w:tc>
      </w:tr>
      <w:tr w:rsidR="00602830" w:rsidRPr="00FE162C" w:rsidTr="00602830">
        <w:tc>
          <w:tcPr>
            <w:tcW w:w="1715" w:type="dxa"/>
            <w:tcBorders>
              <w:top w:val="nil"/>
              <w:left w:val="nil"/>
              <w:right w:val="nil"/>
            </w:tcBorders>
            <w:shd w:val="clear" w:color="auto" w:fill="auto"/>
          </w:tcPr>
          <w:p w:rsidR="00602830" w:rsidRPr="00FE162C" w:rsidRDefault="00602830" w:rsidP="00602830">
            <w:pPr>
              <w:pStyle w:val="Tablehead2"/>
            </w:pPr>
          </w:p>
        </w:tc>
        <w:tc>
          <w:tcPr>
            <w:tcW w:w="1418" w:type="dxa"/>
            <w:tcBorders>
              <w:top w:val="nil"/>
              <w:left w:val="nil"/>
              <w:right w:val="nil"/>
            </w:tcBorders>
            <w:shd w:val="clear" w:color="auto" w:fill="auto"/>
          </w:tcPr>
          <w:p w:rsidR="00602830" w:rsidRPr="00FE162C" w:rsidRDefault="00602830" w:rsidP="00602830">
            <w:pPr>
              <w:pStyle w:val="Tablehead2"/>
            </w:pPr>
          </w:p>
        </w:tc>
        <w:tc>
          <w:tcPr>
            <w:tcW w:w="1885" w:type="dxa"/>
            <w:tcBorders>
              <w:left w:val="nil"/>
              <w:right w:val="nil"/>
            </w:tcBorders>
            <w:shd w:val="clear" w:color="auto" w:fill="auto"/>
          </w:tcPr>
          <w:p w:rsidR="00602830" w:rsidRPr="00FE162C" w:rsidRDefault="00602830" w:rsidP="00602830">
            <w:pPr>
              <w:pStyle w:val="Tablehead2"/>
              <w:jc w:val="center"/>
            </w:pPr>
          </w:p>
        </w:tc>
        <w:tc>
          <w:tcPr>
            <w:tcW w:w="3771" w:type="dxa"/>
            <w:gridSpan w:val="2"/>
            <w:tcBorders>
              <w:left w:val="nil"/>
              <w:right w:val="nil"/>
            </w:tcBorders>
            <w:shd w:val="clear" w:color="auto" w:fill="auto"/>
          </w:tcPr>
          <w:p w:rsidR="00602830" w:rsidRPr="00FE162C" w:rsidRDefault="00602830" w:rsidP="00602830">
            <w:pPr>
              <w:pStyle w:val="Tablehead2"/>
              <w:jc w:val="center"/>
            </w:pPr>
            <w:r w:rsidRPr="00FE162C">
              <w:t>95% confidence interval</w:t>
            </w:r>
          </w:p>
        </w:tc>
      </w:tr>
      <w:tr w:rsidR="00BF6CA0" w:rsidRPr="00FE162C" w:rsidTr="00602830">
        <w:tc>
          <w:tcPr>
            <w:tcW w:w="1715" w:type="dxa"/>
            <w:tcBorders>
              <w:top w:val="nil"/>
              <w:left w:val="nil"/>
              <w:bottom w:val="single" w:sz="4" w:space="0" w:color="auto"/>
              <w:right w:val="nil"/>
            </w:tcBorders>
            <w:shd w:val="clear" w:color="auto" w:fill="auto"/>
          </w:tcPr>
          <w:p w:rsidR="00BF6CA0" w:rsidRPr="00FE162C" w:rsidRDefault="00BF6CA0" w:rsidP="00602830">
            <w:pPr>
              <w:pStyle w:val="Tablehead3"/>
            </w:pPr>
            <w:r w:rsidRPr="00FE162C">
              <w:t>Group</w:t>
            </w:r>
          </w:p>
        </w:tc>
        <w:tc>
          <w:tcPr>
            <w:tcW w:w="1418" w:type="dxa"/>
            <w:tcBorders>
              <w:top w:val="nil"/>
              <w:left w:val="nil"/>
              <w:bottom w:val="single" w:sz="4" w:space="0" w:color="auto"/>
              <w:right w:val="nil"/>
            </w:tcBorders>
            <w:shd w:val="clear" w:color="auto" w:fill="auto"/>
          </w:tcPr>
          <w:p w:rsidR="00BF6CA0" w:rsidRPr="00FE162C" w:rsidRDefault="00BF6CA0" w:rsidP="00602830">
            <w:pPr>
              <w:pStyle w:val="Tablehead3"/>
              <w:jc w:val="center"/>
            </w:pPr>
            <w:r w:rsidRPr="00FE162C">
              <w:t>% of sample accepting job</w:t>
            </w:r>
          </w:p>
        </w:tc>
        <w:tc>
          <w:tcPr>
            <w:tcW w:w="1885" w:type="dxa"/>
            <w:tcBorders>
              <w:top w:val="nil"/>
              <w:left w:val="nil"/>
              <w:bottom w:val="single" w:sz="4" w:space="0" w:color="auto"/>
              <w:right w:val="nil"/>
            </w:tcBorders>
            <w:shd w:val="clear" w:color="auto" w:fill="auto"/>
          </w:tcPr>
          <w:p w:rsidR="00BF6CA0" w:rsidRPr="00FE162C" w:rsidRDefault="00BF6CA0" w:rsidP="00602830">
            <w:pPr>
              <w:pStyle w:val="Tablehead3"/>
              <w:jc w:val="center"/>
            </w:pPr>
            <w:r w:rsidRPr="00FE162C">
              <w:t>Estimate</w:t>
            </w:r>
          </w:p>
        </w:tc>
        <w:tc>
          <w:tcPr>
            <w:tcW w:w="1885" w:type="dxa"/>
            <w:tcBorders>
              <w:left w:val="nil"/>
              <w:bottom w:val="single" w:sz="4" w:space="0" w:color="auto"/>
              <w:right w:val="nil"/>
            </w:tcBorders>
            <w:shd w:val="clear" w:color="auto" w:fill="auto"/>
          </w:tcPr>
          <w:p w:rsidR="00BF6CA0" w:rsidRPr="00FE162C" w:rsidRDefault="00BF6CA0" w:rsidP="00602830">
            <w:pPr>
              <w:pStyle w:val="Tablehead3"/>
              <w:jc w:val="center"/>
            </w:pPr>
            <w:r w:rsidRPr="00FE162C">
              <w:t>Lower</w:t>
            </w:r>
          </w:p>
        </w:tc>
        <w:tc>
          <w:tcPr>
            <w:tcW w:w="1886" w:type="dxa"/>
            <w:tcBorders>
              <w:left w:val="nil"/>
              <w:bottom w:val="single" w:sz="4" w:space="0" w:color="auto"/>
              <w:right w:val="nil"/>
            </w:tcBorders>
            <w:shd w:val="clear" w:color="auto" w:fill="auto"/>
          </w:tcPr>
          <w:p w:rsidR="00BF6CA0" w:rsidRPr="00FE162C" w:rsidRDefault="00BF6CA0" w:rsidP="00602830">
            <w:pPr>
              <w:pStyle w:val="Tablehead3"/>
              <w:jc w:val="center"/>
            </w:pPr>
            <w:r w:rsidRPr="00FE162C">
              <w:t>Upper</w:t>
            </w:r>
          </w:p>
        </w:tc>
      </w:tr>
      <w:tr w:rsidR="00602830" w:rsidRPr="00FE162C" w:rsidTr="00602830">
        <w:tc>
          <w:tcPr>
            <w:tcW w:w="1715" w:type="dxa"/>
            <w:tcBorders>
              <w:top w:val="single" w:sz="4" w:space="0" w:color="auto"/>
              <w:left w:val="nil"/>
              <w:bottom w:val="nil"/>
              <w:right w:val="nil"/>
            </w:tcBorders>
            <w:shd w:val="clear" w:color="auto" w:fill="auto"/>
            <w:hideMark/>
          </w:tcPr>
          <w:p w:rsidR="00602830" w:rsidRPr="00FE162C" w:rsidRDefault="00602830" w:rsidP="00602830">
            <w:pPr>
              <w:pStyle w:val="Tabletext"/>
            </w:pPr>
            <w:r w:rsidRPr="00FE162C">
              <w:t>Young</w:t>
            </w:r>
          </w:p>
        </w:tc>
        <w:tc>
          <w:tcPr>
            <w:tcW w:w="1418" w:type="dxa"/>
            <w:tcBorders>
              <w:top w:val="single" w:sz="4" w:space="0" w:color="auto"/>
              <w:left w:val="nil"/>
              <w:bottom w:val="nil"/>
              <w:right w:val="nil"/>
            </w:tcBorders>
            <w:shd w:val="clear" w:color="auto" w:fill="auto"/>
            <w:hideMark/>
          </w:tcPr>
          <w:p w:rsidR="00602830" w:rsidRPr="00FE162C" w:rsidRDefault="00602830" w:rsidP="00602830">
            <w:pPr>
              <w:pStyle w:val="Tabletext"/>
              <w:ind w:right="510"/>
              <w:jc w:val="right"/>
            </w:pPr>
            <w:r w:rsidRPr="00FE162C">
              <w:t>25</w:t>
            </w:r>
          </w:p>
        </w:tc>
        <w:tc>
          <w:tcPr>
            <w:tcW w:w="1885" w:type="dxa"/>
            <w:tcBorders>
              <w:top w:val="single" w:sz="4" w:space="0" w:color="auto"/>
              <w:left w:val="nil"/>
              <w:bottom w:val="nil"/>
              <w:right w:val="nil"/>
            </w:tcBorders>
            <w:shd w:val="clear" w:color="auto" w:fill="auto"/>
            <w:hideMark/>
          </w:tcPr>
          <w:p w:rsidR="00602830" w:rsidRPr="00FE162C" w:rsidRDefault="00602830" w:rsidP="00602830">
            <w:pPr>
              <w:pStyle w:val="Tabletext"/>
              <w:ind w:right="567"/>
              <w:jc w:val="right"/>
            </w:pPr>
            <w:r w:rsidRPr="00FE162C">
              <w:t>-3,720</w:t>
            </w:r>
          </w:p>
        </w:tc>
        <w:tc>
          <w:tcPr>
            <w:tcW w:w="1885" w:type="dxa"/>
            <w:tcBorders>
              <w:top w:val="single" w:sz="4" w:space="0" w:color="auto"/>
              <w:left w:val="nil"/>
              <w:bottom w:val="nil"/>
              <w:right w:val="nil"/>
            </w:tcBorders>
            <w:shd w:val="clear" w:color="auto" w:fill="auto"/>
            <w:hideMark/>
          </w:tcPr>
          <w:p w:rsidR="00602830" w:rsidRPr="00FE162C" w:rsidRDefault="00602830" w:rsidP="00602830">
            <w:pPr>
              <w:pStyle w:val="Tabletext"/>
              <w:ind w:right="567"/>
              <w:jc w:val="right"/>
            </w:pPr>
            <w:r w:rsidRPr="00FE162C">
              <w:t>-47,781</w:t>
            </w:r>
          </w:p>
        </w:tc>
        <w:tc>
          <w:tcPr>
            <w:tcW w:w="1886" w:type="dxa"/>
            <w:tcBorders>
              <w:top w:val="single" w:sz="4" w:space="0" w:color="auto"/>
              <w:left w:val="nil"/>
              <w:bottom w:val="nil"/>
              <w:right w:val="nil"/>
            </w:tcBorders>
            <w:shd w:val="clear" w:color="auto" w:fill="auto"/>
            <w:hideMark/>
          </w:tcPr>
          <w:p w:rsidR="00602830" w:rsidRPr="00FE162C" w:rsidRDefault="00602830" w:rsidP="00602830">
            <w:pPr>
              <w:pStyle w:val="Tabletext"/>
              <w:ind w:right="567"/>
              <w:jc w:val="right"/>
            </w:pPr>
            <w:r w:rsidRPr="00FE162C">
              <w:t>45,559</w:t>
            </w:r>
          </w:p>
        </w:tc>
      </w:tr>
      <w:tr w:rsidR="00602830" w:rsidRPr="00FE162C" w:rsidTr="00602830">
        <w:tc>
          <w:tcPr>
            <w:tcW w:w="1715" w:type="dxa"/>
            <w:tcBorders>
              <w:top w:val="nil"/>
              <w:left w:val="nil"/>
              <w:right w:val="nil"/>
            </w:tcBorders>
            <w:shd w:val="clear" w:color="auto" w:fill="auto"/>
          </w:tcPr>
          <w:p w:rsidR="00602830" w:rsidRPr="00FE162C" w:rsidRDefault="00602830" w:rsidP="00602830">
            <w:pPr>
              <w:pStyle w:val="Tabletext"/>
            </w:pPr>
          </w:p>
        </w:tc>
        <w:tc>
          <w:tcPr>
            <w:tcW w:w="1418" w:type="dxa"/>
            <w:tcBorders>
              <w:top w:val="nil"/>
              <w:left w:val="nil"/>
              <w:right w:val="nil"/>
            </w:tcBorders>
            <w:shd w:val="clear" w:color="auto" w:fill="auto"/>
            <w:hideMark/>
          </w:tcPr>
          <w:p w:rsidR="00602830" w:rsidRPr="00FE162C" w:rsidRDefault="00602830" w:rsidP="00602830">
            <w:pPr>
              <w:pStyle w:val="Tabletext"/>
              <w:ind w:right="510"/>
              <w:jc w:val="right"/>
            </w:pPr>
            <w:r w:rsidRPr="00FE162C">
              <w:t>50</w:t>
            </w:r>
          </w:p>
        </w:tc>
        <w:tc>
          <w:tcPr>
            <w:tcW w:w="1885" w:type="dxa"/>
            <w:tcBorders>
              <w:top w:val="nil"/>
              <w:left w:val="nil"/>
              <w:right w:val="nil"/>
            </w:tcBorders>
            <w:shd w:val="clear" w:color="auto" w:fill="auto"/>
            <w:hideMark/>
          </w:tcPr>
          <w:p w:rsidR="00602830" w:rsidRPr="00FE162C" w:rsidRDefault="00602830" w:rsidP="00602830">
            <w:pPr>
              <w:pStyle w:val="Tabletext"/>
              <w:ind w:right="567"/>
              <w:jc w:val="right"/>
            </w:pPr>
            <w:r w:rsidRPr="00FE162C">
              <w:t>-7,476</w:t>
            </w:r>
          </w:p>
        </w:tc>
        <w:tc>
          <w:tcPr>
            <w:tcW w:w="1885" w:type="dxa"/>
            <w:tcBorders>
              <w:top w:val="nil"/>
              <w:left w:val="nil"/>
              <w:right w:val="nil"/>
            </w:tcBorders>
            <w:shd w:val="clear" w:color="auto" w:fill="auto"/>
            <w:hideMark/>
          </w:tcPr>
          <w:p w:rsidR="00602830" w:rsidRPr="00FE162C" w:rsidRDefault="00602830" w:rsidP="00602830">
            <w:pPr>
              <w:pStyle w:val="Tabletext"/>
              <w:ind w:right="567"/>
              <w:jc w:val="right"/>
            </w:pPr>
            <w:r w:rsidRPr="00FE162C">
              <w:t>-55,416</w:t>
            </w:r>
          </w:p>
        </w:tc>
        <w:tc>
          <w:tcPr>
            <w:tcW w:w="1886" w:type="dxa"/>
            <w:tcBorders>
              <w:top w:val="nil"/>
              <w:left w:val="nil"/>
              <w:right w:val="nil"/>
            </w:tcBorders>
            <w:shd w:val="clear" w:color="auto" w:fill="auto"/>
            <w:hideMark/>
          </w:tcPr>
          <w:p w:rsidR="00602830" w:rsidRPr="00FE162C" w:rsidRDefault="00602830" w:rsidP="00602830">
            <w:pPr>
              <w:pStyle w:val="Tabletext"/>
              <w:ind w:right="567"/>
              <w:jc w:val="right"/>
            </w:pPr>
            <w:r w:rsidRPr="00FE162C">
              <w:t>37,975</w:t>
            </w:r>
          </w:p>
        </w:tc>
      </w:tr>
      <w:tr w:rsidR="00602830" w:rsidRPr="00FE162C" w:rsidTr="00602830">
        <w:tc>
          <w:tcPr>
            <w:tcW w:w="1715" w:type="dxa"/>
            <w:tcBorders>
              <w:top w:val="nil"/>
              <w:left w:val="nil"/>
              <w:bottom w:val="dashed" w:sz="4" w:space="0" w:color="auto"/>
              <w:right w:val="nil"/>
            </w:tcBorders>
            <w:shd w:val="clear" w:color="auto" w:fill="auto"/>
          </w:tcPr>
          <w:p w:rsidR="00602830" w:rsidRPr="00FE162C" w:rsidRDefault="00602830" w:rsidP="00602830">
            <w:pPr>
              <w:pStyle w:val="Tabletext"/>
            </w:pPr>
          </w:p>
        </w:tc>
        <w:tc>
          <w:tcPr>
            <w:tcW w:w="1418" w:type="dxa"/>
            <w:tcBorders>
              <w:top w:val="nil"/>
              <w:left w:val="nil"/>
              <w:bottom w:val="dashed" w:sz="4" w:space="0" w:color="auto"/>
              <w:right w:val="nil"/>
            </w:tcBorders>
            <w:shd w:val="clear" w:color="auto" w:fill="auto"/>
            <w:hideMark/>
          </w:tcPr>
          <w:p w:rsidR="00602830" w:rsidRPr="00FE162C" w:rsidRDefault="00602830" w:rsidP="00602830">
            <w:pPr>
              <w:pStyle w:val="Tabletext"/>
              <w:ind w:right="510"/>
              <w:jc w:val="right"/>
            </w:pPr>
            <w:r w:rsidRPr="00FE162C">
              <w:t>75</w:t>
            </w:r>
          </w:p>
        </w:tc>
        <w:tc>
          <w:tcPr>
            <w:tcW w:w="1885" w:type="dxa"/>
            <w:tcBorders>
              <w:top w:val="nil"/>
              <w:left w:val="nil"/>
              <w:bottom w:val="dashed" w:sz="4" w:space="0" w:color="auto"/>
              <w:right w:val="nil"/>
            </w:tcBorders>
            <w:shd w:val="clear" w:color="auto" w:fill="auto"/>
            <w:hideMark/>
          </w:tcPr>
          <w:p w:rsidR="00602830" w:rsidRPr="00FE162C" w:rsidRDefault="00602830" w:rsidP="00602830">
            <w:pPr>
              <w:pStyle w:val="Tabletext"/>
              <w:ind w:right="567"/>
              <w:jc w:val="right"/>
            </w:pPr>
            <w:r w:rsidRPr="00FE162C">
              <w:t>-15,680</w:t>
            </w:r>
          </w:p>
        </w:tc>
        <w:tc>
          <w:tcPr>
            <w:tcW w:w="1885" w:type="dxa"/>
            <w:tcBorders>
              <w:top w:val="nil"/>
              <w:left w:val="nil"/>
              <w:bottom w:val="dashed" w:sz="4" w:space="0" w:color="auto"/>
              <w:right w:val="nil"/>
            </w:tcBorders>
            <w:shd w:val="clear" w:color="auto" w:fill="auto"/>
            <w:hideMark/>
          </w:tcPr>
          <w:p w:rsidR="00602830" w:rsidRPr="00FE162C" w:rsidRDefault="00602830" w:rsidP="00602830">
            <w:pPr>
              <w:pStyle w:val="Tabletext"/>
              <w:ind w:right="567"/>
              <w:jc w:val="right"/>
            </w:pPr>
            <w:r w:rsidRPr="00FE162C">
              <w:t>-76,653</w:t>
            </w:r>
          </w:p>
        </w:tc>
        <w:tc>
          <w:tcPr>
            <w:tcW w:w="1886" w:type="dxa"/>
            <w:tcBorders>
              <w:top w:val="nil"/>
              <w:left w:val="nil"/>
              <w:bottom w:val="dashed" w:sz="4" w:space="0" w:color="auto"/>
              <w:right w:val="nil"/>
            </w:tcBorders>
            <w:shd w:val="clear" w:color="auto" w:fill="auto"/>
            <w:hideMark/>
          </w:tcPr>
          <w:p w:rsidR="00602830" w:rsidRPr="00FE162C" w:rsidRDefault="00602830" w:rsidP="00602830">
            <w:pPr>
              <w:pStyle w:val="Tabletext"/>
              <w:ind w:right="567"/>
              <w:jc w:val="right"/>
            </w:pPr>
            <w:r w:rsidRPr="00FE162C">
              <w:t>26,817</w:t>
            </w:r>
          </w:p>
        </w:tc>
      </w:tr>
      <w:tr w:rsidR="00602830" w:rsidRPr="00FE162C" w:rsidTr="00602830">
        <w:tc>
          <w:tcPr>
            <w:tcW w:w="1715" w:type="dxa"/>
            <w:tcBorders>
              <w:top w:val="dashed" w:sz="4" w:space="0" w:color="auto"/>
              <w:left w:val="nil"/>
              <w:bottom w:val="nil"/>
              <w:right w:val="nil"/>
            </w:tcBorders>
            <w:shd w:val="clear" w:color="auto" w:fill="auto"/>
          </w:tcPr>
          <w:p w:rsidR="00602830" w:rsidRPr="00FE162C" w:rsidRDefault="00602830" w:rsidP="00602830">
            <w:pPr>
              <w:pStyle w:val="Tabletext"/>
            </w:pPr>
            <w:r w:rsidRPr="00FE162C">
              <w:t>Old</w:t>
            </w:r>
          </w:p>
        </w:tc>
        <w:tc>
          <w:tcPr>
            <w:tcW w:w="1418" w:type="dxa"/>
            <w:tcBorders>
              <w:top w:val="dashed" w:sz="4" w:space="0" w:color="auto"/>
              <w:left w:val="nil"/>
              <w:bottom w:val="nil"/>
              <w:right w:val="nil"/>
            </w:tcBorders>
            <w:shd w:val="clear" w:color="auto" w:fill="auto"/>
          </w:tcPr>
          <w:p w:rsidR="00602830" w:rsidRPr="00FE162C" w:rsidRDefault="00602830" w:rsidP="00602830">
            <w:pPr>
              <w:pStyle w:val="Tabletext"/>
              <w:ind w:right="510"/>
              <w:jc w:val="right"/>
            </w:pPr>
            <w:r w:rsidRPr="00FE162C">
              <w:t>25</w:t>
            </w:r>
          </w:p>
        </w:tc>
        <w:tc>
          <w:tcPr>
            <w:tcW w:w="1885" w:type="dxa"/>
            <w:tcBorders>
              <w:top w:val="dashed" w:sz="4" w:space="0" w:color="auto"/>
              <w:left w:val="nil"/>
              <w:bottom w:val="nil"/>
              <w:right w:val="nil"/>
            </w:tcBorders>
            <w:shd w:val="clear" w:color="auto" w:fill="auto"/>
          </w:tcPr>
          <w:p w:rsidR="00602830" w:rsidRPr="00FE162C" w:rsidRDefault="00602830" w:rsidP="00602830">
            <w:pPr>
              <w:pStyle w:val="Tabletext"/>
              <w:ind w:right="567"/>
              <w:jc w:val="right"/>
            </w:pPr>
            <w:r w:rsidRPr="00FE162C">
              <w:t>-78,132</w:t>
            </w:r>
          </w:p>
        </w:tc>
        <w:tc>
          <w:tcPr>
            <w:tcW w:w="1885" w:type="dxa"/>
            <w:tcBorders>
              <w:top w:val="dashed" w:sz="4" w:space="0" w:color="auto"/>
              <w:left w:val="nil"/>
              <w:bottom w:val="nil"/>
              <w:right w:val="nil"/>
            </w:tcBorders>
            <w:shd w:val="clear" w:color="auto" w:fill="auto"/>
          </w:tcPr>
          <w:p w:rsidR="00602830" w:rsidRPr="00FE162C" w:rsidRDefault="00602830" w:rsidP="00602830">
            <w:pPr>
              <w:pStyle w:val="Tabletext"/>
              <w:ind w:right="567"/>
              <w:jc w:val="right"/>
            </w:pPr>
            <w:r w:rsidRPr="00FE162C">
              <w:t>-123,722</w:t>
            </w:r>
          </w:p>
        </w:tc>
        <w:tc>
          <w:tcPr>
            <w:tcW w:w="1886" w:type="dxa"/>
            <w:tcBorders>
              <w:top w:val="dashed" w:sz="4" w:space="0" w:color="auto"/>
              <w:left w:val="nil"/>
              <w:bottom w:val="nil"/>
              <w:right w:val="nil"/>
            </w:tcBorders>
            <w:shd w:val="clear" w:color="auto" w:fill="auto"/>
          </w:tcPr>
          <w:p w:rsidR="00602830" w:rsidRPr="00FE162C" w:rsidRDefault="00602830" w:rsidP="00602830">
            <w:pPr>
              <w:pStyle w:val="Tabletext"/>
              <w:ind w:right="567"/>
              <w:jc w:val="right"/>
            </w:pPr>
            <w:r w:rsidRPr="00FE162C">
              <w:t>-27,346</w:t>
            </w:r>
          </w:p>
        </w:tc>
      </w:tr>
      <w:tr w:rsidR="00602830" w:rsidRPr="00FE162C" w:rsidTr="00602830">
        <w:tc>
          <w:tcPr>
            <w:tcW w:w="1715" w:type="dxa"/>
            <w:tcBorders>
              <w:top w:val="nil"/>
              <w:left w:val="nil"/>
              <w:right w:val="nil"/>
            </w:tcBorders>
            <w:shd w:val="clear" w:color="auto" w:fill="auto"/>
          </w:tcPr>
          <w:p w:rsidR="00602830" w:rsidRPr="00FE162C" w:rsidRDefault="00602830" w:rsidP="00602830">
            <w:pPr>
              <w:pStyle w:val="Tabletext"/>
            </w:pPr>
          </w:p>
        </w:tc>
        <w:tc>
          <w:tcPr>
            <w:tcW w:w="1418" w:type="dxa"/>
            <w:tcBorders>
              <w:top w:val="nil"/>
              <w:left w:val="nil"/>
              <w:right w:val="nil"/>
            </w:tcBorders>
            <w:shd w:val="clear" w:color="auto" w:fill="auto"/>
          </w:tcPr>
          <w:p w:rsidR="00602830" w:rsidRPr="00FE162C" w:rsidRDefault="00602830" w:rsidP="00602830">
            <w:pPr>
              <w:pStyle w:val="Tabletext"/>
              <w:ind w:right="510"/>
              <w:jc w:val="right"/>
            </w:pPr>
            <w:r w:rsidRPr="00FE162C">
              <w:t>50</w:t>
            </w:r>
          </w:p>
        </w:tc>
        <w:tc>
          <w:tcPr>
            <w:tcW w:w="1885" w:type="dxa"/>
            <w:tcBorders>
              <w:top w:val="nil"/>
              <w:left w:val="nil"/>
              <w:right w:val="nil"/>
            </w:tcBorders>
            <w:shd w:val="clear" w:color="auto" w:fill="auto"/>
          </w:tcPr>
          <w:p w:rsidR="00602830" w:rsidRPr="00FE162C" w:rsidRDefault="00602830" w:rsidP="00602830">
            <w:pPr>
              <w:pStyle w:val="Tabletext"/>
              <w:ind w:right="567"/>
              <w:jc w:val="right"/>
            </w:pPr>
            <w:r w:rsidRPr="00FE162C">
              <w:t>-98,400</w:t>
            </w:r>
          </w:p>
        </w:tc>
        <w:tc>
          <w:tcPr>
            <w:tcW w:w="1885" w:type="dxa"/>
            <w:tcBorders>
              <w:top w:val="nil"/>
              <w:left w:val="nil"/>
              <w:right w:val="nil"/>
            </w:tcBorders>
            <w:shd w:val="clear" w:color="auto" w:fill="auto"/>
          </w:tcPr>
          <w:p w:rsidR="00602830" w:rsidRPr="00FE162C" w:rsidRDefault="00602830" w:rsidP="00602830">
            <w:pPr>
              <w:pStyle w:val="Tabletext"/>
              <w:ind w:right="567"/>
              <w:jc w:val="right"/>
            </w:pPr>
            <w:r w:rsidRPr="00FE162C">
              <w:t>-159,619</w:t>
            </w:r>
          </w:p>
        </w:tc>
        <w:tc>
          <w:tcPr>
            <w:tcW w:w="1886" w:type="dxa"/>
            <w:tcBorders>
              <w:top w:val="nil"/>
              <w:left w:val="nil"/>
              <w:right w:val="nil"/>
            </w:tcBorders>
            <w:shd w:val="clear" w:color="auto" w:fill="auto"/>
          </w:tcPr>
          <w:p w:rsidR="00602830" w:rsidRPr="00FE162C" w:rsidRDefault="00602830" w:rsidP="00602830">
            <w:pPr>
              <w:pStyle w:val="Tabletext"/>
              <w:ind w:right="567"/>
              <w:jc w:val="right"/>
            </w:pPr>
            <w:r w:rsidRPr="00FE162C">
              <w:t>-39,618</w:t>
            </w:r>
          </w:p>
        </w:tc>
      </w:tr>
      <w:tr w:rsidR="00602830" w:rsidRPr="00FE162C" w:rsidTr="00602830">
        <w:tc>
          <w:tcPr>
            <w:tcW w:w="1715" w:type="dxa"/>
            <w:tcBorders>
              <w:top w:val="nil"/>
              <w:left w:val="nil"/>
              <w:bottom w:val="dashed" w:sz="4" w:space="0" w:color="auto"/>
              <w:right w:val="nil"/>
            </w:tcBorders>
            <w:shd w:val="clear" w:color="auto" w:fill="auto"/>
          </w:tcPr>
          <w:p w:rsidR="00602830" w:rsidRPr="00FE162C" w:rsidRDefault="00602830" w:rsidP="00602830">
            <w:pPr>
              <w:pStyle w:val="Tabletext"/>
            </w:pPr>
          </w:p>
        </w:tc>
        <w:tc>
          <w:tcPr>
            <w:tcW w:w="1418" w:type="dxa"/>
            <w:tcBorders>
              <w:top w:val="nil"/>
              <w:left w:val="nil"/>
              <w:bottom w:val="dashed" w:sz="4" w:space="0" w:color="auto"/>
              <w:right w:val="nil"/>
            </w:tcBorders>
            <w:shd w:val="clear" w:color="auto" w:fill="auto"/>
          </w:tcPr>
          <w:p w:rsidR="00602830" w:rsidRPr="00FE162C" w:rsidRDefault="00602830" w:rsidP="00602830">
            <w:pPr>
              <w:pStyle w:val="Tabletext"/>
              <w:ind w:right="510"/>
              <w:jc w:val="right"/>
            </w:pPr>
            <w:r w:rsidRPr="00FE162C">
              <w:t>75</w:t>
            </w:r>
          </w:p>
        </w:tc>
        <w:tc>
          <w:tcPr>
            <w:tcW w:w="1885" w:type="dxa"/>
            <w:tcBorders>
              <w:top w:val="nil"/>
              <w:left w:val="nil"/>
              <w:bottom w:val="dashed" w:sz="4" w:space="0" w:color="auto"/>
              <w:right w:val="nil"/>
            </w:tcBorders>
            <w:shd w:val="clear" w:color="auto" w:fill="auto"/>
          </w:tcPr>
          <w:p w:rsidR="00602830" w:rsidRPr="00FE162C" w:rsidRDefault="00602830" w:rsidP="00602830">
            <w:pPr>
              <w:pStyle w:val="Tabletext"/>
              <w:ind w:right="567"/>
              <w:jc w:val="right"/>
            </w:pPr>
            <w:r w:rsidRPr="00FE162C">
              <w:t>-123,080</w:t>
            </w:r>
          </w:p>
        </w:tc>
        <w:tc>
          <w:tcPr>
            <w:tcW w:w="1885" w:type="dxa"/>
            <w:tcBorders>
              <w:top w:val="nil"/>
              <w:left w:val="nil"/>
              <w:bottom w:val="dashed" w:sz="4" w:space="0" w:color="auto"/>
              <w:right w:val="nil"/>
            </w:tcBorders>
            <w:shd w:val="clear" w:color="auto" w:fill="auto"/>
          </w:tcPr>
          <w:p w:rsidR="00602830" w:rsidRPr="00FE162C" w:rsidRDefault="00602830" w:rsidP="00602830">
            <w:pPr>
              <w:pStyle w:val="Tabletext"/>
              <w:ind w:right="567"/>
              <w:jc w:val="right"/>
            </w:pPr>
            <w:r w:rsidRPr="00FE162C">
              <w:t>-213,616</w:t>
            </w:r>
          </w:p>
        </w:tc>
        <w:tc>
          <w:tcPr>
            <w:tcW w:w="1886" w:type="dxa"/>
            <w:tcBorders>
              <w:top w:val="nil"/>
              <w:left w:val="nil"/>
              <w:bottom w:val="dashed" w:sz="4" w:space="0" w:color="auto"/>
              <w:right w:val="nil"/>
            </w:tcBorders>
            <w:shd w:val="clear" w:color="auto" w:fill="auto"/>
          </w:tcPr>
          <w:p w:rsidR="00602830" w:rsidRPr="00FE162C" w:rsidRDefault="00602830" w:rsidP="00602830">
            <w:pPr>
              <w:pStyle w:val="Tabletext"/>
              <w:ind w:right="567"/>
              <w:jc w:val="right"/>
            </w:pPr>
            <w:r w:rsidRPr="00FE162C">
              <w:t>-52,472</w:t>
            </w:r>
          </w:p>
        </w:tc>
      </w:tr>
      <w:tr w:rsidR="00602830" w:rsidRPr="00FE162C" w:rsidTr="00602830">
        <w:tc>
          <w:tcPr>
            <w:tcW w:w="1715" w:type="dxa"/>
            <w:tcBorders>
              <w:top w:val="dashed" w:sz="4" w:space="0" w:color="auto"/>
              <w:left w:val="nil"/>
              <w:bottom w:val="nil"/>
              <w:right w:val="nil"/>
            </w:tcBorders>
            <w:shd w:val="clear" w:color="auto" w:fill="auto"/>
          </w:tcPr>
          <w:p w:rsidR="00602830" w:rsidRPr="00FE162C" w:rsidRDefault="00602830" w:rsidP="00602830">
            <w:pPr>
              <w:pStyle w:val="Tabletext"/>
            </w:pPr>
            <w:r w:rsidRPr="00FE162C">
              <w:t>The rest</w:t>
            </w:r>
          </w:p>
        </w:tc>
        <w:tc>
          <w:tcPr>
            <w:tcW w:w="1418" w:type="dxa"/>
            <w:tcBorders>
              <w:top w:val="dashed" w:sz="4" w:space="0" w:color="auto"/>
              <w:left w:val="nil"/>
              <w:bottom w:val="nil"/>
              <w:right w:val="nil"/>
            </w:tcBorders>
            <w:shd w:val="clear" w:color="auto" w:fill="auto"/>
          </w:tcPr>
          <w:p w:rsidR="00602830" w:rsidRPr="00FE162C" w:rsidRDefault="00602830" w:rsidP="00602830">
            <w:pPr>
              <w:pStyle w:val="Tabletext"/>
              <w:ind w:right="510"/>
              <w:jc w:val="right"/>
            </w:pPr>
            <w:r w:rsidRPr="00FE162C">
              <w:t>25</w:t>
            </w:r>
          </w:p>
        </w:tc>
        <w:tc>
          <w:tcPr>
            <w:tcW w:w="1885" w:type="dxa"/>
            <w:tcBorders>
              <w:top w:val="dashed" w:sz="4" w:space="0" w:color="auto"/>
              <w:left w:val="nil"/>
              <w:bottom w:val="nil"/>
              <w:right w:val="nil"/>
            </w:tcBorders>
            <w:shd w:val="clear" w:color="auto" w:fill="auto"/>
          </w:tcPr>
          <w:p w:rsidR="00602830" w:rsidRPr="00FE162C" w:rsidRDefault="00602830" w:rsidP="00602830">
            <w:pPr>
              <w:pStyle w:val="Tabletext"/>
              <w:ind w:right="567"/>
              <w:jc w:val="right"/>
            </w:pPr>
            <w:r w:rsidRPr="00FE162C">
              <w:t>-32,256</w:t>
            </w:r>
          </w:p>
        </w:tc>
        <w:tc>
          <w:tcPr>
            <w:tcW w:w="1885" w:type="dxa"/>
            <w:tcBorders>
              <w:top w:val="dashed" w:sz="4" w:space="0" w:color="auto"/>
              <w:left w:val="nil"/>
              <w:bottom w:val="nil"/>
              <w:right w:val="nil"/>
            </w:tcBorders>
            <w:shd w:val="clear" w:color="auto" w:fill="auto"/>
          </w:tcPr>
          <w:p w:rsidR="00602830" w:rsidRPr="00FE162C" w:rsidRDefault="00602830" w:rsidP="00602830">
            <w:pPr>
              <w:pStyle w:val="Tabletext"/>
              <w:ind w:right="567"/>
              <w:jc w:val="right"/>
            </w:pPr>
            <w:r w:rsidRPr="00FE162C">
              <w:t>-77,364</w:t>
            </w:r>
          </w:p>
        </w:tc>
        <w:tc>
          <w:tcPr>
            <w:tcW w:w="1886" w:type="dxa"/>
            <w:tcBorders>
              <w:top w:val="dashed" w:sz="4" w:space="0" w:color="auto"/>
              <w:left w:val="nil"/>
              <w:bottom w:val="nil"/>
              <w:right w:val="nil"/>
            </w:tcBorders>
            <w:shd w:val="clear" w:color="auto" w:fill="auto"/>
          </w:tcPr>
          <w:p w:rsidR="00602830" w:rsidRPr="00FE162C" w:rsidRDefault="00602830" w:rsidP="00602830">
            <w:pPr>
              <w:pStyle w:val="Tabletext"/>
              <w:ind w:right="567"/>
              <w:jc w:val="right"/>
            </w:pPr>
            <w:r w:rsidRPr="00FE162C">
              <w:t>17,336</w:t>
            </w:r>
          </w:p>
        </w:tc>
      </w:tr>
      <w:tr w:rsidR="00602830" w:rsidRPr="00FE162C" w:rsidTr="00602830">
        <w:tc>
          <w:tcPr>
            <w:tcW w:w="1715" w:type="dxa"/>
            <w:tcBorders>
              <w:top w:val="nil"/>
              <w:left w:val="nil"/>
              <w:right w:val="nil"/>
            </w:tcBorders>
            <w:shd w:val="clear" w:color="auto" w:fill="auto"/>
          </w:tcPr>
          <w:p w:rsidR="00602830" w:rsidRPr="00FE162C" w:rsidRDefault="00602830" w:rsidP="00602830">
            <w:pPr>
              <w:pStyle w:val="Tabletext"/>
            </w:pPr>
          </w:p>
        </w:tc>
        <w:tc>
          <w:tcPr>
            <w:tcW w:w="1418" w:type="dxa"/>
            <w:tcBorders>
              <w:top w:val="nil"/>
              <w:left w:val="nil"/>
              <w:right w:val="nil"/>
            </w:tcBorders>
            <w:shd w:val="clear" w:color="auto" w:fill="auto"/>
          </w:tcPr>
          <w:p w:rsidR="00602830" w:rsidRPr="00FE162C" w:rsidRDefault="00602830" w:rsidP="00602830">
            <w:pPr>
              <w:pStyle w:val="Tabletext"/>
              <w:ind w:right="510"/>
              <w:jc w:val="right"/>
            </w:pPr>
            <w:r w:rsidRPr="00FE162C">
              <w:t>50</w:t>
            </w:r>
          </w:p>
        </w:tc>
        <w:tc>
          <w:tcPr>
            <w:tcW w:w="1885" w:type="dxa"/>
            <w:tcBorders>
              <w:top w:val="nil"/>
              <w:left w:val="nil"/>
              <w:right w:val="nil"/>
            </w:tcBorders>
            <w:shd w:val="clear" w:color="auto" w:fill="auto"/>
          </w:tcPr>
          <w:p w:rsidR="00602830" w:rsidRPr="00FE162C" w:rsidRDefault="00602830" w:rsidP="00602830">
            <w:pPr>
              <w:pStyle w:val="Tabletext"/>
              <w:ind w:right="567"/>
              <w:jc w:val="right"/>
            </w:pPr>
            <w:r w:rsidRPr="00FE162C">
              <w:t>-52,754</w:t>
            </w:r>
          </w:p>
        </w:tc>
        <w:tc>
          <w:tcPr>
            <w:tcW w:w="1885" w:type="dxa"/>
            <w:tcBorders>
              <w:top w:val="nil"/>
              <w:left w:val="nil"/>
              <w:right w:val="nil"/>
            </w:tcBorders>
            <w:shd w:val="clear" w:color="auto" w:fill="auto"/>
          </w:tcPr>
          <w:p w:rsidR="00602830" w:rsidRPr="00FE162C" w:rsidRDefault="00602830" w:rsidP="00602830">
            <w:pPr>
              <w:pStyle w:val="Tabletext"/>
              <w:ind w:right="567"/>
              <w:jc w:val="right"/>
            </w:pPr>
            <w:r w:rsidRPr="00FE162C">
              <w:t>-103,157</w:t>
            </w:r>
          </w:p>
        </w:tc>
        <w:tc>
          <w:tcPr>
            <w:tcW w:w="1886" w:type="dxa"/>
            <w:tcBorders>
              <w:top w:val="nil"/>
              <w:left w:val="nil"/>
              <w:right w:val="nil"/>
            </w:tcBorders>
            <w:shd w:val="clear" w:color="auto" w:fill="auto"/>
          </w:tcPr>
          <w:p w:rsidR="00602830" w:rsidRPr="00FE162C" w:rsidRDefault="00602830" w:rsidP="00602830">
            <w:pPr>
              <w:pStyle w:val="Tabletext"/>
              <w:ind w:right="567"/>
              <w:jc w:val="right"/>
            </w:pPr>
            <w:r w:rsidRPr="00FE162C">
              <w:t>-4,421</w:t>
            </w:r>
          </w:p>
        </w:tc>
      </w:tr>
      <w:tr w:rsidR="00602830" w:rsidRPr="00FE162C" w:rsidTr="00602830">
        <w:tc>
          <w:tcPr>
            <w:tcW w:w="1715" w:type="dxa"/>
            <w:tcBorders>
              <w:top w:val="nil"/>
              <w:left w:val="nil"/>
              <w:bottom w:val="dashed" w:sz="4" w:space="0" w:color="auto"/>
              <w:right w:val="nil"/>
            </w:tcBorders>
            <w:shd w:val="clear" w:color="auto" w:fill="auto"/>
          </w:tcPr>
          <w:p w:rsidR="00602830" w:rsidRPr="00FE162C" w:rsidRDefault="00602830" w:rsidP="00602830">
            <w:pPr>
              <w:pStyle w:val="Tabletext"/>
            </w:pPr>
          </w:p>
        </w:tc>
        <w:tc>
          <w:tcPr>
            <w:tcW w:w="1418" w:type="dxa"/>
            <w:tcBorders>
              <w:top w:val="nil"/>
              <w:left w:val="nil"/>
              <w:bottom w:val="dashed" w:sz="4" w:space="0" w:color="auto"/>
              <w:right w:val="nil"/>
            </w:tcBorders>
            <w:shd w:val="clear" w:color="auto" w:fill="auto"/>
          </w:tcPr>
          <w:p w:rsidR="00602830" w:rsidRPr="00FE162C" w:rsidRDefault="00602830" w:rsidP="00602830">
            <w:pPr>
              <w:pStyle w:val="Tabletext"/>
              <w:ind w:right="510"/>
              <w:jc w:val="right"/>
            </w:pPr>
            <w:r w:rsidRPr="00FE162C">
              <w:t>75</w:t>
            </w:r>
          </w:p>
        </w:tc>
        <w:tc>
          <w:tcPr>
            <w:tcW w:w="1885" w:type="dxa"/>
            <w:tcBorders>
              <w:top w:val="nil"/>
              <w:left w:val="nil"/>
              <w:bottom w:val="dashed" w:sz="4" w:space="0" w:color="auto"/>
              <w:right w:val="nil"/>
            </w:tcBorders>
            <w:shd w:val="clear" w:color="auto" w:fill="auto"/>
          </w:tcPr>
          <w:p w:rsidR="00602830" w:rsidRPr="00FE162C" w:rsidRDefault="00602830" w:rsidP="00602830">
            <w:pPr>
              <w:pStyle w:val="Tabletext"/>
              <w:ind w:right="567"/>
              <w:jc w:val="right"/>
            </w:pPr>
            <w:r w:rsidRPr="00FE162C">
              <w:t>-80,156</w:t>
            </w:r>
          </w:p>
        </w:tc>
        <w:tc>
          <w:tcPr>
            <w:tcW w:w="1885" w:type="dxa"/>
            <w:tcBorders>
              <w:top w:val="nil"/>
              <w:left w:val="nil"/>
              <w:bottom w:val="dashed" w:sz="4" w:space="0" w:color="auto"/>
              <w:right w:val="nil"/>
            </w:tcBorders>
            <w:shd w:val="clear" w:color="auto" w:fill="auto"/>
          </w:tcPr>
          <w:p w:rsidR="00602830" w:rsidRPr="00FE162C" w:rsidRDefault="00602830" w:rsidP="00602830">
            <w:pPr>
              <w:pStyle w:val="Tabletext"/>
              <w:ind w:right="567"/>
              <w:jc w:val="right"/>
            </w:pPr>
            <w:r w:rsidRPr="00FE162C">
              <w:t>-142,760</w:t>
            </w:r>
          </w:p>
        </w:tc>
        <w:tc>
          <w:tcPr>
            <w:tcW w:w="1886" w:type="dxa"/>
            <w:tcBorders>
              <w:top w:val="nil"/>
              <w:left w:val="nil"/>
              <w:bottom w:val="dashed" w:sz="4" w:space="0" w:color="auto"/>
              <w:right w:val="nil"/>
            </w:tcBorders>
            <w:shd w:val="clear" w:color="auto" w:fill="auto"/>
          </w:tcPr>
          <w:p w:rsidR="00602830" w:rsidRPr="00FE162C" w:rsidRDefault="00602830" w:rsidP="00602830">
            <w:pPr>
              <w:pStyle w:val="Tabletext"/>
              <w:ind w:right="567"/>
              <w:jc w:val="right"/>
            </w:pPr>
            <w:r w:rsidRPr="00FE162C">
              <w:t>-24,897</w:t>
            </w:r>
          </w:p>
        </w:tc>
      </w:tr>
      <w:tr w:rsidR="00602830" w:rsidRPr="00FE162C" w:rsidTr="00602830">
        <w:tc>
          <w:tcPr>
            <w:tcW w:w="1715" w:type="dxa"/>
            <w:tcBorders>
              <w:top w:val="dashed" w:sz="4" w:space="0" w:color="auto"/>
              <w:left w:val="nil"/>
              <w:bottom w:val="nil"/>
              <w:right w:val="nil"/>
            </w:tcBorders>
            <w:shd w:val="clear" w:color="auto" w:fill="auto"/>
          </w:tcPr>
          <w:p w:rsidR="00602830" w:rsidRPr="00FE162C" w:rsidRDefault="00602830" w:rsidP="00602830">
            <w:pPr>
              <w:pStyle w:val="Tabletext"/>
            </w:pPr>
            <w:r w:rsidRPr="00FE162C">
              <w:t>All</w:t>
            </w:r>
          </w:p>
        </w:tc>
        <w:tc>
          <w:tcPr>
            <w:tcW w:w="1418" w:type="dxa"/>
            <w:tcBorders>
              <w:top w:val="dashed" w:sz="4" w:space="0" w:color="auto"/>
              <w:left w:val="nil"/>
              <w:bottom w:val="nil"/>
              <w:right w:val="nil"/>
            </w:tcBorders>
            <w:shd w:val="clear" w:color="auto" w:fill="auto"/>
          </w:tcPr>
          <w:p w:rsidR="00602830" w:rsidRPr="00FE162C" w:rsidRDefault="00602830" w:rsidP="00602830">
            <w:pPr>
              <w:pStyle w:val="Tabletext"/>
              <w:ind w:right="510"/>
              <w:jc w:val="right"/>
            </w:pPr>
            <w:r w:rsidRPr="00FE162C">
              <w:t>25</w:t>
            </w:r>
          </w:p>
        </w:tc>
        <w:tc>
          <w:tcPr>
            <w:tcW w:w="1885" w:type="dxa"/>
            <w:tcBorders>
              <w:top w:val="dashed" w:sz="4" w:space="0" w:color="auto"/>
              <w:left w:val="nil"/>
              <w:bottom w:val="nil"/>
              <w:right w:val="nil"/>
            </w:tcBorders>
            <w:shd w:val="clear" w:color="auto" w:fill="auto"/>
          </w:tcPr>
          <w:p w:rsidR="00602830" w:rsidRPr="00FE162C" w:rsidRDefault="00602830" w:rsidP="00602830">
            <w:pPr>
              <w:pStyle w:val="Tabletext"/>
              <w:ind w:right="567"/>
              <w:jc w:val="right"/>
            </w:pPr>
            <w:r w:rsidRPr="00FE162C">
              <w:t>-37,671</w:t>
            </w:r>
          </w:p>
        </w:tc>
        <w:tc>
          <w:tcPr>
            <w:tcW w:w="1885" w:type="dxa"/>
            <w:tcBorders>
              <w:top w:val="dashed" w:sz="4" w:space="0" w:color="auto"/>
              <w:left w:val="nil"/>
              <w:bottom w:val="nil"/>
              <w:right w:val="nil"/>
            </w:tcBorders>
            <w:shd w:val="clear" w:color="auto" w:fill="auto"/>
          </w:tcPr>
          <w:p w:rsidR="00602830" w:rsidRPr="00FE162C" w:rsidRDefault="00602830" w:rsidP="00602830">
            <w:pPr>
              <w:pStyle w:val="Tabletext"/>
              <w:ind w:right="567"/>
              <w:jc w:val="right"/>
            </w:pPr>
            <w:r w:rsidRPr="00FE162C">
              <w:t>-82,180</w:t>
            </w:r>
          </w:p>
        </w:tc>
        <w:tc>
          <w:tcPr>
            <w:tcW w:w="1886" w:type="dxa"/>
            <w:tcBorders>
              <w:top w:val="dashed" w:sz="4" w:space="0" w:color="auto"/>
              <w:left w:val="nil"/>
              <w:bottom w:val="nil"/>
              <w:right w:val="nil"/>
            </w:tcBorders>
            <w:shd w:val="clear" w:color="auto" w:fill="auto"/>
          </w:tcPr>
          <w:p w:rsidR="00602830" w:rsidRPr="00FE162C" w:rsidRDefault="00602830" w:rsidP="00602830">
            <w:pPr>
              <w:pStyle w:val="Tabletext"/>
              <w:ind w:right="567"/>
              <w:jc w:val="right"/>
            </w:pPr>
            <w:r w:rsidRPr="00FE162C">
              <w:t>-13,284</w:t>
            </w:r>
          </w:p>
        </w:tc>
      </w:tr>
      <w:tr w:rsidR="002C0F8C" w:rsidRPr="00FE162C" w:rsidTr="00602830">
        <w:tc>
          <w:tcPr>
            <w:tcW w:w="1715" w:type="dxa"/>
            <w:tcBorders>
              <w:top w:val="nil"/>
              <w:left w:val="nil"/>
              <w:right w:val="nil"/>
            </w:tcBorders>
            <w:shd w:val="clear" w:color="auto" w:fill="auto"/>
          </w:tcPr>
          <w:p w:rsidR="002C0F8C" w:rsidRPr="00FE162C" w:rsidRDefault="002C0F8C" w:rsidP="00602830">
            <w:pPr>
              <w:pStyle w:val="Tabletext"/>
            </w:pPr>
          </w:p>
        </w:tc>
        <w:tc>
          <w:tcPr>
            <w:tcW w:w="1418" w:type="dxa"/>
            <w:tcBorders>
              <w:top w:val="nil"/>
              <w:left w:val="nil"/>
              <w:right w:val="nil"/>
            </w:tcBorders>
            <w:shd w:val="clear" w:color="auto" w:fill="auto"/>
          </w:tcPr>
          <w:p w:rsidR="002C0F8C" w:rsidRPr="00FE162C" w:rsidRDefault="002C0F8C" w:rsidP="00602830">
            <w:pPr>
              <w:pStyle w:val="Tabletext"/>
              <w:ind w:right="510"/>
              <w:jc w:val="right"/>
            </w:pPr>
            <w:r w:rsidRPr="00FE162C">
              <w:t>50</w:t>
            </w:r>
          </w:p>
        </w:tc>
        <w:tc>
          <w:tcPr>
            <w:tcW w:w="1885" w:type="dxa"/>
            <w:tcBorders>
              <w:top w:val="nil"/>
              <w:left w:val="nil"/>
              <w:right w:val="nil"/>
            </w:tcBorders>
            <w:shd w:val="clear" w:color="auto" w:fill="auto"/>
          </w:tcPr>
          <w:p w:rsidR="002C0F8C" w:rsidRPr="00FE162C" w:rsidRDefault="002C0F8C" w:rsidP="00602830">
            <w:pPr>
              <w:pStyle w:val="Tabletext"/>
              <w:ind w:right="567"/>
              <w:jc w:val="right"/>
            </w:pPr>
            <w:r w:rsidRPr="00FE162C">
              <w:t>-61</w:t>
            </w:r>
            <w:r w:rsidR="00A05DA9" w:rsidRPr="00FE162C">
              <w:t>,</w:t>
            </w:r>
            <w:r w:rsidRPr="00FE162C">
              <w:t>529</w:t>
            </w:r>
          </w:p>
        </w:tc>
        <w:tc>
          <w:tcPr>
            <w:tcW w:w="1885" w:type="dxa"/>
            <w:tcBorders>
              <w:top w:val="nil"/>
              <w:left w:val="nil"/>
              <w:right w:val="nil"/>
            </w:tcBorders>
            <w:shd w:val="clear" w:color="auto" w:fill="auto"/>
          </w:tcPr>
          <w:p w:rsidR="002C0F8C" w:rsidRPr="00FE162C" w:rsidRDefault="002C0F8C" w:rsidP="00602830">
            <w:pPr>
              <w:pStyle w:val="Tabletext"/>
              <w:ind w:right="567"/>
              <w:jc w:val="right"/>
            </w:pPr>
            <w:r w:rsidRPr="00FE162C">
              <w:t>-113</w:t>
            </w:r>
            <w:r w:rsidR="00A05DA9" w:rsidRPr="00FE162C">
              <w:t>,</w:t>
            </w:r>
            <w:r w:rsidRPr="00FE162C">
              <w:t>139</w:t>
            </w:r>
          </w:p>
        </w:tc>
        <w:tc>
          <w:tcPr>
            <w:tcW w:w="1886" w:type="dxa"/>
            <w:tcBorders>
              <w:top w:val="nil"/>
              <w:left w:val="nil"/>
              <w:right w:val="nil"/>
            </w:tcBorders>
            <w:shd w:val="clear" w:color="auto" w:fill="auto"/>
          </w:tcPr>
          <w:p w:rsidR="002C0F8C" w:rsidRPr="00FE162C" w:rsidRDefault="002C0F8C" w:rsidP="00602830">
            <w:pPr>
              <w:pStyle w:val="Tabletext"/>
              <w:ind w:right="567"/>
              <w:jc w:val="right"/>
            </w:pPr>
            <w:r w:rsidRPr="00FE162C">
              <w:t>-12</w:t>
            </w:r>
            <w:r w:rsidR="00A05DA9" w:rsidRPr="00FE162C">
              <w:t>,</w:t>
            </w:r>
            <w:r w:rsidRPr="00FE162C">
              <w:t>294</w:t>
            </w:r>
          </w:p>
        </w:tc>
      </w:tr>
      <w:tr w:rsidR="002C0F8C" w:rsidRPr="00FE162C" w:rsidTr="00602830">
        <w:tc>
          <w:tcPr>
            <w:tcW w:w="1715" w:type="dxa"/>
            <w:tcBorders>
              <w:top w:val="nil"/>
              <w:left w:val="nil"/>
              <w:bottom w:val="single" w:sz="4" w:space="0" w:color="auto"/>
              <w:right w:val="nil"/>
            </w:tcBorders>
            <w:shd w:val="clear" w:color="auto" w:fill="auto"/>
          </w:tcPr>
          <w:p w:rsidR="002C0F8C" w:rsidRPr="00FE162C" w:rsidRDefault="002C0F8C" w:rsidP="00602830">
            <w:pPr>
              <w:pStyle w:val="Tabletext"/>
            </w:pPr>
          </w:p>
        </w:tc>
        <w:tc>
          <w:tcPr>
            <w:tcW w:w="1418" w:type="dxa"/>
            <w:tcBorders>
              <w:top w:val="nil"/>
              <w:left w:val="nil"/>
              <w:bottom w:val="single" w:sz="4" w:space="0" w:color="auto"/>
              <w:right w:val="nil"/>
            </w:tcBorders>
            <w:shd w:val="clear" w:color="auto" w:fill="auto"/>
          </w:tcPr>
          <w:p w:rsidR="002C0F8C" w:rsidRPr="00FE162C" w:rsidRDefault="002C0F8C" w:rsidP="00602830">
            <w:pPr>
              <w:pStyle w:val="Tabletext"/>
              <w:ind w:right="510"/>
              <w:jc w:val="right"/>
            </w:pPr>
            <w:r w:rsidRPr="00FE162C">
              <w:t>75</w:t>
            </w:r>
          </w:p>
        </w:tc>
        <w:tc>
          <w:tcPr>
            <w:tcW w:w="1885" w:type="dxa"/>
            <w:tcBorders>
              <w:top w:val="nil"/>
              <w:left w:val="nil"/>
              <w:bottom w:val="single" w:sz="4" w:space="0" w:color="auto"/>
              <w:right w:val="nil"/>
            </w:tcBorders>
            <w:shd w:val="clear" w:color="auto" w:fill="auto"/>
          </w:tcPr>
          <w:p w:rsidR="002C0F8C" w:rsidRPr="00FE162C" w:rsidRDefault="002C0F8C" w:rsidP="00602830">
            <w:pPr>
              <w:pStyle w:val="Tabletext"/>
              <w:ind w:right="567"/>
              <w:jc w:val="right"/>
            </w:pPr>
            <w:r w:rsidRPr="00FE162C">
              <w:t>-91</w:t>
            </w:r>
            <w:r w:rsidR="00A05DA9" w:rsidRPr="00FE162C">
              <w:t>,</w:t>
            </w:r>
            <w:r w:rsidRPr="00FE162C">
              <w:t>841</w:t>
            </w:r>
          </w:p>
        </w:tc>
        <w:tc>
          <w:tcPr>
            <w:tcW w:w="1885" w:type="dxa"/>
            <w:tcBorders>
              <w:top w:val="nil"/>
              <w:left w:val="nil"/>
              <w:bottom w:val="single" w:sz="4" w:space="0" w:color="auto"/>
              <w:right w:val="nil"/>
            </w:tcBorders>
            <w:shd w:val="clear" w:color="auto" w:fill="auto"/>
          </w:tcPr>
          <w:p w:rsidR="002C0F8C" w:rsidRPr="00FE162C" w:rsidRDefault="002C0F8C" w:rsidP="00602830">
            <w:pPr>
              <w:pStyle w:val="Tabletext"/>
              <w:ind w:right="567"/>
              <w:jc w:val="right"/>
            </w:pPr>
            <w:r w:rsidRPr="00FE162C">
              <w:t>-157</w:t>
            </w:r>
            <w:r w:rsidR="00A05DA9" w:rsidRPr="00FE162C">
              <w:t>,</w:t>
            </w:r>
            <w:r w:rsidRPr="00FE162C">
              <w:t>835</w:t>
            </w:r>
          </w:p>
        </w:tc>
        <w:tc>
          <w:tcPr>
            <w:tcW w:w="1886" w:type="dxa"/>
            <w:tcBorders>
              <w:top w:val="nil"/>
              <w:left w:val="nil"/>
              <w:bottom w:val="single" w:sz="4" w:space="0" w:color="auto"/>
              <w:right w:val="nil"/>
            </w:tcBorders>
            <w:shd w:val="clear" w:color="auto" w:fill="auto"/>
          </w:tcPr>
          <w:p w:rsidR="002C0F8C" w:rsidRPr="00FE162C" w:rsidRDefault="002C0F8C" w:rsidP="00602830">
            <w:pPr>
              <w:pStyle w:val="Tabletext"/>
              <w:ind w:right="567"/>
              <w:jc w:val="right"/>
            </w:pPr>
            <w:r w:rsidRPr="00FE162C">
              <w:t>-34</w:t>
            </w:r>
            <w:r w:rsidR="00A05DA9" w:rsidRPr="00FE162C">
              <w:t>,</w:t>
            </w:r>
            <w:r w:rsidRPr="00FE162C">
              <w:t>328</w:t>
            </w:r>
          </w:p>
        </w:tc>
      </w:tr>
    </w:tbl>
    <w:p w:rsidR="002C0F8C" w:rsidRPr="00A97BE7" w:rsidRDefault="002C0F8C" w:rsidP="00A97BE7">
      <w:pPr>
        <w:pStyle w:val="Source"/>
      </w:pPr>
      <w:r w:rsidRPr="00FE162C">
        <w:t>Notes:</w:t>
      </w:r>
      <w:r w:rsidRPr="00FE162C">
        <w:tab/>
        <w:t xml:space="preserve">Confidence intervals are calculated by </w:t>
      </w:r>
      <w:r w:rsidRPr="00A97BE7">
        <w:t>summing the simulated variance of each MWTP estimate.</w:t>
      </w:r>
    </w:p>
    <w:p w:rsidR="002C0F8C" w:rsidRPr="00FE162C" w:rsidRDefault="002C0F8C" w:rsidP="00A97BE7">
      <w:pPr>
        <w:pStyle w:val="Source"/>
      </w:pPr>
      <w:r w:rsidRPr="00A97BE7">
        <w:tab/>
        <w:t>1</w:t>
      </w:r>
      <w:r w:rsidR="00BD7A55" w:rsidRPr="00A97BE7">
        <w:t xml:space="preserve"> </w:t>
      </w:r>
      <w:r w:rsidRPr="00A97BE7">
        <w:t>The restricted sample excludes individual w</w:t>
      </w:r>
      <w:r w:rsidRPr="00FE162C">
        <w:t>ho are willing to accept job offer without additional wage incentive.</w:t>
      </w:r>
    </w:p>
    <w:p w:rsidR="0093112F" w:rsidRPr="00FE162C" w:rsidRDefault="009A779C" w:rsidP="00602830">
      <w:pPr>
        <w:pStyle w:val="Textmorebefore"/>
      </w:pPr>
      <w:r>
        <w:t>The</w:t>
      </w:r>
      <w:r w:rsidR="00883565" w:rsidRPr="00FE162C">
        <w:t xml:space="preserve"> </w:t>
      </w:r>
      <w:r w:rsidR="0093112F" w:rsidRPr="00FE162C">
        <w:t xml:space="preserve">estimates of the proportion </w:t>
      </w:r>
      <w:r w:rsidR="00E503BB">
        <w:t>who</w:t>
      </w:r>
      <w:r w:rsidR="0093112F" w:rsidRPr="00FE162C">
        <w:t xml:space="preserve"> will </w:t>
      </w:r>
      <w:r w:rsidR="00205717" w:rsidRPr="00FE162C">
        <w:t>accept the job</w:t>
      </w:r>
      <w:r w:rsidR="00883565" w:rsidRPr="00FE162C">
        <w:t xml:space="preserve"> offer</w:t>
      </w:r>
      <w:r w:rsidR="006E7DAF">
        <w:t>s</w:t>
      </w:r>
      <w:r w:rsidR="00205717" w:rsidRPr="00FE162C">
        <w:t xml:space="preserve"> are</w:t>
      </w:r>
      <w:r w:rsidR="0093112F" w:rsidRPr="00FE162C">
        <w:t xml:space="preserve"> upper bound</w:t>
      </w:r>
      <w:r w:rsidR="00205717" w:rsidRPr="00FE162C">
        <w:t>s</w:t>
      </w:r>
      <w:r w:rsidR="0093112F" w:rsidRPr="00FE162C">
        <w:t>. This is becau</w:t>
      </w:r>
      <w:r w:rsidR="00205717" w:rsidRPr="00FE162C">
        <w:t>se there may be</w:t>
      </w:r>
      <w:r w:rsidR="0093112F" w:rsidRPr="00FE162C">
        <w:t xml:space="preserve"> individuals </w:t>
      </w:r>
      <w:r w:rsidR="00883565" w:rsidRPr="00FE162C">
        <w:t xml:space="preserve">in the sample </w:t>
      </w:r>
      <w:r w:rsidR="0093112F" w:rsidRPr="00FE162C">
        <w:t>who may not move even if the wage premium</w:t>
      </w:r>
      <w:r w:rsidR="0027015E" w:rsidRPr="00FE162C">
        <w:t xml:space="preserve"> offered</w:t>
      </w:r>
      <w:r w:rsidR="0093112F" w:rsidRPr="00FE162C">
        <w:t xml:space="preserve"> matches their total willingness to pay. As discussed earlier</w:t>
      </w:r>
      <w:r w:rsidR="0027015E" w:rsidRPr="00FE162C">
        <w:t>,</w:t>
      </w:r>
      <w:r w:rsidR="0093112F" w:rsidRPr="00FE162C">
        <w:t xml:space="preserve"> this could be a result of either a lack of information or a lack of demand for their skills</w:t>
      </w:r>
      <w:r w:rsidR="0027015E" w:rsidRPr="00FE162C">
        <w:t xml:space="preserve">. </w:t>
      </w:r>
      <w:r w:rsidR="0027015E" w:rsidRPr="00E66CA2">
        <w:t>The 14</w:t>
      </w:r>
      <w:r w:rsidR="00AF1216">
        <w:t xml:space="preserve">% </w:t>
      </w:r>
      <w:r w:rsidR="0027015E" w:rsidRPr="00E66CA2">
        <w:t>in the sample who imp</w:t>
      </w:r>
      <w:r w:rsidR="00205717" w:rsidRPr="00E66CA2">
        <w:t>licitly indicate accepting the job</w:t>
      </w:r>
      <w:r w:rsidR="00883565" w:rsidRPr="00E66CA2">
        <w:t xml:space="preserve"> offer</w:t>
      </w:r>
      <w:r w:rsidR="00205717" w:rsidRPr="00E66CA2">
        <w:t>s</w:t>
      </w:r>
      <w:r w:rsidR="0027015E" w:rsidRPr="00E66CA2">
        <w:t xml:space="preserve"> wi</w:t>
      </w:r>
      <w:r w:rsidR="00205717" w:rsidRPr="00E66CA2">
        <w:t>thout a wage premium</w:t>
      </w:r>
      <w:r w:rsidR="00E503BB">
        <w:t xml:space="preserve"> (see t</w:t>
      </w:r>
      <w:r w:rsidR="00E66CA2">
        <w:t>able 6)</w:t>
      </w:r>
      <w:r w:rsidR="00205717" w:rsidRPr="00E66CA2">
        <w:t xml:space="preserve"> is</w:t>
      </w:r>
      <w:r w:rsidR="0027015E" w:rsidRPr="00E66CA2">
        <w:t xml:space="preserve"> evidence of this</w:t>
      </w:r>
      <w:r w:rsidR="00E66CA2">
        <w:t>.</w:t>
      </w:r>
    </w:p>
    <w:p w:rsidR="0027015E" w:rsidRPr="00FE162C" w:rsidRDefault="0027015E" w:rsidP="00602830">
      <w:pPr>
        <w:pStyle w:val="Text"/>
      </w:pPr>
      <w:r w:rsidRPr="00FE162C">
        <w:t>On the other hand, knowing the pr</w:t>
      </w:r>
      <w:r w:rsidR="00205717" w:rsidRPr="00FE162C">
        <w:t xml:space="preserve">oportion </w:t>
      </w:r>
      <w:r w:rsidR="00575B57">
        <w:t>wh</w:t>
      </w:r>
      <w:r w:rsidR="00F71584">
        <w:t>o</w:t>
      </w:r>
      <w:r w:rsidR="00205717" w:rsidRPr="00FE162C">
        <w:t xml:space="preserve"> is willing to accept the jobs</w:t>
      </w:r>
      <w:r w:rsidRPr="00FE162C">
        <w:t xml:space="preserve"> wit</w:t>
      </w:r>
      <w:r w:rsidR="00205717" w:rsidRPr="00FE162C">
        <w:t>hout a wage premium</w:t>
      </w:r>
      <w:r w:rsidR="00DA4BDB" w:rsidRPr="00FE162C">
        <w:t xml:space="preserve"> helps </w:t>
      </w:r>
      <w:r w:rsidR="00E503BB">
        <w:t xml:space="preserve">to </w:t>
      </w:r>
      <w:r w:rsidR="00DA4BDB" w:rsidRPr="00FE162C">
        <w:t>p</w:t>
      </w:r>
      <w:r w:rsidR="00883565" w:rsidRPr="00FE162C">
        <w:t>lace</w:t>
      </w:r>
      <w:r w:rsidRPr="00FE162C">
        <w:t xml:space="preserve"> a value on alternative policies designed to encourage geographical labour mobility. </w:t>
      </w:r>
      <w:r w:rsidR="00883565" w:rsidRPr="00FE162C">
        <w:t>For example, if</w:t>
      </w:r>
      <w:r w:rsidRPr="00FE162C">
        <w:t xml:space="preserve"> the objective </w:t>
      </w:r>
      <w:r w:rsidR="00883565" w:rsidRPr="00FE162C">
        <w:t xml:space="preserve">of </w:t>
      </w:r>
      <w:r w:rsidRPr="00FE162C">
        <w:t>a policy is to get 14</w:t>
      </w:r>
      <w:r w:rsidR="00AF1216">
        <w:t xml:space="preserve">% </w:t>
      </w:r>
      <w:r w:rsidRPr="00FE162C">
        <w:t>of th</w:t>
      </w:r>
      <w:r w:rsidR="00DA4BDB" w:rsidRPr="00FE162C">
        <w:t>e population to accept job</w:t>
      </w:r>
      <w:r w:rsidRPr="00FE162C">
        <w:t>s of the type discussed in this section</w:t>
      </w:r>
      <w:r w:rsidR="00F71584">
        <w:t>,</w:t>
      </w:r>
      <w:r w:rsidR="002C494F" w:rsidRPr="00FE162C">
        <w:t xml:space="preserve"> and the</w:t>
      </w:r>
      <w:r w:rsidRPr="00FE162C">
        <w:t xml:space="preserve"> policy is based only on monetary incentives</w:t>
      </w:r>
      <w:r w:rsidR="002C494F" w:rsidRPr="00FE162C">
        <w:t>,</w:t>
      </w:r>
      <w:r w:rsidRPr="00FE162C">
        <w:t xml:space="preserve"> then the 14</w:t>
      </w:r>
      <w:r w:rsidR="00AF1216">
        <w:t xml:space="preserve">% </w:t>
      </w:r>
      <w:r w:rsidRPr="00FE162C">
        <w:t xml:space="preserve">of the population </w:t>
      </w:r>
      <w:r w:rsidR="00C87FE6">
        <w:t>who</w:t>
      </w:r>
      <w:r w:rsidRPr="00FE162C">
        <w:t xml:space="preserve"> is willing to accept </w:t>
      </w:r>
      <w:r w:rsidR="00DA4BDB" w:rsidRPr="00FE162C">
        <w:t>the jobs without a wage premium</w:t>
      </w:r>
      <w:r w:rsidRPr="00FE162C">
        <w:t xml:space="preserve"> will be unaffected by the policy</w:t>
      </w:r>
      <w:r w:rsidR="00C87FE6">
        <w:t>,</w:t>
      </w:r>
      <w:r w:rsidRPr="00FE162C">
        <w:t xml:space="preserve"> since they would</w:t>
      </w:r>
      <w:r w:rsidR="005B6913" w:rsidRPr="00FE162C">
        <w:t xml:space="preserve"> have moved if they could have</w:t>
      </w:r>
      <w:r w:rsidRPr="00FE162C">
        <w:t xml:space="preserve">. Using calculations similar to those </w:t>
      </w:r>
      <w:r w:rsidR="002C494F" w:rsidRPr="00FE162C">
        <w:t>in</w:t>
      </w:r>
      <w:r w:rsidR="00C87FE6">
        <w:t xml:space="preserve"> t</w:t>
      </w:r>
      <w:r w:rsidRPr="00FE162C">
        <w:t>able 7, it can be shown that to get 14</w:t>
      </w:r>
      <w:r w:rsidR="00AF1216">
        <w:t xml:space="preserve">% </w:t>
      </w:r>
      <w:r w:rsidRPr="00FE162C">
        <w:t xml:space="preserve">of </w:t>
      </w:r>
      <w:r w:rsidR="002C494F" w:rsidRPr="00FE162C">
        <w:t>the restricted sample</w:t>
      </w:r>
      <w:r w:rsidRPr="00FE162C">
        <w:t xml:space="preserve"> to ac</w:t>
      </w:r>
      <w:r w:rsidR="00DA4BDB" w:rsidRPr="00FE162C">
        <w:t xml:space="preserve">cept </w:t>
      </w:r>
      <w:r w:rsidR="002C494F" w:rsidRPr="00FE162C">
        <w:t xml:space="preserve">the </w:t>
      </w:r>
      <w:r w:rsidR="00DA4BDB" w:rsidRPr="00FE162C">
        <w:t xml:space="preserve">jobs </w:t>
      </w:r>
      <w:r w:rsidR="002C494F" w:rsidRPr="00FE162C">
        <w:t xml:space="preserve">will </w:t>
      </w:r>
      <w:r w:rsidR="00DA4BDB" w:rsidRPr="00FE162C">
        <w:t>require</w:t>
      </w:r>
      <w:r w:rsidR="002C494F" w:rsidRPr="00FE162C">
        <w:t xml:space="preserve"> offering</w:t>
      </w:r>
      <w:r w:rsidR="00DA4BDB" w:rsidRPr="00FE162C">
        <w:t xml:space="preserve"> a wage premium</w:t>
      </w:r>
      <w:r w:rsidR="00C87FE6">
        <w:t xml:space="preserve"> of at least $24 </w:t>
      </w:r>
      <w:r w:rsidRPr="00FE162C">
        <w:t xml:space="preserve">393 per person per year. </w:t>
      </w:r>
      <w:r w:rsidR="002C494F" w:rsidRPr="00FE162C">
        <w:t>T</w:t>
      </w:r>
      <w:r w:rsidRPr="00FE162C">
        <w:t xml:space="preserve">his cost </w:t>
      </w:r>
      <w:r w:rsidR="002C494F" w:rsidRPr="00FE162C">
        <w:t xml:space="preserve">should </w:t>
      </w:r>
      <w:r w:rsidRPr="00FE162C">
        <w:t xml:space="preserve">be </w:t>
      </w:r>
      <w:r w:rsidR="002C494F" w:rsidRPr="00FE162C">
        <w:t>compared with</w:t>
      </w:r>
      <w:r w:rsidRPr="00FE162C">
        <w:t xml:space="preserve"> the cost of alternative policies that directly address the information deficit</w:t>
      </w:r>
      <w:r w:rsidR="002C494F" w:rsidRPr="00FE162C">
        <w:t xml:space="preserve"> (</w:t>
      </w:r>
      <w:r w:rsidR="00C87FE6">
        <w:t>for example,</w:t>
      </w:r>
      <w:r w:rsidR="002C494F" w:rsidRPr="00FE162C">
        <w:t xml:space="preserve"> labour market and career information for job seekers and services matching job seekers with </w:t>
      </w:r>
      <w:r w:rsidR="00295C42" w:rsidRPr="00FE162C">
        <w:t>job vacancies</w:t>
      </w:r>
      <w:r w:rsidR="002C494F" w:rsidRPr="00FE162C">
        <w:t>)</w:t>
      </w:r>
      <w:r w:rsidR="006E7DAF">
        <w:t xml:space="preserve"> </w:t>
      </w:r>
      <w:r w:rsidR="002C494F" w:rsidRPr="00FE162C">
        <w:t>and</w:t>
      </w:r>
      <w:r w:rsidRPr="00FE162C">
        <w:t xml:space="preserve"> </w:t>
      </w:r>
      <w:r w:rsidR="00575B57">
        <w:t xml:space="preserve">which </w:t>
      </w:r>
      <w:r w:rsidRPr="00FE162C">
        <w:t>improve education and training responses</w:t>
      </w:r>
      <w:r w:rsidR="00295C42" w:rsidRPr="00FE162C">
        <w:t>.</w:t>
      </w:r>
      <w:r w:rsidR="00D14BA4" w:rsidRPr="00FE162C">
        <w:t xml:space="preserve"> These alternative policies may, </w:t>
      </w:r>
      <w:r w:rsidR="00C87FE6">
        <w:t xml:space="preserve">for example, cost less than $24 </w:t>
      </w:r>
      <w:r w:rsidR="00D14BA4" w:rsidRPr="00FE162C">
        <w:t>393 per</w:t>
      </w:r>
      <w:r w:rsidR="00DA4BDB" w:rsidRPr="00FE162C">
        <w:t xml:space="preserve"> person but may very well get</w:t>
      </w:r>
      <w:r w:rsidR="00D14BA4" w:rsidRPr="00FE162C">
        <w:t xml:space="preserve"> the 14</w:t>
      </w:r>
      <w:r w:rsidR="00AF1216">
        <w:t xml:space="preserve">% </w:t>
      </w:r>
      <w:r w:rsidR="00D14BA4" w:rsidRPr="00FE162C">
        <w:t>with zero or positive TWTPs to move without any direct monetary incentive.</w:t>
      </w:r>
    </w:p>
    <w:p w:rsidR="002A3A55" w:rsidRPr="00FE162C" w:rsidRDefault="002A3A55">
      <w:pPr>
        <w:spacing w:before="0" w:line="240" w:lineRule="auto"/>
        <w:rPr>
          <w:rFonts w:ascii="Tahoma" w:hAnsi="Tahoma" w:cs="Tahoma"/>
          <w:color w:val="000000" w:themeColor="text1"/>
          <w:kern w:val="28"/>
          <w:sz w:val="56"/>
          <w:szCs w:val="56"/>
        </w:rPr>
      </w:pPr>
      <w:r w:rsidRPr="00FE162C">
        <w:rPr>
          <w:color w:val="000000" w:themeColor="text1"/>
        </w:rPr>
        <w:br w:type="page"/>
      </w:r>
    </w:p>
    <w:p w:rsidR="0017798F" w:rsidRPr="00FE162C" w:rsidRDefault="007E7893" w:rsidP="007E7893">
      <w:pPr>
        <w:pStyle w:val="Heading1"/>
        <w:rPr>
          <w:color w:val="000000" w:themeColor="text1"/>
        </w:rPr>
      </w:pPr>
      <w:bookmarkStart w:id="64" w:name="_Toc386530494"/>
      <w:r w:rsidRPr="00FE162C">
        <w:rPr>
          <w:color w:val="000000" w:themeColor="text1"/>
        </w:rPr>
        <w:lastRenderedPageBreak/>
        <w:t>Concluding comments</w:t>
      </w:r>
      <w:bookmarkEnd w:id="64"/>
    </w:p>
    <w:p w:rsidR="00731505" w:rsidRPr="00602830" w:rsidRDefault="00295C42" w:rsidP="00602830">
      <w:pPr>
        <w:pStyle w:val="Text"/>
      </w:pPr>
      <w:r w:rsidRPr="00FE162C">
        <w:t>In t</w:t>
      </w:r>
      <w:r w:rsidR="00731505" w:rsidRPr="00FE162C">
        <w:t xml:space="preserve">his study </w:t>
      </w:r>
      <w:r w:rsidRPr="00FE162C">
        <w:t xml:space="preserve">we </w:t>
      </w:r>
      <w:r w:rsidR="00731505" w:rsidRPr="00FE162C">
        <w:t xml:space="preserve">investigated the willingness </w:t>
      </w:r>
      <w:r w:rsidR="00665E32">
        <w:t>of</w:t>
      </w:r>
      <w:r w:rsidR="00665E32" w:rsidRPr="00FE162C">
        <w:t xml:space="preserve"> residents of New South Wales and South Australia </w:t>
      </w:r>
      <w:r w:rsidR="00731505" w:rsidRPr="00FE162C">
        <w:t xml:space="preserve">to </w:t>
      </w:r>
      <w:r w:rsidRPr="00FE162C">
        <w:t>accept job offers in Karratha and Emerald.</w:t>
      </w:r>
      <w:r w:rsidR="00C66423" w:rsidRPr="00FE162C">
        <w:t xml:space="preserve"> The aim of the study was to identify how individual char</w:t>
      </w:r>
      <w:r w:rsidR="006E7DAF">
        <w:t>acteristics are related to</w:t>
      </w:r>
      <w:r w:rsidR="00C66423" w:rsidRPr="00FE162C">
        <w:t xml:space="preserve"> </w:t>
      </w:r>
      <w:r w:rsidR="00C87FE6">
        <w:t xml:space="preserve">a </w:t>
      </w:r>
      <w:r w:rsidR="00C66423" w:rsidRPr="00FE162C">
        <w:t>willingness to accept job offers, but more</w:t>
      </w:r>
      <w:r w:rsidR="00824F39">
        <w:t xml:space="preserve"> importantly the monetary value</w:t>
      </w:r>
      <w:r w:rsidRPr="00FE162C">
        <w:t xml:space="preserve"> </w:t>
      </w:r>
      <w:r w:rsidR="00C66423" w:rsidRPr="00FE162C">
        <w:t xml:space="preserve">placed on </w:t>
      </w:r>
      <w:r w:rsidR="00C87FE6">
        <w:t xml:space="preserve">the </w:t>
      </w:r>
      <w:r w:rsidR="00C66423" w:rsidRPr="00FE162C">
        <w:t xml:space="preserve">different attributes of a job offer. </w:t>
      </w:r>
      <w:r w:rsidRPr="00FE162C">
        <w:t>The study</w:t>
      </w:r>
      <w:r w:rsidR="00C66423" w:rsidRPr="00FE162C">
        <w:t xml:space="preserve"> used a discrete choice experiment to collect data on the stated preferences </w:t>
      </w:r>
      <w:r w:rsidR="00DF6C49" w:rsidRPr="00FE162C">
        <w:t xml:space="preserve">of a sample of people </w:t>
      </w:r>
      <w:r w:rsidR="00DF6C49" w:rsidRPr="00602830">
        <w:t>from these two states.</w:t>
      </w:r>
    </w:p>
    <w:p w:rsidR="00DF6C49" w:rsidRPr="00602830" w:rsidRDefault="00DF6C49" w:rsidP="00602830">
      <w:pPr>
        <w:pStyle w:val="Text"/>
      </w:pPr>
      <w:r w:rsidRPr="00602830">
        <w:t xml:space="preserve">The study is unique in two ways. First, our estimates of willingness to move are not confounded </w:t>
      </w:r>
      <w:r w:rsidR="00D910AF" w:rsidRPr="00602830">
        <w:t>by demand-side factors.</w:t>
      </w:r>
      <w:r w:rsidR="00D9662A" w:rsidRPr="00602830">
        <w:t xml:space="preserve"> This is because the job</w:t>
      </w:r>
      <w:r w:rsidR="00EE717F" w:rsidRPr="00602830">
        <w:t>s</w:t>
      </w:r>
      <w:r w:rsidR="00CF77E1" w:rsidRPr="00602830">
        <w:t xml:space="preserve"> offered to </w:t>
      </w:r>
      <w:r w:rsidR="00EE717F" w:rsidRPr="00602830">
        <w:t xml:space="preserve">an </w:t>
      </w:r>
      <w:r w:rsidR="00CF77E1" w:rsidRPr="00602830">
        <w:t>individual</w:t>
      </w:r>
      <w:r w:rsidR="00D9662A" w:rsidRPr="00602830">
        <w:t xml:space="preserve"> in the experiment closely match their current (desired) job, thus effectively controlling for labour demand. Second, by offering a wage pre</w:t>
      </w:r>
      <w:r w:rsidR="00F5311C" w:rsidRPr="00602830">
        <w:t>mium on their current (expected) wage in the job offers allowed us to value,</w:t>
      </w:r>
      <w:r w:rsidR="00824F39" w:rsidRPr="00602830">
        <w:t xml:space="preserve"> in monetary terms, the other</w:t>
      </w:r>
      <w:r w:rsidR="00F5311C" w:rsidRPr="00602830">
        <w:t xml:space="preserve"> attributes of a job offer</w:t>
      </w:r>
      <w:r w:rsidR="00C87FE6" w:rsidRPr="00602830">
        <w:t>,</w:t>
      </w:r>
      <w:r w:rsidR="00F5311C" w:rsidRPr="00602830">
        <w:t xml:space="preserve"> as well </w:t>
      </w:r>
      <w:r w:rsidR="00DB1135" w:rsidRPr="00602830">
        <w:t xml:space="preserve">as </w:t>
      </w:r>
      <w:r w:rsidR="00824F39" w:rsidRPr="00602830">
        <w:t xml:space="preserve">the relative </w:t>
      </w:r>
      <w:r w:rsidR="00602830">
        <w:t>‘</w:t>
      </w:r>
      <w:r w:rsidR="00824F39" w:rsidRPr="00602830">
        <w:t>value</w:t>
      </w:r>
      <w:r w:rsidR="00602830">
        <w:t>’</w:t>
      </w:r>
      <w:r w:rsidR="00824F39" w:rsidRPr="00602830">
        <w:t xml:space="preserve"> of </w:t>
      </w:r>
      <w:r w:rsidR="00F5311C" w:rsidRPr="00602830">
        <w:t>individual characteristics.</w:t>
      </w:r>
      <w:r w:rsidR="00DD2DF2" w:rsidRPr="00602830">
        <w:t xml:space="preserve"> These estimates are important </w:t>
      </w:r>
      <w:r w:rsidR="003B75B3" w:rsidRPr="00602830">
        <w:t xml:space="preserve">for </w:t>
      </w:r>
      <w:r w:rsidR="00C87FE6" w:rsidRPr="00602830">
        <w:t>conducting cost—benefit analyse</w:t>
      </w:r>
      <w:r w:rsidR="00DD2DF2" w:rsidRPr="00602830">
        <w:t>s of policies that seek to move people for work through direct monetary incentives.</w:t>
      </w:r>
    </w:p>
    <w:p w:rsidR="005C7756" w:rsidRPr="00602830" w:rsidRDefault="00BA335E" w:rsidP="00602830">
      <w:pPr>
        <w:pStyle w:val="Text"/>
      </w:pPr>
      <w:r w:rsidRPr="00602830">
        <w:t xml:space="preserve">With respect to </w:t>
      </w:r>
      <w:r w:rsidR="00824F39" w:rsidRPr="00602830">
        <w:t xml:space="preserve">the </w:t>
      </w:r>
      <w:r w:rsidRPr="00602830">
        <w:t xml:space="preserve">effects of individual characteristics on </w:t>
      </w:r>
      <w:r w:rsidR="00665E32" w:rsidRPr="00602830">
        <w:t xml:space="preserve">the </w:t>
      </w:r>
      <w:r w:rsidRPr="00602830">
        <w:t xml:space="preserve">willingness to move, the results from this study generally concur with those </w:t>
      </w:r>
      <w:r w:rsidR="00633C5E" w:rsidRPr="00602830">
        <w:t>reported in the literature</w:t>
      </w:r>
      <w:r w:rsidRPr="00602830">
        <w:t xml:space="preserve"> on labour mobility</w:t>
      </w:r>
      <w:r w:rsidR="00824F39" w:rsidRPr="00602830">
        <w:t xml:space="preserve">. </w:t>
      </w:r>
      <w:r w:rsidRPr="00602830">
        <w:t xml:space="preserve">Distance </w:t>
      </w:r>
      <w:r w:rsidR="00824F39" w:rsidRPr="00602830">
        <w:t>to location does not</w:t>
      </w:r>
      <w:r w:rsidRPr="00602830">
        <w:t xml:space="preserve"> appear to be a factor in the</w:t>
      </w:r>
      <w:r w:rsidR="00633C5E" w:rsidRPr="00602830">
        <w:t xml:space="preserve"> decision to accept a job offer</w:t>
      </w:r>
      <w:r w:rsidR="00675724" w:rsidRPr="00602830">
        <w:t>, presumably because the perception of distance in the decision-making process may be in terms of flying time rather than physical distance</w:t>
      </w:r>
      <w:r w:rsidR="00824F39" w:rsidRPr="00602830">
        <w:t>.</w:t>
      </w:r>
    </w:p>
    <w:p w:rsidR="00904A13" w:rsidRPr="00602830" w:rsidRDefault="0037427A" w:rsidP="00602830">
      <w:pPr>
        <w:pStyle w:val="Text"/>
      </w:pPr>
      <w:r w:rsidRPr="00602830">
        <w:t>T</w:t>
      </w:r>
      <w:r w:rsidR="00E31AD9" w:rsidRPr="00602830">
        <w:t>he wage premium necessary</w:t>
      </w:r>
      <w:r w:rsidR="0055547A" w:rsidRPr="00602830">
        <w:t xml:space="preserve"> t</w:t>
      </w:r>
      <w:r w:rsidR="00652845" w:rsidRPr="00602830">
        <w:t>o attract individual</w:t>
      </w:r>
      <w:r w:rsidR="00E31AD9" w:rsidRPr="00602830">
        <w:t xml:space="preserve">s to </w:t>
      </w:r>
      <w:r w:rsidRPr="00602830">
        <w:t>accept job offers</w:t>
      </w:r>
      <w:r w:rsidR="00E31AD9" w:rsidRPr="00602830">
        <w:t xml:space="preserve"> may</w:t>
      </w:r>
      <w:r w:rsidR="0055547A" w:rsidRPr="00602830">
        <w:t xml:space="preserve"> </w:t>
      </w:r>
      <w:r w:rsidR="00E31AD9" w:rsidRPr="00602830">
        <w:t xml:space="preserve">be </w:t>
      </w:r>
      <w:r w:rsidRPr="00602830">
        <w:t xml:space="preserve">partially </w:t>
      </w:r>
      <w:r w:rsidR="0055547A" w:rsidRPr="00602830">
        <w:t xml:space="preserve">offset by offering </w:t>
      </w:r>
      <w:r w:rsidR="00304E1B" w:rsidRPr="00602830">
        <w:t xml:space="preserve">initial </w:t>
      </w:r>
      <w:r w:rsidR="0055547A" w:rsidRPr="00602830">
        <w:t>training</w:t>
      </w:r>
      <w:r w:rsidR="00304E1B" w:rsidRPr="00602830">
        <w:t xml:space="preserve"> and long-term</w:t>
      </w:r>
      <w:r w:rsidR="00E31AD9" w:rsidRPr="00602830">
        <w:t xml:space="preserve"> contracts</w:t>
      </w:r>
      <w:r w:rsidR="001E2C8D" w:rsidRPr="00602830">
        <w:t xml:space="preserve">. </w:t>
      </w:r>
      <w:r w:rsidR="00904A13" w:rsidRPr="00602830">
        <w:t>Th</w:t>
      </w:r>
      <w:r w:rsidRPr="00602830">
        <w:t>e implication of this result is</w:t>
      </w:r>
      <w:r w:rsidR="00904A13" w:rsidRPr="00602830">
        <w:t xml:space="preserve"> that policies promoting geographic labour mobility are more likely to succeed if </w:t>
      </w:r>
      <w:r w:rsidRPr="00602830">
        <w:t>the employment contracts</w:t>
      </w:r>
      <w:r w:rsidR="00C87FE6" w:rsidRPr="00602830">
        <w:t xml:space="preserve"> include up</w:t>
      </w:r>
      <w:r w:rsidR="00904A13" w:rsidRPr="00602830">
        <w:t xml:space="preserve">skilling </w:t>
      </w:r>
      <w:r w:rsidRPr="00602830">
        <w:t>or</w:t>
      </w:r>
      <w:r w:rsidR="00C87FE6" w:rsidRPr="00602830">
        <w:t xml:space="preserve"> re</w:t>
      </w:r>
      <w:r w:rsidR="00904A13" w:rsidRPr="00602830">
        <w:t>skilling opp</w:t>
      </w:r>
      <w:r w:rsidR="0079456F" w:rsidRPr="00602830">
        <w:t>ortunities, possibly with</w:t>
      </w:r>
      <w:r w:rsidR="00904A13" w:rsidRPr="00602830">
        <w:t xml:space="preserve"> </w:t>
      </w:r>
      <w:r w:rsidR="00243E66" w:rsidRPr="00602830">
        <w:t xml:space="preserve">employer </w:t>
      </w:r>
      <w:r w:rsidR="0079456F" w:rsidRPr="00602830">
        <w:t xml:space="preserve">input </w:t>
      </w:r>
      <w:r w:rsidR="00243E66" w:rsidRPr="00602830">
        <w:t>on the nature of training</w:t>
      </w:r>
      <w:r w:rsidR="00904A13" w:rsidRPr="00602830">
        <w:t xml:space="preserve">, and </w:t>
      </w:r>
      <w:r w:rsidR="0079456F" w:rsidRPr="00602830">
        <w:t xml:space="preserve">if </w:t>
      </w:r>
      <w:r w:rsidR="00304E1B" w:rsidRPr="00602830">
        <w:t>the contracts</w:t>
      </w:r>
      <w:r w:rsidR="005B1350" w:rsidRPr="00602830">
        <w:t xml:space="preserve"> are not short-</w:t>
      </w:r>
      <w:r w:rsidRPr="00602830">
        <w:t>term</w:t>
      </w:r>
      <w:r w:rsidR="00904A13" w:rsidRPr="00602830">
        <w:t>.</w:t>
      </w:r>
    </w:p>
    <w:p w:rsidR="00BA3A03" w:rsidRPr="00602830" w:rsidRDefault="00652845" w:rsidP="00602830">
      <w:pPr>
        <w:pStyle w:val="Text"/>
      </w:pPr>
      <w:r w:rsidRPr="00602830">
        <w:t>Individuals also place a higher value on contract</w:t>
      </w:r>
      <w:r w:rsidR="005B1350" w:rsidRPr="00602830">
        <w:t>s</w:t>
      </w:r>
      <w:r w:rsidRPr="00602830">
        <w:t xml:space="preserve"> offering the </w:t>
      </w:r>
      <w:r w:rsidR="00E16A3B" w:rsidRPr="00602830">
        <w:t>fly-in/fly-out</w:t>
      </w:r>
      <w:r w:rsidR="00965475" w:rsidRPr="00602830">
        <w:t xml:space="preserve"> option compared </w:t>
      </w:r>
      <w:r w:rsidR="00C87FE6" w:rsidRPr="00602830">
        <w:t>with</w:t>
      </w:r>
      <w:r w:rsidR="00965475" w:rsidRPr="00602830">
        <w:t xml:space="preserve"> </w:t>
      </w:r>
      <w:r w:rsidRPr="00602830">
        <w:t>contract</w:t>
      </w:r>
      <w:r w:rsidR="005B1350" w:rsidRPr="00602830">
        <w:t>s</w:t>
      </w:r>
      <w:r w:rsidRPr="00602830">
        <w:t xml:space="preserve"> requiring a permanent relocation to either Emerald or Karratha</w:t>
      </w:r>
      <w:r w:rsidR="00304E1B" w:rsidRPr="00602830">
        <w:t>.</w:t>
      </w:r>
      <w:r w:rsidR="00DA4BDB" w:rsidRPr="00602830">
        <w:t xml:space="preserve"> </w:t>
      </w:r>
      <w:r w:rsidR="00304E1B" w:rsidRPr="00602830">
        <w:t>A</w:t>
      </w:r>
      <w:r w:rsidR="00DA4BDB" w:rsidRPr="00602830">
        <w:t>fter discounting</w:t>
      </w:r>
      <w:r w:rsidR="00BA3A03" w:rsidRPr="00602830">
        <w:t xml:space="preserve"> the savings related to </w:t>
      </w:r>
      <w:r w:rsidR="007F54E9" w:rsidRPr="00602830">
        <w:t xml:space="preserve">accommodation and </w:t>
      </w:r>
      <w:r w:rsidR="00BA3A03" w:rsidRPr="00602830">
        <w:t>meals while being rostered for work</w:t>
      </w:r>
      <w:r w:rsidR="007F54E9" w:rsidRPr="00602830">
        <w:t xml:space="preserve">, the trade-off for the </w:t>
      </w:r>
      <w:r w:rsidR="00E16A3B" w:rsidRPr="00602830">
        <w:t>fly-in/fly-out</w:t>
      </w:r>
      <w:r w:rsidR="007F54E9" w:rsidRPr="00602830">
        <w:t xml:space="preserve"> option is</w:t>
      </w:r>
      <w:r w:rsidR="00304E1B" w:rsidRPr="00602830">
        <w:t>,</w:t>
      </w:r>
      <w:r w:rsidR="005D0936" w:rsidRPr="00602830">
        <w:t xml:space="preserve"> </w:t>
      </w:r>
      <w:r w:rsidR="00304E1B" w:rsidRPr="00602830">
        <w:t xml:space="preserve">however, </w:t>
      </w:r>
      <w:r w:rsidR="005D0936" w:rsidRPr="00602830">
        <w:t>not particularly large</w:t>
      </w:r>
      <w:r w:rsidR="00BA3A03" w:rsidRPr="00602830">
        <w:t>.</w:t>
      </w:r>
    </w:p>
    <w:p w:rsidR="005351A3" w:rsidRPr="00602830" w:rsidRDefault="00304E1B" w:rsidP="00602830">
      <w:pPr>
        <w:pStyle w:val="Text"/>
      </w:pPr>
      <w:r w:rsidRPr="00602830">
        <w:t xml:space="preserve">Contrasting </w:t>
      </w:r>
      <w:r w:rsidR="00C87FE6" w:rsidRPr="00602830">
        <w:t>the limited success of program</w:t>
      </w:r>
      <w:r w:rsidRPr="00602830">
        <w:t>s such as Move 2 Work and Connecting People with Jobs with our overall</w:t>
      </w:r>
      <w:r w:rsidR="006909DB" w:rsidRPr="00602830">
        <w:t xml:space="preserve"> results </w:t>
      </w:r>
      <w:r w:rsidRPr="00602830">
        <w:t>suggests</w:t>
      </w:r>
      <w:r w:rsidR="001A7FF2" w:rsidRPr="00602830">
        <w:t xml:space="preserve"> that the observed patterns in geographic labour mobility in Australia may be less </w:t>
      </w:r>
      <w:r w:rsidR="00C87FE6" w:rsidRPr="00602830">
        <w:t xml:space="preserve">related to </w:t>
      </w:r>
      <w:r w:rsidR="001A7FF2" w:rsidRPr="00602830">
        <w:t>willingness to move and more to labour demand-side factors.</w:t>
      </w:r>
    </w:p>
    <w:p w:rsidR="009871F9" w:rsidRPr="00FE162C" w:rsidRDefault="0098131B" w:rsidP="00602830">
      <w:pPr>
        <w:pStyle w:val="Text"/>
      </w:pPr>
      <w:r w:rsidRPr="00602830">
        <w:t>Th</w:t>
      </w:r>
      <w:r w:rsidR="001A7FF2" w:rsidRPr="00602830">
        <w:t>e</w:t>
      </w:r>
      <w:r w:rsidRPr="00602830">
        <w:t xml:space="preserve"> </w:t>
      </w:r>
      <w:r w:rsidR="001A7FF2" w:rsidRPr="00602830">
        <w:t xml:space="preserve">focus of our </w:t>
      </w:r>
      <w:r w:rsidRPr="00602830">
        <w:t xml:space="preserve">study </w:t>
      </w:r>
      <w:r w:rsidR="001A7FF2" w:rsidRPr="00602830">
        <w:t>was</w:t>
      </w:r>
      <w:r w:rsidRPr="00602830">
        <w:t xml:space="preserve"> on supply-side factors</w:t>
      </w:r>
      <w:r w:rsidR="001A7FF2" w:rsidRPr="00602830">
        <w:t xml:space="preserve"> but</w:t>
      </w:r>
      <w:r w:rsidRPr="00602830">
        <w:t xml:space="preserve"> </w:t>
      </w:r>
      <w:r w:rsidR="001A7FF2" w:rsidRPr="00602830">
        <w:t>f</w:t>
      </w:r>
      <w:r w:rsidRPr="00602830">
        <w:t>uture</w:t>
      </w:r>
      <w:r w:rsidRPr="00FE162C">
        <w:t xml:space="preserve"> research using discrete choice experiments could consider </w:t>
      </w:r>
      <w:r w:rsidR="00B87039" w:rsidRPr="00FE162C">
        <w:t>var</w:t>
      </w:r>
      <w:r w:rsidR="00D17E25" w:rsidRPr="00FE162C">
        <w:t>ying</w:t>
      </w:r>
      <w:r w:rsidR="00B87039" w:rsidRPr="00FE162C">
        <w:t xml:space="preserve"> </w:t>
      </w:r>
      <w:r w:rsidRPr="00FE162C">
        <w:t>demand-side factors</w:t>
      </w:r>
      <w:r w:rsidR="00B87039" w:rsidRPr="00FE162C">
        <w:t xml:space="preserve">, </w:t>
      </w:r>
      <w:r w:rsidR="00347E81" w:rsidRPr="00FE162C">
        <w:t>for example, by offering</w:t>
      </w:r>
      <w:r w:rsidRPr="00FE162C">
        <w:t xml:space="preserve"> job</w:t>
      </w:r>
      <w:r w:rsidR="00347E81" w:rsidRPr="00FE162C">
        <w:t>s with training and</w:t>
      </w:r>
      <w:r w:rsidR="002D6EA0">
        <w:t xml:space="preserve"> </w:t>
      </w:r>
      <w:r w:rsidRPr="00FE162C">
        <w:t>in non-matching occupations</w:t>
      </w:r>
      <w:r w:rsidR="009871F9" w:rsidRPr="00FE162C">
        <w:t xml:space="preserve">. </w:t>
      </w:r>
      <w:r w:rsidR="00347E81" w:rsidRPr="00FE162C">
        <w:t xml:space="preserve">In this way we may be able to </w:t>
      </w:r>
      <w:r w:rsidR="00C87FE6">
        <w:t>gain</w:t>
      </w:r>
      <w:r w:rsidR="009871F9" w:rsidRPr="00FE162C">
        <w:t xml:space="preserve"> insight</w:t>
      </w:r>
      <w:r w:rsidR="00347E81" w:rsidRPr="00FE162C">
        <w:t>s</w:t>
      </w:r>
      <w:r w:rsidR="009871F9" w:rsidRPr="00FE162C">
        <w:t xml:space="preserve"> into the effectiveness of s</w:t>
      </w:r>
      <w:r w:rsidR="00095C33" w:rsidRPr="00FE162C">
        <w:t>ubsidising training in alternative area</w:t>
      </w:r>
      <w:r w:rsidR="009871F9" w:rsidRPr="00FE162C">
        <w:t xml:space="preserve">s. </w:t>
      </w:r>
      <w:r w:rsidR="00095C33" w:rsidRPr="00FE162C">
        <w:t>Future work may also look at</w:t>
      </w:r>
      <w:r w:rsidR="009871F9" w:rsidRPr="00FE162C">
        <w:t xml:space="preserve"> the extent of the mismat</w:t>
      </w:r>
      <w:r w:rsidR="00095C33" w:rsidRPr="00FE162C">
        <w:t>ch between actual labour demand</w:t>
      </w:r>
      <w:r w:rsidR="009871F9" w:rsidRPr="00FE162C">
        <w:t xml:space="preserve"> and the skills of those who are the most willing to move</w:t>
      </w:r>
      <w:r w:rsidRPr="00FE162C">
        <w:t>.</w:t>
      </w:r>
    </w:p>
    <w:p w:rsidR="00DE056C" w:rsidRDefault="00DE056C" w:rsidP="00602830">
      <w:pPr>
        <w:pStyle w:val="Text"/>
      </w:pPr>
      <w:r w:rsidRPr="00FE162C">
        <w:t>This research has demonstrated that discrete choice experiments provide a useful tool for understanding individuals</w:t>
      </w:r>
      <w:r w:rsidR="00602830">
        <w:t>’</w:t>
      </w:r>
      <w:r w:rsidRPr="00FE162C">
        <w:t xml:space="preserve"> job and training preferences and the value they place on different aspects of these preferences. In particular, they </w:t>
      </w:r>
      <w:r w:rsidR="00C8670E" w:rsidRPr="00FE162C">
        <w:t xml:space="preserve">could show which aspects of jobs and </w:t>
      </w:r>
      <w:r w:rsidR="00C8670E" w:rsidRPr="00602830">
        <w:t>training</w:t>
      </w:r>
      <w:r w:rsidR="00C8670E" w:rsidRPr="00FE162C">
        <w:t xml:space="preserve"> can improv</w:t>
      </w:r>
      <w:r w:rsidR="002D6EA0">
        <w:t>e geographical labour mobility.</w:t>
      </w:r>
      <w:r w:rsidR="002D6EA0" w:rsidRPr="002D6EA0">
        <w:t xml:space="preserve"> </w:t>
      </w:r>
      <w:r w:rsidR="001327A8">
        <w:t xml:space="preserve">The strong willingness to move for work indicated by the unemployed </w:t>
      </w:r>
      <w:r w:rsidR="00E70D6B">
        <w:t>sugg</w:t>
      </w:r>
      <w:r w:rsidR="00EA6392">
        <w:t>ests the</w:t>
      </w:r>
      <w:r w:rsidR="00E70D6B">
        <w:t xml:space="preserve"> potential for improving social inclusion through labour</w:t>
      </w:r>
      <w:r w:rsidR="00F71584">
        <w:t>-</w:t>
      </w:r>
      <w:r w:rsidR="00E70D6B">
        <w:t>mobility schemes.</w:t>
      </w:r>
    </w:p>
    <w:p w:rsidR="00E84A94" w:rsidRPr="00FE162C" w:rsidRDefault="0021765E" w:rsidP="00602830">
      <w:pPr>
        <w:pStyle w:val="Heading2"/>
      </w:pPr>
      <w:bookmarkStart w:id="65" w:name="_Toc386530495"/>
      <w:r w:rsidRPr="00FE162C">
        <w:lastRenderedPageBreak/>
        <w:t>Limitations</w:t>
      </w:r>
      <w:bookmarkEnd w:id="65"/>
    </w:p>
    <w:p w:rsidR="00541F26" w:rsidRPr="00602830" w:rsidRDefault="00541F26" w:rsidP="00602830">
      <w:pPr>
        <w:pStyle w:val="Text"/>
      </w:pPr>
      <w:r w:rsidRPr="00FE162C">
        <w:t xml:space="preserve">The sample for the discrete choice experiment consists of individuals from New South Wales and South Australia. While this may raise questions about </w:t>
      </w:r>
      <w:r w:rsidR="00347E81" w:rsidRPr="00FE162C">
        <w:t>the</w:t>
      </w:r>
      <w:r w:rsidR="00EA6392">
        <w:t xml:space="preserve"> generalis</w:t>
      </w:r>
      <w:r w:rsidRPr="00FE162C">
        <w:t>ab</w:t>
      </w:r>
      <w:r w:rsidR="00347E81" w:rsidRPr="00FE162C">
        <w:t>ility</w:t>
      </w:r>
      <w:r w:rsidRPr="00FE162C">
        <w:t xml:space="preserve"> </w:t>
      </w:r>
      <w:r w:rsidR="00347E81" w:rsidRPr="00FE162C">
        <w:t>of</w:t>
      </w:r>
      <w:r w:rsidRPr="00FE162C">
        <w:t xml:space="preserve"> the results to the whole </w:t>
      </w:r>
      <w:r w:rsidR="006E329E">
        <w:t xml:space="preserve">Australian </w:t>
      </w:r>
      <w:r w:rsidRPr="00FE162C">
        <w:t xml:space="preserve">population, our analysis </w:t>
      </w:r>
      <w:r w:rsidR="00AD4589" w:rsidRPr="00FE162C">
        <w:t>shows</w:t>
      </w:r>
      <w:r w:rsidRPr="00FE162C">
        <w:t xml:space="preserve"> that the state of residence and the</w:t>
      </w:r>
      <w:r w:rsidR="00AD4589" w:rsidRPr="00FE162C">
        <w:t xml:space="preserve"> location of jobs are</w:t>
      </w:r>
      <w:r w:rsidRPr="00FE162C">
        <w:t xml:space="preserve"> insignificant </w:t>
      </w:r>
      <w:r w:rsidR="006E329E">
        <w:t>in</w:t>
      </w:r>
      <w:r w:rsidRPr="00FE162C">
        <w:t xml:space="preserve"> the willingness to </w:t>
      </w:r>
      <w:r w:rsidR="00AD4589" w:rsidRPr="00FE162C">
        <w:t xml:space="preserve">accept a </w:t>
      </w:r>
      <w:r w:rsidR="00AD4589" w:rsidRPr="00602830">
        <w:t>job offer</w:t>
      </w:r>
      <w:r w:rsidR="00F71584">
        <w:t>.</w:t>
      </w:r>
      <w:r w:rsidRPr="00602830">
        <w:t xml:space="preserve"> </w:t>
      </w:r>
      <w:r w:rsidR="00F71584" w:rsidRPr="00602830">
        <w:t>Therefore</w:t>
      </w:r>
      <w:r w:rsidRPr="00602830">
        <w:t>, widening the study to other states may not necessarily change the results materially.</w:t>
      </w:r>
    </w:p>
    <w:p w:rsidR="00541F26" w:rsidRPr="00602830" w:rsidRDefault="00AD4589" w:rsidP="00602830">
      <w:pPr>
        <w:pStyle w:val="Text"/>
      </w:pPr>
      <w:r w:rsidRPr="00602830">
        <w:t>The</w:t>
      </w:r>
      <w:r w:rsidR="00541F26" w:rsidRPr="00602830">
        <w:t xml:space="preserve"> job offers to respondents in the sample are hypothetical and decision</w:t>
      </w:r>
      <w:r w:rsidRPr="00602830">
        <w:t>s to</w:t>
      </w:r>
      <w:r w:rsidR="002D6EA0" w:rsidRPr="00602830">
        <w:t xml:space="preserve"> accept</w:t>
      </w:r>
      <w:r w:rsidR="00541F26" w:rsidRPr="00602830">
        <w:t xml:space="preserve"> or reject </w:t>
      </w:r>
      <w:r w:rsidRPr="00602830">
        <w:t>them</w:t>
      </w:r>
      <w:r w:rsidR="00541F26" w:rsidRPr="00602830">
        <w:t xml:space="preserve"> were made in a relatively short time. In real life</w:t>
      </w:r>
      <w:r w:rsidR="006E329E" w:rsidRPr="00602830">
        <w:t>,</w:t>
      </w:r>
      <w:r w:rsidR="00541F26" w:rsidRPr="00602830">
        <w:t xml:space="preserve"> </w:t>
      </w:r>
      <w:r w:rsidRPr="00602830">
        <w:t>consi</w:t>
      </w:r>
      <w:r w:rsidR="006E329E" w:rsidRPr="00602830">
        <w:t>deration of job offers often</w:t>
      </w:r>
      <w:r w:rsidRPr="00602830">
        <w:t xml:space="preserve"> takes longer than this.</w:t>
      </w:r>
      <w:r w:rsidR="00541F26" w:rsidRPr="00602830">
        <w:t xml:space="preserve"> </w:t>
      </w:r>
      <w:r w:rsidR="002A3FAC" w:rsidRPr="00602830">
        <w:t>Although</w:t>
      </w:r>
      <w:r w:rsidR="00665E32" w:rsidRPr="00602830">
        <w:t>,</w:t>
      </w:r>
      <w:r w:rsidR="002A3FAC" w:rsidRPr="00602830">
        <w:t xml:space="preserve"> generally</w:t>
      </w:r>
      <w:r w:rsidR="00665E32" w:rsidRPr="00602830">
        <w:t>,</w:t>
      </w:r>
      <w:r w:rsidR="002D6EA0" w:rsidRPr="00602830">
        <w:t xml:space="preserve"> </w:t>
      </w:r>
      <w:r w:rsidR="00541F26" w:rsidRPr="00602830">
        <w:t xml:space="preserve">respondents </w:t>
      </w:r>
      <w:r w:rsidR="002A3FAC" w:rsidRPr="00602830">
        <w:t>do</w:t>
      </w:r>
      <w:r w:rsidR="00541F26" w:rsidRPr="00602830">
        <w:t xml:space="preserve"> not deliberately </w:t>
      </w:r>
      <w:r w:rsidR="002A3FAC" w:rsidRPr="00602830">
        <w:t>give</w:t>
      </w:r>
      <w:r w:rsidR="00541F26" w:rsidRPr="00602830">
        <w:t xml:space="preserve"> false responses, the</w:t>
      </w:r>
      <w:r w:rsidR="002A3FAC" w:rsidRPr="00602830">
        <w:t>ir responses may be</w:t>
      </w:r>
      <w:r w:rsidR="007E49E6" w:rsidRPr="00602830">
        <w:t xml:space="preserve"> biased </w:t>
      </w:r>
      <w:r w:rsidR="002A3FAC" w:rsidRPr="00602830">
        <w:t>if they know</w:t>
      </w:r>
      <w:r w:rsidR="00541F26" w:rsidRPr="00602830">
        <w:t xml:space="preserve"> the</w:t>
      </w:r>
      <w:r w:rsidR="007E49E6" w:rsidRPr="00602830">
        <w:t xml:space="preserve"> choices </w:t>
      </w:r>
      <w:r w:rsidR="002A3FAC" w:rsidRPr="00602830">
        <w:t xml:space="preserve">they make </w:t>
      </w:r>
      <w:r w:rsidR="007E49E6" w:rsidRPr="00602830">
        <w:t>are</w:t>
      </w:r>
      <w:r w:rsidR="00541F26" w:rsidRPr="00602830">
        <w:t xml:space="preserve"> inconse</w:t>
      </w:r>
      <w:r w:rsidR="007E49E6" w:rsidRPr="00602830">
        <w:t>quential</w:t>
      </w:r>
      <w:r w:rsidR="00541F26" w:rsidRPr="00602830">
        <w:t>. It is possible that some</w:t>
      </w:r>
      <w:r w:rsidR="002A3FAC" w:rsidRPr="00602830">
        <w:t xml:space="preserve"> respondents</w:t>
      </w:r>
      <w:r w:rsidR="00541F26" w:rsidRPr="00602830">
        <w:t xml:space="preserve"> may indicate a higher willingness to </w:t>
      </w:r>
      <w:r w:rsidR="002A3FAC" w:rsidRPr="00602830">
        <w:t>accept jobs</w:t>
      </w:r>
      <w:r w:rsidR="00541F26" w:rsidRPr="00602830">
        <w:t xml:space="preserve"> in the hope that programs will be developed to assist them </w:t>
      </w:r>
      <w:r w:rsidR="00EA6392" w:rsidRPr="00602830">
        <w:t xml:space="preserve">to </w:t>
      </w:r>
      <w:r w:rsidR="00541F26" w:rsidRPr="00602830">
        <w:t xml:space="preserve">find such jobs. Indeed some respondents </w:t>
      </w:r>
      <w:r w:rsidR="002A3FAC" w:rsidRPr="00602830">
        <w:t>asked</w:t>
      </w:r>
      <w:r w:rsidR="00541F26" w:rsidRPr="00602830">
        <w:t xml:space="preserve"> </w:t>
      </w:r>
      <w:r w:rsidR="00F71584" w:rsidRPr="00602830">
        <w:t xml:space="preserve">in the comments section of the survey </w:t>
      </w:r>
      <w:r w:rsidR="00541F26" w:rsidRPr="00602830">
        <w:t>whether such jobs were actually available.</w:t>
      </w:r>
      <w:r w:rsidR="002518C5" w:rsidRPr="00602830">
        <w:t xml:space="preserve"> In the literature on discrete choice experiments, hypothetical bias exists in many forms, </w:t>
      </w:r>
      <w:r w:rsidR="00EA6392" w:rsidRPr="00602830">
        <w:t>al</w:t>
      </w:r>
      <w:r w:rsidR="002518C5" w:rsidRPr="00602830">
        <w:t>though the bias tends to be reduced when individuals are presented with more objective information</w:t>
      </w:r>
      <w:r w:rsidR="00665E32" w:rsidRPr="00602830">
        <w:t xml:space="preserve"> </w:t>
      </w:r>
      <w:r w:rsidR="002518C5" w:rsidRPr="00602830">
        <w:t>directly related to their experienc</w:t>
      </w:r>
      <w:r w:rsidR="002A3FAC" w:rsidRPr="00602830">
        <w:t xml:space="preserve">e or when the good </w:t>
      </w:r>
      <w:r w:rsidR="006E329E" w:rsidRPr="00602830">
        <w:t>is</w:t>
      </w:r>
      <w:r w:rsidR="002A3FAC" w:rsidRPr="00602830">
        <w:t xml:space="preserve"> private rather than</w:t>
      </w:r>
      <w:r w:rsidR="002518C5" w:rsidRPr="00602830">
        <w:t xml:space="preserve"> public</w:t>
      </w:r>
      <w:r w:rsidR="0048304D" w:rsidRPr="00602830">
        <w:t xml:space="preserve"> (</w:t>
      </w:r>
      <w:r w:rsidR="00406B75" w:rsidRPr="00602830">
        <w:fldChar w:fldCharType="begin"/>
      </w:r>
      <w:r w:rsidR="00CA754F" w:rsidRPr="00602830">
        <w:instrText xml:space="preserve"> ADDIN EN.CITE &lt;EndNote&gt;&lt;Cite&gt;&lt;Author&gt;John&lt;/Author&gt;&lt;Year&gt;2001&lt;/Year&gt;&lt;RecNum&gt;1361&lt;/RecNum&gt;&lt;DisplayText&gt;John and Craig (2001)&lt;/DisplayText&gt;&lt;record&gt;&lt;rec-number&gt;1361&lt;/rec-number&gt;&lt;foreign-keys&gt;&lt;key app="EN" db-id="refafpv0nd2rd4e9e2qxeaf6rw5xxvv2ds22" timestamp="1391382144"&gt;1361&lt;/key&gt;&lt;/foreign-keys&gt;&lt;ref-type name="Journal Article"&gt;17&lt;/ref-type&gt;&lt;contributors&gt;&lt;authors&gt;&lt;author&gt;John, List&lt;/author&gt;&lt;author&gt;Craig, Gallet&lt;/author&gt;&lt;/authors&gt;&lt;/contributors&gt;&lt;titles&gt;&lt;title&gt;What Experimental Protocol Influence Disparities Between Actual and Hypothetical Stated Values?&lt;/title&gt;&lt;secondary-title&gt;Environmental &amp;amp; Resource Economics&lt;/secondary-title&gt;&lt;tertiary-title&gt;Environmental &amp;amp; Resource Economics&lt;/tertiary-title&gt;&lt;/titles&gt;&lt;periodical&gt;&lt;full-title&gt;Environmental &amp;amp; Resource Economics&lt;/full-title&gt;&lt;/periodical&gt;&lt;pages&gt;241-254&lt;/pages&gt;&lt;volume&gt;20&lt;/volume&gt;&lt;number&gt;3&lt;/number&gt;&lt;dates&gt;&lt;year&gt;2001&lt;/year&gt;&lt;/dates&gt;&lt;publisher&gt;European Association of Environmental and Resource Economists&lt;/publisher&gt;&lt;urls&gt;&lt;related-urls&gt;&lt;url&gt;http://ideas.repec.org/a/kap/enreec/v20y2001i3p241-254.html&lt;/url&gt;&lt;/related-urls&gt;&lt;/urls&gt;&lt;/record&gt;&lt;/Cite&gt;&lt;/EndNote&gt;</w:instrText>
      </w:r>
      <w:r w:rsidR="00406B75" w:rsidRPr="00602830">
        <w:fldChar w:fldCharType="separate"/>
      </w:r>
      <w:hyperlink w:anchor="_ENREF_31" w:tooltip="John, 2001 #1361" w:history="1">
        <w:r w:rsidR="006E329E" w:rsidRPr="00602830">
          <w:t xml:space="preserve">John </w:t>
        </w:r>
        <w:r w:rsidR="00EA6392" w:rsidRPr="00602830">
          <w:t>&amp;</w:t>
        </w:r>
        <w:r w:rsidR="006E329E" w:rsidRPr="00602830">
          <w:t xml:space="preserve"> Craig </w:t>
        </w:r>
        <w:r w:rsidR="00CA754F" w:rsidRPr="00602830">
          <w:t>2001</w:t>
        </w:r>
      </w:hyperlink>
      <w:r w:rsidR="00406B75" w:rsidRPr="00602830">
        <w:fldChar w:fldCharType="end"/>
      </w:r>
      <w:r w:rsidR="00EA6392" w:rsidRPr="00602830">
        <w:t>;</w:t>
      </w:r>
      <w:r w:rsidR="0048304D" w:rsidRPr="00602830">
        <w:t xml:space="preserve"> </w:t>
      </w:r>
      <w:r w:rsidR="00406B75" w:rsidRPr="00602830">
        <w:fldChar w:fldCharType="begin"/>
      </w:r>
      <w:r w:rsidR="00CA754F" w:rsidRPr="00602830">
        <w:instrText xml:space="preserve"> ADDIN EN.CITE &lt;EndNote&gt;&lt;Cite&gt;&lt;Author&gt;Hensher&lt;/Author&gt;&lt;Year&gt;2010&lt;/Year&gt;&lt;RecNum&gt;1360&lt;/RecNum&gt;&lt;DisplayText&gt;Hensher (2010)&lt;/DisplayText&gt;&lt;record&gt;&lt;rec-number&gt;1360&lt;/rec-number&gt;&lt;foreign-keys&gt;&lt;key app="EN" db-id="refafpv0nd2rd4e9e2qxeaf6rw5xxvv2ds22" timestamp="1391382143"&gt;1360&lt;/key&gt;&lt;/foreign-keys&gt;&lt;ref-type name="Journal Article"&gt;17&lt;/ref-type&gt;&lt;contributors&gt;&lt;authors&gt;&lt;author&gt;Hensher, David A.&lt;/author&gt;&lt;/authors&gt;&lt;/contributors&gt;&lt;titles&gt;&lt;title&gt;Hypothetical bias, choice experiments and willingness to pay&lt;/title&gt;&lt;secondary-title&gt;Transportation Research Part B: Methodological&lt;/secondary-title&gt;&lt;/titles&gt;&lt;periodical&gt;&lt;full-title&gt;Transportation Research Part B: Methodological&lt;/full-title&gt;&lt;/periodical&gt;&lt;pages&gt;735-752&lt;/pages&gt;&lt;volume&gt;44&lt;/volume&gt;&lt;number&gt;6&lt;/number&gt;&lt;keywords&gt;&lt;keyword&gt;Hypothetical bias&lt;/keyword&gt;&lt;keyword&gt;Willingness to pay&lt;/keyword&gt;&lt;keyword&gt;Choice experiments&lt;/keyword&gt;&lt;keyword&gt;Contingent valuation&lt;/keyword&gt;&lt;keyword&gt;Contextual bias&lt;/keyword&gt;&lt;keyword&gt;Referencing&lt;/keyword&gt;&lt;keyword&gt;Revealed behaviour&lt;/keyword&gt;&lt;/keywords&gt;&lt;dates&gt;&lt;year&gt;2010&lt;/year&gt;&lt;/dates&gt;&lt;isbn&gt;0191-2615&lt;/isbn&gt;&lt;urls&gt;&lt;related-urls&gt;&lt;url&gt;http://www.sciencedirect.com/science/article/pii/S0191261509001477&lt;/url&gt;&lt;/related-urls&gt;&lt;/urls&gt;&lt;electronic-resource-num&gt;http://dx.doi.org/10.1016/j.trb.2009.12.012&lt;/electronic-resource-num&gt;&lt;/record&gt;&lt;/Cite&gt;&lt;/EndNote&gt;</w:instrText>
      </w:r>
      <w:r w:rsidR="00406B75" w:rsidRPr="00602830">
        <w:fldChar w:fldCharType="separate"/>
      </w:r>
      <w:hyperlink w:anchor="_ENREF_27" w:tooltip="Hensher, 2010 #1360" w:history="1">
        <w:r w:rsidR="006E329E" w:rsidRPr="00602830">
          <w:t xml:space="preserve">Hensher </w:t>
        </w:r>
        <w:r w:rsidR="00CA754F" w:rsidRPr="00602830">
          <w:t>2010</w:t>
        </w:r>
      </w:hyperlink>
      <w:r w:rsidR="00CA754F" w:rsidRPr="00602830">
        <w:t>)</w:t>
      </w:r>
      <w:r w:rsidR="00406B75" w:rsidRPr="00602830">
        <w:fldChar w:fldCharType="end"/>
      </w:r>
      <w:r w:rsidR="002518C5" w:rsidRPr="00602830">
        <w:t xml:space="preserve">. </w:t>
      </w:r>
      <w:r w:rsidR="002A3FAC" w:rsidRPr="00602830">
        <w:t>S</w:t>
      </w:r>
      <w:r w:rsidR="0048304D" w:rsidRPr="00602830">
        <w:t>uch biases are generally context-related and</w:t>
      </w:r>
      <w:r w:rsidR="00972C0C" w:rsidRPr="00602830">
        <w:t xml:space="preserve"> the</w:t>
      </w:r>
      <w:r w:rsidR="0048304D" w:rsidRPr="00602830">
        <w:t xml:space="preserve"> results from other studies are not transferable</w:t>
      </w:r>
      <w:r w:rsidR="002518C5" w:rsidRPr="00602830">
        <w:t>.</w:t>
      </w:r>
    </w:p>
    <w:p w:rsidR="00814F8A" w:rsidRPr="00FE162C" w:rsidRDefault="00AF03C2" w:rsidP="00602830">
      <w:pPr>
        <w:pStyle w:val="Text"/>
      </w:pPr>
      <w:r w:rsidRPr="00602830">
        <w:t>The experiment design did not includ</w:t>
      </w:r>
      <w:r w:rsidRPr="00FE162C">
        <w:t xml:space="preserve">e </w:t>
      </w:r>
      <w:r w:rsidR="00972C0C" w:rsidRPr="00FE162C">
        <w:t>job offers with wage cuts</w:t>
      </w:r>
      <w:r w:rsidR="006E329E">
        <w:t>. T</w:t>
      </w:r>
      <w:r w:rsidR="00972C0C" w:rsidRPr="00FE162C">
        <w:t xml:space="preserve">he predictions </w:t>
      </w:r>
      <w:r w:rsidR="002173E6" w:rsidRPr="00FE162C">
        <w:t xml:space="preserve">of positive </w:t>
      </w:r>
      <w:r w:rsidR="00EA6392" w:rsidRPr="00FE162C">
        <w:t>total willingness to pay</w:t>
      </w:r>
      <w:r w:rsidR="00C615C6" w:rsidRPr="00FE162C">
        <w:t xml:space="preserve"> implicitly assume a linear effect based on the wage premiums offered. Therefore the results have more validity for individuals who are paid a wage premium to relocate than for </w:t>
      </w:r>
      <w:r w:rsidR="00EA6392">
        <w:t>those</w:t>
      </w:r>
      <w:r w:rsidR="00C615C6" w:rsidRPr="00FE162C">
        <w:t xml:space="preserve"> who </w:t>
      </w:r>
      <w:r w:rsidR="002173E6" w:rsidRPr="00FE162C">
        <w:t>are prepared to lower their wage expectation</w:t>
      </w:r>
      <w:r w:rsidR="00C615C6" w:rsidRPr="00FE162C">
        <w:t>.</w:t>
      </w:r>
    </w:p>
    <w:p w:rsidR="00E84A94" w:rsidRPr="00FE162C" w:rsidRDefault="00E84A94">
      <w:pPr>
        <w:spacing w:before="0" w:line="240" w:lineRule="auto"/>
        <w:rPr>
          <w:rFonts w:ascii="Tahoma" w:hAnsi="Tahoma" w:cs="Tahoma"/>
          <w:color w:val="000000" w:themeColor="text1"/>
          <w:kern w:val="28"/>
          <w:sz w:val="56"/>
          <w:szCs w:val="56"/>
        </w:rPr>
      </w:pPr>
      <w:r w:rsidRPr="00FE162C">
        <w:rPr>
          <w:color w:val="000000" w:themeColor="text1"/>
        </w:rPr>
        <w:br w:type="page"/>
      </w:r>
    </w:p>
    <w:p w:rsidR="00B00852" w:rsidRPr="00FE162C" w:rsidRDefault="00E84A94" w:rsidP="00E84A94">
      <w:pPr>
        <w:pStyle w:val="Heading1"/>
        <w:rPr>
          <w:color w:val="000000" w:themeColor="text1"/>
        </w:rPr>
      </w:pPr>
      <w:bookmarkStart w:id="66" w:name="_Toc386530496"/>
      <w:r w:rsidRPr="00FE162C">
        <w:rPr>
          <w:color w:val="000000" w:themeColor="text1"/>
        </w:rPr>
        <w:lastRenderedPageBreak/>
        <w:t>References</w:t>
      </w:r>
      <w:bookmarkEnd w:id="66"/>
    </w:p>
    <w:p w:rsidR="00775948" w:rsidRPr="00CA754F" w:rsidRDefault="00406B75" w:rsidP="00602830">
      <w:pPr>
        <w:pStyle w:val="References"/>
      </w:pPr>
      <w:r w:rsidRPr="00FE162C">
        <w:rPr>
          <w:color w:val="000000" w:themeColor="text1"/>
        </w:rPr>
        <w:fldChar w:fldCharType="begin"/>
      </w:r>
      <w:r w:rsidR="00775948" w:rsidRPr="00FE162C">
        <w:rPr>
          <w:color w:val="000000" w:themeColor="text1"/>
        </w:rPr>
        <w:instrText xml:space="preserve"> ADDIN EN.REFLIST </w:instrText>
      </w:r>
      <w:r w:rsidRPr="00FE162C">
        <w:rPr>
          <w:color w:val="000000" w:themeColor="text1"/>
        </w:rPr>
        <w:fldChar w:fldCharType="separate"/>
      </w:r>
      <w:r w:rsidR="00775948" w:rsidRPr="00CA754F">
        <w:t xml:space="preserve">Alpizar, F, Carlsson, F &amp; Martinsson, P 2001, </w:t>
      </w:r>
      <w:r w:rsidR="00602830">
        <w:t>‘</w:t>
      </w:r>
      <w:r w:rsidR="00775948" w:rsidRPr="00CA754F">
        <w:t>Using choice experiments for non-market valuation</w:t>
      </w:r>
      <w:r w:rsidR="00602830">
        <w:t>’</w:t>
      </w:r>
      <w:r w:rsidR="00775948" w:rsidRPr="00CA754F">
        <w:t xml:space="preserve">, </w:t>
      </w:r>
      <w:r w:rsidR="00775948" w:rsidRPr="00CA754F">
        <w:rPr>
          <w:i/>
        </w:rPr>
        <w:t>Economic Issues</w:t>
      </w:r>
      <w:r w:rsidR="00EA6392">
        <w:t>, vol.</w:t>
      </w:r>
      <w:r w:rsidR="00775948" w:rsidRPr="00CA754F">
        <w:t xml:space="preserve">8, </w:t>
      </w:r>
      <w:r w:rsidR="00EA6392">
        <w:t>pp.</w:t>
      </w:r>
      <w:r w:rsidR="00775948" w:rsidRPr="00CA754F">
        <w:t>83</w:t>
      </w:r>
      <w:r w:rsidR="00EA6392">
        <w:t>—</w:t>
      </w:r>
      <w:r w:rsidR="00775948" w:rsidRPr="00CA754F">
        <w:t>109.</w:t>
      </w:r>
    </w:p>
    <w:p w:rsidR="00775948" w:rsidRPr="00CA754F" w:rsidRDefault="003B04AC" w:rsidP="00602830">
      <w:pPr>
        <w:pStyle w:val="References"/>
      </w:pPr>
      <w:r>
        <w:t>——</w:t>
      </w:r>
      <w:r w:rsidR="00775948" w:rsidRPr="00CA754F">
        <w:t xml:space="preserve">2003, </w:t>
      </w:r>
      <w:r w:rsidR="00602830">
        <w:t>‘</w:t>
      </w:r>
      <w:r w:rsidR="00775948" w:rsidRPr="00CA754F">
        <w:t xml:space="preserve">Using </w:t>
      </w:r>
      <w:r w:rsidR="00A07A96" w:rsidRPr="00CA754F">
        <w:t>choice experiments for non-market valuatio</w:t>
      </w:r>
      <w:r w:rsidR="00775948" w:rsidRPr="00CA754F">
        <w:t>n</w:t>
      </w:r>
      <w:r w:rsidR="00602830">
        <w:t>’</w:t>
      </w:r>
      <w:r w:rsidR="00775948" w:rsidRPr="00CA754F">
        <w:t xml:space="preserve">, </w:t>
      </w:r>
      <w:r w:rsidR="00775948" w:rsidRPr="00CA754F">
        <w:rPr>
          <w:i/>
        </w:rPr>
        <w:t>Economic Issues Journal Articles</w:t>
      </w:r>
      <w:r w:rsidR="00775948" w:rsidRPr="00CA754F">
        <w:t xml:space="preserve">, </w:t>
      </w:r>
      <w:r w:rsidR="00A07A96">
        <w:t>vol.</w:t>
      </w:r>
      <w:r w:rsidR="00775948" w:rsidRPr="00CA754F">
        <w:t xml:space="preserve">8, </w:t>
      </w:r>
      <w:r w:rsidR="00EA6392">
        <w:t>pp.</w:t>
      </w:r>
      <w:r w:rsidR="00775948" w:rsidRPr="00CA754F">
        <w:t>83</w:t>
      </w:r>
      <w:r w:rsidR="00EA6392">
        <w:t>—</w:t>
      </w:r>
      <w:r w:rsidR="00775948" w:rsidRPr="00CA754F">
        <w:t>110.</w:t>
      </w:r>
    </w:p>
    <w:p w:rsidR="00775948" w:rsidRPr="00CA754F" w:rsidRDefault="00775948" w:rsidP="00602830">
      <w:pPr>
        <w:pStyle w:val="References"/>
      </w:pPr>
      <w:r w:rsidRPr="00CA754F">
        <w:t xml:space="preserve">Anh, N, de la Rica, S &amp; Ugidos, A 1999, </w:t>
      </w:r>
      <w:r w:rsidR="00602830">
        <w:t>‘</w:t>
      </w:r>
      <w:r w:rsidRPr="00CA754F">
        <w:t>Willingness-to-move for work and unemployment duration in Spain</w:t>
      </w:r>
      <w:r w:rsidR="00602830">
        <w:t>’</w:t>
      </w:r>
      <w:r w:rsidRPr="00CA754F">
        <w:t xml:space="preserve">, </w:t>
      </w:r>
      <w:r w:rsidRPr="00CA754F">
        <w:rPr>
          <w:i/>
        </w:rPr>
        <w:t>Economica</w:t>
      </w:r>
      <w:r w:rsidRPr="00CA754F">
        <w:t xml:space="preserve">, </w:t>
      </w:r>
      <w:r w:rsidR="00A07A96">
        <w:t>vol.</w:t>
      </w:r>
      <w:r w:rsidRPr="00CA754F">
        <w:t xml:space="preserve">66, </w:t>
      </w:r>
      <w:r w:rsidR="00EA6392">
        <w:t>pp.</w:t>
      </w:r>
      <w:r w:rsidRPr="00A07A96">
        <w:t>335</w:t>
      </w:r>
      <w:r w:rsidR="00A07A96" w:rsidRPr="00A07A96">
        <w:t>—</w:t>
      </w:r>
      <w:r w:rsidRPr="00A07A96">
        <w:t>57</w:t>
      </w:r>
      <w:r w:rsidRPr="00CA754F">
        <w:t>.</w:t>
      </w:r>
    </w:p>
    <w:p w:rsidR="00775948" w:rsidRPr="00CA754F" w:rsidRDefault="00775948" w:rsidP="00602830">
      <w:pPr>
        <w:pStyle w:val="References"/>
      </w:pPr>
      <w:r w:rsidRPr="00CA754F">
        <w:t xml:space="preserve">Arrow, K, Solow, R, Portney, P, Leamer, E, Radner, R &amp; Schuman, H 1993, </w:t>
      </w:r>
      <w:r w:rsidRPr="00CA754F">
        <w:rPr>
          <w:i/>
        </w:rPr>
        <w:t>Report of the NOAA Panel on Contingent Valuation</w:t>
      </w:r>
      <w:r w:rsidRPr="00CA754F">
        <w:t>, National Oceanic</w:t>
      </w:r>
      <w:r w:rsidR="00F91DD9">
        <w:t xml:space="preserve"> and Atmospheric Administration, Washington, DC.</w:t>
      </w:r>
    </w:p>
    <w:p w:rsidR="00775948" w:rsidRPr="00CA754F" w:rsidRDefault="00775948" w:rsidP="00602830">
      <w:pPr>
        <w:pStyle w:val="References"/>
      </w:pPr>
      <w:r w:rsidRPr="00CA754F">
        <w:t xml:space="preserve">Australian Government 2010, </w:t>
      </w:r>
      <w:r w:rsidRPr="00CA754F">
        <w:rPr>
          <w:i/>
        </w:rPr>
        <w:t>Resourcing the future: National Resourc</w:t>
      </w:r>
      <w:r w:rsidR="00A07A96">
        <w:rPr>
          <w:i/>
        </w:rPr>
        <w:t>es Sector Employment Taskforce r</w:t>
      </w:r>
      <w:r w:rsidRPr="00CA754F">
        <w:rPr>
          <w:i/>
        </w:rPr>
        <w:t>eport</w:t>
      </w:r>
      <w:r w:rsidRPr="00CA754F">
        <w:t>, Australian Government, Canberra.</w:t>
      </w:r>
    </w:p>
    <w:p w:rsidR="00775948" w:rsidRPr="00CA754F" w:rsidRDefault="00A07A96" w:rsidP="00602830">
      <w:pPr>
        <w:pStyle w:val="References"/>
      </w:pPr>
      <w:r>
        <w:t>——</w:t>
      </w:r>
      <w:r w:rsidR="00775948" w:rsidRPr="00CA754F">
        <w:t>2011,</w:t>
      </w:r>
      <w:r>
        <w:rPr>
          <w:i/>
        </w:rPr>
        <w:t xml:space="preserve"> Connecting </w:t>
      </w:r>
      <w:r w:rsidR="00F71584">
        <w:rPr>
          <w:i/>
        </w:rPr>
        <w:t>people with jobs</w:t>
      </w:r>
      <w:r>
        <w:rPr>
          <w:i/>
        </w:rPr>
        <w:t xml:space="preserve"> —</w:t>
      </w:r>
      <w:r w:rsidR="00775948" w:rsidRPr="00CA754F">
        <w:rPr>
          <w:i/>
        </w:rPr>
        <w:t xml:space="preserve"> FOR JOB SEEKERS Flood extension</w:t>
      </w:r>
      <w:r w:rsidR="00775948" w:rsidRPr="00CA754F">
        <w:t>, viewed 7 February 2013, &lt;</w:t>
      </w:r>
      <w:hyperlink r:id="rId20" w:history="1">
        <w:r w:rsidR="00775948" w:rsidRPr="00CA754F">
          <w:rPr>
            <w:rStyle w:val="Hyperlink"/>
            <w:sz w:val="18"/>
          </w:rPr>
          <w:t>http://www.interactaust.com.au/skillsEDIT/clientuploads/51/FLOOD%20EXTENDED%20-%20Connecting%20People%20with%20Jobs%20for%20Job%20Seekers%20Fact%20Sheet.pdf&gt;</w:t>
        </w:r>
      </w:hyperlink>
      <w:r w:rsidR="00775948" w:rsidRPr="00CA754F">
        <w:t>.</w:t>
      </w:r>
    </w:p>
    <w:p w:rsidR="00775948" w:rsidRPr="00CA754F" w:rsidRDefault="00775948" w:rsidP="00602830">
      <w:pPr>
        <w:pStyle w:val="References"/>
      </w:pPr>
      <w:r w:rsidRPr="00CA754F">
        <w:t xml:space="preserve">Bahn, S, Yap, G &amp; Barratt-Pugh, L 2012, </w:t>
      </w:r>
      <w:r w:rsidRPr="00CA754F">
        <w:rPr>
          <w:i/>
        </w:rPr>
        <w:t>457 visa workers in the Western Australian resources industry</w:t>
      </w:r>
      <w:r w:rsidRPr="00CA754F">
        <w:t>, Centre for Innovative Practice, Edith Cowan University, Perth, viewed 11 February 2014, &lt;https://</w:t>
      </w:r>
      <w:r w:rsidRPr="00F35482">
        <w:t>www.ecu.edu.au/</w:t>
      </w:r>
      <w:r w:rsidR="00F35482" w:rsidRPr="00F35482">
        <w:t xml:space="preserve"> </w:t>
      </w:r>
      <w:r w:rsidRPr="00F35482">
        <w:t>__data/assets/pdf_file/0003/406353/FINAL-34028-ECU_Research_Report-Web.pdf&gt;</w:t>
      </w:r>
      <w:r w:rsidRPr="00CA754F">
        <w:t>.</w:t>
      </w:r>
    </w:p>
    <w:p w:rsidR="00775948" w:rsidRPr="00CA754F" w:rsidRDefault="00775948" w:rsidP="00602830">
      <w:pPr>
        <w:pStyle w:val="References"/>
      </w:pPr>
      <w:r w:rsidRPr="00CA754F">
        <w:t xml:space="preserve">Barceló, C 2003, </w:t>
      </w:r>
      <w:r w:rsidR="00602830">
        <w:t>‘</w:t>
      </w:r>
      <w:r w:rsidRPr="00CA754F">
        <w:t>Housing tenure</w:t>
      </w:r>
      <w:r w:rsidR="00A07A96">
        <w:t xml:space="preserve"> and labour mobility: a</w:t>
      </w:r>
      <w:r w:rsidRPr="00CA754F">
        <w:t xml:space="preserve"> comparison across European Countries</w:t>
      </w:r>
      <w:r w:rsidR="00602830">
        <w:t>’</w:t>
      </w:r>
      <w:r w:rsidRPr="00CA754F">
        <w:t xml:space="preserve">, CEMFI </w:t>
      </w:r>
      <w:r w:rsidR="00F71584" w:rsidRPr="00CA754F">
        <w:t>working paper no.</w:t>
      </w:r>
      <w:r w:rsidRPr="00CA754F">
        <w:t>0302, Centre for Monetary and Financial Studies, Madrid, viewed 20 June 2013, &lt;</w:t>
      </w:r>
      <w:hyperlink r:id="rId21" w:history="1">
        <w:r w:rsidRPr="00CA754F">
          <w:rPr>
            <w:rStyle w:val="Hyperlink"/>
            <w:sz w:val="18"/>
          </w:rPr>
          <w:t>ftp://193.146.129.230/wp/03/0302.pdf&gt;</w:t>
        </w:r>
      </w:hyperlink>
      <w:r w:rsidRPr="00CA754F">
        <w:t>.</w:t>
      </w:r>
    </w:p>
    <w:p w:rsidR="00775948" w:rsidRPr="00CA754F" w:rsidRDefault="00A07A96" w:rsidP="00602830">
      <w:pPr>
        <w:pStyle w:val="References"/>
      </w:pPr>
      <w:r>
        <w:t xml:space="preserve">Barclay, P 2011, </w:t>
      </w:r>
      <w:r w:rsidR="00602830">
        <w:t>‘</w:t>
      </w:r>
      <w:r>
        <w:t>Fly in/</w:t>
      </w:r>
      <w:r w:rsidR="00775948" w:rsidRPr="00CA754F">
        <w:t>fly out workforce</w:t>
      </w:r>
      <w:r w:rsidR="00602830">
        <w:t>’</w:t>
      </w:r>
      <w:r w:rsidR="00775948" w:rsidRPr="00CA754F">
        <w:t xml:space="preserve"> </w:t>
      </w:r>
      <w:r w:rsidR="00775948" w:rsidRPr="00CA754F">
        <w:rPr>
          <w:i/>
        </w:rPr>
        <w:t>Australia Talks</w:t>
      </w:r>
      <w:r w:rsidR="00775948" w:rsidRPr="00CA754F">
        <w:t xml:space="preserve">, </w:t>
      </w:r>
      <w:r w:rsidR="00245B00">
        <w:t>Australian Broadcasting Corporation.</w:t>
      </w:r>
    </w:p>
    <w:p w:rsidR="00775948" w:rsidRPr="00CA754F" w:rsidRDefault="00775948" w:rsidP="00602830">
      <w:pPr>
        <w:pStyle w:val="References"/>
      </w:pPr>
      <w:r w:rsidRPr="00CA754F">
        <w:t xml:space="preserve">Böheim, R &amp; Taylor, M 2002, </w:t>
      </w:r>
      <w:r w:rsidR="00602830">
        <w:t>‘</w:t>
      </w:r>
      <w:r w:rsidRPr="00CA754F">
        <w:t xml:space="preserve">Tied </w:t>
      </w:r>
      <w:r w:rsidR="00A07A96" w:rsidRPr="00CA754F">
        <w:t>down or room to move</w:t>
      </w:r>
      <w:r w:rsidRPr="00CA754F">
        <w:t xml:space="preserve">? Investigating </w:t>
      </w:r>
      <w:r w:rsidR="00A07A96" w:rsidRPr="00CA754F">
        <w:t xml:space="preserve">the relationships between housing tenure, employment status and residential mobility in </w:t>
      </w:r>
      <w:r w:rsidRPr="00CA754F">
        <w:t>Britain</w:t>
      </w:r>
      <w:r w:rsidR="00602830">
        <w:t>’</w:t>
      </w:r>
      <w:r w:rsidRPr="00CA754F">
        <w:t xml:space="preserve">, </w:t>
      </w:r>
      <w:r w:rsidRPr="00CA754F">
        <w:rPr>
          <w:i/>
        </w:rPr>
        <w:t>Scottish Journal of Political Economy</w:t>
      </w:r>
      <w:r w:rsidRPr="00CA754F">
        <w:t xml:space="preserve">, </w:t>
      </w:r>
      <w:r w:rsidR="00A07A96">
        <w:t>vol.</w:t>
      </w:r>
      <w:r w:rsidRPr="00CA754F">
        <w:t xml:space="preserve">49, </w:t>
      </w:r>
      <w:r w:rsidR="00EA6392">
        <w:t>pp.</w:t>
      </w:r>
      <w:r w:rsidRPr="00CA754F">
        <w:t>369</w:t>
      </w:r>
      <w:r w:rsidR="00EA6392">
        <w:t>—</w:t>
      </w:r>
      <w:r w:rsidRPr="00CA754F">
        <w:t>92.</w:t>
      </w:r>
    </w:p>
    <w:p w:rsidR="00775948" w:rsidRDefault="00775948" w:rsidP="00602830">
      <w:pPr>
        <w:pStyle w:val="References"/>
      </w:pPr>
      <w:r w:rsidRPr="00CA754F">
        <w:t xml:space="preserve">Bonin, H, Eichhorst, W, Florman, C, Okkels Hansen, M, Skiöld, L, Stuhler, J, Tatsiramos, K, Thomasen, H &amp; Zimmermann, K 2008, </w:t>
      </w:r>
      <w:r w:rsidRPr="00CA754F">
        <w:rPr>
          <w:i/>
        </w:rPr>
        <w:t>Geographic m</w:t>
      </w:r>
      <w:r w:rsidR="00A07A96">
        <w:rPr>
          <w:i/>
        </w:rPr>
        <w:t>obility in the European Union: o</w:t>
      </w:r>
      <w:r w:rsidRPr="00CA754F">
        <w:rPr>
          <w:i/>
        </w:rPr>
        <w:t>ptimising its economic and social benefits</w:t>
      </w:r>
      <w:r w:rsidR="00245B00">
        <w:t>, IZA research report no.</w:t>
      </w:r>
      <w:r w:rsidRPr="00CA754F">
        <w:t>19, Bonn, viewed 21 June 2013, &lt;</w:t>
      </w:r>
      <w:hyperlink r:id="rId22" w:history="1">
        <w:r w:rsidRPr="00CA754F">
          <w:rPr>
            <w:rStyle w:val="Hyperlink"/>
            <w:sz w:val="18"/>
          </w:rPr>
          <w:t>http://www.iza.org/en/webcontent/publications/reports/report_pdfs/iza_report_19.pdf&gt;</w:t>
        </w:r>
      </w:hyperlink>
      <w:r w:rsidRPr="00CA754F">
        <w:t>.</w:t>
      </w:r>
    </w:p>
    <w:p w:rsidR="00775948" w:rsidRPr="00CA754F" w:rsidRDefault="00775948" w:rsidP="00602830">
      <w:pPr>
        <w:pStyle w:val="References"/>
      </w:pPr>
      <w:r w:rsidRPr="001F28DD">
        <w:t xml:space="preserve">Borjas, G 2001, </w:t>
      </w:r>
      <w:r w:rsidR="00602830">
        <w:t>‘</w:t>
      </w:r>
      <w:r w:rsidRPr="001F28DD">
        <w:t xml:space="preserve">Does </w:t>
      </w:r>
      <w:r w:rsidR="00A07A96" w:rsidRPr="001F28DD">
        <w:t>immigration grease the wheels of the labor mark</w:t>
      </w:r>
      <w:r w:rsidRPr="001F28DD">
        <w:t>et?</w:t>
      </w:r>
      <w:r w:rsidR="00602830">
        <w:t>’</w:t>
      </w:r>
      <w:r w:rsidRPr="001F28DD">
        <w:t xml:space="preserve">, </w:t>
      </w:r>
      <w:r w:rsidRPr="001F28DD">
        <w:rPr>
          <w:i/>
        </w:rPr>
        <w:t>Brookings Papers on Economic Activity</w:t>
      </w:r>
      <w:r w:rsidRPr="001F28DD">
        <w:t xml:space="preserve">, </w:t>
      </w:r>
      <w:r w:rsidR="00A07A96">
        <w:t>vol.</w:t>
      </w:r>
      <w:r w:rsidRPr="001F28DD">
        <w:t xml:space="preserve">32, </w:t>
      </w:r>
      <w:r w:rsidR="00EA6392">
        <w:t>pp.</w:t>
      </w:r>
      <w:r w:rsidRPr="001F28DD">
        <w:t>69</w:t>
      </w:r>
      <w:r w:rsidR="00EA6392">
        <w:t>—</w:t>
      </w:r>
      <w:r w:rsidRPr="001F28DD">
        <w:t>134.</w:t>
      </w:r>
    </w:p>
    <w:p w:rsidR="00775948" w:rsidRPr="00CA754F" w:rsidRDefault="00775948" w:rsidP="00F35482">
      <w:pPr>
        <w:pStyle w:val="References"/>
        <w:ind w:right="-284"/>
      </w:pPr>
      <w:r w:rsidRPr="00CA754F">
        <w:t xml:space="preserve">Bover, O &amp; Arellano, M 2002, </w:t>
      </w:r>
      <w:r w:rsidR="00602830">
        <w:t>‘</w:t>
      </w:r>
      <w:r w:rsidRPr="00CA754F">
        <w:t>Learning about migratio</w:t>
      </w:r>
      <w:r w:rsidR="00A07A96">
        <w:t>n decisions from the migrants: u</w:t>
      </w:r>
      <w:r w:rsidRPr="00CA754F">
        <w:t>sing complementary datasets to model intra-regional migrations in Spain</w:t>
      </w:r>
      <w:r w:rsidR="00602830">
        <w:t>’</w:t>
      </w:r>
      <w:r w:rsidRPr="00CA754F">
        <w:t xml:space="preserve">, </w:t>
      </w:r>
      <w:r w:rsidRPr="00CA754F">
        <w:rPr>
          <w:i/>
        </w:rPr>
        <w:t>Journal of Population Economics</w:t>
      </w:r>
      <w:r w:rsidRPr="00CA754F">
        <w:t xml:space="preserve">, </w:t>
      </w:r>
      <w:r w:rsidR="00A07A96">
        <w:t>vol.</w:t>
      </w:r>
      <w:r w:rsidRPr="00CA754F">
        <w:t xml:space="preserve">15, </w:t>
      </w:r>
      <w:r w:rsidR="00EA6392">
        <w:t>pp.</w:t>
      </w:r>
      <w:r w:rsidRPr="00CA754F">
        <w:t>357</w:t>
      </w:r>
      <w:r w:rsidR="00EA6392">
        <w:t>—</w:t>
      </w:r>
      <w:r w:rsidRPr="00CA754F">
        <w:t>80.</w:t>
      </w:r>
    </w:p>
    <w:p w:rsidR="00775948" w:rsidRPr="00CA754F" w:rsidRDefault="00775948" w:rsidP="00602830">
      <w:pPr>
        <w:pStyle w:val="References"/>
      </w:pPr>
      <w:r w:rsidRPr="00CA754F">
        <w:t>Buchanan, J</w:t>
      </w:r>
      <w:r w:rsidR="00A07A96">
        <w:t xml:space="preserve">, Baldwin, S &amp; Wright, S 2011, </w:t>
      </w:r>
      <w:r w:rsidRPr="00A07A96">
        <w:rPr>
          <w:i/>
        </w:rPr>
        <w:t>Understanding and improving labour mobility: a scoping paper</w:t>
      </w:r>
      <w:r w:rsidRPr="00CA754F">
        <w:t>, Occasional paper, NCVER, Adelaide.</w:t>
      </w:r>
    </w:p>
    <w:p w:rsidR="00775948" w:rsidRPr="00CA754F" w:rsidRDefault="00775948" w:rsidP="00602830">
      <w:pPr>
        <w:pStyle w:val="References"/>
      </w:pPr>
      <w:r w:rsidRPr="00CA754F">
        <w:t xml:space="preserve">Carlsen, F, Johansen, K &amp; Stambøl, LS 2013, </w:t>
      </w:r>
      <w:r w:rsidR="00602830">
        <w:t>‘</w:t>
      </w:r>
      <w:r w:rsidRPr="00CA754F">
        <w:t>Effects of regional labour markets on migration flows, by education level</w:t>
      </w:r>
      <w:r w:rsidR="00602830">
        <w:t>’</w:t>
      </w:r>
      <w:r w:rsidRPr="00CA754F">
        <w:t xml:space="preserve">, </w:t>
      </w:r>
      <w:r w:rsidRPr="00CA754F">
        <w:rPr>
          <w:i/>
        </w:rPr>
        <w:t>Labour</w:t>
      </w:r>
      <w:r w:rsidRPr="00CA754F">
        <w:t xml:space="preserve">, </w:t>
      </w:r>
      <w:r w:rsidR="00A07A96">
        <w:t>vol.</w:t>
      </w:r>
      <w:r w:rsidRPr="00CA754F">
        <w:t xml:space="preserve">27, </w:t>
      </w:r>
      <w:r w:rsidR="00EA6392">
        <w:t>pp.</w:t>
      </w:r>
      <w:r w:rsidRPr="00CA754F">
        <w:t>80</w:t>
      </w:r>
      <w:r w:rsidR="00EA6392">
        <w:t>—</w:t>
      </w:r>
      <w:r w:rsidRPr="00CA754F">
        <w:t>92.</w:t>
      </w:r>
    </w:p>
    <w:p w:rsidR="00775948" w:rsidRPr="00CA754F" w:rsidRDefault="00775948" w:rsidP="00602830">
      <w:pPr>
        <w:pStyle w:val="References"/>
      </w:pPr>
      <w:r w:rsidRPr="00CA754F">
        <w:t xml:space="preserve">de Bekker-Grob, EW, Ryan, M &amp; Gerard, K 2012, </w:t>
      </w:r>
      <w:r w:rsidR="00602830">
        <w:t>‘</w:t>
      </w:r>
      <w:r w:rsidRPr="00CA754F">
        <w:t>Discrete choice experiments in health economics: a review of the literature</w:t>
      </w:r>
      <w:r w:rsidR="00602830">
        <w:t>’</w:t>
      </w:r>
      <w:r w:rsidRPr="00CA754F">
        <w:t xml:space="preserve">, </w:t>
      </w:r>
      <w:r w:rsidRPr="00CA754F">
        <w:rPr>
          <w:i/>
        </w:rPr>
        <w:t>Health Economics</w:t>
      </w:r>
      <w:r w:rsidRPr="00CA754F">
        <w:t xml:space="preserve">, </w:t>
      </w:r>
      <w:r w:rsidR="00A07A96">
        <w:t>vol.</w:t>
      </w:r>
      <w:r w:rsidRPr="00CA754F">
        <w:t xml:space="preserve">21, </w:t>
      </w:r>
      <w:r w:rsidR="00EA6392">
        <w:t>pp.</w:t>
      </w:r>
      <w:r w:rsidRPr="00CA754F">
        <w:t>145</w:t>
      </w:r>
      <w:r w:rsidR="00EA6392">
        <w:t>—</w:t>
      </w:r>
      <w:r w:rsidRPr="00CA754F">
        <w:t>72.</w:t>
      </w:r>
    </w:p>
    <w:p w:rsidR="00775948" w:rsidRPr="00CA754F" w:rsidRDefault="00775948" w:rsidP="00602830">
      <w:pPr>
        <w:pStyle w:val="References"/>
      </w:pPr>
      <w:r w:rsidRPr="00CA754F">
        <w:t xml:space="preserve">Drinkwater, S 2003, </w:t>
      </w:r>
      <w:r w:rsidR="00602830">
        <w:t>‘</w:t>
      </w:r>
      <w:r w:rsidRPr="00CA754F">
        <w:t>Estimating the willingness</w:t>
      </w:r>
      <w:r w:rsidR="00A07A96">
        <w:t>-to-move within Great Britain: i</w:t>
      </w:r>
      <w:r w:rsidRPr="00CA754F">
        <w:t>mportance and i</w:t>
      </w:r>
      <w:r w:rsidR="000547A2">
        <w:t>mplications</w:t>
      </w:r>
      <w:r w:rsidR="00602830">
        <w:t>’</w:t>
      </w:r>
      <w:r w:rsidR="000547A2">
        <w:t>, Discussion paper n</w:t>
      </w:r>
      <w:r w:rsidRPr="00CA754F">
        <w:t>o. 12, University of Surrey</w:t>
      </w:r>
      <w:r w:rsidR="000547A2">
        <w:t>, Guildford</w:t>
      </w:r>
      <w:r w:rsidRPr="00CA754F">
        <w:t>.</w:t>
      </w:r>
    </w:p>
    <w:p w:rsidR="00775948" w:rsidRPr="00CA754F" w:rsidRDefault="00775948" w:rsidP="00602830">
      <w:pPr>
        <w:pStyle w:val="References"/>
      </w:pPr>
      <w:r w:rsidRPr="00CA754F">
        <w:t>Drinkw</w:t>
      </w:r>
      <w:r w:rsidR="000547A2">
        <w:t xml:space="preserve">ater, S &amp; Ingram, P 2009, </w:t>
      </w:r>
      <w:r w:rsidR="00602830">
        <w:t>‘</w:t>
      </w:r>
      <w:r w:rsidR="000547A2">
        <w:t>How d</w:t>
      </w:r>
      <w:r w:rsidRPr="00CA754F">
        <w:t xml:space="preserve">ifferent are the British in their </w:t>
      </w:r>
      <w:r w:rsidR="000547A2" w:rsidRPr="00CA754F">
        <w:t>willingness to mov</w:t>
      </w:r>
      <w:r w:rsidRPr="00CA754F">
        <w:t xml:space="preserve">e? Evidence from </w:t>
      </w:r>
      <w:r w:rsidR="000547A2" w:rsidRPr="00CA754F">
        <w:t>international social survey data</w:t>
      </w:r>
      <w:r w:rsidR="00602830">
        <w:t>’</w:t>
      </w:r>
      <w:r w:rsidRPr="00CA754F">
        <w:t xml:space="preserve">, </w:t>
      </w:r>
      <w:r w:rsidRPr="00CA754F">
        <w:rPr>
          <w:i/>
        </w:rPr>
        <w:t>Regional Studies</w:t>
      </w:r>
      <w:r w:rsidRPr="00CA754F">
        <w:t xml:space="preserve">, </w:t>
      </w:r>
      <w:r w:rsidR="00A07A96">
        <w:t>vol.</w:t>
      </w:r>
      <w:r w:rsidRPr="00CA754F">
        <w:t xml:space="preserve">43, </w:t>
      </w:r>
      <w:r w:rsidR="00EA6392">
        <w:t>pp.</w:t>
      </w:r>
      <w:r w:rsidRPr="00CA754F">
        <w:t>287</w:t>
      </w:r>
      <w:r w:rsidR="00EA6392">
        <w:t>—</w:t>
      </w:r>
      <w:r w:rsidRPr="00CA754F">
        <w:t>303.</w:t>
      </w:r>
    </w:p>
    <w:p w:rsidR="00775948" w:rsidRPr="00CA754F" w:rsidRDefault="00775948" w:rsidP="00602830">
      <w:pPr>
        <w:pStyle w:val="References"/>
      </w:pPr>
      <w:r w:rsidRPr="00CA754F">
        <w:t xml:space="preserve">Ellem, B 2003, </w:t>
      </w:r>
      <w:r w:rsidR="00602830">
        <w:t>‘</w:t>
      </w:r>
      <w:r w:rsidRPr="00CA754F">
        <w:t>Re-placing the Pilbara</w:t>
      </w:r>
      <w:r w:rsidR="00602830">
        <w:t>’</w:t>
      </w:r>
      <w:r w:rsidRPr="00CA754F">
        <w:t>s mining unions</w:t>
      </w:r>
      <w:r w:rsidR="00602830">
        <w:t>’</w:t>
      </w:r>
      <w:r w:rsidRPr="00CA754F">
        <w:t xml:space="preserve">, </w:t>
      </w:r>
      <w:r w:rsidRPr="00CA754F">
        <w:rPr>
          <w:i/>
        </w:rPr>
        <w:t>Australian Geographer</w:t>
      </w:r>
      <w:r w:rsidRPr="00CA754F">
        <w:t xml:space="preserve">, </w:t>
      </w:r>
      <w:r w:rsidR="00A07A96">
        <w:t>vol.</w:t>
      </w:r>
      <w:r w:rsidRPr="00CA754F">
        <w:t xml:space="preserve">34, </w:t>
      </w:r>
      <w:r w:rsidR="00EA6392">
        <w:t>pp.</w:t>
      </w:r>
      <w:r w:rsidRPr="00CA754F">
        <w:t>281</w:t>
      </w:r>
      <w:r w:rsidR="00EA6392">
        <w:t>—</w:t>
      </w:r>
      <w:r w:rsidRPr="00CA754F">
        <w:t>96.</w:t>
      </w:r>
    </w:p>
    <w:p w:rsidR="00775948" w:rsidRPr="00CA754F" w:rsidRDefault="00775948" w:rsidP="00602830">
      <w:pPr>
        <w:pStyle w:val="References"/>
      </w:pPr>
      <w:r w:rsidRPr="00CA754F">
        <w:t xml:space="preserve">Fidrmuc, J &amp; Huber, P 2007, </w:t>
      </w:r>
      <w:r w:rsidR="00602830">
        <w:t>‘</w:t>
      </w:r>
      <w:r w:rsidRPr="00CA754F">
        <w:t>The willingness to migrate in CEEC: evidence from the Czech Republic</w:t>
      </w:r>
      <w:r w:rsidR="00602830">
        <w:t>’</w:t>
      </w:r>
      <w:r w:rsidRPr="00CA754F">
        <w:t xml:space="preserve">, </w:t>
      </w:r>
      <w:r w:rsidRPr="00CA754F">
        <w:rPr>
          <w:i/>
        </w:rPr>
        <w:t>Empirica</w:t>
      </w:r>
      <w:r w:rsidRPr="00CA754F">
        <w:t xml:space="preserve">, </w:t>
      </w:r>
      <w:r w:rsidR="00A07A96">
        <w:t>vol.</w:t>
      </w:r>
      <w:r w:rsidRPr="00CA754F">
        <w:t xml:space="preserve">34, </w:t>
      </w:r>
      <w:r w:rsidR="00EA6392">
        <w:t>pp.</w:t>
      </w:r>
      <w:r w:rsidRPr="00F35482">
        <w:t>351</w:t>
      </w:r>
      <w:r w:rsidR="00EA6392" w:rsidRPr="00F35482">
        <w:t>—</w:t>
      </w:r>
      <w:r w:rsidRPr="00F35482">
        <w:t>69.</w:t>
      </w:r>
    </w:p>
    <w:p w:rsidR="00775948" w:rsidRPr="00CA754F" w:rsidRDefault="00775948" w:rsidP="00602830">
      <w:pPr>
        <w:pStyle w:val="References"/>
      </w:pPr>
      <w:r w:rsidRPr="00CA754F">
        <w:t xml:space="preserve">Fouarge, D &amp; Ester, P 2007, </w:t>
      </w:r>
      <w:r w:rsidRPr="00CA754F">
        <w:rPr>
          <w:i/>
        </w:rPr>
        <w:t>Factors determining international and regional migration in Europe</w:t>
      </w:r>
      <w:r w:rsidRPr="00CA754F">
        <w:t>, European Foundation for the Improvement of Living and Working Conditions, Dublin, viewed 21 June 2013, &lt;</w:t>
      </w:r>
      <w:hyperlink r:id="rId23" w:history="1">
        <w:r w:rsidRPr="00CA754F">
          <w:rPr>
            <w:rStyle w:val="Hyperlink"/>
            <w:sz w:val="18"/>
          </w:rPr>
          <w:t>http://www.eurofound.europa.eu/pubdocs/2007/09/en/1/ef0709en.pdf&gt;</w:t>
        </w:r>
      </w:hyperlink>
      <w:r w:rsidRPr="00CA754F">
        <w:t>.</w:t>
      </w:r>
    </w:p>
    <w:p w:rsidR="00775948" w:rsidRPr="00CA754F" w:rsidRDefault="00775948" w:rsidP="00602830">
      <w:pPr>
        <w:pStyle w:val="References"/>
      </w:pPr>
      <w:r w:rsidRPr="00CA754F">
        <w:t xml:space="preserve">Gordon, I &amp; Molho, I 1995, </w:t>
      </w:r>
      <w:r w:rsidR="00602830">
        <w:t>‘</w:t>
      </w:r>
      <w:r w:rsidRPr="00CA754F">
        <w:t>Duration dependence in migration behaviour: cumulative inertia versus stochastic change</w:t>
      </w:r>
      <w:r w:rsidR="00602830">
        <w:t>’</w:t>
      </w:r>
      <w:r w:rsidRPr="00CA754F">
        <w:t xml:space="preserve">, </w:t>
      </w:r>
      <w:r w:rsidRPr="00CA754F">
        <w:rPr>
          <w:i/>
        </w:rPr>
        <w:t>Environ Plan A</w:t>
      </w:r>
      <w:r w:rsidRPr="00CA754F">
        <w:t xml:space="preserve">, </w:t>
      </w:r>
      <w:r w:rsidR="00A07A96">
        <w:t>vol.</w:t>
      </w:r>
      <w:r w:rsidRPr="00CA754F">
        <w:t xml:space="preserve">27, </w:t>
      </w:r>
      <w:r w:rsidR="00EA6392">
        <w:t>pp.</w:t>
      </w:r>
      <w:r w:rsidRPr="00CA754F">
        <w:t>1</w:t>
      </w:r>
      <w:r w:rsidR="00EA6392">
        <w:t>—</w:t>
      </w:r>
      <w:r w:rsidRPr="00CA754F">
        <w:t>75.</w:t>
      </w:r>
    </w:p>
    <w:p w:rsidR="00775948" w:rsidRPr="00CA754F" w:rsidRDefault="00775948" w:rsidP="00602830">
      <w:pPr>
        <w:pStyle w:val="References"/>
      </w:pPr>
      <w:r w:rsidRPr="00CA754F">
        <w:t xml:space="preserve">Gregory, B &amp; Sheehan, P 2011, </w:t>
      </w:r>
      <w:r w:rsidRPr="00CA754F">
        <w:rPr>
          <w:i/>
        </w:rPr>
        <w:t>The resources boom and the macroeconomic policy in Australia</w:t>
      </w:r>
      <w:r w:rsidRPr="00CA754F">
        <w:t>, Centre for Strategic Economic Studies, Victoria University, Melbourne.</w:t>
      </w:r>
    </w:p>
    <w:p w:rsidR="00F35482" w:rsidRDefault="00F35482">
      <w:pPr>
        <w:spacing w:before="0" w:line="240" w:lineRule="auto"/>
        <w:rPr>
          <w:sz w:val="18"/>
        </w:rPr>
      </w:pPr>
      <w:r>
        <w:br w:type="page"/>
      </w:r>
    </w:p>
    <w:p w:rsidR="00775948" w:rsidRPr="00CA754F" w:rsidRDefault="00775948" w:rsidP="00602830">
      <w:pPr>
        <w:pStyle w:val="References"/>
      </w:pPr>
      <w:r w:rsidRPr="00CA754F">
        <w:lastRenderedPageBreak/>
        <w:t xml:space="preserve">Gruen, D, Li, B &amp; Wong, T 2012, </w:t>
      </w:r>
      <w:r w:rsidR="00602830">
        <w:t>‘</w:t>
      </w:r>
      <w:r w:rsidRPr="00CA754F">
        <w:t>Unemployment dispa</w:t>
      </w:r>
      <w:r w:rsidR="000547A2">
        <w:t>rity across regions</w:t>
      </w:r>
      <w:r w:rsidR="00602830">
        <w:t>’</w:t>
      </w:r>
      <w:r w:rsidR="000547A2">
        <w:t>, Economic r</w:t>
      </w:r>
      <w:r w:rsidR="00245B00">
        <w:t>oundup i</w:t>
      </w:r>
      <w:r w:rsidRPr="00CA754F">
        <w:t>ssue 2, Australian Treasury, Canberra, viewed 28 Jun</w:t>
      </w:r>
      <w:r w:rsidR="00F71584">
        <w:t>e</w:t>
      </w:r>
      <w:r w:rsidRPr="00CA754F">
        <w:t xml:space="preserve"> 2013, &lt;</w:t>
      </w:r>
      <w:r w:rsidRPr="00F35482">
        <w:t>http://www.treasury.gov.au/~/media/Treasury/</w:t>
      </w:r>
      <w:r w:rsidR="00F35482" w:rsidRPr="00F35482">
        <w:t xml:space="preserve"> </w:t>
      </w:r>
      <w:r w:rsidRPr="00F35482">
        <w:t>Publications%20and%20Media/Publications/2012/Economic%20Roundup%20Issue%202/Downloads/04_Unemployment_disparity_region.ashx&gt;</w:t>
      </w:r>
      <w:r w:rsidRPr="00CA754F">
        <w:t>.</w:t>
      </w:r>
    </w:p>
    <w:p w:rsidR="00775948" w:rsidRPr="00CA754F" w:rsidRDefault="00775948" w:rsidP="00602830">
      <w:pPr>
        <w:pStyle w:val="References"/>
      </w:pPr>
      <w:r w:rsidRPr="00CA754F">
        <w:t xml:space="preserve">Hagan, J, MacMillan, R &amp; Wheaton, B 1996, </w:t>
      </w:r>
      <w:r w:rsidR="00602830">
        <w:t>‘</w:t>
      </w:r>
      <w:r w:rsidRPr="00CA754F">
        <w:t xml:space="preserve">New </w:t>
      </w:r>
      <w:r w:rsidR="00F35482">
        <w:t>k</w:t>
      </w:r>
      <w:r w:rsidR="000547A2" w:rsidRPr="00CA754F">
        <w:t>id in town: social capital and the life course effects of family migration on childre</w:t>
      </w:r>
      <w:r w:rsidRPr="00CA754F">
        <w:t>n</w:t>
      </w:r>
      <w:r w:rsidR="00602830">
        <w:t>’</w:t>
      </w:r>
      <w:r w:rsidRPr="00CA754F">
        <w:t xml:space="preserve">, </w:t>
      </w:r>
      <w:r w:rsidRPr="00CA754F">
        <w:rPr>
          <w:i/>
        </w:rPr>
        <w:t>American Sociological Review</w:t>
      </w:r>
      <w:r w:rsidRPr="00CA754F">
        <w:t xml:space="preserve">, </w:t>
      </w:r>
      <w:r w:rsidR="00A07A96">
        <w:t>vol.</w:t>
      </w:r>
      <w:r w:rsidRPr="00CA754F">
        <w:t xml:space="preserve">61, </w:t>
      </w:r>
      <w:r w:rsidR="00EA6392">
        <w:t>pp.</w:t>
      </w:r>
      <w:r w:rsidRPr="00CA754F">
        <w:t>368</w:t>
      </w:r>
      <w:r w:rsidR="00EA6392">
        <w:t>—</w:t>
      </w:r>
      <w:r w:rsidRPr="00CA754F">
        <w:t>85.</w:t>
      </w:r>
    </w:p>
    <w:p w:rsidR="00775948" w:rsidRPr="00CA754F" w:rsidRDefault="00775948" w:rsidP="00602830">
      <w:pPr>
        <w:pStyle w:val="References"/>
      </w:pPr>
      <w:r w:rsidRPr="00CA754F">
        <w:t xml:space="preserve">Hanneman, M 1999, </w:t>
      </w:r>
      <w:r w:rsidR="00602830">
        <w:t>‘</w:t>
      </w:r>
      <w:r w:rsidRPr="00CA754F">
        <w:t>Welfare analysis with discrete choice models</w:t>
      </w:r>
      <w:r w:rsidR="00602830">
        <w:t>’</w:t>
      </w:r>
      <w:r w:rsidRPr="00CA754F">
        <w:t xml:space="preserve">, in </w:t>
      </w:r>
      <w:r w:rsidRPr="00CA754F">
        <w:rPr>
          <w:i/>
        </w:rPr>
        <w:t>Valuing recreation and the environment</w:t>
      </w:r>
      <w:r w:rsidRPr="00CA754F">
        <w:t xml:space="preserve">, </w:t>
      </w:r>
      <w:r w:rsidR="00F35482">
        <w:t xml:space="preserve">eds </w:t>
      </w:r>
      <w:r w:rsidR="00F35482" w:rsidRPr="00CA754F">
        <w:t xml:space="preserve">J Herriges &amp; C Kling, </w:t>
      </w:r>
      <w:r w:rsidRPr="00CA754F">
        <w:t>Edward Elgar, Cheltenham, UK.</w:t>
      </w:r>
    </w:p>
    <w:p w:rsidR="00775948" w:rsidRPr="00CA754F" w:rsidRDefault="00775948" w:rsidP="00602830">
      <w:pPr>
        <w:pStyle w:val="References"/>
      </w:pPr>
      <w:r w:rsidRPr="00CA754F">
        <w:t xml:space="preserve">Hatton, TJ &amp; Williamson, JG 2003, </w:t>
      </w:r>
      <w:r w:rsidRPr="00CA754F">
        <w:rPr>
          <w:i/>
        </w:rPr>
        <w:t>What fundamentals drive world migration?</w:t>
      </w:r>
      <w:r w:rsidRPr="00CA754F">
        <w:t>, United Nations University, World Institute for Development Economics Research</w:t>
      </w:r>
      <w:r w:rsidR="000547A2">
        <w:t>, Helsinki</w:t>
      </w:r>
      <w:r w:rsidRPr="00CA754F">
        <w:t>.</w:t>
      </w:r>
    </w:p>
    <w:p w:rsidR="00775948" w:rsidRPr="00CA754F" w:rsidRDefault="00775948" w:rsidP="00602830">
      <w:pPr>
        <w:pStyle w:val="References"/>
      </w:pPr>
      <w:r w:rsidRPr="00CA754F">
        <w:t xml:space="preserve">Hensher, DA 2010, </w:t>
      </w:r>
      <w:r w:rsidR="00602830">
        <w:t>‘</w:t>
      </w:r>
      <w:r w:rsidRPr="00CA754F">
        <w:t>Hypothetical bias, choice experiments and willingness to pay</w:t>
      </w:r>
      <w:r w:rsidR="00602830">
        <w:t>’</w:t>
      </w:r>
      <w:r w:rsidRPr="00CA754F">
        <w:t xml:space="preserve">, </w:t>
      </w:r>
      <w:r w:rsidRPr="00CA754F">
        <w:rPr>
          <w:i/>
        </w:rPr>
        <w:t>Transportation Research Part B: Methodological</w:t>
      </w:r>
      <w:r w:rsidRPr="00CA754F">
        <w:t xml:space="preserve">, </w:t>
      </w:r>
      <w:r w:rsidR="00A07A96">
        <w:t>vol.</w:t>
      </w:r>
      <w:r w:rsidRPr="00CA754F">
        <w:t xml:space="preserve">44, </w:t>
      </w:r>
      <w:r w:rsidR="00EA6392">
        <w:t>pp.</w:t>
      </w:r>
      <w:r w:rsidRPr="00CA754F">
        <w:t>735</w:t>
      </w:r>
      <w:r w:rsidR="00EA6392">
        <w:t>—</w:t>
      </w:r>
      <w:r w:rsidRPr="00CA754F">
        <w:t>52.</w:t>
      </w:r>
    </w:p>
    <w:p w:rsidR="00775948" w:rsidRPr="00CA754F" w:rsidRDefault="00775948" w:rsidP="00602830">
      <w:pPr>
        <w:pStyle w:val="References"/>
      </w:pPr>
      <w:r w:rsidRPr="00CA754F">
        <w:t xml:space="preserve">Hensher, DA, Rose, JM &amp; Greene, WH 2005, </w:t>
      </w:r>
      <w:r w:rsidRPr="00CA754F">
        <w:rPr>
          <w:i/>
        </w:rPr>
        <w:t>Applied choice analysis: a primer</w:t>
      </w:r>
      <w:r w:rsidRPr="00CA754F">
        <w:t>, Cambridge University Press, Cambridge.</w:t>
      </w:r>
    </w:p>
    <w:p w:rsidR="00775948" w:rsidRPr="00CA754F" w:rsidRDefault="00775948" w:rsidP="00602830">
      <w:pPr>
        <w:pStyle w:val="References"/>
      </w:pPr>
      <w:r w:rsidRPr="00CA754F">
        <w:t xml:space="preserve">House of Representatives Standing Committee on Regional Australia 2013, </w:t>
      </w:r>
      <w:r w:rsidRPr="00CA754F">
        <w:rPr>
          <w:i/>
        </w:rPr>
        <w:t xml:space="preserve">Cancer of the bush or salvation for our cities? Fly-in, fly-out and drive-in, drive-out workforce practices in </w:t>
      </w:r>
      <w:r w:rsidR="00F71584">
        <w:rPr>
          <w:i/>
        </w:rPr>
        <w:t>r</w:t>
      </w:r>
      <w:r w:rsidRPr="00CA754F">
        <w:rPr>
          <w:i/>
        </w:rPr>
        <w:t>egional Australia</w:t>
      </w:r>
      <w:r w:rsidRPr="00CA754F">
        <w:t>, Commonwealth of Australia, Canberra, viewed 30 January 2014, &lt;</w:t>
      </w:r>
      <w:r w:rsidRPr="00F35482">
        <w:t>http://www.aph.gov.au/</w:t>
      </w:r>
      <w:r w:rsidR="00F35482">
        <w:t xml:space="preserve"> </w:t>
      </w:r>
      <w:r w:rsidRPr="00F35482">
        <w:t>parliamentary_business/committees/house_of_representatives_committees?url=ra/fifodido/index.htm&gt;</w:t>
      </w:r>
      <w:r w:rsidRPr="00CA754F">
        <w:t>.</w:t>
      </w:r>
    </w:p>
    <w:p w:rsidR="00775948" w:rsidRPr="00CA754F" w:rsidRDefault="00775948" w:rsidP="00602830">
      <w:pPr>
        <w:pStyle w:val="References"/>
      </w:pPr>
      <w:r w:rsidRPr="00CA754F">
        <w:t xml:space="preserve">Huber, P 2004, </w:t>
      </w:r>
      <w:r w:rsidR="00602830">
        <w:t>‘</w:t>
      </w:r>
      <w:r w:rsidRPr="00CA754F">
        <w:t>Inter-regional mobility in Europe: a note on the cross-country evidence</w:t>
      </w:r>
      <w:r w:rsidR="00602830">
        <w:t>’</w:t>
      </w:r>
      <w:r w:rsidRPr="00CA754F">
        <w:t xml:space="preserve">, </w:t>
      </w:r>
      <w:r w:rsidRPr="00CA754F">
        <w:rPr>
          <w:i/>
        </w:rPr>
        <w:t>Applied Economics Letters</w:t>
      </w:r>
      <w:r w:rsidRPr="00CA754F">
        <w:t xml:space="preserve">, </w:t>
      </w:r>
      <w:r w:rsidR="00A07A96">
        <w:t>vol.</w:t>
      </w:r>
      <w:r w:rsidRPr="00CA754F">
        <w:t xml:space="preserve">11, </w:t>
      </w:r>
      <w:r w:rsidR="00EA6392">
        <w:t>pp.</w:t>
      </w:r>
      <w:r w:rsidRPr="00CA754F">
        <w:t>619</w:t>
      </w:r>
      <w:r w:rsidR="00EA6392">
        <w:t>—</w:t>
      </w:r>
      <w:r w:rsidRPr="00CA754F">
        <w:t>24.</w:t>
      </w:r>
    </w:p>
    <w:p w:rsidR="00775948" w:rsidRPr="00CA754F" w:rsidRDefault="00775948" w:rsidP="00602830">
      <w:pPr>
        <w:pStyle w:val="References"/>
      </w:pPr>
      <w:r w:rsidRPr="00CA754F">
        <w:t xml:space="preserve">John, L &amp; Craig, G 2001, </w:t>
      </w:r>
      <w:r w:rsidR="00602830">
        <w:t>‘</w:t>
      </w:r>
      <w:r w:rsidRPr="00CA754F">
        <w:t xml:space="preserve">What </w:t>
      </w:r>
      <w:r w:rsidR="000547A2" w:rsidRPr="00CA754F">
        <w:t>experimental protocol influence disparities between actual and hypothetical stated value</w:t>
      </w:r>
      <w:r w:rsidRPr="00CA754F">
        <w:t>s?</w:t>
      </w:r>
      <w:r w:rsidR="00602830">
        <w:t>’</w:t>
      </w:r>
      <w:r w:rsidRPr="00CA754F">
        <w:t xml:space="preserve">, </w:t>
      </w:r>
      <w:r w:rsidRPr="00CA754F">
        <w:rPr>
          <w:i/>
        </w:rPr>
        <w:t>Environmental &amp; Resource Economics</w:t>
      </w:r>
      <w:r w:rsidRPr="00CA754F">
        <w:t xml:space="preserve">, </w:t>
      </w:r>
      <w:r w:rsidR="00A07A96">
        <w:t>vol.</w:t>
      </w:r>
      <w:r w:rsidRPr="00CA754F">
        <w:t xml:space="preserve">20, </w:t>
      </w:r>
      <w:r w:rsidR="00EA6392">
        <w:t>pp.</w:t>
      </w:r>
      <w:r w:rsidRPr="00CA754F">
        <w:t>241</w:t>
      </w:r>
      <w:r w:rsidR="00EA6392">
        <w:t>—</w:t>
      </w:r>
      <w:r w:rsidRPr="00CA754F">
        <w:t>54.</w:t>
      </w:r>
    </w:p>
    <w:p w:rsidR="00775948" w:rsidRDefault="00775948" w:rsidP="00602830">
      <w:pPr>
        <w:pStyle w:val="References"/>
      </w:pPr>
      <w:r w:rsidRPr="00CA754F">
        <w:t xml:space="preserve">Karvelas, P 2012, </w:t>
      </w:r>
      <w:r w:rsidR="00602830">
        <w:t>‘</w:t>
      </w:r>
      <w:r w:rsidRPr="00CA754F">
        <w:t>Paying people to relocate for jobs has failed</w:t>
      </w:r>
      <w:r w:rsidR="00602830">
        <w:t>’</w:t>
      </w:r>
      <w:r w:rsidRPr="00CA754F">
        <w:t xml:space="preserve">, </w:t>
      </w:r>
      <w:r w:rsidRPr="00CA754F">
        <w:rPr>
          <w:i/>
        </w:rPr>
        <w:t>The Australian</w:t>
      </w:r>
      <w:r w:rsidRPr="00CA754F">
        <w:t>, 25 September, viewed 7</w:t>
      </w:r>
      <w:r w:rsidR="00F35482">
        <w:t> </w:t>
      </w:r>
      <w:r w:rsidRPr="00CA754F">
        <w:t>February 2013, &lt;</w:t>
      </w:r>
      <w:hyperlink r:id="rId24" w:history="1">
        <w:r w:rsidRPr="00CA754F">
          <w:rPr>
            <w:rStyle w:val="Hyperlink"/>
            <w:sz w:val="18"/>
          </w:rPr>
          <w:t>http://www.theaustralian.com.au/national-affairs/industrial-relations/paying-people-to-relocate-for-jobs-has-failed/story-fn59noo3-1226480606380&gt;</w:t>
        </w:r>
      </w:hyperlink>
      <w:r w:rsidRPr="00CA754F">
        <w:t>.</w:t>
      </w:r>
    </w:p>
    <w:p w:rsidR="00775948" w:rsidRPr="00CA754F" w:rsidRDefault="00775948" w:rsidP="00602830">
      <w:pPr>
        <w:pStyle w:val="References"/>
      </w:pPr>
      <w:r w:rsidRPr="001F28DD">
        <w:t xml:space="preserve">Kochhar, R, Espinoza, C &amp; Hinze-Pifer, R 2010, </w:t>
      </w:r>
      <w:r w:rsidRPr="001F28DD">
        <w:rPr>
          <w:i/>
        </w:rPr>
        <w:t>After the</w:t>
      </w:r>
      <w:r w:rsidR="000547A2" w:rsidRPr="001F28DD">
        <w:rPr>
          <w:i/>
        </w:rPr>
        <w:t xml:space="preserve"> great recessi</w:t>
      </w:r>
      <w:r w:rsidRPr="001F28DD">
        <w:rPr>
          <w:i/>
        </w:rPr>
        <w:t>on: foreign born gain jobs; native born lose jobs</w:t>
      </w:r>
      <w:r w:rsidRPr="001F28DD">
        <w:t>, Pew Hispanic Center, Washington, DC.</w:t>
      </w:r>
    </w:p>
    <w:p w:rsidR="00775948" w:rsidRPr="00CA754F" w:rsidRDefault="00775948" w:rsidP="00602830">
      <w:pPr>
        <w:pStyle w:val="References"/>
      </w:pPr>
      <w:r w:rsidRPr="00CA754F">
        <w:t xml:space="preserve">Kolstad, J 2011, </w:t>
      </w:r>
      <w:r w:rsidR="00602830">
        <w:t>‘</w:t>
      </w:r>
      <w:r w:rsidRPr="00CA754F">
        <w:t>How to make rural jobs more</w:t>
      </w:r>
      <w:r w:rsidR="000547A2">
        <w:t xml:space="preserve"> attractive to health workers: f</w:t>
      </w:r>
      <w:r w:rsidRPr="00CA754F">
        <w:t>indings from a discrete choice experiment in Tanzania</w:t>
      </w:r>
      <w:r w:rsidR="00602830">
        <w:t>’</w:t>
      </w:r>
      <w:r w:rsidRPr="00CA754F">
        <w:t xml:space="preserve">, </w:t>
      </w:r>
      <w:r w:rsidRPr="00CA754F">
        <w:rPr>
          <w:i/>
        </w:rPr>
        <w:t>Health Economics</w:t>
      </w:r>
      <w:r w:rsidRPr="00CA754F">
        <w:t xml:space="preserve">, </w:t>
      </w:r>
      <w:r w:rsidR="00A07A96">
        <w:t>vol.</w:t>
      </w:r>
      <w:r w:rsidRPr="00CA754F">
        <w:t xml:space="preserve">20, </w:t>
      </w:r>
      <w:r w:rsidR="00EA6392">
        <w:t>pp.</w:t>
      </w:r>
      <w:r w:rsidRPr="00CA754F">
        <w:t>196</w:t>
      </w:r>
      <w:r w:rsidR="00EA6392">
        <w:t>—</w:t>
      </w:r>
      <w:r w:rsidRPr="00CA754F">
        <w:t>211.</w:t>
      </w:r>
    </w:p>
    <w:p w:rsidR="00775948" w:rsidRPr="00CA754F" w:rsidRDefault="00775948" w:rsidP="00602830">
      <w:pPr>
        <w:pStyle w:val="References"/>
      </w:pPr>
      <w:r w:rsidRPr="00CA754F">
        <w:t xml:space="preserve">Krinsky, I &amp; Robb, AL 1986, </w:t>
      </w:r>
      <w:r w:rsidR="00602830">
        <w:t>‘</w:t>
      </w:r>
      <w:r w:rsidRPr="00CA754F">
        <w:t xml:space="preserve">On </w:t>
      </w:r>
      <w:r w:rsidR="000547A2" w:rsidRPr="00CA754F">
        <w:t>approximating the statistical properties of elasticitie</w:t>
      </w:r>
      <w:r w:rsidRPr="00CA754F">
        <w:t>s</w:t>
      </w:r>
      <w:r w:rsidR="00602830">
        <w:t>’</w:t>
      </w:r>
      <w:r w:rsidRPr="00CA754F">
        <w:t xml:space="preserve">, </w:t>
      </w:r>
      <w:r w:rsidRPr="00CA754F">
        <w:rPr>
          <w:i/>
        </w:rPr>
        <w:t>The Review of Economics and Statistics</w:t>
      </w:r>
      <w:r w:rsidRPr="00CA754F">
        <w:t xml:space="preserve">, </w:t>
      </w:r>
      <w:r w:rsidR="00A07A96">
        <w:t>vol.</w:t>
      </w:r>
      <w:r w:rsidRPr="00CA754F">
        <w:t xml:space="preserve">68, </w:t>
      </w:r>
      <w:r w:rsidR="00EA6392">
        <w:t>pp.</w:t>
      </w:r>
      <w:r w:rsidRPr="00CA754F">
        <w:t>715</w:t>
      </w:r>
      <w:r w:rsidR="00EA6392">
        <w:t>—</w:t>
      </w:r>
      <w:r w:rsidRPr="00CA754F">
        <w:t>19.</w:t>
      </w:r>
    </w:p>
    <w:p w:rsidR="00775948" w:rsidRPr="00CA754F" w:rsidRDefault="00775948" w:rsidP="00602830">
      <w:pPr>
        <w:pStyle w:val="References"/>
      </w:pPr>
      <w:r w:rsidRPr="00CA754F">
        <w:t xml:space="preserve">Krugman, P 1991, </w:t>
      </w:r>
      <w:r w:rsidR="00602830">
        <w:t>‘</w:t>
      </w:r>
      <w:r w:rsidRPr="00CA754F">
        <w:t>Increasing returns and economic geography</w:t>
      </w:r>
      <w:r w:rsidR="00602830">
        <w:t>’</w:t>
      </w:r>
      <w:r w:rsidRPr="00CA754F">
        <w:t xml:space="preserve">, </w:t>
      </w:r>
      <w:r w:rsidRPr="00CA754F">
        <w:rPr>
          <w:i/>
        </w:rPr>
        <w:t>Journal of Political Economy</w:t>
      </w:r>
      <w:r w:rsidRPr="00CA754F">
        <w:t xml:space="preserve">, </w:t>
      </w:r>
      <w:r w:rsidR="00A07A96">
        <w:t>vol.</w:t>
      </w:r>
      <w:r w:rsidRPr="00CA754F">
        <w:t xml:space="preserve">99, </w:t>
      </w:r>
      <w:r w:rsidR="00EA6392">
        <w:t>pp.</w:t>
      </w:r>
      <w:r w:rsidRPr="00CA754F">
        <w:t>483</w:t>
      </w:r>
      <w:r w:rsidR="00EA6392">
        <w:t>—</w:t>
      </w:r>
      <w:r w:rsidRPr="00CA754F">
        <w:t>99.</w:t>
      </w:r>
    </w:p>
    <w:p w:rsidR="00775948" w:rsidRPr="00CA754F" w:rsidRDefault="00775948" w:rsidP="00602830">
      <w:pPr>
        <w:pStyle w:val="References"/>
      </w:pPr>
      <w:r w:rsidRPr="00CA754F">
        <w:t xml:space="preserve">Lagarde, M &amp; Blaauw, D 2009, </w:t>
      </w:r>
      <w:r w:rsidR="00602830">
        <w:t>‘</w:t>
      </w:r>
      <w:r w:rsidRPr="00CA754F">
        <w:t>A review of the application and contribution of discrete choice experiments to inform human resources policy interventions</w:t>
      </w:r>
      <w:r w:rsidR="00602830">
        <w:t>’</w:t>
      </w:r>
      <w:r w:rsidRPr="00CA754F">
        <w:t xml:space="preserve">, </w:t>
      </w:r>
      <w:r w:rsidRPr="00CA754F">
        <w:rPr>
          <w:i/>
        </w:rPr>
        <w:t>Human Resources for Health</w:t>
      </w:r>
      <w:r w:rsidRPr="00CA754F">
        <w:t xml:space="preserve">, </w:t>
      </w:r>
      <w:r w:rsidR="00A07A96">
        <w:t>vol.</w:t>
      </w:r>
      <w:r w:rsidR="000547A2">
        <w:t>7, p.</w:t>
      </w:r>
      <w:r w:rsidRPr="00CA754F">
        <w:t>62.</w:t>
      </w:r>
    </w:p>
    <w:p w:rsidR="00775948" w:rsidRPr="00CA754F" w:rsidRDefault="00775948" w:rsidP="00602830">
      <w:pPr>
        <w:pStyle w:val="References"/>
      </w:pPr>
      <w:r w:rsidRPr="00CA754F">
        <w:t xml:space="preserve">Lawson, J &amp; Dwyer, J 2002, </w:t>
      </w:r>
      <w:r w:rsidR="00602830">
        <w:t>‘</w:t>
      </w:r>
      <w:r w:rsidRPr="00CA754F">
        <w:t>Labour market adjustment in regional Australia</w:t>
      </w:r>
      <w:r w:rsidR="00602830">
        <w:t>’</w:t>
      </w:r>
      <w:r w:rsidRPr="00CA754F">
        <w:t>, Research</w:t>
      </w:r>
      <w:r w:rsidR="000547A2" w:rsidRPr="00CA754F">
        <w:t xml:space="preserve"> discussion paper </w:t>
      </w:r>
      <w:r w:rsidRPr="00CA754F">
        <w:t>2002</w:t>
      </w:r>
      <w:r w:rsidR="00EA6392">
        <w:t>—</w:t>
      </w:r>
      <w:r w:rsidRPr="00CA754F">
        <w:t>04, Economic Group, Reserve Bank of Australia, Sydney.</w:t>
      </w:r>
    </w:p>
    <w:p w:rsidR="00775948" w:rsidRPr="00CA754F" w:rsidRDefault="00775948" w:rsidP="00602830">
      <w:pPr>
        <w:pStyle w:val="References"/>
      </w:pPr>
      <w:r w:rsidRPr="00CA754F">
        <w:t xml:space="preserve">Lievens, T, Serneels, P, Butera, J &amp; Soucat, A 2010, </w:t>
      </w:r>
      <w:r w:rsidR="00602830">
        <w:t>‘</w:t>
      </w:r>
      <w:r w:rsidRPr="00CA754F">
        <w:t xml:space="preserve">Diversity in </w:t>
      </w:r>
      <w:r w:rsidR="00F71584" w:rsidRPr="00CA754F">
        <w:t>career preferences of future health</w:t>
      </w:r>
      <w:r w:rsidRPr="00CA754F">
        <w:t xml:space="preserve"> </w:t>
      </w:r>
      <w:r w:rsidR="00F71584" w:rsidRPr="00CA754F">
        <w:t>w</w:t>
      </w:r>
      <w:r w:rsidRPr="00CA754F">
        <w:t xml:space="preserve">orkers in Rwanda: </w:t>
      </w:r>
      <w:r w:rsidR="00F71584" w:rsidRPr="00CA754F">
        <w:t>where, why, and for how mu</w:t>
      </w:r>
      <w:r w:rsidRPr="00CA754F">
        <w:t>ch?</w:t>
      </w:r>
      <w:r w:rsidR="00602830">
        <w:t>’</w:t>
      </w:r>
      <w:r w:rsidR="00626298">
        <w:t>, World Bank w</w:t>
      </w:r>
      <w:r w:rsidRPr="00CA754F">
        <w:t xml:space="preserve">orking paper </w:t>
      </w:r>
      <w:r w:rsidR="00F35482">
        <w:t>n</w:t>
      </w:r>
      <w:r w:rsidRPr="00CA754F">
        <w:t>o.189, World Bank, viewed 26 September 2013, &lt;</w:t>
      </w:r>
      <w:hyperlink r:id="rId25" w:history="1">
        <w:r w:rsidRPr="00CA754F">
          <w:rPr>
            <w:rStyle w:val="Hyperlink"/>
            <w:sz w:val="18"/>
          </w:rPr>
          <w:t>http://EconPapers.repec.org/RePEc:wbk:wbpubs:2445&gt;</w:t>
        </w:r>
      </w:hyperlink>
      <w:r w:rsidRPr="00CA754F">
        <w:t>.</w:t>
      </w:r>
    </w:p>
    <w:p w:rsidR="00775948" w:rsidRPr="00CA754F" w:rsidRDefault="00775948" w:rsidP="00602830">
      <w:pPr>
        <w:pStyle w:val="References"/>
      </w:pPr>
      <w:r w:rsidRPr="00CA754F">
        <w:t xml:space="preserve">List, JA, Sinha, P &amp; Taylor, MH 2006, </w:t>
      </w:r>
      <w:r w:rsidR="00602830">
        <w:t>‘</w:t>
      </w:r>
      <w:r w:rsidRPr="00CA754F">
        <w:t>Using choice experiments to value non-market goods and services: evidence from field experiments</w:t>
      </w:r>
      <w:r w:rsidR="00602830">
        <w:t>’</w:t>
      </w:r>
      <w:r w:rsidRPr="00CA754F">
        <w:t xml:space="preserve">, </w:t>
      </w:r>
      <w:r w:rsidRPr="00CA754F">
        <w:rPr>
          <w:i/>
        </w:rPr>
        <w:t>Advances in Economic Analysis and Policy</w:t>
      </w:r>
      <w:r w:rsidRPr="00CA754F">
        <w:t xml:space="preserve">, </w:t>
      </w:r>
      <w:r w:rsidR="00A07A96">
        <w:t>vol.</w:t>
      </w:r>
      <w:r w:rsidRPr="00CA754F">
        <w:t>6.</w:t>
      </w:r>
    </w:p>
    <w:p w:rsidR="00775948" w:rsidRPr="00CA754F" w:rsidRDefault="00775948" w:rsidP="00602830">
      <w:pPr>
        <w:pStyle w:val="References"/>
      </w:pPr>
      <w:r w:rsidRPr="00CA754F">
        <w:t xml:space="preserve">Louviere, J, Hensher, D &amp; Swait, J 2000a, </w:t>
      </w:r>
      <w:r w:rsidRPr="00CA754F">
        <w:rPr>
          <w:i/>
        </w:rPr>
        <w:t xml:space="preserve">Stated </w:t>
      </w:r>
      <w:r w:rsidR="000547A2" w:rsidRPr="00CA754F">
        <w:rPr>
          <w:i/>
        </w:rPr>
        <w:t>choice methods: analysis and applications in marketing, transportation and environmental valuation</w:t>
      </w:r>
      <w:r w:rsidRPr="00CA754F">
        <w:t>, Cambridge University Press, Cambridge.</w:t>
      </w:r>
    </w:p>
    <w:p w:rsidR="00775948" w:rsidRPr="00CA754F" w:rsidRDefault="000547A2" w:rsidP="00602830">
      <w:pPr>
        <w:pStyle w:val="References"/>
      </w:pPr>
      <w:r>
        <w:t>——</w:t>
      </w:r>
      <w:r w:rsidR="00775948" w:rsidRPr="00CA754F">
        <w:t xml:space="preserve">2000b, </w:t>
      </w:r>
      <w:r w:rsidR="00775948" w:rsidRPr="00CA754F">
        <w:rPr>
          <w:i/>
        </w:rPr>
        <w:t>Stated choice methods: analysis and application</w:t>
      </w:r>
      <w:r w:rsidR="00775948" w:rsidRPr="00CA754F">
        <w:t>, Cambridge University Press, Cambridge.</w:t>
      </w:r>
    </w:p>
    <w:p w:rsidR="00775948" w:rsidRPr="00CA754F" w:rsidRDefault="00775948" w:rsidP="00602830">
      <w:pPr>
        <w:pStyle w:val="References"/>
      </w:pPr>
      <w:r w:rsidRPr="00CA754F">
        <w:t xml:space="preserve">Machin, S, Salvanes, KG &amp; Pelkonen, P 2012, </w:t>
      </w:r>
      <w:r w:rsidR="00602830">
        <w:t>‘</w:t>
      </w:r>
      <w:r w:rsidRPr="00CA754F">
        <w:t>Education and mobility</w:t>
      </w:r>
      <w:r w:rsidR="00602830">
        <w:t>’</w:t>
      </w:r>
      <w:r w:rsidRPr="00CA754F">
        <w:t xml:space="preserve">, </w:t>
      </w:r>
      <w:r w:rsidRPr="00CA754F">
        <w:rPr>
          <w:i/>
        </w:rPr>
        <w:t>Journal of the European Economic Association</w:t>
      </w:r>
      <w:r w:rsidRPr="00CA754F">
        <w:t xml:space="preserve">, </w:t>
      </w:r>
      <w:r w:rsidR="00A07A96">
        <w:t>vol.</w:t>
      </w:r>
      <w:r w:rsidRPr="00CA754F">
        <w:t xml:space="preserve">10, </w:t>
      </w:r>
      <w:r w:rsidR="00EA6392">
        <w:t>pp.</w:t>
      </w:r>
      <w:r w:rsidRPr="00CA754F">
        <w:t>417</w:t>
      </w:r>
      <w:r w:rsidR="00EA6392">
        <w:t>—</w:t>
      </w:r>
      <w:r w:rsidRPr="00CA754F">
        <w:t>50.</w:t>
      </w:r>
    </w:p>
    <w:p w:rsidR="00775948" w:rsidRPr="00CA754F" w:rsidRDefault="00775948" w:rsidP="00602830">
      <w:pPr>
        <w:pStyle w:val="References"/>
      </w:pPr>
      <w:r w:rsidRPr="00CA754F">
        <w:t xml:space="preserve">Maddala, GS 1987, </w:t>
      </w:r>
      <w:r w:rsidR="00602830">
        <w:t>‘</w:t>
      </w:r>
      <w:r w:rsidRPr="00CA754F">
        <w:t xml:space="preserve">Limited </w:t>
      </w:r>
      <w:r w:rsidR="000547A2" w:rsidRPr="00CA754F">
        <w:t>dependent variable models using panel data</w:t>
      </w:r>
      <w:r w:rsidR="00602830">
        <w:t>’</w:t>
      </w:r>
      <w:r w:rsidRPr="00CA754F">
        <w:t xml:space="preserve">, </w:t>
      </w:r>
      <w:r w:rsidRPr="00CA754F">
        <w:rPr>
          <w:i/>
        </w:rPr>
        <w:t>The Journal of Human Resources</w:t>
      </w:r>
      <w:r w:rsidRPr="00CA754F">
        <w:t xml:space="preserve">, </w:t>
      </w:r>
      <w:r w:rsidR="00A07A96">
        <w:t>vol.</w:t>
      </w:r>
      <w:r w:rsidRPr="00CA754F">
        <w:t xml:space="preserve">22, </w:t>
      </w:r>
      <w:r w:rsidR="00EA6392">
        <w:t>pp.</w:t>
      </w:r>
      <w:r w:rsidRPr="00CA754F">
        <w:t>307</w:t>
      </w:r>
      <w:r w:rsidR="00EA6392">
        <w:t>—</w:t>
      </w:r>
      <w:r w:rsidRPr="00CA754F">
        <w:t>38.</w:t>
      </w:r>
    </w:p>
    <w:p w:rsidR="00775948" w:rsidRPr="00CA754F" w:rsidRDefault="00775948" w:rsidP="00602830">
      <w:pPr>
        <w:pStyle w:val="References"/>
      </w:pPr>
      <w:r w:rsidRPr="00CA754F">
        <w:t xml:space="preserve">Manski, C 1977, </w:t>
      </w:r>
      <w:r w:rsidRPr="00CA754F">
        <w:rPr>
          <w:i/>
        </w:rPr>
        <w:t>The structure of random utility models</w:t>
      </w:r>
      <w:r w:rsidRPr="00CA754F">
        <w:t>,</w:t>
      </w:r>
      <w:r w:rsidRPr="00CA754F">
        <w:rPr>
          <w:i/>
        </w:rPr>
        <w:t xml:space="preserve"> </w:t>
      </w:r>
      <w:r w:rsidR="00A07A96">
        <w:t>vol.</w:t>
      </w:r>
      <w:r w:rsidRPr="00CA754F">
        <w:t>8, Kluwer A</w:t>
      </w:r>
      <w:r w:rsidR="000547A2">
        <w:t xml:space="preserve">cademic Publishers, Dordrecht, </w:t>
      </w:r>
      <w:r w:rsidRPr="00CA754F">
        <w:t>he Netherlands.</w:t>
      </w:r>
    </w:p>
    <w:p w:rsidR="00775948" w:rsidRPr="00CA754F" w:rsidRDefault="00775948" w:rsidP="00602830">
      <w:pPr>
        <w:pStyle w:val="References"/>
      </w:pPr>
      <w:r w:rsidRPr="00CA754F">
        <w:t xml:space="preserve">Marschak, J 1960, </w:t>
      </w:r>
      <w:r w:rsidR="00602830">
        <w:t>‘</w:t>
      </w:r>
      <w:r w:rsidRPr="00CA754F">
        <w:t>Binary</w:t>
      </w:r>
      <w:r w:rsidR="000547A2" w:rsidRPr="00CA754F">
        <w:t>-choice constraints and random utility indicators</w:t>
      </w:r>
      <w:r w:rsidRPr="00CA754F">
        <w:t xml:space="preserve"> (1960)</w:t>
      </w:r>
      <w:r w:rsidR="00602830">
        <w:t>’</w:t>
      </w:r>
      <w:r w:rsidRPr="00CA754F">
        <w:t xml:space="preserve">, in </w:t>
      </w:r>
      <w:r w:rsidRPr="00F91DD9">
        <w:t>Stan</w:t>
      </w:r>
      <w:r w:rsidR="00430038">
        <w:t>f</w:t>
      </w:r>
      <w:r w:rsidRPr="00F91DD9">
        <w:t>ord Symposium on Mathematical Methods in the Social Sciences</w:t>
      </w:r>
      <w:r w:rsidRPr="00CA754F">
        <w:t xml:space="preserve">, </w:t>
      </w:r>
      <w:r w:rsidR="00430038">
        <w:t xml:space="preserve">ed. </w:t>
      </w:r>
      <w:r w:rsidR="00430038" w:rsidRPr="00CA754F">
        <w:t>K Arrow</w:t>
      </w:r>
      <w:r w:rsidR="00430038">
        <w:t>,</w:t>
      </w:r>
      <w:r w:rsidR="00430038" w:rsidRPr="00CA754F">
        <w:t xml:space="preserve"> </w:t>
      </w:r>
      <w:r w:rsidRPr="00CA754F">
        <w:t>Stanford University Press, Stanford.</w:t>
      </w:r>
    </w:p>
    <w:p w:rsidR="00775948" w:rsidRPr="00CA754F" w:rsidRDefault="00775948" w:rsidP="00602830">
      <w:pPr>
        <w:pStyle w:val="References"/>
      </w:pPr>
      <w:r w:rsidRPr="00CA754F">
        <w:t xml:space="preserve">Massey, DS, Arango, J, Hugo, G, Kouaouci, A, Pellegrino, A &amp; Taylor, JE 1993, </w:t>
      </w:r>
      <w:r w:rsidR="00602830">
        <w:t>‘</w:t>
      </w:r>
      <w:r w:rsidRPr="00CA754F">
        <w:t xml:space="preserve">Theories of international migration: </w:t>
      </w:r>
      <w:r w:rsidR="00F91DD9">
        <w:t>a</w:t>
      </w:r>
      <w:r w:rsidRPr="00CA754F">
        <w:t xml:space="preserve"> review and appraisal</w:t>
      </w:r>
      <w:r w:rsidR="00602830">
        <w:t>’</w:t>
      </w:r>
      <w:r w:rsidRPr="00CA754F">
        <w:t xml:space="preserve">, </w:t>
      </w:r>
      <w:r w:rsidRPr="00CA754F">
        <w:rPr>
          <w:i/>
        </w:rPr>
        <w:t>Population and Development Review</w:t>
      </w:r>
      <w:r w:rsidRPr="00CA754F">
        <w:t xml:space="preserve">, </w:t>
      </w:r>
      <w:r w:rsidR="00A07A96">
        <w:t>vol.</w:t>
      </w:r>
      <w:r w:rsidRPr="00CA754F">
        <w:t xml:space="preserve">19, </w:t>
      </w:r>
      <w:r w:rsidR="00EA6392">
        <w:t>pp.</w:t>
      </w:r>
      <w:r w:rsidRPr="00CA754F">
        <w:t>431</w:t>
      </w:r>
      <w:r w:rsidR="00EA6392">
        <w:t>—</w:t>
      </w:r>
      <w:r w:rsidRPr="00CA754F">
        <w:t>66.</w:t>
      </w:r>
    </w:p>
    <w:p w:rsidR="00775948" w:rsidRPr="00CA754F" w:rsidRDefault="00775948" w:rsidP="00602830">
      <w:pPr>
        <w:pStyle w:val="References"/>
      </w:pPr>
      <w:r w:rsidRPr="00CA754F">
        <w:t xml:space="preserve">Massey, DS, Goldring, L &amp; Durand, J 1994, </w:t>
      </w:r>
      <w:r w:rsidR="00602830">
        <w:t>‘</w:t>
      </w:r>
      <w:r w:rsidRPr="00CA754F">
        <w:t>Continuiti</w:t>
      </w:r>
      <w:r w:rsidR="00F91DD9">
        <w:t>es in transnational migration: a</w:t>
      </w:r>
      <w:r w:rsidRPr="00CA754F">
        <w:t>n analysis of nineteen Mexican communities</w:t>
      </w:r>
      <w:r w:rsidR="00602830">
        <w:t>’</w:t>
      </w:r>
      <w:r w:rsidRPr="00CA754F">
        <w:t xml:space="preserve">, </w:t>
      </w:r>
      <w:r w:rsidRPr="00CA754F">
        <w:rPr>
          <w:i/>
        </w:rPr>
        <w:t>American Journal of Sociology</w:t>
      </w:r>
      <w:r w:rsidRPr="00CA754F">
        <w:t xml:space="preserve">, </w:t>
      </w:r>
      <w:r w:rsidR="00A07A96">
        <w:t>vol.</w:t>
      </w:r>
      <w:r w:rsidRPr="00CA754F">
        <w:t xml:space="preserve">99, </w:t>
      </w:r>
      <w:r w:rsidR="00EA6392">
        <w:t>pp.</w:t>
      </w:r>
      <w:r w:rsidRPr="00CA754F">
        <w:t>1492</w:t>
      </w:r>
      <w:r w:rsidR="00EA6392">
        <w:t>—</w:t>
      </w:r>
      <w:r w:rsidRPr="00CA754F">
        <w:t>533.</w:t>
      </w:r>
    </w:p>
    <w:p w:rsidR="00775948" w:rsidRPr="00CA754F" w:rsidRDefault="00775948" w:rsidP="00602830">
      <w:pPr>
        <w:pStyle w:val="References"/>
      </w:pPr>
      <w:r w:rsidRPr="00CA754F">
        <w:lastRenderedPageBreak/>
        <w:t xml:space="preserve">McFadden, D 1974, </w:t>
      </w:r>
      <w:r w:rsidR="00602830">
        <w:t>‘</w:t>
      </w:r>
      <w:r w:rsidRPr="00CA754F">
        <w:t xml:space="preserve">Conditional </w:t>
      </w:r>
      <w:r w:rsidR="00F91DD9" w:rsidRPr="00CA754F">
        <w:t>logit analysis of qualitative choice behavi</w:t>
      </w:r>
      <w:r w:rsidRPr="00CA754F">
        <w:t>or</w:t>
      </w:r>
      <w:r w:rsidR="00602830">
        <w:t>’</w:t>
      </w:r>
      <w:r w:rsidRPr="00CA754F">
        <w:t xml:space="preserve">, in </w:t>
      </w:r>
      <w:r w:rsidRPr="00CA754F">
        <w:rPr>
          <w:i/>
        </w:rPr>
        <w:t>Frontiers in econometrics</w:t>
      </w:r>
      <w:r w:rsidRPr="00CA754F">
        <w:t xml:space="preserve">, </w:t>
      </w:r>
      <w:r w:rsidR="00430038">
        <w:t xml:space="preserve">ed. </w:t>
      </w:r>
      <w:r w:rsidR="00430038" w:rsidRPr="00CA754F">
        <w:t>P Zarembka</w:t>
      </w:r>
      <w:r w:rsidR="00430038">
        <w:t>,</w:t>
      </w:r>
      <w:r w:rsidR="00430038" w:rsidRPr="00CA754F">
        <w:t xml:space="preserve"> </w:t>
      </w:r>
      <w:r w:rsidRPr="00CA754F">
        <w:t>Academic Press, New York</w:t>
      </w:r>
      <w:r w:rsidR="00F71584">
        <w:t>, pp.</w:t>
      </w:r>
      <w:r w:rsidR="00F71584" w:rsidRPr="00CA754F">
        <w:t>105</w:t>
      </w:r>
      <w:r w:rsidR="00626298">
        <w:t>—</w:t>
      </w:r>
      <w:r w:rsidR="00F71584">
        <w:t>42</w:t>
      </w:r>
      <w:r w:rsidRPr="00CA754F">
        <w:t>.</w:t>
      </w:r>
    </w:p>
    <w:p w:rsidR="00775948" w:rsidRPr="00CA754F" w:rsidRDefault="00775948" w:rsidP="00602830">
      <w:pPr>
        <w:pStyle w:val="References"/>
      </w:pPr>
      <w:r w:rsidRPr="00CA754F">
        <w:t xml:space="preserve">Murdoch, S 2011, </w:t>
      </w:r>
      <w:r w:rsidR="00602830">
        <w:t>‘</w:t>
      </w:r>
      <w:r w:rsidRPr="00CA754F">
        <w:t>Labour mobility is the key to the resources boom</w:t>
      </w:r>
      <w:r w:rsidR="00602830">
        <w:t>’</w:t>
      </w:r>
      <w:r w:rsidRPr="00CA754F">
        <w:t xml:space="preserve">, </w:t>
      </w:r>
      <w:r w:rsidRPr="00CA754F">
        <w:rPr>
          <w:i/>
        </w:rPr>
        <w:t>The Australian</w:t>
      </w:r>
      <w:r w:rsidRPr="00CA754F">
        <w:t xml:space="preserve">, </w:t>
      </w:r>
      <w:r w:rsidR="00F91DD9">
        <w:t>10 September</w:t>
      </w:r>
      <w:r w:rsidRPr="00CA754F">
        <w:t>, viewed 26 November 2011, &lt;</w:t>
      </w:r>
      <w:hyperlink r:id="rId26" w:history="1">
        <w:r w:rsidRPr="00CA754F">
          <w:rPr>
            <w:rStyle w:val="Hyperlink"/>
            <w:sz w:val="18"/>
          </w:rPr>
          <w:t>http://www.theaustralian.com.au/business/economics/labour-mobility-is-key-to-the-resources-boom/story-e6frg926-1226133492985&gt;</w:t>
        </w:r>
      </w:hyperlink>
      <w:r w:rsidRPr="00CA754F">
        <w:t>.</w:t>
      </w:r>
    </w:p>
    <w:p w:rsidR="00775948" w:rsidRDefault="00775948" w:rsidP="00602830">
      <w:pPr>
        <w:pStyle w:val="References"/>
      </w:pPr>
      <w:r w:rsidRPr="00CA754F">
        <w:t xml:space="preserve">OECD </w:t>
      </w:r>
      <w:r w:rsidR="00F91DD9">
        <w:t xml:space="preserve">(Organisation for Economic Co-operation and Development) </w:t>
      </w:r>
      <w:r w:rsidRPr="00CA754F">
        <w:t xml:space="preserve">2005, </w:t>
      </w:r>
      <w:r w:rsidRPr="00CA754F">
        <w:rPr>
          <w:i/>
        </w:rPr>
        <w:t>Employment Outlook 2005</w:t>
      </w:r>
      <w:r w:rsidRPr="00CA754F">
        <w:t>, OECD, Paris.</w:t>
      </w:r>
    </w:p>
    <w:p w:rsidR="00775948" w:rsidRPr="00CA754F" w:rsidRDefault="00775948" w:rsidP="00602830">
      <w:pPr>
        <w:pStyle w:val="References"/>
      </w:pPr>
      <w:r w:rsidRPr="001F28DD">
        <w:t xml:space="preserve">Orrenius, P &amp; Zavodny, M 2009, </w:t>
      </w:r>
      <w:r w:rsidRPr="001F28DD">
        <w:rPr>
          <w:i/>
        </w:rPr>
        <w:t>Tied to the business cycle: how  immigrants fare in good and bad economic times</w:t>
      </w:r>
      <w:r w:rsidRPr="001F28DD">
        <w:t>, Migration Policy Institute, Washington, DC.</w:t>
      </w:r>
    </w:p>
    <w:p w:rsidR="00775948" w:rsidRPr="00CA754F" w:rsidRDefault="00775948" w:rsidP="00602830">
      <w:pPr>
        <w:pStyle w:val="References"/>
      </w:pPr>
      <w:r w:rsidRPr="00CA754F">
        <w:t xml:space="preserve">Regional Development Australia 2010, </w:t>
      </w:r>
      <w:r w:rsidRPr="00CA754F">
        <w:rPr>
          <w:i/>
        </w:rPr>
        <w:t>Preliminary Pilbara regional plan</w:t>
      </w:r>
      <w:r w:rsidRPr="00CA754F">
        <w:t>, Canberra.</w:t>
      </w:r>
    </w:p>
    <w:p w:rsidR="00775948" w:rsidRPr="00CA754F" w:rsidRDefault="00775948" w:rsidP="00602830">
      <w:pPr>
        <w:pStyle w:val="References"/>
      </w:pPr>
      <w:r w:rsidRPr="00CA754F">
        <w:t xml:space="preserve">Revelt, D &amp; Train, K 1998, </w:t>
      </w:r>
      <w:r w:rsidR="00602830">
        <w:t>‘</w:t>
      </w:r>
      <w:r w:rsidRPr="00CA754F">
        <w:t>Mixed logit with repeated choices of appliance efficiency levels</w:t>
      </w:r>
      <w:r w:rsidR="00602830">
        <w:t>’</w:t>
      </w:r>
      <w:r w:rsidRPr="00CA754F">
        <w:t xml:space="preserve">, </w:t>
      </w:r>
      <w:r w:rsidRPr="00CA754F">
        <w:rPr>
          <w:i/>
        </w:rPr>
        <w:t>Review of Economics and Statistics</w:t>
      </w:r>
      <w:r w:rsidRPr="00CA754F">
        <w:t xml:space="preserve">, </w:t>
      </w:r>
      <w:r w:rsidR="00A07A96">
        <w:t>vol.</w:t>
      </w:r>
      <w:r w:rsidRPr="00CA754F">
        <w:t xml:space="preserve">80, </w:t>
      </w:r>
      <w:r w:rsidR="00EA6392">
        <w:t>pp.</w:t>
      </w:r>
      <w:r w:rsidRPr="00CA754F">
        <w:t>647</w:t>
      </w:r>
      <w:r w:rsidR="00EA6392">
        <w:t>—</w:t>
      </w:r>
      <w:r w:rsidRPr="00CA754F">
        <w:t>57.</w:t>
      </w:r>
    </w:p>
    <w:p w:rsidR="00775948" w:rsidRPr="00CA754F" w:rsidRDefault="00775948" w:rsidP="00602830">
      <w:pPr>
        <w:pStyle w:val="References"/>
      </w:pPr>
      <w:r w:rsidRPr="00CA754F">
        <w:t xml:space="preserve">Rolfe, J &amp; Windle, J 2011, </w:t>
      </w:r>
      <w:r w:rsidR="00602830">
        <w:t>‘</w:t>
      </w:r>
      <w:r w:rsidRPr="00CA754F">
        <w:t>Assessing national values to protect the health of the Great Barrier Reef</w:t>
      </w:r>
      <w:r w:rsidR="00430038">
        <w:t>'’</w:t>
      </w:r>
      <w:r w:rsidRPr="00CA754F">
        <w:t xml:space="preserve">, paper presented at </w:t>
      </w:r>
      <w:r w:rsidRPr="00245B00">
        <w:t>55th Annual Australian Agricultural and Resource Economics Society Conference,</w:t>
      </w:r>
      <w:r w:rsidRPr="00CA754F">
        <w:t xml:space="preserve"> Melbourne, 8</w:t>
      </w:r>
      <w:r w:rsidR="00EA6392">
        <w:t>—</w:t>
      </w:r>
      <w:r w:rsidRPr="00CA754F">
        <w:t>11 February 2011.</w:t>
      </w:r>
    </w:p>
    <w:p w:rsidR="00775948" w:rsidRPr="00CA754F" w:rsidRDefault="00775948" w:rsidP="00602830">
      <w:pPr>
        <w:pStyle w:val="References"/>
      </w:pPr>
      <w:r w:rsidRPr="00CA754F">
        <w:t xml:space="preserve">Ryan, C &amp; Whelan, S 2010, </w:t>
      </w:r>
      <w:r w:rsidR="00602830">
        <w:t>‘</w:t>
      </w:r>
      <w:r w:rsidRPr="00CA754F">
        <w:t xml:space="preserve">Locational disadvantage, socio-economic status and mobility behaviour </w:t>
      </w:r>
      <w:r w:rsidR="00EA6392">
        <w:t>—</w:t>
      </w:r>
      <w:r w:rsidRPr="00CA754F">
        <w:t xml:space="preserve"> evidence from Australia</w:t>
      </w:r>
      <w:r w:rsidR="00602830">
        <w:t>’</w:t>
      </w:r>
      <w:r w:rsidRPr="00CA754F">
        <w:t xml:space="preserve">, paper presented at </w:t>
      </w:r>
      <w:r w:rsidRPr="00F91DD9">
        <w:t>39th Australian Conference of Economists,</w:t>
      </w:r>
      <w:r w:rsidRPr="00CA754F">
        <w:t xml:space="preserve"> Sydney, </w:t>
      </w:r>
      <w:r w:rsidR="00430038">
        <w:br/>
      </w:r>
      <w:r w:rsidRPr="00CA754F">
        <w:t>27</w:t>
      </w:r>
      <w:r w:rsidR="00EA6392">
        <w:t>—</w:t>
      </w:r>
      <w:r w:rsidRPr="00CA754F">
        <w:t>29 September 2010.</w:t>
      </w:r>
    </w:p>
    <w:p w:rsidR="00775948" w:rsidRPr="00CA754F" w:rsidRDefault="00775948" w:rsidP="00602830">
      <w:pPr>
        <w:pStyle w:val="References"/>
      </w:pPr>
      <w:r w:rsidRPr="00CA754F">
        <w:t xml:space="preserve">Ryan, M, Gerard, K &amp; Amaya-Amaya, M 2010, </w:t>
      </w:r>
      <w:r w:rsidRPr="00CA754F">
        <w:rPr>
          <w:i/>
        </w:rPr>
        <w:t xml:space="preserve">Using </w:t>
      </w:r>
      <w:r w:rsidR="00430038">
        <w:rPr>
          <w:i/>
        </w:rPr>
        <w:t>d</w:t>
      </w:r>
      <w:r w:rsidR="00F91DD9" w:rsidRPr="00CA754F">
        <w:rPr>
          <w:i/>
        </w:rPr>
        <w:t>iscrete choice experiments to value health and health care</w:t>
      </w:r>
      <w:r w:rsidR="00F91DD9" w:rsidRPr="00CA754F">
        <w:t>,</w:t>
      </w:r>
      <w:r w:rsidR="00F91DD9">
        <w:t xml:space="preserve"> Springer, Dordrecht, </w:t>
      </w:r>
      <w:r w:rsidRPr="00CA754F">
        <w:t>Netherlands.</w:t>
      </w:r>
    </w:p>
    <w:p w:rsidR="00775948" w:rsidRPr="00CA754F" w:rsidRDefault="00775948" w:rsidP="00602830">
      <w:pPr>
        <w:pStyle w:val="References"/>
      </w:pPr>
      <w:r w:rsidRPr="00CA754F">
        <w:t xml:space="preserve">Scott, A 2001, </w:t>
      </w:r>
      <w:r w:rsidR="00602830">
        <w:t>‘</w:t>
      </w:r>
      <w:r w:rsidRPr="00CA754F">
        <w:t>Eliciting GPs</w:t>
      </w:r>
      <w:r w:rsidR="00602830">
        <w:t>’</w:t>
      </w:r>
      <w:r w:rsidRPr="00CA754F">
        <w:t xml:space="preserve"> preferences for pecuniary and non-pecuniary job characteristics</w:t>
      </w:r>
      <w:r w:rsidR="00602830">
        <w:t>’</w:t>
      </w:r>
      <w:r w:rsidRPr="00CA754F">
        <w:t xml:space="preserve">, </w:t>
      </w:r>
      <w:r w:rsidRPr="00CA754F">
        <w:rPr>
          <w:i/>
        </w:rPr>
        <w:t>Journal of Health Economics</w:t>
      </w:r>
      <w:r w:rsidRPr="00CA754F">
        <w:t xml:space="preserve">, </w:t>
      </w:r>
      <w:r w:rsidR="00A07A96">
        <w:t>vol.</w:t>
      </w:r>
      <w:r w:rsidRPr="00CA754F">
        <w:t xml:space="preserve">20, </w:t>
      </w:r>
      <w:r w:rsidR="00EA6392">
        <w:t>pp.</w:t>
      </w:r>
      <w:r w:rsidRPr="00CA754F">
        <w:t>329</w:t>
      </w:r>
      <w:r w:rsidR="00EA6392">
        <w:t>—</w:t>
      </w:r>
      <w:r w:rsidRPr="00CA754F">
        <w:t>47.</w:t>
      </w:r>
    </w:p>
    <w:p w:rsidR="00775948" w:rsidRPr="00CA754F" w:rsidRDefault="00775948" w:rsidP="00602830">
      <w:pPr>
        <w:pStyle w:val="References"/>
      </w:pPr>
      <w:r w:rsidRPr="00CA754F">
        <w:t xml:space="preserve">Scott, A, Witt, J, Humphreys, J, Joyce, C, Kalb, G, Jeon, S-H &amp; MacGrail, M 2012, </w:t>
      </w:r>
      <w:r w:rsidR="00602830">
        <w:t>‘</w:t>
      </w:r>
      <w:r w:rsidRPr="00CA754F">
        <w:t>Getting</w:t>
      </w:r>
      <w:r w:rsidR="00F91DD9" w:rsidRPr="00CA754F">
        <w:t xml:space="preserve"> doctors into the bush: general practitioners</w:t>
      </w:r>
      <w:r w:rsidR="00602830">
        <w:t>’</w:t>
      </w:r>
      <w:r w:rsidR="00F91DD9" w:rsidRPr="00CA754F">
        <w:t xml:space="preserve"> preferences for rural location</w:t>
      </w:r>
      <w:r w:rsidR="00602830">
        <w:t>’</w:t>
      </w:r>
      <w:r w:rsidRPr="00CA754F">
        <w:t xml:space="preserve">, Working </w:t>
      </w:r>
      <w:r w:rsidR="00F91DD9" w:rsidRPr="00CA754F">
        <w:t xml:space="preserve">paper series </w:t>
      </w:r>
      <w:r w:rsidRPr="00CA754F">
        <w:t>13/12, Melbourne Institute, Melbourne.</w:t>
      </w:r>
    </w:p>
    <w:p w:rsidR="00775948" w:rsidRPr="00CA754F" w:rsidRDefault="00775948" w:rsidP="00602830">
      <w:pPr>
        <w:pStyle w:val="References"/>
      </w:pPr>
      <w:r w:rsidRPr="00CA754F">
        <w:t>Shah, C, Webb, S, Nicholas, A, Beale</w:t>
      </w:r>
      <w:r w:rsidR="00F91DD9">
        <w:t xml:space="preserve">, D, Devos, A &amp; Faine, M 2012, </w:t>
      </w:r>
      <w:r w:rsidRPr="00F91DD9">
        <w:rPr>
          <w:i/>
        </w:rPr>
        <w:t>Geographical dimensions of social inclusion and VET</w:t>
      </w:r>
      <w:r w:rsidR="00F91DD9" w:rsidRPr="00F91DD9">
        <w:rPr>
          <w:i/>
        </w:rPr>
        <w:t xml:space="preserve"> in Australia: an overview</w:t>
      </w:r>
      <w:r w:rsidRPr="00CA754F">
        <w:t>, NCVER, Adelaide.</w:t>
      </w:r>
    </w:p>
    <w:p w:rsidR="00775948" w:rsidRPr="00CA754F" w:rsidRDefault="00775948" w:rsidP="00430038">
      <w:pPr>
        <w:pStyle w:val="References"/>
        <w:ind w:right="-284"/>
      </w:pPr>
      <w:r w:rsidRPr="00CA754F">
        <w:t xml:space="preserve">Sjaastad, L 1962, </w:t>
      </w:r>
      <w:r w:rsidR="00602830">
        <w:t>‘</w:t>
      </w:r>
      <w:r w:rsidRPr="00CA754F">
        <w:t>The costs and returns of human migration</w:t>
      </w:r>
      <w:r w:rsidR="00602830">
        <w:t>’</w:t>
      </w:r>
      <w:r w:rsidRPr="00CA754F">
        <w:t xml:space="preserve">, </w:t>
      </w:r>
      <w:r w:rsidRPr="00CA754F">
        <w:rPr>
          <w:i/>
        </w:rPr>
        <w:t>Journal of Political Economy</w:t>
      </w:r>
      <w:r w:rsidRPr="00CA754F">
        <w:t xml:space="preserve">, </w:t>
      </w:r>
      <w:r w:rsidR="00A07A96">
        <w:t>vol.</w:t>
      </w:r>
      <w:r w:rsidRPr="00CA754F">
        <w:t xml:space="preserve">70, </w:t>
      </w:r>
      <w:r w:rsidR="00EA6392">
        <w:t>pp.</w:t>
      </w:r>
      <w:r w:rsidRPr="00CA754F">
        <w:t>80</w:t>
      </w:r>
      <w:r w:rsidR="00EA6392">
        <w:t>—</w:t>
      </w:r>
      <w:r w:rsidRPr="00CA754F">
        <w:t>93.</w:t>
      </w:r>
    </w:p>
    <w:p w:rsidR="00775948" w:rsidRPr="00CA754F" w:rsidRDefault="00775948" w:rsidP="00602830">
      <w:pPr>
        <w:pStyle w:val="References"/>
      </w:pPr>
      <w:r w:rsidRPr="00CA754F">
        <w:t>Smith, A 1776</w:t>
      </w:r>
      <w:r w:rsidR="005E69DE">
        <w:t>(</w:t>
      </w:r>
      <w:r w:rsidRPr="00CA754F">
        <w:t>2005</w:t>
      </w:r>
      <w:r w:rsidR="005E69DE">
        <w:t>)</w:t>
      </w:r>
      <w:r w:rsidRPr="00CA754F">
        <w:t xml:space="preserve">, </w:t>
      </w:r>
      <w:r w:rsidR="00736E6D">
        <w:t>'</w:t>
      </w:r>
      <w:r w:rsidRPr="00736E6D">
        <w:t>An inquiry into the nature and causes of the wealth of nations</w:t>
      </w:r>
      <w:r w:rsidR="00736E6D">
        <w:t>'</w:t>
      </w:r>
      <w:r w:rsidRPr="00CA754F">
        <w:t xml:space="preserve">, </w:t>
      </w:r>
      <w:r w:rsidRPr="00736E6D">
        <w:rPr>
          <w:i/>
        </w:rPr>
        <w:t xml:space="preserve">in The </w:t>
      </w:r>
      <w:r w:rsidR="005E69DE" w:rsidRPr="00736E6D">
        <w:rPr>
          <w:i/>
        </w:rPr>
        <w:t>e</w:t>
      </w:r>
      <w:r w:rsidRPr="00736E6D">
        <w:rPr>
          <w:i/>
        </w:rPr>
        <w:t xml:space="preserve">lectronic </w:t>
      </w:r>
      <w:r w:rsidR="00F91DD9" w:rsidRPr="00736E6D">
        <w:rPr>
          <w:i/>
        </w:rPr>
        <w:t>classics series</w:t>
      </w:r>
      <w:r w:rsidRPr="00CA754F">
        <w:t xml:space="preserve">, </w:t>
      </w:r>
      <w:r w:rsidR="00430038">
        <w:t xml:space="preserve">ed. </w:t>
      </w:r>
      <w:r w:rsidR="00430038" w:rsidRPr="00CA754F">
        <w:t>J Manis</w:t>
      </w:r>
      <w:r w:rsidR="00430038">
        <w:t>,</w:t>
      </w:r>
      <w:r w:rsidR="00430038" w:rsidRPr="00CA754F">
        <w:t xml:space="preserve"> </w:t>
      </w:r>
      <w:r w:rsidRPr="00CA754F">
        <w:t>Pennsylvania State University, Hazelton, PA, viewed 20</w:t>
      </w:r>
      <w:r w:rsidR="00430038">
        <w:t> </w:t>
      </w:r>
      <w:r w:rsidRPr="00CA754F">
        <w:t>February 2013, &lt;</w:t>
      </w:r>
      <w:hyperlink r:id="rId27" w:history="1">
        <w:r w:rsidRPr="00CA754F">
          <w:rPr>
            <w:rStyle w:val="Hyperlink"/>
            <w:sz w:val="18"/>
          </w:rPr>
          <w:t>http://www2.hn.psu.edu/faculty/jmanis/adam-smith/Wealth-Nations.pdf&gt;</w:t>
        </w:r>
      </w:hyperlink>
      <w:r w:rsidRPr="00CA754F">
        <w:t>.</w:t>
      </w:r>
    </w:p>
    <w:p w:rsidR="00775948" w:rsidRPr="00CA754F" w:rsidRDefault="00775948" w:rsidP="00602830">
      <w:pPr>
        <w:pStyle w:val="References"/>
      </w:pPr>
      <w:r w:rsidRPr="00CA754F">
        <w:t xml:space="preserve">Storey, K 2001, </w:t>
      </w:r>
      <w:r w:rsidR="00602830">
        <w:t>‘</w:t>
      </w:r>
      <w:r w:rsidRPr="00CA754F">
        <w:t>Fly-in/</w:t>
      </w:r>
      <w:r w:rsidR="00F91DD9" w:rsidRPr="00CA754F">
        <w:t>fly-out and fly-ov</w:t>
      </w:r>
      <w:r w:rsidRPr="00CA754F">
        <w:t>er: mining and regional development in Western Australia</w:t>
      </w:r>
      <w:r w:rsidR="00602830">
        <w:t>’</w:t>
      </w:r>
      <w:r w:rsidRPr="00CA754F">
        <w:t xml:space="preserve">, </w:t>
      </w:r>
      <w:r w:rsidRPr="00CA754F">
        <w:rPr>
          <w:i/>
        </w:rPr>
        <w:t>Australian Geographer</w:t>
      </w:r>
      <w:r w:rsidRPr="00CA754F">
        <w:t xml:space="preserve">, </w:t>
      </w:r>
      <w:r w:rsidR="00A07A96">
        <w:t>vol.</w:t>
      </w:r>
      <w:r w:rsidRPr="00CA754F">
        <w:t xml:space="preserve">32, </w:t>
      </w:r>
      <w:r w:rsidR="00EA6392">
        <w:t>pp.</w:t>
      </w:r>
      <w:r w:rsidRPr="00CA754F">
        <w:t>133</w:t>
      </w:r>
      <w:r w:rsidR="00EA6392">
        <w:t>—</w:t>
      </w:r>
      <w:r w:rsidRPr="00CA754F">
        <w:t>48.</w:t>
      </w:r>
    </w:p>
    <w:p w:rsidR="00775948" w:rsidRPr="00CA754F" w:rsidRDefault="00775948" w:rsidP="00602830">
      <w:pPr>
        <w:pStyle w:val="References"/>
      </w:pPr>
      <w:r w:rsidRPr="00CA754F">
        <w:t xml:space="preserve">Tatsiramos, K 2009, </w:t>
      </w:r>
      <w:r w:rsidR="00602830">
        <w:t>‘</w:t>
      </w:r>
      <w:r w:rsidRPr="00CA754F">
        <w:t>Geographic labour mobility and unemployment insurance in Europe</w:t>
      </w:r>
      <w:r w:rsidR="00602830">
        <w:t>’</w:t>
      </w:r>
      <w:r w:rsidRPr="00CA754F">
        <w:t xml:space="preserve">, </w:t>
      </w:r>
      <w:r w:rsidRPr="00CA754F">
        <w:rPr>
          <w:i/>
        </w:rPr>
        <w:t>Journal of Population Economics</w:t>
      </w:r>
      <w:r w:rsidRPr="00CA754F">
        <w:t xml:space="preserve">, </w:t>
      </w:r>
      <w:r w:rsidR="00A07A96">
        <w:t>vol.</w:t>
      </w:r>
      <w:r w:rsidRPr="00CA754F">
        <w:t xml:space="preserve">22, </w:t>
      </w:r>
      <w:r w:rsidR="00EA6392">
        <w:t>pp.</w:t>
      </w:r>
      <w:r w:rsidRPr="00CA754F">
        <w:t>267</w:t>
      </w:r>
      <w:r w:rsidR="00EA6392">
        <w:t>—</w:t>
      </w:r>
      <w:r w:rsidRPr="00CA754F">
        <w:t>83.</w:t>
      </w:r>
    </w:p>
    <w:p w:rsidR="00775948" w:rsidRPr="00CA754F" w:rsidRDefault="00775948" w:rsidP="00602830">
      <w:pPr>
        <w:pStyle w:val="References"/>
      </w:pPr>
      <w:r w:rsidRPr="00CA754F">
        <w:t xml:space="preserve">Thurstone, L 1927, </w:t>
      </w:r>
      <w:r w:rsidR="00602830">
        <w:t>‘</w:t>
      </w:r>
      <w:r w:rsidRPr="00CA754F">
        <w:t>A law of comparative judgment</w:t>
      </w:r>
      <w:r w:rsidR="00602830">
        <w:t>’</w:t>
      </w:r>
      <w:r w:rsidRPr="00CA754F">
        <w:t xml:space="preserve">, </w:t>
      </w:r>
      <w:r w:rsidRPr="00CA754F">
        <w:rPr>
          <w:i/>
        </w:rPr>
        <w:t>Psychological Review</w:t>
      </w:r>
      <w:r w:rsidRPr="00CA754F">
        <w:t xml:space="preserve">, </w:t>
      </w:r>
      <w:r w:rsidR="00A07A96">
        <w:t>vol.</w:t>
      </w:r>
      <w:r w:rsidRPr="00CA754F">
        <w:t xml:space="preserve">34, </w:t>
      </w:r>
      <w:r w:rsidR="00EA6392">
        <w:t>pp.</w:t>
      </w:r>
      <w:r w:rsidRPr="00CA754F">
        <w:t>273</w:t>
      </w:r>
      <w:r w:rsidR="00EA6392">
        <w:t>—</w:t>
      </w:r>
      <w:r w:rsidRPr="00CA754F">
        <w:t>86.</w:t>
      </w:r>
    </w:p>
    <w:p w:rsidR="00775948" w:rsidRPr="00CA754F" w:rsidRDefault="00775948" w:rsidP="00602830">
      <w:pPr>
        <w:pStyle w:val="References"/>
      </w:pPr>
      <w:r w:rsidRPr="00CA754F">
        <w:t xml:space="preserve">Train, K 2009, </w:t>
      </w:r>
      <w:r w:rsidRPr="00CA754F">
        <w:rPr>
          <w:i/>
        </w:rPr>
        <w:t xml:space="preserve">Discrete </w:t>
      </w:r>
      <w:r w:rsidR="00F91DD9" w:rsidRPr="00CA754F">
        <w:rPr>
          <w:i/>
        </w:rPr>
        <w:t>choice methods with simulati</w:t>
      </w:r>
      <w:r w:rsidRPr="00CA754F">
        <w:rPr>
          <w:i/>
        </w:rPr>
        <w:t>on</w:t>
      </w:r>
      <w:r w:rsidRPr="00CA754F">
        <w:t>,</w:t>
      </w:r>
      <w:r w:rsidRPr="00CA754F">
        <w:rPr>
          <w:i/>
        </w:rPr>
        <w:t xml:space="preserve"> </w:t>
      </w:r>
      <w:r w:rsidR="00F91DD9">
        <w:t>2nd</w:t>
      </w:r>
      <w:r w:rsidRPr="00CA754F">
        <w:t xml:space="preserve"> edn, Cambridge University Press, Cambridge.</w:t>
      </w:r>
    </w:p>
    <w:p w:rsidR="00775948" w:rsidRPr="00CA754F" w:rsidRDefault="00F91DD9" w:rsidP="00602830">
      <w:pPr>
        <w:pStyle w:val="References"/>
      </w:pPr>
      <w:r>
        <w:t xml:space="preserve">World </w:t>
      </w:r>
      <w:r w:rsidR="00286589">
        <w:t>He</w:t>
      </w:r>
      <w:r w:rsidR="005E69DE">
        <w:t xml:space="preserve">alth </w:t>
      </w:r>
      <w:r>
        <w:t>Organization</w:t>
      </w:r>
      <w:r w:rsidR="00775948" w:rsidRPr="00CA754F">
        <w:t xml:space="preserve"> 2012, </w:t>
      </w:r>
      <w:r w:rsidR="00775948" w:rsidRPr="00CA754F">
        <w:rPr>
          <w:i/>
        </w:rPr>
        <w:t>How to conduct a discrete choice experiment for health workforce recruitment and retent</w:t>
      </w:r>
      <w:r>
        <w:rPr>
          <w:i/>
        </w:rPr>
        <w:t>ion in remote and rural areas: a</w:t>
      </w:r>
      <w:r w:rsidR="00775948" w:rsidRPr="00CA754F">
        <w:rPr>
          <w:i/>
        </w:rPr>
        <w:t xml:space="preserve"> user guide with case studies</w:t>
      </w:r>
      <w:r>
        <w:t>, World Health Organiz</w:t>
      </w:r>
      <w:r w:rsidR="00775948" w:rsidRPr="00CA754F">
        <w:t>ation, Geneva, viewed 23 June 2013, &lt;</w:t>
      </w:r>
      <w:hyperlink r:id="rId28" w:history="1">
        <w:r w:rsidR="00775948" w:rsidRPr="00CA754F">
          <w:rPr>
            <w:rStyle w:val="Hyperlink"/>
            <w:sz w:val="18"/>
          </w:rPr>
          <w:t>http://www.who.int/hrh/resources/DCE_UserGuide_WEB.pdf&gt;</w:t>
        </w:r>
      </w:hyperlink>
      <w:r w:rsidR="00775948" w:rsidRPr="00CA754F">
        <w:t>.</w:t>
      </w:r>
    </w:p>
    <w:p w:rsidR="00E84A94" w:rsidRPr="00FE162C" w:rsidRDefault="00406B75" w:rsidP="00775948">
      <w:pPr>
        <w:pStyle w:val="Text"/>
        <w:rPr>
          <w:color w:val="000000" w:themeColor="text1"/>
        </w:rPr>
      </w:pPr>
      <w:r w:rsidRPr="00FE162C">
        <w:rPr>
          <w:color w:val="000000" w:themeColor="text1"/>
        </w:rPr>
        <w:fldChar w:fldCharType="end"/>
      </w:r>
    </w:p>
    <w:p w:rsidR="00E84A94" w:rsidRPr="00FE162C" w:rsidRDefault="00E84A94">
      <w:pPr>
        <w:spacing w:before="0" w:line="240" w:lineRule="auto"/>
        <w:rPr>
          <w:rFonts w:ascii="Tahoma" w:hAnsi="Tahoma" w:cs="Tahoma"/>
          <w:color w:val="000000" w:themeColor="text1"/>
          <w:kern w:val="28"/>
          <w:sz w:val="56"/>
          <w:szCs w:val="56"/>
        </w:rPr>
      </w:pPr>
      <w:r w:rsidRPr="00FE162C">
        <w:rPr>
          <w:color w:val="000000" w:themeColor="text1"/>
        </w:rPr>
        <w:br w:type="page"/>
      </w:r>
    </w:p>
    <w:p w:rsidR="00E84A94" w:rsidRPr="00FE162C" w:rsidRDefault="00E84A94" w:rsidP="00E84A94">
      <w:pPr>
        <w:pStyle w:val="Heading1"/>
        <w:rPr>
          <w:color w:val="000000" w:themeColor="text1"/>
        </w:rPr>
      </w:pPr>
      <w:bookmarkStart w:id="67" w:name="_Toc386530497"/>
      <w:r w:rsidRPr="00FE162C">
        <w:rPr>
          <w:color w:val="000000" w:themeColor="text1"/>
        </w:rPr>
        <w:lastRenderedPageBreak/>
        <w:t>Appendix A: Choice experiments</w:t>
      </w:r>
      <w:bookmarkEnd w:id="67"/>
    </w:p>
    <w:p w:rsidR="000D66BF" w:rsidRPr="003B04AC" w:rsidRDefault="000D66BF" w:rsidP="003B04AC">
      <w:pPr>
        <w:pStyle w:val="Text"/>
      </w:pPr>
      <w:r w:rsidRPr="00FE162C">
        <w:t>The popularity of choice modelling (CM) is due to wide</w:t>
      </w:r>
      <w:r w:rsidR="001327E3" w:rsidRPr="00FE162C">
        <w:t>spread</w:t>
      </w:r>
      <w:r w:rsidRPr="00FE162C">
        <w:t xml:space="preserve"> use o</w:t>
      </w:r>
      <w:r w:rsidR="00775948">
        <w:t>f contingent valuation (CV) in cost</w:t>
      </w:r>
      <w:r w:rsidR="00EA6392">
        <w:t>—</w:t>
      </w:r>
      <w:r w:rsidR="00775948">
        <w:t>bene</w:t>
      </w:r>
      <w:r w:rsidR="00245B00">
        <w:t>fit analyse</w:t>
      </w:r>
      <w:r w:rsidR="00775948">
        <w:t>s. CV</w:t>
      </w:r>
      <w:r w:rsidRPr="00FE162C">
        <w:t xml:space="preserve"> is a stated-preference (SP) survey method for eliciting willingness-to-pay information from individuals. SP methods are particularly important for public g</w:t>
      </w:r>
      <w:r w:rsidR="00775948">
        <w:t>oods (</w:t>
      </w:r>
      <w:r w:rsidR="00245B00">
        <w:t>for example,</w:t>
      </w:r>
      <w:r w:rsidR="00775948">
        <w:t xml:space="preserve"> valuation of</w:t>
      </w:r>
      <w:r w:rsidRPr="00FE162C">
        <w:t xml:space="preserve"> environment</w:t>
      </w:r>
      <w:r w:rsidR="00775948">
        <w:t>al assets</w:t>
      </w:r>
      <w:r w:rsidRPr="00FE162C">
        <w:t>)</w:t>
      </w:r>
      <w:r w:rsidR="00245B00">
        <w:t>,</w:t>
      </w:r>
      <w:r w:rsidRPr="00FE162C">
        <w:t xml:space="preserve"> where there is no obvious observed individual </w:t>
      </w:r>
      <w:r w:rsidR="00602830">
        <w:t>‘</w:t>
      </w:r>
      <w:r w:rsidRPr="00FE162C">
        <w:t>consumption</w:t>
      </w:r>
      <w:r w:rsidR="00602830">
        <w:t>’</w:t>
      </w:r>
      <w:r w:rsidRPr="00FE162C">
        <w:t xml:space="preserve"> of a good due to its non-rival nature and where externalities from consumpti</w:t>
      </w:r>
      <w:r w:rsidR="00245B00">
        <w:t xml:space="preserve">on exist. Generally, it is well </w:t>
      </w:r>
      <w:r w:rsidRPr="00FE162C">
        <w:t xml:space="preserve">suited for providing </w:t>
      </w:r>
      <w:r w:rsidRPr="003B04AC">
        <w:t>valuations of goods whose monetary values are not obvious.</w:t>
      </w:r>
    </w:p>
    <w:p w:rsidR="000D66BF" w:rsidRPr="003B04AC" w:rsidRDefault="000D66BF" w:rsidP="003B04AC">
      <w:pPr>
        <w:pStyle w:val="Text"/>
        <w:ind w:right="-143"/>
      </w:pPr>
      <w:r w:rsidRPr="003B04AC">
        <w:t>However</w:t>
      </w:r>
      <w:r w:rsidR="00245B00" w:rsidRPr="003B04AC">
        <w:t>,</w:t>
      </w:r>
      <w:r w:rsidRPr="003B04AC">
        <w:t xml:space="preserve"> there has been significant criticism of SP methods</w:t>
      </w:r>
      <w:r w:rsidR="00245B00" w:rsidRPr="003B04AC">
        <w:t>,</w:t>
      </w:r>
      <w:r w:rsidRPr="003B04AC">
        <w:t xml:space="preserve"> which culminated in the National Oceanic and Atmospheric Administration (NOAA) report by</w:t>
      </w:r>
      <w:r w:rsidR="00245B00" w:rsidRPr="003B04AC">
        <w:t>,</w:t>
      </w:r>
      <w:r w:rsidRPr="003B04AC">
        <w:t xml:space="preserve"> among others</w:t>
      </w:r>
      <w:r w:rsidR="00245B00" w:rsidRPr="003B04AC">
        <w:t>,</w:t>
      </w:r>
      <w:r w:rsidRPr="003B04AC">
        <w:t xml:space="preserve"> Nobel prize winners Kenneth Arrow and Robert Solow</w:t>
      </w:r>
      <w:r w:rsidR="00245B00" w:rsidRPr="003B04AC">
        <w:t>,</w:t>
      </w:r>
      <w:r w:rsidRPr="003B04AC">
        <w:t xml:space="preserve"> which offe</w:t>
      </w:r>
      <w:r w:rsidR="00775948" w:rsidRPr="003B04AC">
        <w:t>red strict guidelines on how CV</w:t>
      </w:r>
      <w:r w:rsidRPr="003B04AC">
        <w:t xml:space="preserve"> surveys were to be carried out (</w:t>
      </w:r>
      <w:r w:rsidR="00406B75" w:rsidRPr="003B04AC">
        <w:fldChar w:fldCharType="begin"/>
      </w:r>
      <w:r w:rsidR="00CA754F" w:rsidRPr="003B04AC">
        <w:instrText xml:space="preserve"> ADDIN EN.CITE &lt;EndNote&gt;&lt;Cite&gt;&lt;Author&gt;Arrow&lt;/Author&gt;&lt;Year&gt;1993&lt;/Year&gt;&lt;RecNum&gt;942&lt;/RecNum&gt;&lt;DisplayText&gt;Arrow et al. (1993)&lt;/DisplayText&gt;&lt;record&gt;&lt;rec-number&gt;942&lt;/rec-number&gt;&lt;foreign-keys&gt;&lt;key app="EN" db-id="refafpv0nd2rd4e9e2qxeaf6rw5xxvv2ds22" timestamp="1322656886"&gt;942&lt;/key&gt;&lt;/foreign-keys&gt;&lt;ref-type name="Report"&gt;27&lt;/ref-type&gt;&lt;contributors&gt;&lt;authors&gt;&lt;author&gt;Arrow, K&lt;/author&gt;&lt;author&gt;Solow, R&lt;/author&gt;&lt;author&gt;Portney, P&lt;/author&gt;&lt;author&gt;Leamer, E&lt;/author&gt;&lt;author&gt;Radner, R&lt;/author&gt;&lt;author&gt;Schuman, H&lt;/author&gt;&lt;/authors&gt;&lt;/contributors&gt;&lt;titles&gt;&lt;title&gt;Report of the NOAA Panel on Contingent Valuation&lt;/title&gt;&lt;/titles&gt;&lt;dates&gt;&lt;year&gt;1993&lt;/year&gt;&lt;/dates&gt;&lt;publisher&gt;National Oceanic and Atmospheric Administration&lt;/publisher&gt;&lt;urls&gt;&lt;/urls&gt;&lt;/record&gt;&lt;/Cite&gt;&lt;/EndNote&gt;</w:instrText>
      </w:r>
      <w:r w:rsidR="00406B75" w:rsidRPr="003B04AC">
        <w:fldChar w:fldCharType="separate"/>
      </w:r>
      <w:hyperlink w:anchor="_ENREF_4" w:tooltip="Arrow, 1993 #942" w:history="1">
        <w:r w:rsidR="00775948" w:rsidRPr="003B04AC">
          <w:t xml:space="preserve">Arrow et al. </w:t>
        </w:r>
        <w:r w:rsidR="00CA754F" w:rsidRPr="003B04AC">
          <w:t>1993</w:t>
        </w:r>
      </w:hyperlink>
      <w:r w:rsidR="00CA754F" w:rsidRPr="003B04AC">
        <w:t>)</w:t>
      </w:r>
      <w:r w:rsidR="00406B75" w:rsidRPr="003B04AC">
        <w:fldChar w:fldCharType="end"/>
      </w:r>
      <w:r w:rsidR="00775948" w:rsidRPr="003B04AC">
        <w:t>. Since then CV</w:t>
      </w:r>
      <w:r w:rsidRPr="003B04AC">
        <w:t xml:space="preserve"> has evolved from a survey where participants expressed exactly how much they</w:t>
      </w:r>
      <w:r w:rsidR="003B04AC">
        <w:t> </w:t>
      </w:r>
      <w:r w:rsidRPr="003B04AC">
        <w:t xml:space="preserve">are actually willing to pay for certain policies, to one where participants were told the costs of </w:t>
      </w:r>
      <w:r w:rsidR="00775948" w:rsidRPr="003B04AC">
        <w:t>policies, and were asked</w:t>
      </w:r>
      <w:r w:rsidRPr="003B04AC">
        <w:t xml:space="preserve"> whether they would be willing to incur those costs. Further work has refined the method and increased its robustness in a variety of ways, which will be briefly discussed.</w:t>
      </w:r>
    </w:p>
    <w:p w:rsidR="000D66BF" w:rsidRPr="003B04AC" w:rsidRDefault="000D66BF" w:rsidP="003B04AC">
      <w:pPr>
        <w:pStyle w:val="Text"/>
      </w:pPr>
      <w:r w:rsidRPr="003B04AC">
        <w:t>CM can be seen as the gen</w:t>
      </w:r>
      <w:r w:rsidR="00775948" w:rsidRPr="003B04AC">
        <w:t>eral case of the dichotomous CV. The dichotomous CV</w:t>
      </w:r>
      <w:r w:rsidRPr="003B04AC">
        <w:t xml:space="preserve"> generally involves presenting subjects with two hypothetical options: one involving a </w:t>
      </w:r>
      <w:r w:rsidR="00602830" w:rsidRPr="003B04AC">
        <w:t>‘</w:t>
      </w:r>
      <w:r w:rsidRPr="003B04AC">
        <w:t>status quo</w:t>
      </w:r>
      <w:r w:rsidR="00602830" w:rsidRPr="003B04AC">
        <w:t>’</w:t>
      </w:r>
      <w:r w:rsidRPr="003B04AC">
        <w:t xml:space="preserve"> option, and the other a proposed policy change, along with the consequences the policy change will bring. These changes or variations are termed the </w:t>
      </w:r>
      <w:r w:rsidR="005E69DE">
        <w:t>‘</w:t>
      </w:r>
      <w:r w:rsidRPr="003B04AC">
        <w:t>attributes of options</w:t>
      </w:r>
      <w:r w:rsidR="005E69DE">
        <w:t>’</w:t>
      </w:r>
      <w:r w:rsidRPr="003B04AC">
        <w:t xml:space="preserve"> and one of the attributes that is always included is the individual</w:t>
      </w:r>
      <w:r w:rsidR="001327E3" w:rsidRPr="003B04AC">
        <w:t>,</w:t>
      </w:r>
      <w:r w:rsidRPr="003B04AC">
        <w:t xml:space="preserve"> </w:t>
      </w:r>
      <w:r w:rsidR="001327E3" w:rsidRPr="003B04AC">
        <w:t xml:space="preserve">or </w:t>
      </w:r>
      <w:r w:rsidRPr="003B04AC">
        <w:t>private</w:t>
      </w:r>
      <w:r w:rsidR="001327E3" w:rsidRPr="003B04AC">
        <w:t>,</w:t>
      </w:r>
      <w:r w:rsidRPr="003B04AC">
        <w:t xml:space="preserve"> cost of having the policy implemented. Subjects are then asked to choose their most preferred option. CM is more general</w:t>
      </w:r>
      <w:r w:rsidR="00245B00" w:rsidRPr="003B04AC">
        <w:t>,</w:t>
      </w:r>
      <w:r w:rsidRPr="003B04AC">
        <w:t xml:space="preserve"> in that it allows for more than two choices in each choice set and therefore a wider range of trade-offs between multiple attributes.</w:t>
      </w:r>
    </w:p>
    <w:p w:rsidR="000D66BF" w:rsidRPr="00FE162C" w:rsidRDefault="000D66BF" w:rsidP="003B04AC">
      <w:pPr>
        <w:pStyle w:val="Text"/>
      </w:pPr>
      <w:r w:rsidRPr="003B04AC">
        <w:t xml:space="preserve">The simple idea behind CM is </w:t>
      </w:r>
      <w:r w:rsidRPr="00FE162C">
        <w:t xml:space="preserve">that an individual </w:t>
      </w:r>
      <w:r w:rsidRPr="00FE162C">
        <w:rPr>
          <w:i/>
          <w:iCs/>
        </w:rPr>
        <w:t>i</w:t>
      </w:r>
      <w:r w:rsidRPr="00FE162C">
        <w:t xml:space="preserve"> chooses an option </w:t>
      </w:r>
      <w:r w:rsidRPr="00FE162C">
        <w:rPr>
          <w:i/>
          <w:iCs/>
        </w:rPr>
        <w:t>j</w:t>
      </w:r>
      <w:r w:rsidR="00245B00">
        <w:t xml:space="preserve"> based on two major components: t</w:t>
      </w:r>
      <w:r w:rsidRPr="00FE162C">
        <w:t xml:space="preserve">he deterministic component D, which is a function of the attributes of the option </w:t>
      </w:r>
      <w:r w:rsidRPr="00FE162C">
        <w:rPr>
          <w:i/>
          <w:iCs/>
        </w:rPr>
        <w:t>A</w:t>
      </w:r>
      <w:r w:rsidRPr="00FE162C">
        <w:rPr>
          <w:i/>
          <w:iCs/>
          <w:vertAlign w:val="subscript"/>
        </w:rPr>
        <w:t>j</w:t>
      </w:r>
      <w:r w:rsidRPr="00FE162C">
        <w:t>, and the stochastic component E, which is a function of some random process for which distributi</w:t>
      </w:r>
      <w:r w:rsidR="003E640F">
        <w:t>onal assumptions are</w:t>
      </w:r>
      <w:r w:rsidRPr="00FE162C">
        <w:t xml:space="preserve"> imposed. The assumption for t</w:t>
      </w:r>
      <w:r w:rsidR="00245B00">
        <w:t>he random component in decision-</w:t>
      </w:r>
      <w:r w:rsidRPr="00FE162C">
        <w:t>making has its roots in random utility theory (</w:t>
      </w:r>
      <w:r w:rsidR="00406B75" w:rsidRPr="00FE162C">
        <w:fldChar w:fldCharType="begin"/>
      </w:r>
      <w:r w:rsidR="00CA754F">
        <w:instrText xml:space="preserve"> ADDIN EN.CITE &lt;EndNote&gt;&lt;Cite&gt;&lt;Author&gt;Marschak&lt;/Author&gt;&lt;Year&gt;1960&lt;/Year&gt;&lt;RecNum&gt;1333&lt;/RecNum&gt;&lt;DisplayText&gt;Marschak (1960)&lt;/DisplayText&gt;&lt;record&gt;&lt;rec-number&gt;1333&lt;/rec-number&gt;&lt;foreign-keys&gt;&lt;key app="EN" db-id="refafpv0nd2rd4e9e2qxeaf6rw5xxvv2ds22" timestamp="1380686483"&gt;1333&lt;/key&gt;&lt;/foreign-keys&gt;&lt;ref-type name="Book Section"&gt;5&lt;/ref-type&gt;&lt;contributors&gt;&lt;authors&gt;&lt;author&gt;Marschak, Jacob&lt;/author&gt;&lt;/authors&gt;&lt;secondary-authors&gt;&lt;author&gt;Arrow, Kenneth&lt;/author&gt;&lt;/secondary-authors&gt;&lt;/contributors&gt;&lt;titles&gt;&lt;title&gt;Binary-Choice Constraints and Random Utility Indicators (1960)&lt;/title&gt;&lt;secondary-title&gt;Standord Symposium on Mathematical Methods in the Social Sciences&lt;/secondary-title&gt;&lt;tertiary-title&gt;Theory and Decision Library&lt;/tertiary-title&gt;&lt;/titles&gt;&lt;dates&gt;&lt;year&gt;1960&lt;/year&gt;&lt;pub-dates&gt;&lt;date&gt;1974/01/01&lt;/date&gt;&lt;/pub-dates&gt;&lt;/dates&gt;&lt;pub-location&gt;Stanford&lt;/pub-location&gt;&lt;publisher&gt;Stanford University Press&lt;/publisher&gt;&lt;urls&gt;&lt;/urls&gt;&lt;/record&gt;&lt;/Cite&gt;&lt;/EndNote&gt;</w:instrText>
      </w:r>
      <w:r w:rsidR="00406B75" w:rsidRPr="00FE162C">
        <w:fldChar w:fldCharType="separate"/>
      </w:r>
      <w:hyperlink w:anchor="_ENREF_46" w:tooltip="Marschak, 1960 #1333" w:history="1">
        <w:r w:rsidR="003E640F">
          <w:rPr>
            <w:noProof/>
          </w:rPr>
          <w:t xml:space="preserve">Marschak </w:t>
        </w:r>
        <w:r w:rsidR="00CA754F">
          <w:rPr>
            <w:noProof/>
          </w:rPr>
          <w:t>1960</w:t>
        </w:r>
      </w:hyperlink>
      <w:r w:rsidR="00CA754F">
        <w:rPr>
          <w:noProof/>
        </w:rPr>
        <w:t>)</w:t>
      </w:r>
      <w:r w:rsidR="00406B75" w:rsidRPr="00FE162C">
        <w:fldChar w:fldCharType="end"/>
      </w:r>
      <w:r w:rsidRPr="00FE162C">
        <w:t>. The individual</w:t>
      </w:r>
      <w:r w:rsidR="00602830">
        <w:t>’</w:t>
      </w:r>
      <w:r w:rsidRPr="00FE162C">
        <w:t xml:space="preserve">s choice of an option can then be expressed as choosing the alternative with the highest utility, </w:t>
      </w:r>
      <w:r w:rsidRPr="00FE162C">
        <w:rPr>
          <w:i/>
          <w:iCs/>
        </w:rPr>
        <w:t>U</w:t>
      </w:r>
      <w:r w:rsidRPr="00FE162C">
        <w:t>, where:</w:t>
      </w:r>
    </w:p>
    <w:p w:rsidR="000D66BF" w:rsidRPr="00FE162C" w:rsidRDefault="00D643A2" w:rsidP="000D66BF">
      <w:pPr>
        <w:pStyle w:val="Text"/>
        <w:rPr>
          <w:color w:val="000000" w:themeColor="text1"/>
        </w:rPr>
      </w:pPr>
      <m:oMathPara>
        <m:oMathParaPr>
          <m:jc m:val="center"/>
        </m:oMathParaPr>
        <m:oMath>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ji</m:t>
              </m:r>
            </m:sub>
          </m:sSub>
          <m:r>
            <w:rPr>
              <w:rFonts w:ascii="Cambria Math" w:hAnsi="Cambria Math"/>
              <w:color w:val="000000" w:themeColor="text1"/>
            </w:rPr>
            <m:t>=D</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j</m:t>
                  </m:r>
                </m:sub>
              </m:sSub>
            </m:e>
          </m:d>
          <m:r>
            <w:rPr>
              <w:rFonts w:ascii="Cambria Math" w:hAnsi="Cambria Math"/>
              <w:color w:val="000000" w:themeColor="text1"/>
            </w:rPr>
            <m:t>+E</m:t>
          </m:r>
        </m:oMath>
      </m:oMathPara>
    </w:p>
    <w:p w:rsidR="000D66BF" w:rsidRPr="003B04AC" w:rsidRDefault="000D66BF" w:rsidP="003B04AC">
      <w:pPr>
        <w:pStyle w:val="Text"/>
      </w:pPr>
      <w:r w:rsidRPr="00FE162C">
        <w:t xml:space="preserve">This lends itself </w:t>
      </w:r>
      <w:r w:rsidR="003E640F">
        <w:t>to econometric modelling using</w:t>
      </w:r>
      <w:r w:rsidRPr="00FE162C">
        <w:t xml:space="preserve"> </w:t>
      </w:r>
      <w:r w:rsidRPr="00FE162C">
        <w:rPr>
          <w:bCs/>
        </w:rPr>
        <w:t>McFadden</w:t>
      </w:r>
      <w:r w:rsidR="00602830">
        <w:rPr>
          <w:bCs/>
        </w:rPr>
        <w:t>’</w:t>
      </w:r>
      <w:r w:rsidRPr="00FE162C">
        <w:rPr>
          <w:bCs/>
        </w:rPr>
        <w:t>s conditional logit (</w:t>
      </w:r>
      <w:r w:rsidR="00406B75" w:rsidRPr="00FE162C">
        <w:rPr>
          <w:bCs/>
        </w:rPr>
        <w:fldChar w:fldCharType="begin"/>
      </w:r>
      <w:r w:rsidR="00CA754F">
        <w:rPr>
          <w:bCs/>
        </w:rPr>
        <w:instrText xml:space="preserve"> ADDIN EN.CITE &lt;EndNote&gt;&lt;Cite&gt;&lt;Author&gt;McFadden&lt;/Author&gt;&lt;Year&gt;1974&lt;/Year&gt;&lt;RecNum&gt;1334&lt;/RecNum&gt;&lt;DisplayText&gt;McFadden (1974)&lt;/DisplayText&gt;&lt;record&gt;&lt;rec-number&gt;1334&lt;/rec-number&gt;&lt;foreign-keys&gt;&lt;key app="EN" db-id="refafpv0nd2rd4e9e2qxeaf6rw5xxvv2ds22" timestamp="1380687785"&gt;1334&lt;/key&gt;&lt;/foreign-keys&gt;&lt;ref-type name="Book Section"&gt;5&lt;/ref-type&gt;&lt;contributors&gt;&lt;authors&gt;&lt;author&gt;McFadden, Daniel&lt;/author&gt;&lt;/authors&gt;&lt;secondary-authors&gt;&lt;author&gt;Zarembka, P.&lt;/author&gt;&lt;/secondary-authors&gt;&lt;/contributors&gt;&lt;auth-address&gt;New York&lt;/auth-address&gt;&lt;titles&gt;&lt;title&gt;Conditional Logit Analysis of Qualitative Choice Behavior&lt;/title&gt;&lt;secondary-title&gt;Frontiers in econometrics&lt;/secondary-title&gt;&lt;/titles&gt;&lt;pages&gt;105-142&lt;/pages&gt;&lt;keywords&gt;&lt;keyword&gt;discrete_choice&lt;/keyword&gt;&lt;/keywords&gt;&lt;dates&gt;&lt;year&gt;1974&lt;/year&gt;&lt;/dates&gt;&lt;pub-location&gt;New York&lt;/pub-location&gt;&lt;publisher&gt;Academic Press&lt;/publisher&gt;&lt;urls&gt;&lt;/urls&gt;&lt;electronic-resource-num&gt;citeulike-article-id:912734&lt;/electronic-resource-num&gt;&lt;/record&gt;&lt;/Cite&gt;&lt;/EndNote&gt;</w:instrText>
      </w:r>
      <w:r w:rsidR="00406B75" w:rsidRPr="00FE162C">
        <w:rPr>
          <w:bCs/>
        </w:rPr>
        <w:fldChar w:fldCharType="separate"/>
      </w:r>
      <w:hyperlink w:anchor="_ENREF_49" w:tooltip="McFadden, 1974 #1334" w:history="1">
        <w:r w:rsidR="003E640F">
          <w:rPr>
            <w:bCs/>
            <w:noProof/>
          </w:rPr>
          <w:t xml:space="preserve">McFadden </w:t>
        </w:r>
        <w:r w:rsidR="00CA754F">
          <w:rPr>
            <w:bCs/>
            <w:noProof/>
          </w:rPr>
          <w:t>1974</w:t>
        </w:r>
      </w:hyperlink>
      <w:r w:rsidR="00CA754F">
        <w:rPr>
          <w:bCs/>
          <w:noProof/>
        </w:rPr>
        <w:t>)</w:t>
      </w:r>
      <w:r w:rsidR="00406B75" w:rsidRPr="00FE162C">
        <w:rPr>
          <w:bCs/>
        </w:rPr>
        <w:fldChar w:fldCharType="end"/>
      </w:r>
      <w:r w:rsidR="003E640F">
        <w:rPr>
          <w:bCs/>
        </w:rPr>
        <w:t>, which</w:t>
      </w:r>
      <w:r w:rsidR="003E640F">
        <w:t xml:space="preserve"> can</w:t>
      </w:r>
      <w:r w:rsidRPr="00FE162C">
        <w:t xml:space="preserve"> </w:t>
      </w:r>
      <w:r w:rsidR="003E640F">
        <w:t xml:space="preserve">then </w:t>
      </w:r>
      <w:r w:rsidRPr="00FE162C">
        <w:t>inform us</w:t>
      </w:r>
      <w:r w:rsidR="003E640F">
        <w:t xml:space="preserve"> on</w:t>
      </w:r>
      <w:r w:rsidRPr="00FE162C">
        <w:t xml:space="preserve"> how a change in the level of an attribute in an alternative (</w:t>
      </w:r>
      <w:r w:rsidR="009005B3">
        <w:t>for example,</w:t>
      </w:r>
      <w:r w:rsidRPr="00FE162C">
        <w:t xml:space="preserve"> the amount of pollution reduced</w:t>
      </w:r>
      <w:r w:rsidR="003E640F">
        <w:t xml:space="preserve"> as a result of</w:t>
      </w:r>
      <w:r w:rsidRPr="00FE162C">
        <w:t xml:space="preserve"> a policy) w</w:t>
      </w:r>
      <w:r w:rsidR="003E640F">
        <w:t>ill affect the probability of an</w:t>
      </w:r>
      <w:r w:rsidRPr="00FE162C">
        <w:t xml:space="preserve"> individual choosing that option. When a monetary value such as cost is inc</w:t>
      </w:r>
      <w:r w:rsidR="003E640F">
        <w:t>luded as an attribute, it</w:t>
      </w:r>
      <w:r w:rsidRPr="00FE162C">
        <w:t xml:space="preserve"> allows us to convert any probability to a</w:t>
      </w:r>
      <w:r w:rsidR="003E640F">
        <w:t>n equivalent monetary value</w:t>
      </w:r>
      <w:r w:rsidR="005E69DE">
        <w:t>;</w:t>
      </w:r>
      <w:r w:rsidRPr="00FE162C">
        <w:t xml:space="preserve"> therefore, effectively </w:t>
      </w:r>
      <w:r w:rsidR="009005B3">
        <w:t>expressing</w:t>
      </w:r>
      <w:r w:rsidRPr="00FE162C">
        <w:t xml:space="preserve"> willingness to pay or be</w:t>
      </w:r>
      <w:r w:rsidR="001327E3" w:rsidRPr="00FE162C">
        <w:t xml:space="preserve"> </w:t>
      </w:r>
      <w:r w:rsidRPr="00FE162C">
        <w:t>paid estimates for any non-monetary att</w:t>
      </w:r>
      <w:r w:rsidR="003E640F">
        <w:t>ribute. In the current study on</w:t>
      </w:r>
      <w:r w:rsidRPr="00FE162C">
        <w:t xml:space="preserve"> willingness to move</w:t>
      </w:r>
      <w:r w:rsidR="003E640F">
        <w:t xml:space="preserve"> for work</w:t>
      </w:r>
      <w:r w:rsidRPr="00FE162C">
        <w:t xml:space="preserve">, the </w:t>
      </w:r>
      <w:r w:rsidR="00602830">
        <w:t>‘</w:t>
      </w:r>
      <w:r w:rsidRPr="00FE162C">
        <w:t>cost</w:t>
      </w:r>
      <w:r w:rsidR="00602830">
        <w:t>’</w:t>
      </w:r>
      <w:r w:rsidRPr="00FE162C">
        <w:t xml:space="preserve"> variable is the wage attribute</w:t>
      </w:r>
      <w:r w:rsidR="009005B3">
        <w:t>,</w:t>
      </w:r>
      <w:r w:rsidRPr="00FE162C">
        <w:t xml:space="preserve"> since individuals must be paid</w:t>
      </w:r>
      <w:r w:rsidR="001327E3" w:rsidRPr="00FE162C">
        <w:t>, or</w:t>
      </w:r>
      <w:r w:rsidRPr="00FE162C">
        <w:t xml:space="preserve"> </w:t>
      </w:r>
      <w:r w:rsidR="005E69DE">
        <w:t>be</w:t>
      </w:r>
      <w:r w:rsidRPr="00FE162C">
        <w:t xml:space="preserve"> willing to give up</w:t>
      </w:r>
      <w:r w:rsidR="003E640F">
        <w:t xml:space="preserve"> wages</w:t>
      </w:r>
      <w:r w:rsidR="001327E3" w:rsidRPr="00FE162C">
        <w:t>,</w:t>
      </w:r>
      <w:r w:rsidR="003E640F">
        <w:t xml:space="preserve"> </w:t>
      </w:r>
      <w:r w:rsidRPr="00FE162C">
        <w:t xml:space="preserve">to accept a job offer. All estimates can therefore be normalised using the coefficient on wages. This leads to what is known as the </w:t>
      </w:r>
      <w:r w:rsidRPr="003B04AC">
        <w:t>marginal willingness to pay. We provide more detail</w:t>
      </w:r>
      <w:r w:rsidR="0055160A" w:rsidRPr="003B04AC">
        <w:t xml:space="preserve">s </w:t>
      </w:r>
      <w:r w:rsidR="008A654E" w:rsidRPr="003B04AC">
        <w:t>on how to calculate this</w:t>
      </w:r>
      <w:r w:rsidR="009005B3" w:rsidRPr="003B04AC">
        <w:t xml:space="preserve"> in a</w:t>
      </w:r>
      <w:r w:rsidRPr="003B04AC">
        <w:t xml:space="preserve">ppendix </w:t>
      </w:r>
      <w:r w:rsidR="00AF0CA4" w:rsidRPr="003B04AC">
        <w:t>D</w:t>
      </w:r>
      <w:r w:rsidRPr="003B04AC">
        <w:t>.</w:t>
      </w:r>
    </w:p>
    <w:p w:rsidR="009005B3" w:rsidRDefault="000D66BF" w:rsidP="003B04AC">
      <w:pPr>
        <w:pStyle w:val="Text"/>
      </w:pPr>
      <w:r w:rsidRPr="003B04AC">
        <w:t>Recent reviews and discussion of the methodology can be found</w:t>
      </w:r>
      <w:r w:rsidRPr="00FE162C">
        <w:t xml:space="preserve"> in </w:t>
      </w:r>
      <w:r w:rsidR="00406B75" w:rsidRPr="00FE162C">
        <w:fldChar w:fldCharType="begin"/>
      </w:r>
      <w:r w:rsidR="00CA754F">
        <w:instrText xml:space="preserve"> ADDIN EN.CITE &lt;EndNote&gt;&lt;Cite&gt;&lt;Author&gt;List&lt;/Author&gt;&lt;Year&gt;2006&lt;/Year&gt;&lt;RecNum&gt;943&lt;/RecNum&gt;&lt;DisplayText&gt;List, Sinha and Taylor (2006)&lt;/DisplayText&gt;&lt;record&gt;&lt;rec-number&gt;943&lt;/rec-number&gt;&lt;foreign-keys&gt;&lt;key app="EN" db-id="refafpv0nd2rd4e9e2qxeaf6rw5xxvv2ds22" timestamp="1322657323"&gt;943&lt;/key&gt;&lt;/foreign-keys&gt;&lt;ref-type name="Journal Article"&gt;17&lt;/ref-type&gt;&lt;contributors&gt;&lt;authors&gt;&lt;author&gt;List, J.A&lt;/author&gt;&lt;author&gt;Sinha, P&lt;/author&gt;&lt;author&gt;Taylor, M.H&lt;/author&gt;&lt;/authors&gt;&lt;/contributors&gt;&lt;titles&gt;&lt;title&gt;Using choice experiments to value non-market goods and services: evidence from field experiments&lt;/title&gt;&lt;secondary-title&gt;Advances in Economic Analysis and Policy&lt;/secondary-title&gt;&lt;/titles&gt;&lt;periodical&gt;&lt;full-title&gt;Advances in Economic Analysis and Policy&lt;/full-title&gt;&lt;/periodical&gt;&lt;volume&gt;6&lt;/volume&gt;&lt;number&gt;2&lt;/number&gt;&lt;dates&gt;&lt;year&gt;2006&lt;/year&gt;&lt;/dates&gt;&lt;urls&gt;&lt;/urls&gt;&lt;/record&gt;&lt;/Cite&gt;&lt;/EndNote&gt;</w:instrText>
      </w:r>
      <w:r w:rsidR="00406B75" w:rsidRPr="00FE162C">
        <w:fldChar w:fldCharType="separate"/>
      </w:r>
      <w:hyperlink w:anchor="_ENREF_39" w:tooltip="List, 2006 #943" w:history="1">
        <w:r w:rsidR="00CA754F" w:rsidRPr="00FE162C">
          <w:rPr>
            <w:noProof/>
          </w:rPr>
          <w:t>List, Sinha and Taylor (2006</w:t>
        </w:r>
      </w:hyperlink>
      <w:r w:rsidR="00CE053F" w:rsidRPr="00FE162C">
        <w:rPr>
          <w:noProof/>
        </w:rPr>
        <w:t>)</w:t>
      </w:r>
      <w:r w:rsidR="00406B75" w:rsidRPr="00FE162C">
        <w:fldChar w:fldCharType="end"/>
      </w:r>
      <w:r w:rsidRPr="00FE162C">
        <w:t xml:space="preserve">, </w:t>
      </w:r>
      <w:r w:rsidR="00406B75" w:rsidRPr="00FE162C">
        <w:fldChar w:fldCharType="begin"/>
      </w:r>
      <w:r w:rsidR="00CA754F">
        <w:instrText xml:space="preserve"> ADDIN EN.CITE &lt;EndNote&gt;&lt;Cite&gt;&lt;Author&gt;Ryan&lt;/Author&gt;&lt;Year&gt;2010&lt;/Year&gt;&lt;RecNum&gt;928&lt;/RecNum&gt;&lt;DisplayText&gt;Ryan and Whelan (2010)&lt;/DisplayText&gt;&lt;record&gt;&lt;rec-number&gt;928&lt;/rec-number&gt;&lt;foreign-keys&gt;&lt;key app="EN" db-id="refafpv0nd2rd4e9e2qxeaf6rw5xxvv2ds22" timestamp="1322395436"&gt;928&lt;/key&gt;&lt;/foreign-keys&gt;&lt;ref-type name="Conference Paper"&gt;47&lt;/ref-type&gt;&lt;contributors&gt;&lt;authors&gt;&lt;author&gt;Ryan, C&lt;/author&gt;&lt;author&gt;Whelan, S&lt;/author&gt;&lt;/authors&gt;&lt;/contributors&gt;&lt;titles&gt;&lt;title&gt;Locational disadvantage, socio-economic status and mobility behaviour - evidence from Australia&lt;/title&gt;&lt;secondary-title&gt;&lt;style face="normal" font="default" size="100%"&gt;39&lt;/style&gt;&lt;style face="superscript" font="default" size="100%"&gt;th&lt;/style&gt;&lt;style face="normal" font="default" size="100%"&gt; Australian Conference of Economists&lt;/style&gt;&lt;/secondary-title&gt;&lt;/titles&gt;&lt;dates&gt;&lt;year&gt;2010&lt;/year&gt;&lt;pub-dates&gt;&lt;date&gt;27-29 September 2010&lt;/date&gt;&lt;/pub-dates&gt;&lt;/dates&gt;&lt;pub-location&gt;Sydney&lt;/pub-location&gt;&lt;urls&gt;&lt;/urls&gt;&lt;/record&gt;&lt;/Cite&gt;&lt;/EndNote&gt;</w:instrText>
      </w:r>
      <w:r w:rsidR="00406B75" w:rsidRPr="00FE162C">
        <w:fldChar w:fldCharType="separate"/>
      </w:r>
      <w:hyperlink w:anchor="_ENREF_55" w:tooltip="Ryan, 2010 #928" w:history="1">
        <w:r w:rsidR="00CA754F" w:rsidRPr="00FE162C">
          <w:rPr>
            <w:noProof/>
          </w:rPr>
          <w:t>Ryan and Whelan (2010</w:t>
        </w:r>
      </w:hyperlink>
      <w:r w:rsidR="00CE053F" w:rsidRPr="00FE162C">
        <w:rPr>
          <w:noProof/>
        </w:rPr>
        <w:t>)</w:t>
      </w:r>
      <w:r w:rsidR="00406B75" w:rsidRPr="00FE162C">
        <w:fldChar w:fldCharType="end"/>
      </w:r>
      <w:r w:rsidRPr="00FE162C">
        <w:t xml:space="preserve">, </w:t>
      </w:r>
      <w:r w:rsidR="00406B75" w:rsidRPr="00FE162C">
        <w:fldChar w:fldCharType="begin"/>
      </w:r>
      <w:r w:rsidR="00CA754F">
        <w:instrText xml:space="preserve"> ADDIN EN.CITE &lt;EndNote&gt;&lt;Cite&gt;&lt;Author&gt;Alpizar&lt;/Author&gt;&lt;Year&gt;2001&lt;/Year&gt;&lt;RecNum&gt;944&lt;/RecNum&gt;&lt;DisplayText&gt;Alpizar, Carlsson and Martinsson (2001)&lt;/DisplayText&gt;&lt;record&gt;&lt;rec-number&gt;944&lt;/rec-number&gt;&lt;foreign-keys&gt;&lt;key app="EN" db-id="refafpv0nd2rd4e9e2qxeaf6rw5xxvv2ds22" timestamp="1322657525"&gt;944&lt;/key&gt;&lt;/foreign-keys&gt;&lt;ref-type name="Journal Article"&gt;17&lt;/ref-type&gt;&lt;contributors&gt;&lt;authors&gt;&lt;author&gt;Alpizar, F&lt;/author&gt;&lt;author&gt;Carlsson, F,&lt;/author&gt;&lt;author&gt;Martinsson, P&lt;/author&gt;&lt;/authors&gt;&lt;/contributors&gt;&lt;titles&gt;&lt;title&gt;Using choice experiments for non-market valuation&lt;/title&gt;&lt;secondary-title&gt;&lt;style face="italic" font="default" size="100%"&gt;Economic Issues&lt;/style&gt;&lt;/secondary-title&gt;&lt;/titles&gt;&lt;periodical&gt;&lt;full-title&gt;Economic Issues&lt;/full-title&gt;&lt;/periodical&gt;&lt;pages&gt;83-109&lt;/pages&gt;&lt;volume&gt;8&lt;/volume&gt;&lt;number&gt;1&lt;/number&gt;&lt;dates&gt;&lt;year&gt;2001&lt;/year&gt;&lt;/dates&gt;&lt;urls&gt;&lt;/urls&gt;&lt;/record&gt;&lt;/Cite&gt;&lt;/EndNote&gt;</w:instrText>
      </w:r>
      <w:r w:rsidR="00406B75" w:rsidRPr="00FE162C">
        <w:fldChar w:fldCharType="separate"/>
      </w:r>
      <w:hyperlink w:anchor="_ENREF_1" w:tooltip="Alpizar, 2001 #944" w:history="1">
        <w:r w:rsidR="00CA754F" w:rsidRPr="00FE162C">
          <w:rPr>
            <w:noProof/>
          </w:rPr>
          <w:t>Alpizar, Carlsson and Martinsson (2001</w:t>
        </w:r>
      </w:hyperlink>
      <w:r w:rsidR="00CE053F" w:rsidRPr="00FE162C">
        <w:rPr>
          <w:noProof/>
        </w:rPr>
        <w:t>)</w:t>
      </w:r>
      <w:r w:rsidR="00406B75" w:rsidRPr="00FE162C">
        <w:fldChar w:fldCharType="end"/>
      </w:r>
      <w:r w:rsidRPr="00FE162C">
        <w:t xml:space="preserve">, </w:t>
      </w:r>
      <w:r w:rsidR="00406B75" w:rsidRPr="00FE162C">
        <w:fldChar w:fldCharType="begin"/>
      </w:r>
      <w:r w:rsidR="00CA754F">
        <w:instrText xml:space="preserve"> ADDIN EN.CITE &lt;EndNote&gt;&lt;Cite&gt;&lt;Author&gt;Hensher&lt;/Author&gt;&lt;Year&gt;2005&lt;/Year&gt;&lt;RecNum&gt;945&lt;/RecNum&gt;&lt;DisplayText&gt;Hensher, Rose and Greene (2005)&lt;/DisplayText&gt;&lt;record&gt;&lt;rec-number&gt;945&lt;/rec-number&gt;&lt;foreign-keys&gt;&lt;key app="EN" db-id="refafpv0nd2rd4e9e2qxeaf6rw5xxvv2ds22" timestamp="1322657668"&gt;945&lt;/key&gt;&lt;/foreign-keys&gt;&lt;ref-type name="Book"&gt;6&lt;/ref-type&gt;&lt;contributors&gt;&lt;authors&gt;&lt;author&gt;Hensher, D.A&lt;/author&gt;&lt;author&gt;Rose, J.M&lt;/author&gt;&lt;author&gt;Greene, W.H&lt;/author&gt;&lt;/authors&gt;&lt;/contributors&gt;&lt;titles&gt;&lt;title&gt;Applied choice analysis: a primer&lt;/title&gt;&lt;/titles&gt;&lt;dates&gt;&lt;year&gt;2005&lt;/year&gt;&lt;/dates&gt;&lt;pub-location&gt;Cambridge&lt;/pub-location&gt;&lt;publisher&gt;Cambridge University Press&lt;/publisher&gt;&lt;urls&gt;&lt;/urls&gt;&lt;/record&gt;&lt;/Cite&gt;&lt;/EndNote&gt;</w:instrText>
      </w:r>
      <w:r w:rsidR="00406B75" w:rsidRPr="00FE162C">
        <w:fldChar w:fldCharType="separate"/>
      </w:r>
      <w:hyperlink w:anchor="_ENREF_28" w:tooltip="Hensher, 2005 #945" w:history="1">
        <w:r w:rsidR="00CA754F" w:rsidRPr="00FE162C">
          <w:rPr>
            <w:noProof/>
          </w:rPr>
          <w:t>Hensher, Rose and Greene (2005</w:t>
        </w:r>
      </w:hyperlink>
      <w:r w:rsidR="00CE053F" w:rsidRPr="00FE162C">
        <w:rPr>
          <w:noProof/>
        </w:rPr>
        <w:t>)</w:t>
      </w:r>
      <w:r w:rsidR="00406B75" w:rsidRPr="00FE162C">
        <w:fldChar w:fldCharType="end"/>
      </w:r>
      <w:r w:rsidRPr="00FE162C">
        <w:t xml:space="preserve"> and </w:t>
      </w:r>
      <w:r w:rsidR="00406B75" w:rsidRPr="00FE162C">
        <w:fldChar w:fldCharType="begin"/>
      </w:r>
      <w:r w:rsidR="00CA754F">
        <w:instrText xml:space="preserve"> ADDIN EN.CITE &lt;EndNote&gt;&lt;Cite&gt;&lt;Author&gt;Louviere&lt;/Author&gt;&lt;Year&gt;2000&lt;/Year&gt;&lt;RecNum&gt;946&lt;/RecNum&gt;&lt;DisplayText&gt;Louviere, Hensher and Swait (2000b)&lt;/DisplayText&gt;&lt;record&gt;&lt;rec-number&gt;946&lt;/rec-number&gt;&lt;foreign-keys&gt;&lt;key app="EN" db-id="refafpv0nd2rd4e9e2qxeaf6rw5xxvv2ds22" timestamp="1322657816"&gt;946&lt;/key&gt;&lt;/foreign-keys&gt;&lt;ref-type name="Book"&gt;6&lt;/ref-type&gt;&lt;contributors&gt;&lt;authors&gt;&lt;author&gt;Louviere, J.J&lt;/author&gt;&lt;author&gt;Hensher, D.A&lt;/author&gt;&lt;author&gt;Swait, J.D&lt;/author&gt;&lt;/authors&gt;&lt;/contributors&gt;&lt;titles&gt;&lt;title&gt;Stated choice methods: analysis and application&lt;/title&gt;&lt;/titles&gt;&lt;dates&gt;&lt;year&gt;2000&lt;/year&gt;&lt;/dates&gt;&lt;pub-location&gt;Cambridge&lt;/pub-location&gt;&lt;publisher&gt;Cambridge University Press&lt;/publisher&gt;&lt;urls&gt;&lt;/urls&gt;&lt;/record&gt;&lt;/Cite&gt;&lt;/EndNote&gt;</w:instrText>
      </w:r>
      <w:r w:rsidR="00406B75" w:rsidRPr="00FE162C">
        <w:fldChar w:fldCharType="separate"/>
      </w:r>
      <w:hyperlink w:anchor="_ENREF_41" w:tooltip="Louviere, 2000 #946" w:history="1">
        <w:r w:rsidR="00CA754F" w:rsidRPr="00FE162C">
          <w:rPr>
            <w:noProof/>
          </w:rPr>
          <w:t>Louviere, Hensher and Swait (2000b</w:t>
        </w:r>
      </w:hyperlink>
      <w:r w:rsidR="00CE053F" w:rsidRPr="00FE162C">
        <w:rPr>
          <w:noProof/>
        </w:rPr>
        <w:t>)</w:t>
      </w:r>
      <w:r w:rsidR="00406B75" w:rsidRPr="00FE162C">
        <w:fldChar w:fldCharType="end"/>
      </w:r>
      <w:r w:rsidRPr="00FE162C">
        <w:t>.</w:t>
      </w:r>
    </w:p>
    <w:p w:rsidR="009005B3" w:rsidRDefault="009005B3">
      <w:pPr>
        <w:spacing w:before="0" w:line="240" w:lineRule="auto"/>
        <w:rPr>
          <w:color w:val="000000" w:themeColor="text1"/>
        </w:rPr>
      </w:pPr>
      <w:r>
        <w:rPr>
          <w:color w:val="000000" w:themeColor="text1"/>
        </w:rPr>
        <w:br w:type="page"/>
      </w:r>
    </w:p>
    <w:p w:rsidR="00B9454E" w:rsidRPr="00FE162C" w:rsidRDefault="00D83670" w:rsidP="00B9454E">
      <w:pPr>
        <w:pStyle w:val="Heading1"/>
        <w:rPr>
          <w:color w:val="000000" w:themeColor="text1"/>
        </w:rPr>
      </w:pPr>
      <w:bookmarkStart w:id="68" w:name="_Toc386530498"/>
      <w:r w:rsidRPr="00FE162C">
        <w:rPr>
          <w:color w:val="000000" w:themeColor="text1"/>
        </w:rPr>
        <w:lastRenderedPageBreak/>
        <w:t xml:space="preserve">Appendix B: </w:t>
      </w:r>
      <w:r w:rsidR="003D05C9" w:rsidRPr="00FE162C">
        <w:rPr>
          <w:color w:val="000000" w:themeColor="text1"/>
        </w:rPr>
        <w:t>Job</w:t>
      </w:r>
      <w:r w:rsidR="005320A5" w:rsidRPr="00FE162C">
        <w:rPr>
          <w:color w:val="000000" w:themeColor="text1"/>
        </w:rPr>
        <w:t>s</w:t>
      </w:r>
      <w:r w:rsidR="003D05C9" w:rsidRPr="00FE162C">
        <w:rPr>
          <w:color w:val="000000" w:themeColor="text1"/>
        </w:rPr>
        <w:t xml:space="preserve"> choice context</w:t>
      </w:r>
      <w:bookmarkEnd w:id="68"/>
    </w:p>
    <w:p w:rsidR="00B9454E" w:rsidRPr="00FE162C" w:rsidRDefault="00B9454E" w:rsidP="003B04AC">
      <w:pPr>
        <w:pStyle w:val="Text"/>
      </w:pPr>
      <w:r w:rsidRPr="00FE162C">
        <w:t xml:space="preserve">This section presents several job offer scenarios to you. Each scenario contains </w:t>
      </w:r>
      <w:r w:rsidR="009005B3">
        <w:t>two</w:t>
      </w:r>
      <w:r w:rsidRPr="00FE162C">
        <w:t xml:space="preserve"> job offers</w:t>
      </w:r>
      <w:r w:rsidR="009005B3">
        <w:t xml:space="preserve"> </w:t>
      </w:r>
      <w:r w:rsidRPr="00FE162C">
        <w:t>—</w:t>
      </w:r>
      <w:r w:rsidR="009005B3">
        <w:t xml:space="preserve"> </w:t>
      </w:r>
      <w:r w:rsidRPr="00FE162C">
        <w:t xml:space="preserve">Job A and Job B. </w:t>
      </w:r>
      <w:r w:rsidRPr="003B04AC">
        <w:t>Please</w:t>
      </w:r>
      <w:r w:rsidRPr="00FE162C">
        <w:t xml:space="preserve"> compare the characteristics of each offer with your own current employment situation. Depending on what is best for you, select one of the three following options:</w:t>
      </w:r>
    </w:p>
    <w:p w:rsidR="00B9454E" w:rsidRPr="003B04AC" w:rsidRDefault="003B04AC" w:rsidP="003B04AC">
      <w:pPr>
        <w:pStyle w:val="Text"/>
        <w:tabs>
          <w:tab w:val="left" w:pos="284"/>
        </w:tabs>
        <w:spacing w:before="120"/>
        <w:ind w:right="0"/>
      </w:pPr>
      <w:r>
        <w:t>1</w:t>
      </w:r>
      <w:r>
        <w:tab/>
      </w:r>
      <w:r w:rsidR="00B9454E" w:rsidRPr="003B04AC">
        <w:t>Accept Job A</w:t>
      </w:r>
    </w:p>
    <w:p w:rsidR="00B9454E" w:rsidRPr="003B04AC" w:rsidRDefault="003B04AC" w:rsidP="003B04AC">
      <w:pPr>
        <w:pStyle w:val="Text"/>
        <w:tabs>
          <w:tab w:val="left" w:pos="284"/>
        </w:tabs>
        <w:spacing w:before="120"/>
        <w:ind w:right="0"/>
      </w:pPr>
      <w:r>
        <w:t>2</w:t>
      </w:r>
      <w:r>
        <w:tab/>
      </w:r>
      <w:r w:rsidR="00B9454E" w:rsidRPr="003B04AC">
        <w:t>Accept Job B</w:t>
      </w:r>
    </w:p>
    <w:p w:rsidR="00B9454E" w:rsidRPr="00FE162C" w:rsidRDefault="003B04AC" w:rsidP="003B04AC">
      <w:pPr>
        <w:pStyle w:val="Text"/>
        <w:tabs>
          <w:tab w:val="left" w:pos="284"/>
        </w:tabs>
        <w:spacing w:before="120"/>
        <w:ind w:right="0"/>
      </w:pPr>
      <w:r>
        <w:t>3</w:t>
      </w:r>
      <w:r>
        <w:tab/>
      </w:r>
      <w:r w:rsidR="00B9454E" w:rsidRPr="003B04AC">
        <w:t>Reject</w:t>
      </w:r>
      <w:r w:rsidR="00B9454E" w:rsidRPr="00FE162C">
        <w:t xml:space="preserve"> both jobs and stay with your current employment situation.</w:t>
      </w:r>
    </w:p>
    <w:p w:rsidR="00B9454E" w:rsidRPr="00FE162C" w:rsidRDefault="00B9454E" w:rsidP="003B04AC">
      <w:pPr>
        <w:pStyle w:val="Text"/>
      </w:pPr>
      <w:r w:rsidRPr="00FE162C">
        <w:t xml:space="preserve">In each scenario, please consider the job offers as if they were real </w:t>
      </w:r>
      <w:r w:rsidR="005E69DE">
        <w:t>since</w:t>
      </w:r>
      <w:r w:rsidRPr="00FE162C">
        <w:t xml:space="preserve"> your respon</w:t>
      </w:r>
      <w:r w:rsidR="00C4471B">
        <w:t xml:space="preserve">ses will inform </w:t>
      </w:r>
      <w:r w:rsidR="00C4471B" w:rsidRPr="003B04AC">
        <w:t>policies</w:t>
      </w:r>
      <w:r w:rsidR="00C4471B">
        <w:t xml:space="preserve"> relating</w:t>
      </w:r>
      <w:r w:rsidRPr="00FE162C">
        <w:t xml:space="preserve"> to employment and labour mobility.</w:t>
      </w:r>
    </w:p>
    <w:p w:rsidR="00B9454E" w:rsidRPr="00FE162C" w:rsidRDefault="00B9454E" w:rsidP="003B04AC">
      <w:pPr>
        <w:pStyle w:val="Heading2"/>
      </w:pPr>
      <w:bookmarkStart w:id="69" w:name="_Toc386530499"/>
      <w:r w:rsidRPr="00FE162C">
        <w:t>Features common to all job offers</w:t>
      </w:r>
      <w:bookmarkEnd w:id="69"/>
    </w:p>
    <w:p w:rsidR="00B9454E" w:rsidRPr="003B04AC" w:rsidRDefault="00B9454E" w:rsidP="003B04AC">
      <w:pPr>
        <w:pStyle w:val="Text"/>
      </w:pPr>
      <w:r w:rsidRPr="00FE162C">
        <w:t xml:space="preserve">A large company with over 500 employees wants to recruit enthusiastic individuals to work on its regional </w:t>
      </w:r>
      <w:r w:rsidRPr="003B04AC">
        <w:t>projects.</w:t>
      </w:r>
    </w:p>
    <w:p w:rsidR="00B9454E" w:rsidRPr="00FE162C" w:rsidRDefault="00B9454E" w:rsidP="003B04AC">
      <w:pPr>
        <w:pStyle w:val="Text"/>
      </w:pPr>
      <w:r w:rsidRPr="003B04AC">
        <w:t>The job being</w:t>
      </w:r>
      <w:r w:rsidRPr="00FE162C">
        <w:t xml:space="preserve"> offered to you is a position identical to (your cu</w:t>
      </w:r>
      <w:r w:rsidR="00C4471B">
        <w:t>rrent occupation</w:t>
      </w:r>
      <w:r w:rsidRPr="00FE162C">
        <w:t xml:space="preserve">)/(the occupation you </w:t>
      </w:r>
      <w:r w:rsidR="00C4471B">
        <w:t>would like to work in</w:t>
      </w:r>
      <w:r w:rsidR="00BD5155" w:rsidRPr="00FE162C">
        <w:t>)</w:t>
      </w:r>
      <w:r w:rsidRPr="00FE162C">
        <w:t xml:space="preserve">. All the offers are for full-time work and attract standard 20 days annual leave, </w:t>
      </w:r>
      <w:r w:rsidR="00BD5155" w:rsidRPr="00FE162C">
        <w:t>15 days annual sick leave and 9</w:t>
      </w:r>
      <w:r w:rsidR="00AF1216">
        <w:t xml:space="preserve">% </w:t>
      </w:r>
      <w:r w:rsidRPr="00FE162C">
        <w:t>superannuation.</w:t>
      </w:r>
    </w:p>
    <w:p w:rsidR="00B9454E" w:rsidRPr="00FE162C" w:rsidRDefault="00D83670" w:rsidP="00B9454E">
      <w:pPr>
        <w:pStyle w:val="Heading3"/>
        <w:rPr>
          <w:color w:val="000000" w:themeColor="text1"/>
        </w:rPr>
      </w:pPr>
      <w:r w:rsidRPr="00FE162C">
        <w:rPr>
          <w:color w:val="000000" w:themeColor="text1"/>
        </w:rPr>
        <w:t>Jobs in Emerald, Queensland</w:t>
      </w:r>
    </w:p>
    <w:p w:rsidR="00B9454E" w:rsidRPr="003B04AC" w:rsidRDefault="00B9454E" w:rsidP="003B04AC">
      <w:pPr>
        <w:pStyle w:val="Text"/>
        <w:spacing w:before="80"/>
        <w:ind w:right="0"/>
        <w:rPr>
          <w:b/>
        </w:rPr>
      </w:pPr>
      <w:r w:rsidRPr="003B04AC">
        <w:rPr>
          <w:b/>
        </w:rPr>
        <w:t>Emerald, Queensland, 700 km north-west of Brisbane</w:t>
      </w:r>
    </w:p>
    <w:p w:rsidR="00B9454E" w:rsidRPr="00FE162C" w:rsidRDefault="003B04AC" w:rsidP="003B04AC">
      <w:pPr>
        <w:pStyle w:val="Text"/>
        <w:spacing w:before="80"/>
        <w:ind w:right="0"/>
      </w:pPr>
      <w:r w:rsidRPr="00FE162C">
        <w:rPr>
          <w:rFonts w:ascii="Times New Roman" w:hAnsi="Times New Roman"/>
          <w:noProof/>
          <w:color w:val="000000" w:themeColor="text1"/>
          <w:sz w:val="24"/>
          <w:szCs w:val="24"/>
          <w:lang w:eastAsia="en-AU"/>
        </w:rPr>
        <w:drawing>
          <wp:anchor distT="0" distB="0" distL="114300" distR="114300" simplePos="0" relativeHeight="251713536" behindDoc="0" locked="0" layoutInCell="1" allowOverlap="1" wp14:anchorId="12288F3B" wp14:editId="390B901E">
            <wp:simplePos x="0" y="0"/>
            <wp:positionH relativeFrom="column">
              <wp:posOffset>19050</wp:posOffset>
            </wp:positionH>
            <wp:positionV relativeFrom="paragraph">
              <wp:posOffset>1005205</wp:posOffset>
            </wp:positionV>
            <wp:extent cx="5046980" cy="2591435"/>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6980" cy="2591435"/>
                    </a:xfrm>
                    <a:prstGeom prst="rect">
                      <a:avLst/>
                    </a:prstGeom>
                    <a:noFill/>
                    <a:ln w="9525">
                      <a:noFill/>
                      <a:miter lim="800000"/>
                      <a:headEnd/>
                      <a:tailEnd/>
                    </a:ln>
                  </pic:spPr>
                </pic:pic>
              </a:graphicData>
            </a:graphic>
          </wp:anchor>
        </w:drawing>
      </w:r>
      <w:r w:rsidR="00B9454E" w:rsidRPr="003B04AC">
        <w:t>Emerald is a town located</w:t>
      </w:r>
      <w:r w:rsidR="00B9454E" w:rsidRPr="00FE162C">
        <w:t xml:space="preserve"> in the centre of regional Queensland. </w:t>
      </w:r>
      <w:r w:rsidR="009005B3">
        <w:t xml:space="preserve">It has a population of about 12 </w:t>
      </w:r>
      <w:r w:rsidR="00B9454E" w:rsidRPr="00FE162C">
        <w:t>000. It is 300 km from the coast. Rockhampton is the nearest big c</w:t>
      </w:r>
      <w:r w:rsidR="009005B3">
        <w:t>ity</w:t>
      </w:r>
      <w:r w:rsidR="005E69DE">
        <w:t>,</w:t>
      </w:r>
      <w:r w:rsidR="009005B3">
        <w:t xml:space="preserve"> with a population of 80 </w:t>
      </w:r>
      <w:r w:rsidR="00B9454E" w:rsidRPr="00FE162C">
        <w:t xml:space="preserve">000, 270 km east of Emerald. The average daily temperature in </w:t>
      </w:r>
      <w:r w:rsidR="009005B3">
        <w:t>Emerald ranges from 16</w:t>
      </w:r>
      <w:r w:rsidR="009436C8">
        <w:t xml:space="preserve"> </w:t>
      </w:r>
      <w:r w:rsidR="009436C8" w:rsidRPr="00FE162C">
        <w:rPr>
          <w:vertAlign w:val="superscript"/>
        </w:rPr>
        <w:t>0</w:t>
      </w:r>
      <w:r w:rsidR="009436C8" w:rsidRPr="00FE162C">
        <w:t>C</w:t>
      </w:r>
      <w:r w:rsidR="009005B3">
        <w:t xml:space="preserve"> to </w:t>
      </w:r>
      <w:r w:rsidR="00BD5155" w:rsidRPr="00FE162C">
        <w:t>30</w:t>
      </w:r>
      <w:r w:rsidR="009436C8">
        <w:t xml:space="preserve"> </w:t>
      </w:r>
      <w:r w:rsidR="00BD5155" w:rsidRPr="00FE162C">
        <w:rPr>
          <w:vertAlign w:val="superscript"/>
        </w:rPr>
        <w:t>0</w:t>
      </w:r>
      <w:r w:rsidR="00BD5155" w:rsidRPr="00FE162C">
        <w:t xml:space="preserve">C. </w:t>
      </w:r>
      <w:r w:rsidR="00B9454E" w:rsidRPr="00FE162C">
        <w:t>The main industries around Emerald include coal, gems, cotton, fruits and grain.</w:t>
      </w:r>
    </w:p>
    <w:p w:rsidR="00E52039" w:rsidRDefault="00E52039">
      <w:pPr>
        <w:spacing w:before="0" w:line="240" w:lineRule="auto"/>
        <w:rPr>
          <w:rFonts w:ascii="Tahoma" w:hAnsi="Tahoma" w:cs="Tahoma"/>
          <w:b/>
          <w:bCs/>
          <w:color w:val="000000" w:themeColor="text1"/>
          <w:sz w:val="20"/>
        </w:rPr>
      </w:pPr>
      <w:r>
        <w:rPr>
          <w:b/>
          <w:bCs/>
          <w:color w:val="000000" w:themeColor="text1"/>
          <w:sz w:val="20"/>
        </w:rPr>
        <w:br w:type="page"/>
      </w:r>
    </w:p>
    <w:p w:rsidR="001C261E" w:rsidRPr="00FE162C" w:rsidRDefault="001C261E" w:rsidP="00E52039">
      <w:pPr>
        <w:pStyle w:val="Heading3"/>
      </w:pPr>
      <w:r w:rsidRPr="00FE162C">
        <w:lastRenderedPageBreak/>
        <w:t>What does Emerald offer?</w:t>
      </w:r>
    </w:p>
    <w:p w:rsidR="001C261E" w:rsidRPr="00FE162C" w:rsidRDefault="001C261E" w:rsidP="00E52039">
      <w:pPr>
        <w:pStyle w:val="Dotpoint1"/>
        <w:ind w:right="141"/>
      </w:pPr>
      <w:r w:rsidRPr="00E20505">
        <w:rPr>
          <w:bCs/>
          <w:i/>
        </w:rPr>
        <w:t>Services</w:t>
      </w:r>
      <w:r w:rsidRPr="00FE162C">
        <w:t>: Emerald provides a full array of services for its residents, including a community centre, a library, churches, a recreational centre, a shopping centre (including Coles and Woolworths supermarkets), a cinema, sports clubs, childcare services, a post office, an airport and a regional court.</w:t>
      </w:r>
    </w:p>
    <w:p w:rsidR="001C261E" w:rsidRPr="00FE162C" w:rsidRDefault="001C261E" w:rsidP="00E52039">
      <w:pPr>
        <w:pStyle w:val="Dotpoint1"/>
      </w:pPr>
      <w:r w:rsidRPr="00E20505">
        <w:rPr>
          <w:bCs/>
          <w:i/>
        </w:rPr>
        <w:t>Education</w:t>
      </w:r>
      <w:r w:rsidRPr="00FE162C">
        <w:t>: Emerald has three government primary schools, two private primary schools, one government and two private high schools, a Central Queensland University campus and Emerald Agricultural College.</w:t>
      </w:r>
    </w:p>
    <w:p w:rsidR="001C261E" w:rsidRPr="00FE162C" w:rsidRDefault="001C261E" w:rsidP="00E52039">
      <w:pPr>
        <w:pStyle w:val="Dotpoint1"/>
      </w:pPr>
      <w:r w:rsidRPr="00E20505">
        <w:rPr>
          <w:bCs/>
          <w:i/>
        </w:rPr>
        <w:t>Health</w:t>
      </w:r>
      <w:r w:rsidRPr="00FE162C">
        <w:t>: Emerald has a district hospital.</w:t>
      </w:r>
    </w:p>
    <w:p w:rsidR="001C261E" w:rsidRPr="00FE162C" w:rsidRDefault="001C261E" w:rsidP="00E52039">
      <w:pPr>
        <w:pStyle w:val="Heading3"/>
      </w:pPr>
      <w:r w:rsidRPr="00FE162C">
        <w:t xml:space="preserve">Features that differ </w:t>
      </w:r>
      <w:r w:rsidRPr="00E52039">
        <w:t>across</w:t>
      </w:r>
      <w:r w:rsidRPr="00FE162C">
        <w:t xml:space="preserve"> job offers</w:t>
      </w:r>
      <w:r w:rsidR="00904457" w:rsidRPr="00FE162C">
        <w:t xml:space="preserve"> in Emerald</w:t>
      </w:r>
    </w:p>
    <w:p w:rsidR="001C261E" w:rsidRPr="00FE162C" w:rsidRDefault="001C261E" w:rsidP="00E52039">
      <w:pPr>
        <w:pStyle w:val="Text"/>
        <w:spacing w:before="80"/>
        <w:ind w:right="0"/>
      </w:pPr>
      <w:r w:rsidRPr="00FE162C">
        <w:t xml:space="preserve">Both job offers have </w:t>
      </w:r>
      <w:r w:rsidRPr="00E52039">
        <w:t>identical</w:t>
      </w:r>
      <w:r w:rsidRPr="00FE162C">
        <w:t xml:space="preserve"> characteristics</w:t>
      </w:r>
      <w:r w:rsidR="005E69DE">
        <w:t>,</w:t>
      </w:r>
      <w:r w:rsidRPr="00FE162C">
        <w:t xml:space="preserve"> as described above. However</w:t>
      </w:r>
      <w:r w:rsidR="005E69DE">
        <w:t>,</w:t>
      </w:r>
      <w:r w:rsidRPr="00FE162C">
        <w:t xml:space="preserve"> they differ with respect to three characteristics:</w:t>
      </w:r>
    </w:p>
    <w:p w:rsidR="001C261E" w:rsidRPr="00E52039" w:rsidRDefault="00E52039" w:rsidP="00E52039">
      <w:pPr>
        <w:pStyle w:val="Text"/>
        <w:spacing w:before="120"/>
        <w:ind w:left="284" w:right="0" w:hanging="284"/>
      </w:pPr>
      <w:r w:rsidRPr="00E52039">
        <w:rPr>
          <w:bCs/>
        </w:rPr>
        <w:t>1</w:t>
      </w:r>
      <w:r w:rsidRPr="00E52039">
        <w:rPr>
          <w:bCs/>
        </w:rPr>
        <w:tab/>
      </w:r>
      <w:r w:rsidR="001C261E" w:rsidRPr="009005B3">
        <w:rPr>
          <w:bCs/>
          <w:i/>
        </w:rPr>
        <w:t>W</w:t>
      </w:r>
      <w:r w:rsidR="009005B3" w:rsidRPr="009005B3">
        <w:rPr>
          <w:bCs/>
          <w:i/>
        </w:rPr>
        <w:t>age</w:t>
      </w:r>
      <w:r w:rsidR="001C261E" w:rsidRPr="009005B3">
        <w:t>:</w:t>
      </w:r>
      <w:r w:rsidR="009436C8">
        <w:t xml:space="preserve"> t</w:t>
      </w:r>
      <w:r w:rsidR="001C261E" w:rsidRPr="00FE162C">
        <w:t xml:space="preserve">he amount that you </w:t>
      </w:r>
      <w:r w:rsidR="001C261E" w:rsidRPr="00E52039">
        <w:t>will be paid per week before taxes will vary with each job offer.</w:t>
      </w:r>
    </w:p>
    <w:p w:rsidR="001C261E" w:rsidRPr="00FE162C" w:rsidRDefault="00E52039" w:rsidP="00E52039">
      <w:pPr>
        <w:pStyle w:val="Text"/>
        <w:spacing w:before="120"/>
        <w:ind w:left="284" w:right="0" w:hanging="284"/>
      </w:pPr>
      <w:r>
        <w:t>2</w:t>
      </w:r>
      <w:r>
        <w:tab/>
      </w:r>
      <w:r w:rsidR="009005B3" w:rsidRPr="00E52039">
        <w:rPr>
          <w:i/>
        </w:rPr>
        <w:t>Relocation package</w:t>
      </w:r>
      <w:r w:rsidR="009436C8" w:rsidRPr="00E52039">
        <w:t>: y</w:t>
      </w:r>
      <w:r w:rsidR="001C261E" w:rsidRPr="00E52039">
        <w:t>ou will b</w:t>
      </w:r>
      <w:r w:rsidR="001C261E" w:rsidRPr="00FE162C">
        <w:t>e offered one of the following two relocation packages with each job offer:</w:t>
      </w:r>
    </w:p>
    <w:p w:rsidR="001C261E" w:rsidRPr="00E52039" w:rsidRDefault="009436C8" w:rsidP="00E52039">
      <w:pPr>
        <w:pStyle w:val="Text"/>
        <w:spacing w:before="80"/>
        <w:ind w:left="568" w:right="0" w:hanging="284"/>
      </w:pPr>
      <w:r>
        <w:t>a)</w:t>
      </w:r>
      <w:r>
        <w:tab/>
        <w:t>Full relocation: y</w:t>
      </w:r>
      <w:r w:rsidR="001C261E" w:rsidRPr="00FE162C">
        <w:t>ou will need to relocate to Emerald to take up this position. The cost of relocation, including flights and movers, will be paid in full by the company and will also include the cost of moving family members if they relocate with you. At Emera</w:t>
      </w:r>
      <w:r>
        <w:t xml:space="preserve">ld, you will work a standard 38-hour/5-day </w:t>
      </w:r>
      <w:r w:rsidR="001C261E" w:rsidRPr="00FE162C">
        <w:t xml:space="preserve">week. You will need to arrange for your own accommodation. The average rent for a one and </w:t>
      </w:r>
      <w:r w:rsidR="005E69DE">
        <w:t xml:space="preserve">a </w:t>
      </w:r>
      <w:r w:rsidR="001C261E" w:rsidRPr="00FE162C">
        <w:t xml:space="preserve">three bedroom house/unit is $550 and $1050 per week, respectively. The average cost of </w:t>
      </w:r>
      <w:r w:rsidR="001C261E" w:rsidRPr="00E52039">
        <w:t xml:space="preserve">purchasing a one and </w:t>
      </w:r>
      <w:r w:rsidR="005E69DE">
        <w:t xml:space="preserve">a </w:t>
      </w:r>
      <w:r w:rsidR="001C261E" w:rsidRPr="00E52039">
        <w:t>three bedroom house/unit is $275 000 and $549 000 respectively.</w:t>
      </w:r>
    </w:p>
    <w:p w:rsidR="001C261E" w:rsidRPr="00FE162C" w:rsidRDefault="00C4471B" w:rsidP="00E52039">
      <w:pPr>
        <w:pStyle w:val="Text"/>
        <w:spacing w:before="80"/>
        <w:ind w:left="568" w:right="0" w:hanging="284"/>
      </w:pPr>
      <w:r w:rsidRPr="00E52039">
        <w:t>b)</w:t>
      </w:r>
      <w:r w:rsidRPr="00E52039">
        <w:tab/>
        <w:t>Fly-in/</w:t>
      </w:r>
      <w:r w:rsidR="009436C8" w:rsidRPr="00E52039">
        <w:t>fly-out: y</w:t>
      </w:r>
      <w:r w:rsidR="001C261E" w:rsidRPr="00E52039">
        <w:t>ou will</w:t>
      </w:r>
      <w:r w:rsidR="001C261E" w:rsidRPr="00FE162C">
        <w:t xml:space="preserve"> need to relocate to Brisbane to take up this position. The cost of relocation, including flights and movers, will be paid in full by the company and will also include the cost of moving family members if they relocate with you. From Brisbane you will alternate between being flown to Emerald where you will work for two weeks, and then being flown back to Brisbane for one week of leave. The company will pay all your travel expenses between Brisbane and Emerald. You will work an average of </w:t>
      </w:r>
      <w:r w:rsidR="00E20505">
        <w:t>eight</w:t>
      </w:r>
      <w:r w:rsidR="001C261E" w:rsidRPr="00FE162C">
        <w:t xml:space="preserve"> hours a day for 1</w:t>
      </w:r>
      <w:r>
        <w:t>2 of the 14 days that you are on site in</w:t>
      </w:r>
      <w:r w:rsidR="001C261E" w:rsidRPr="00FE162C">
        <w:t xml:space="preserve"> Emerald. You will need to arrange for your own accommodation in Brisbane but in Emerald your accommodati</w:t>
      </w:r>
      <w:r>
        <w:t>on and food will be provided</w:t>
      </w:r>
      <w:r w:rsidR="001C261E" w:rsidRPr="00FE162C">
        <w:t xml:space="preserve"> by the company. The average rent for a one and </w:t>
      </w:r>
      <w:r w:rsidR="005E69DE">
        <w:t xml:space="preserve">a </w:t>
      </w:r>
      <w:r w:rsidR="001C261E" w:rsidRPr="00FE162C">
        <w:t xml:space="preserve">three bedroom house </w:t>
      </w:r>
      <w:r w:rsidR="00904457" w:rsidRPr="00FE162C">
        <w:t xml:space="preserve">in Brisbane </w:t>
      </w:r>
      <w:r w:rsidR="001C261E" w:rsidRPr="00FE162C">
        <w:t xml:space="preserve">is $385 and $635 per week, respectively. The average cost of purchasing a one and </w:t>
      </w:r>
      <w:r w:rsidR="005E69DE">
        <w:t xml:space="preserve">a </w:t>
      </w:r>
      <w:r w:rsidR="001C261E" w:rsidRPr="00FE162C">
        <w:t>three bedroom house/unit is $303 000 and $510 000 respectively.</w:t>
      </w:r>
    </w:p>
    <w:p w:rsidR="001C261E" w:rsidRPr="00FE162C" w:rsidRDefault="00E52039" w:rsidP="00E52039">
      <w:pPr>
        <w:pStyle w:val="Text"/>
        <w:tabs>
          <w:tab w:val="left" w:pos="284"/>
        </w:tabs>
        <w:rPr>
          <w:b/>
          <w:bCs/>
        </w:rPr>
      </w:pPr>
      <w:r>
        <w:rPr>
          <w:bCs/>
        </w:rPr>
        <w:t>3</w:t>
      </w:r>
      <w:r>
        <w:rPr>
          <w:bCs/>
        </w:rPr>
        <w:tab/>
      </w:r>
      <w:r w:rsidR="009436C8">
        <w:rPr>
          <w:bCs/>
          <w:i/>
        </w:rPr>
        <w:t>C</w:t>
      </w:r>
      <w:r w:rsidR="009436C8" w:rsidRPr="009436C8">
        <w:rPr>
          <w:bCs/>
          <w:i/>
        </w:rPr>
        <w:t>ontract:</w:t>
      </w:r>
      <w:r w:rsidR="009436C8" w:rsidRPr="00FE162C">
        <w:rPr>
          <w:b/>
          <w:bCs/>
        </w:rPr>
        <w:t xml:space="preserve"> </w:t>
      </w:r>
      <w:r w:rsidR="009436C8">
        <w:t>y</w:t>
      </w:r>
      <w:r w:rsidR="001C261E" w:rsidRPr="00FE162C">
        <w:t xml:space="preserve">ou </w:t>
      </w:r>
      <w:r w:rsidR="001C261E" w:rsidRPr="00E52039">
        <w:t>will</w:t>
      </w:r>
      <w:r w:rsidR="001C261E" w:rsidRPr="00FE162C">
        <w:t xml:space="preserve"> be offered one of the following three contracts with each job offer:</w:t>
      </w:r>
    </w:p>
    <w:p w:rsidR="001C261E" w:rsidRPr="00E52039" w:rsidRDefault="00965475" w:rsidP="00E52039">
      <w:pPr>
        <w:pStyle w:val="Text"/>
        <w:spacing w:before="80"/>
        <w:ind w:left="568" w:right="0" w:hanging="284"/>
      </w:pPr>
      <w:r>
        <w:t>a)</w:t>
      </w:r>
      <w:r>
        <w:tab/>
        <w:t>Ongoing</w:t>
      </w:r>
      <w:r w:rsidR="001C261E" w:rsidRPr="00FE162C">
        <w:t xml:space="preserve"> with training: Your emplo</w:t>
      </w:r>
      <w:r>
        <w:t>yment contract will be ongoing</w:t>
      </w:r>
      <w:r w:rsidR="001C261E" w:rsidRPr="00FE162C">
        <w:t xml:space="preserve">. For the first </w:t>
      </w:r>
      <w:r w:rsidR="00E20505">
        <w:t>three</w:t>
      </w:r>
      <w:r w:rsidR="001C261E" w:rsidRPr="00FE162C">
        <w:t xml:space="preserve"> months you will undergo on-the-job as well as off-the-job training to equip you with skills specific to your new position. During this </w:t>
      </w:r>
      <w:r w:rsidR="001C261E" w:rsidRPr="00E52039">
        <w:t>period half of your wages before tax will be deducted to pay for the cost of the training.</w:t>
      </w:r>
    </w:p>
    <w:p w:rsidR="001C261E" w:rsidRPr="00E52039" w:rsidRDefault="00965475" w:rsidP="00E52039">
      <w:pPr>
        <w:pStyle w:val="Text"/>
        <w:spacing w:before="80"/>
        <w:ind w:left="568" w:right="0" w:hanging="284"/>
      </w:pPr>
      <w:r w:rsidRPr="00E52039">
        <w:t>b)</w:t>
      </w:r>
      <w:r w:rsidRPr="00E52039">
        <w:tab/>
        <w:t>Ongoing</w:t>
      </w:r>
      <w:r w:rsidR="001C261E" w:rsidRPr="00E52039">
        <w:t>, no tra</w:t>
      </w:r>
      <w:r w:rsidR="009436C8" w:rsidRPr="00E52039">
        <w:t>ining: y</w:t>
      </w:r>
      <w:r w:rsidR="001C261E" w:rsidRPr="00E52039">
        <w:t>our employment</w:t>
      </w:r>
      <w:r w:rsidRPr="00E52039">
        <w:t xml:space="preserve"> contract is ongoing</w:t>
      </w:r>
      <w:r w:rsidR="001C261E" w:rsidRPr="00E52039">
        <w:t>. The contract does not require you to undertake training.</w:t>
      </w:r>
    </w:p>
    <w:p w:rsidR="001C261E" w:rsidRPr="00FE162C" w:rsidRDefault="00C4471B" w:rsidP="00E52039">
      <w:pPr>
        <w:pStyle w:val="Text"/>
        <w:spacing w:before="80"/>
        <w:ind w:left="568" w:right="0" w:hanging="284"/>
      </w:pPr>
      <w:r w:rsidRPr="00E52039">
        <w:t>c)</w:t>
      </w:r>
      <w:r w:rsidRPr="00E52039">
        <w:tab/>
        <w:t xml:space="preserve">Fixed six </w:t>
      </w:r>
      <w:r w:rsidR="009436C8" w:rsidRPr="00E52039">
        <w:t>months, no traini</w:t>
      </w:r>
      <w:r w:rsidR="009436C8">
        <w:t>ng: y</w:t>
      </w:r>
      <w:r w:rsidR="001C261E" w:rsidRPr="00FE162C">
        <w:t xml:space="preserve">our contract will be for </w:t>
      </w:r>
      <w:r w:rsidR="00E20505">
        <w:t>six</w:t>
      </w:r>
      <w:r w:rsidR="001C261E" w:rsidRPr="00FE162C">
        <w:t xml:space="preserve"> months and it will be non-renewable. The contract does not require you to undertake training.</w:t>
      </w:r>
    </w:p>
    <w:p w:rsidR="001C261E" w:rsidRPr="00FE162C" w:rsidRDefault="001C261E" w:rsidP="00E52039">
      <w:pPr>
        <w:pStyle w:val="Text"/>
      </w:pPr>
      <w:r w:rsidRPr="00FE162C">
        <w:lastRenderedPageBreak/>
        <w:t xml:space="preserve">In each scenario presented to you, the characteristics of each job will be clearly stated. You should compare these three characteristics </w:t>
      </w:r>
      <w:r w:rsidRPr="00E52039">
        <w:t>before</w:t>
      </w:r>
      <w:r w:rsidRPr="00FE162C">
        <w:t xml:space="preserve"> deciding which job to accept. If neither of the job offers is</w:t>
      </w:r>
      <w:r w:rsidR="009436C8">
        <w:t xml:space="preserve"> acceptable to you then choose o</w:t>
      </w:r>
      <w:r w:rsidRPr="00FE162C">
        <w:t>ption 3.</w:t>
      </w:r>
    </w:p>
    <w:p w:rsidR="00555664" w:rsidRPr="00FE162C" w:rsidRDefault="00904457" w:rsidP="00555664">
      <w:pPr>
        <w:pStyle w:val="Heading3"/>
        <w:rPr>
          <w:color w:val="000000" w:themeColor="text1"/>
        </w:rPr>
      </w:pPr>
      <w:r w:rsidRPr="00FE162C">
        <w:rPr>
          <w:color w:val="000000" w:themeColor="text1"/>
        </w:rPr>
        <w:t>Jobs in Karratha, Western Australia</w:t>
      </w:r>
    </w:p>
    <w:p w:rsidR="00555664" w:rsidRPr="00E52039" w:rsidRDefault="009436C8" w:rsidP="00E52039">
      <w:pPr>
        <w:pStyle w:val="Text"/>
        <w:spacing w:before="80"/>
        <w:ind w:right="0"/>
        <w:rPr>
          <w:b/>
        </w:rPr>
      </w:pPr>
      <w:r w:rsidRPr="00E52039">
        <w:rPr>
          <w:b/>
        </w:rPr>
        <w:t>Karratha, Western Australia, 1</w:t>
      </w:r>
      <w:r w:rsidR="00555664" w:rsidRPr="00E52039">
        <w:rPr>
          <w:b/>
        </w:rPr>
        <w:t>500 km north of Perth</w:t>
      </w:r>
    </w:p>
    <w:p w:rsidR="00555664" w:rsidRPr="00FE162C" w:rsidRDefault="00555664" w:rsidP="00E52039">
      <w:pPr>
        <w:pStyle w:val="Text"/>
        <w:spacing w:before="80"/>
        <w:ind w:right="0"/>
      </w:pPr>
      <w:r w:rsidRPr="00E52039">
        <w:t>Karratha is the major tow</w:t>
      </w:r>
      <w:r w:rsidRPr="00FE162C">
        <w:t>n in the Pilbara region</w:t>
      </w:r>
      <w:r w:rsidR="005E69DE">
        <w:t>,</w:t>
      </w:r>
      <w:r w:rsidRPr="00FE162C">
        <w:t xml:space="preserve"> with a</w:t>
      </w:r>
      <w:r w:rsidR="009436C8">
        <w:t xml:space="preserve"> current population of about 12 </w:t>
      </w:r>
      <w:r w:rsidRPr="00FE162C">
        <w:t xml:space="preserve">000. It is located approximately </w:t>
      </w:r>
      <w:r w:rsidR="00E20505">
        <w:t>three</w:t>
      </w:r>
      <w:r w:rsidRPr="00FE162C">
        <w:t xml:space="preserve"> km from the coast. The daily average tempera</w:t>
      </w:r>
      <w:r w:rsidR="00BD5155" w:rsidRPr="00FE162C">
        <w:t>ture in Karratha ranges from 20</w:t>
      </w:r>
      <w:r w:rsidR="009436C8">
        <w:t xml:space="preserve"> </w:t>
      </w:r>
      <w:r w:rsidR="00BD5155" w:rsidRPr="00FE162C">
        <w:rPr>
          <w:vertAlign w:val="superscript"/>
        </w:rPr>
        <w:t>0</w:t>
      </w:r>
      <w:r w:rsidRPr="00FE162C">
        <w:t>C</w:t>
      </w:r>
      <w:r w:rsidR="00BD5155" w:rsidRPr="00FE162C">
        <w:t xml:space="preserve"> to 32</w:t>
      </w:r>
      <w:r w:rsidR="009436C8">
        <w:t xml:space="preserve"> </w:t>
      </w:r>
      <w:r w:rsidR="00BD5155" w:rsidRPr="00FE162C">
        <w:rPr>
          <w:vertAlign w:val="superscript"/>
        </w:rPr>
        <w:t>0</w:t>
      </w:r>
      <w:r w:rsidRPr="00FE162C">
        <w:t>C. The region around Karratha produces 35</w:t>
      </w:r>
      <w:r w:rsidR="00AF1216">
        <w:t xml:space="preserve">% </w:t>
      </w:r>
      <w:r w:rsidRPr="00FE162C">
        <w:t>of Australia</w:t>
      </w:r>
      <w:r w:rsidR="00602830">
        <w:t>’</w:t>
      </w:r>
      <w:r w:rsidRPr="00FE162C">
        <w:t xml:space="preserve">s minerals and petroleum </w:t>
      </w:r>
      <w:r w:rsidR="009436C8">
        <w:t>output. The Western Australian G</w:t>
      </w:r>
      <w:r w:rsidRPr="00FE162C">
        <w:t>overnment, through its Pilbara Cities Initiative, plans to invest $1</w:t>
      </w:r>
      <w:r w:rsidR="00E52039">
        <w:t> </w:t>
      </w:r>
      <w:r w:rsidRPr="00FE162C">
        <w:t>billion in this region over the next four years. One of the aims of the initiative is to transform Karratha into a maj</w:t>
      </w:r>
      <w:r w:rsidR="009436C8">
        <w:t xml:space="preserve">or city with a population of 50 </w:t>
      </w:r>
      <w:r w:rsidRPr="00FE162C">
        <w:t>000 by 2020.</w:t>
      </w:r>
    </w:p>
    <w:p w:rsidR="006B754A" w:rsidRPr="00FE162C" w:rsidRDefault="006B754A" w:rsidP="00E52039">
      <w:pPr>
        <w:pStyle w:val="Heading3"/>
      </w:pPr>
      <w:r w:rsidRPr="00FE162C">
        <w:rPr>
          <w:noProof/>
          <w:lang w:eastAsia="en-AU"/>
        </w:rPr>
        <w:drawing>
          <wp:anchor distT="0" distB="0" distL="114300" distR="114300" simplePos="0" relativeHeight="251715584" behindDoc="0" locked="1" layoutInCell="1" allowOverlap="1" wp14:anchorId="64ECB415" wp14:editId="67C584BC">
            <wp:simplePos x="0" y="0"/>
            <wp:positionH relativeFrom="column">
              <wp:posOffset>4445</wp:posOffset>
            </wp:positionH>
            <wp:positionV relativeFrom="paragraph">
              <wp:posOffset>182880</wp:posOffset>
            </wp:positionV>
            <wp:extent cx="4449445" cy="228600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49445" cy="2286000"/>
                    </a:xfrm>
                    <a:prstGeom prst="rect">
                      <a:avLst/>
                    </a:prstGeom>
                    <a:noFill/>
                    <a:ln w="9525">
                      <a:noFill/>
                      <a:miter lim="800000"/>
                      <a:headEnd/>
                      <a:tailEnd/>
                    </a:ln>
                  </pic:spPr>
                </pic:pic>
              </a:graphicData>
            </a:graphic>
          </wp:anchor>
        </w:drawing>
      </w:r>
      <w:r w:rsidRPr="00FE162C">
        <w:t>What does Karratha offer?</w:t>
      </w:r>
    </w:p>
    <w:p w:rsidR="006B754A" w:rsidRPr="00FE162C" w:rsidRDefault="006B754A" w:rsidP="00E52039">
      <w:pPr>
        <w:pStyle w:val="Dotpoint1"/>
      </w:pPr>
      <w:r w:rsidRPr="00E52039">
        <w:rPr>
          <w:bCs/>
          <w:i/>
        </w:rPr>
        <w:t>Services</w:t>
      </w:r>
      <w:r w:rsidRPr="00FE162C">
        <w:t xml:space="preserve">: Karratha provides a full array of services for its residents, including a community centre, </w:t>
      </w:r>
      <w:r w:rsidR="0065681A" w:rsidRPr="00FE162C">
        <w:t xml:space="preserve">a </w:t>
      </w:r>
      <w:r w:rsidRPr="00FE162C">
        <w:t>library, churches, a recreational centre, the largest shopping centre in the Pilbara region (including Coles and Woolworths supermarkets and K-Mart store), a cinema, sports clubs, childcare services, a post office, airport and a regional court.</w:t>
      </w:r>
    </w:p>
    <w:p w:rsidR="006B754A" w:rsidRPr="00FE162C" w:rsidRDefault="006B754A" w:rsidP="00E52039">
      <w:pPr>
        <w:pStyle w:val="Dotpoint1"/>
      </w:pPr>
      <w:r w:rsidRPr="00E52039">
        <w:rPr>
          <w:bCs/>
          <w:i/>
        </w:rPr>
        <w:t>Education</w:t>
      </w:r>
      <w:r w:rsidRPr="00FE162C">
        <w:t>: Karratha has four government primary schools, one private primary school, one government and one private high school and also a TAFE centre with university facilities.</w:t>
      </w:r>
    </w:p>
    <w:p w:rsidR="006B754A" w:rsidRPr="00FE162C" w:rsidRDefault="006B754A" w:rsidP="00E52039">
      <w:pPr>
        <w:pStyle w:val="Dotpoint1"/>
      </w:pPr>
      <w:r w:rsidRPr="00E52039">
        <w:rPr>
          <w:bCs/>
          <w:i/>
        </w:rPr>
        <w:t>Health</w:t>
      </w:r>
      <w:r w:rsidRPr="00FE162C">
        <w:t xml:space="preserve">: Karratha has a district hospital and a medical centre which offers same-day appointments and is open </w:t>
      </w:r>
      <w:r w:rsidR="005E69DE">
        <w:t>seven</w:t>
      </w:r>
      <w:r w:rsidRPr="00FE162C">
        <w:t xml:space="preserve"> days a week.</w:t>
      </w:r>
    </w:p>
    <w:p w:rsidR="00904457" w:rsidRPr="00FE162C" w:rsidRDefault="00904457" w:rsidP="00E52039">
      <w:pPr>
        <w:pStyle w:val="Heading3"/>
      </w:pPr>
      <w:r w:rsidRPr="00FE162C">
        <w:t>Features that differ across job offers in Emerald</w:t>
      </w:r>
    </w:p>
    <w:p w:rsidR="00904457" w:rsidRPr="00FE162C" w:rsidRDefault="00904457" w:rsidP="00E52039">
      <w:pPr>
        <w:pStyle w:val="Text"/>
      </w:pPr>
      <w:r w:rsidRPr="00FE162C">
        <w:t xml:space="preserve">Both job offers have identical characteristics as described above. However they differ with respect to three </w:t>
      </w:r>
      <w:r w:rsidRPr="00E52039">
        <w:t>characteristics</w:t>
      </w:r>
      <w:r w:rsidRPr="00FE162C">
        <w:t>:</w:t>
      </w:r>
    </w:p>
    <w:p w:rsidR="00904457" w:rsidRPr="00E52039" w:rsidRDefault="00E52039" w:rsidP="00E52039">
      <w:pPr>
        <w:pStyle w:val="Text"/>
        <w:spacing w:before="120"/>
        <w:ind w:left="284" w:right="0" w:hanging="284"/>
      </w:pPr>
      <w:r>
        <w:rPr>
          <w:bCs/>
        </w:rPr>
        <w:t>1</w:t>
      </w:r>
      <w:r>
        <w:rPr>
          <w:bCs/>
        </w:rPr>
        <w:tab/>
      </w:r>
      <w:r w:rsidR="009436C8">
        <w:rPr>
          <w:bCs/>
          <w:i/>
        </w:rPr>
        <w:t>W</w:t>
      </w:r>
      <w:r w:rsidR="009436C8" w:rsidRPr="009436C8">
        <w:rPr>
          <w:bCs/>
          <w:i/>
        </w:rPr>
        <w:t>age</w:t>
      </w:r>
      <w:r w:rsidR="009436C8">
        <w:t>: t</w:t>
      </w:r>
      <w:r w:rsidR="00904457" w:rsidRPr="00FE162C">
        <w:t xml:space="preserve">he amount that you will be paid per </w:t>
      </w:r>
      <w:r w:rsidR="00904457" w:rsidRPr="00E52039">
        <w:t>week before taxes will vary with each job offer.</w:t>
      </w:r>
    </w:p>
    <w:p w:rsidR="00904457" w:rsidRPr="00FE162C" w:rsidRDefault="00E52039" w:rsidP="00E52039">
      <w:pPr>
        <w:pStyle w:val="Text"/>
        <w:spacing w:before="120"/>
        <w:ind w:left="284" w:right="0" w:hanging="284"/>
      </w:pPr>
      <w:r>
        <w:t>2</w:t>
      </w:r>
      <w:r>
        <w:tab/>
      </w:r>
      <w:r w:rsidR="009436C8" w:rsidRPr="00E52039">
        <w:rPr>
          <w:i/>
        </w:rPr>
        <w:t>Relocation package</w:t>
      </w:r>
      <w:r w:rsidR="009436C8" w:rsidRPr="00E52039">
        <w:t>: y</w:t>
      </w:r>
      <w:r w:rsidR="00904457" w:rsidRPr="00E52039">
        <w:t>ou will be offered one</w:t>
      </w:r>
      <w:r w:rsidR="00904457" w:rsidRPr="00FE162C">
        <w:t xml:space="preserve"> of the following two relocation packages with each job offer:</w:t>
      </w:r>
    </w:p>
    <w:p w:rsidR="00904457" w:rsidRPr="00E52039" w:rsidRDefault="009436C8" w:rsidP="00E52039">
      <w:pPr>
        <w:pStyle w:val="Text"/>
        <w:spacing w:before="80"/>
        <w:ind w:left="568" w:right="0" w:hanging="284"/>
      </w:pPr>
      <w:r>
        <w:t>a)</w:t>
      </w:r>
      <w:r>
        <w:tab/>
        <w:t>Full relocation: y</w:t>
      </w:r>
      <w:r w:rsidR="00904457" w:rsidRPr="00FE162C">
        <w:t xml:space="preserve">ou will need to relocate to Karratha to take up this position. The cost of relocation, including flights and movers, will be paid in full by the company and will also </w:t>
      </w:r>
      <w:r w:rsidR="00904457" w:rsidRPr="00FE162C">
        <w:lastRenderedPageBreak/>
        <w:t>include the cost of moving family members if they relocate with you. At Karratha, you</w:t>
      </w:r>
      <w:r>
        <w:t xml:space="preserve"> will work a standard 38-hour/5-day </w:t>
      </w:r>
      <w:r w:rsidR="00904457" w:rsidRPr="00FE162C">
        <w:t xml:space="preserve">week. You will need to arrange for your own accommodation. The average rent for a one and </w:t>
      </w:r>
      <w:r w:rsidR="005E69DE">
        <w:t xml:space="preserve">a </w:t>
      </w:r>
      <w:r w:rsidR="00904457" w:rsidRPr="00FE162C">
        <w:t xml:space="preserve">three bedroom house/unit is $550 and $1050 per week, respectively. The average cost of purchasing a one </w:t>
      </w:r>
      <w:r w:rsidR="00904457" w:rsidRPr="00E52039">
        <w:t xml:space="preserve">and </w:t>
      </w:r>
      <w:r w:rsidR="005E69DE">
        <w:t xml:space="preserve">a </w:t>
      </w:r>
      <w:r w:rsidR="00904457" w:rsidRPr="00E52039">
        <w:t>three bedroom house/unit is $275 000 and $549 000 respectively.</w:t>
      </w:r>
    </w:p>
    <w:p w:rsidR="00904457" w:rsidRPr="00FE162C" w:rsidRDefault="004A70FA" w:rsidP="00E52039">
      <w:pPr>
        <w:pStyle w:val="Text"/>
        <w:spacing w:before="80"/>
        <w:ind w:left="568" w:right="0" w:hanging="284"/>
      </w:pPr>
      <w:r w:rsidRPr="00E52039">
        <w:t>b)</w:t>
      </w:r>
      <w:r w:rsidRPr="00E52039">
        <w:tab/>
        <w:t>Fly-in/</w:t>
      </w:r>
      <w:r w:rsidR="009436C8" w:rsidRPr="00E52039">
        <w:t>fly-out: y</w:t>
      </w:r>
      <w:r w:rsidR="00904457" w:rsidRPr="00E52039">
        <w:t>ou will need to relo</w:t>
      </w:r>
      <w:r w:rsidR="00904457" w:rsidRPr="00FE162C">
        <w:t xml:space="preserve">cate to Perth to take up this position. The cost of relocation, including flights and movers, will be paid in full by the company and will also include the cost of moving family members if they relocate with you. From Perth you will alternate between being flown to </w:t>
      </w:r>
      <w:r w:rsidR="00286589">
        <w:t>Karratha</w:t>
      </w:r>
      <w:r w:rsidR="00904457" w:rsidRPr="00FE162C">
        <w:t xml:space="preserve"> where you will work for two weeks, and then being flown back to </w:t>
      </w:r>
      <w:r w:rsidR="005E69DE">
        <w:t>Perth</w:t>
      </w:r>
      <w:r w:rsidR="00904457" w:rsidRPr="00FE162C">
        <w:t xml:space="preserve"> for one week of leave. The company will pay all your travel expenses between Perth and Karratha. You will work an average of 8 hours a day for 12 of the 14 days that you are at on site at Karratha. You will need to arrange for your own accommodation in Perth but in Karratha your accommodation and food will be provided for by the company. The average rent for a one and </w:t>
      </w:r>
      <w:r w:rsidR="005E69DE">
        <w:t xml:space="preserve">a </w:t>
      </w:r>
      <w:r w:rsidR="00904457" w:rsidRPr="00FE162C">
        <w:t xml:space="preserve">three bedroom house in Perth is $385 and $635 per week, respectively. The average cost of purchasing a one and </w:t>
      </w:r>
      <w:r w:rsidR="005E69DE">
        <w:t xml:space="preserve">a </w:t>
      </w:r>
      <w:r w:rsidR="00904457" w:rsidRPr="00FE162C">
        <w:t>three bedroom house/unit is $303 000 and $510 000 respectively.</w:t>
      </w:r>
    </w:p>
    <w:p w:rsidR="00904457" w:rsidRPr="00FE162C" w:rsidRDefault="00CD38F3" w:rsidP="00CD38F3">
      <w:pPr>
        <w:pStyle w:val="Text"/>
        <w:tabs>
          <w:tab w:val="left" w:pos="284"/>
        </w:tabs>
        <w:rPr>
          <w:b/>
          <w:bCs/>
        </w:rPr>
      </w:pPr>
      <w:r>
        <w:rPr>
          <w:bCs/>
        </w:rPr>
        <w:t>3</w:t>
      </w:r>
      <w:r>
        <w:rPr>
          <w:bCs/>
        </w:rPr>
        <w:tab/>
      </w:r>
      <w:r w:rsidR="009436C8">
        <w:rPr>
          <w:bCs/>
          <w:i/>
        </w:rPr>
        <w:t>C</w:t>
      </w:r>
      <w:r w:rsidR="009436C8" w:rsidRPr="009436C8">
        <w:rPr>
          <w:bCs/>
          <w:i/>
        </w:rPr>
        <w:t>ontract</w:t>
      </w:r>
      <w:r w:rsidR="00904457" w:rsidRPr="00FE162C">
        <w:rPr>
          <w:b/>
          <w:bCs/>
        </w:rPr>
        <w:t xml:space="preserve">: </w:t>
      </w:r>
      <w:r w:rsidR="009436C8">
        <w:t>y</w:t>
      </w:r>
      <w:r w:rsidR="00904457" w:rsidRPr="00FE162C">
        <w:t xml:space="preserve">ou will be </w:t>
      </w:r>
      <w:r w:rsidR="00904457" w:rsidRPr="00CD38F3">
        <w:t>offered</w:t>
      </w:r>
      <w:r w:rsidR="00904457" w:rsidRPr="00FE162C">
        <w:t xml:space="preserve"> one of the following three contracts with each job offer:</w:t>
      </w:r>
    </w:p>
    <w:p w:rsidR="00904457" w:rsidRPr="00CD38F3" w:rsidRDefault="00965475" w:rsidP="00CD38F3">
      <w:pPr>
        <w:pStyle w:val="Text"/>
        <w:spacing w:before="80"/>
        <w:ind w:left="568" w:right="0" w:hanging="284"/>
      </w:pPr>
      <w:r>
        <w:t>a)</w:t>
      </w:r>
      <w:r>
        <w:tab/>
        <w:t>Ongoing</w:t>
      </w:r>
      <w:r w:rsidR="00E20505">
        <w:t xml:space="preserve"> with training: y</w:t>
      </w:r>
      <w:r w:rsidR="00904457" w:rsidRPr="00FE162C">
        <w:t>our employment contract will</w:t>
      </w:r>
      <w:r>
        <w:t xml:space="preserve"> be ongoing</w:t>
      </w:r>
      <w:r w:rsidR="00904457" w:rsidRPr="00FE162C">
        <w:t xml:space="preserve">. For the first </w:t>
      </w:r>
      <w:r w:rsidR="00E20505">
        <w:t>three</w:t>
      </w:r>
      <w:r w:rsidR="00904457" w:rsidRPr="00FE162C">
        <w:t xml:space="preserve"> months you will undergo on-the-job as well as off-the-job training to equip you with skills specific to your new position. During this </w:t>
      </w:r>
      <w:r w:rsidR="00904457" w:rsidRPr="00CD38F3">
        <w:t>period half of your wages before tax will be deducted to pay for the cost of the training.</w:t>
      </w:r>
    </w:p>
    <w:p w:rsidR="00904457" w:rsidRPr="00CD38F3" w:rsidRDefault="00965475" w:rsidP="00CD38F3">
      <w:pPr>
        <w:pStyle w:val="Text"/>
        <w:spacing w:before="80"/>
        <w:ind w:left="568" w:right="0" w:hanging="284"/>
      </w:pPr>
      <w:r w:rsidRPr="00CD38F3">
        <w:t>b)</w:t>
      </w:r>
      <w:r w:rsidRPr="00CD38F3">
        <w:tab/>
        <w:t>Ongoing</w:t>
      </w:r>
      <w:r w:rsidR="00E20505" w:rsidRPr="00CD38F3">
        <w:t>, no training: y</w:t>
      </w:r>
      <w:r w:rsidR="00904457" w:rsidRPr="00CD38F3">
        <w:t xml:space="preserve">our </w:t>
      </w:r>
      <w:r w:rsidRPr="00CD38F3">
        <w:t>employment contract is ongoing</w:t>
      </w:r>
      <w:r w:rsidR="00904457" w:rsidRPr="00CD38F3">
        <w:t>. The contract does not require you to undertake training.</w:t>
      </w:r>
    </w:p>
    <w:p w:rsidR="00904457" w:rsidRPr="00FE162C" w:rsidRDefault="00904457" w:rsidP="00CD38F3">
      <w:pPr>
        <w:pStyle w:val="Text"/>
        <w:spacing w:before="80"/>
        <w:ind w:left="568" w:right="0" w:hanging="284"/>
      </w:pPr>
      <w:r w:rsidRPr="00CD38F3">
        <w:t>c)</w:t>
      </w:r>
      <w:r w:rsidRPr="00CD38F3">
        <w:tab/>
      </w:r>
      <w:r w:rsidR="00E20505" w:rsidRPr="00CD38F3">
        <w:t>Fixed six-months, no training</w:t>
      </w:r>
      <w:r w:rsidR="00E20505">
        <w:t>: y</w:t>
      </w:r>
      <w:r w:rsidRPr="00FE162C">
        <w:t xml:space="preserve">our contract will be for </w:t>
      </w:r>
      <w:r w:rsidR="00E20505">
        <w:t>six</w:t>
      </w:r>
      <w:r w:rsidRPr="00FE162C">
        <w:t xml:space="preserve"> months and it will be non-renewable. The contract does not require you to undertake training.</w:t>
      </w:r>
    </w:p>
    <w:p w:rsidR="006B754A" w:rsidRPr="00FE162C" w:rsidRDefault="00904457" w:rsidP="00CD38F3">
      <w:pPr>
        <w:pStyle w:val="Text"/>
      </w:pPr>
      <w:r w:rsidRPr="00FE162C">
        <w:t xml:space="preserve">In each scenario presented to you, the characteristics of each job will be clearly stated. You should compare these three </w:t>
      </w:r>
      <w:r w:rsidRPr="00CD38F3">
        <w:t>characteristics</w:t>
      </w:r>
      <w:r w:rsidRPr="00FE162C">
        <w:t xml:space="preserve"> before deciding which job to accept. If neither of the job offers is acceptable to you then </w:t>
      </w:r>
      <w:r w:rsidR="00E20505">
        <w:t>choose o</w:t>
      </w:r>
      <w:r w:rsidRPr="00FE162C">
        <w:t>ption 3.</w:t>
      </w:r>
    </w:p>
    <w:p w:rsidR="00AF0CA4" w:rsidRPr="00FE162C" w:rsidRDefault="00AF0CA4">
      <w:pPr>
        <w:spacing w:before="0" w:line="240" w:lineRule="auto"/>
        <w:rPr>
          <w:rFonts w:ascii="Tahoma" w:hAnsi="Tahoma" w:cs="Tahoma"/>
          <w:color w:val="000000" w:themeColor="text1"/>
          <w:kern w:val="28"/>
          <w:sz w:val="56"/>
          <w:szCs w:val="56"/>
        </w:rPr>
      </w:pPr>
      <w:r w:rsidRPr="00FE162C">
        <w:rPr>
          <w:color w:val="000000" w:themeColor="text1"/>
        </w:rPr>
        <w:br w:type="page"/>
      </w:r>
    </w:p>
    <w:p w:rsidR="00AF0CA4" w:rsidRPr="00FE162C" w:rsidRDefault="00AF0CA4" w:rsidP="00CD38F3">
      <w:pPr>
        <w:pStyle w:val="Heading1"/>
      </w:pPr>
      <w:bookmarkStart w:id="70" w:name="_Toc386530500"/>
      <w:r w:rsidRPr="00FE162C">
        <w:lastRenderedPageBreak/>
        <w:t xml:space="preserve">Appendix C: Estimates from mixed </w:t>
      </w:r>
      <w:r w:rsidRPr="00CD38F3">
        <w:t>multinomial</w:t>
      </w:r>
      <w:r w:rsidRPr="00FE162C">
        <w:t xml:space="preserve"> logit model</w:t>
      </w:r>
      <w:bookmarkEnd w:id="70"/>
    </w:p>
    <w:p w:rsidR="00AF0CA4" w:rsidRPr="00FE162C" w:rsidRDefault="0062700D" w:rsidP="00CD38F3">
      <w:pPr>
        <w:pStyle w:val="tabletitle"/>
      </w:pPr>
      <w:bookmarkStart w:id="71" w:name="_Toc386530557"/>
      <w:r>
        <w:t>Table C</w:t>
      </w:r>
      <w:r w:rsidR="00AF0CA4" w:rsidRPr="00FE162C">
        <w:t>1</w:t>
      </w:r>
      <w:r w:rsidR="00AF0CA4" w:rsidRPr="00FE162C">
        <w:tab/>
        <w:t>Mixed multinomial logit estimates of willingness to accept job offers in Karratha or Emerald from model with job attributes</w:t>
      </w:r>
      <w:bookmarkEnd w:id="71"/>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417"/>
        <w:gridCol w:w="1418"/>
      </w:tblGrid>
      <w:tr w:rsidR="00AF0CA4" w:rsidRPr="00FE162C" w:rsidTr="00CD38F3">
        <w:tc>
          <w:tcPr>
            <w:tcW w:w="5954" w:type="dxa"/>
            <w:tcBorders>
              <w:top w:val="single" w:sz="4" w:space="0" w:color="auto"/>
              <w:bottom w:val="single" w:sz="4" w:space="0" w:color="auto"/>
            </w:tcBorders>
          </w:tcPr>
          <w:p w:rsidR="00AF0CA4" w:rsidRPr="00FE162C" w:rsidRDefault="00AF0CA4" w:rsidP="00CD38F3">
            <w:pPr>
              <w:pStyle w:val="Tablehead1"/>
            </w:pPr>
          </w:p>
        </w:tc>
        <w:tc>
          <w:tcPr>
            <w:tcW w:w="1417" w:type="dxa"/>
            <w:tcBorders>
              <w:top w:val="single" w:sz="4" w:space="0" w:color="auto"/>
              <w:bottom w:val="single" w:sz="4" w:space="0" w:color="auto"/>
            </w:tcBorders>
          </w:tcPr>
          <w:p w:rsidR="00AF0CA4" w:rsidRPr="00FE162C" w:rsidRDefault="00AF0CA4" w:rsidP="00CD38F3">
            <w:pPr>
              <w:pStyle w:val="Tablehead1"/>
              <w:jc w:val="center"/>
            </w:pPr>
            <w:r w:rsidRPr="00FE162C">
              <w:t>Coefficient</w:t>
            </w:r>
          </w:p>
        </w:tc>
        <w:tc>
          <w:tcPr>
            <w:tcW w:w="1418" w:type="dxa"/>
            <w:tcBorders>
              <w:top w:val="single" w:sz="4" w:space="0" w:color="auto"/>
              <w:bottom w:val="single" w:sz="4" w:space="0" w:color="auto"/>
            </w:tcBorders>
          </w:tcPr>
          <w:p w:rsidR="00AF0CA4" w:rsidRPr="00FE162C" w:rsidRDefault="00AF0CA4" w:rsidP="00CD38F3">
            <w:pPr>
              <w:pStyle w:val="Tablehead1"/>
              <w:jc w:val="center"/>
              <w:rPr>
                <w:vertAlign w:val="superscript"/>
              </w:rPr>
            </w:pPr>
            <w:r w:rsidRPr="00FE162C">
              <w:t>Standard error</w:t>
            </w:r>
          </w:p>
        </w:tc>
      </w:tr>
      <w:tr w:rsidR="00AF0CA4" w:rsidRPr="00CD38F3" w:rsidTr="00CD38F3">
        <w:tc>
          <w:tcPr>
            <w:tcW w:w="5954" w:type="dxa"/>
          </w:tcPr>
          <w:p w:rsidR="00AF0CA4" w:rsidRPr="00CD38F3" w:rsidRDefault="00AF0CA4" w:rsidP="00CD38F3">
            <w:pPr>
              <w:pStyle w:val="Tabletext"/>
              <w:rPr>
                <w:b/>
              </w:rPr>
            </w:pPr>
            <w:r w:rsidRPr="00CD38F3">
              <w:rPr>
                <w:b/>
              </w:rPr>
              <w:t>Job attributes</w:t>
            </w:r>
          </w:p>
        </w:tc>
        <w:tc>
          <w:tcPr>
            <w:tcW w:w="1417" w:type="dxa"/>
          </w:tcPr>
          <w:p w:rsidR="00AF0CA4" w:rsidRPr="00CD38F3" w:rsidRDefault="00AF0CA4" w:rsidP="00CD38F3">
            <w:pPr>
              <w:pStyle w:val="Tabletext"/>
              <w:rPr>
                <w:iCs/>
              </w:rPr>
            </w:pPr>
          </w:p>
        </w:tc>
        <w:tc>
          <w:tcPr>
            <w:tcW w:w="1418" w:type="dxa"/>
            <w:tcBorders>
              <w:top w:val="single" w:sz="4" w:space="0" w:color="auto"/>
            </w:tcBorders>
          </w:tcPr>
          <w:p w:rsidR="00AF0CA4" w:rsidRPr="00CD38F3" w:rsidRDefault="00AF0CA4" w:rsidP="00CD38F3">
            <w:pPr>
              <w:pStyle w:val="Tabletext"/>
              <w:rPr>
                <w:iCs/>
              </w:rPr>
            </w:pPr>
          </w:p>
        </w:tc>
      </w:tr>
      <w:tr w:rsidR="00AF0CA4" w:rsidRPr="00CD38F3" w:rsidTr="00CD38F3">
        <w:tc>
          <w:tcPr>
            <w:tcW w:w="5954" w:type="dxa"/>
          </w:tcPr>
          <w:p w:rsidR="00AF0CA4" w:rsidRPr="00CD38F3" w:rsidRDefault="00AF0CA4" w:rsidP="00CD38F3">
            <w:pPr>
              <w:pStyle w:val="Tabletext"/>
              <w:ind w:left="227"/>
              <w:rPr>
                <w:iCs/>
              </w:rPr>
            </w:pPr>
            <w:r w:rsidRPr="00CD38F3">
              <w:rPr>
                <w:iCs/>
              </w:rPr>
              <w:t>Annual wage attribute</w:t>
            </w:r>
          </w:p>
        </w:tc>
        <w:tc>
          <w:tcPr>
            <w:tcW w:w="1417" w:type="dxa"/>
          </w:tcPr>
          <w:p w:rsidR="00AF0CA4" w:rsidRPr="00CD38F3" w:rsidRDefault="00AF0CA4" w:rsidP="00CD38F3">
            <w:pPr>
              <w:pStyle w:val="Tabletext"/>
              <w:tabs>
                <w:tab w:val="decimal" w:pos="567"/>
              </w:tabs>
              <w:rPr>
                <w:rFonts w:cs="Arial"/>
                <w:szCs w:val="16"/>
              </w:rPr>
            </w:pPr>
            <w:r w:rsidRPr="00CD38F3">
              <w:rPr>
                <w:rFonts w:cs="Arial"/>
                <w:szCs w:val="16"/>
              </w:rPr>
              <w:t>2.152</w:t>
            </w:r>
          </w:p>
        </w:tc>
        <w:tc>
          <w:tcPr>
            <w:tcW w:w="1418" w:type="dxa"/>
          </w:tcPr>
          <w:p w:rsidR="00AF0CA4" w:rsidRPr="00CD38F3" w:rsidRDefault="00AF0CA4" w:rsidP="00CD38F3">
            <w:pPr>
              <w:pStyle w:val="Tabletext"/>
              <w:tabs>
                <w:tab w:val="decimal" w:pos="567"/>
              </w:tabs>
              <w:rPr>
                <w:rFonts w:cs="Arial"/>
                <w:szCs w:val="16"/>
              </w:rPr>
            </w:pPr>
            <w:r w:rsidRPr="00CD38F3">
              <w:rPr>
                <w:rFonts w:cs="Arial"/>
                <w:szCs w:val="16"/>
              </w:rPr>
              <w:t>0.06</w:t>
            </w:r>
          </w:p>
        </w:tc>
      </w:tr>
      <w:tr w:rsidR="00AF0CA4" w:rsidRPr="00CD38F3" w:rsidTr="00CD38F3">
        <w:tc>
          <w:tcPr>
            <w:tcW w:w="5954" w:type="dxa"/>
          </w:tcPr>
          <w:p w:rsidR="00AF0CA4" w:rsidRPr="00CD38F3" w:rsidRDefault="00AF0CA4" w:rsidP="00CD38F3">
            <w:pPr>
              <w:pStyle w:val="Tabletext"/>
              <w:ind w:left="227"/>
              <w:rPr>
                <w:iCs/>
              </w:rPr>
            </w:pPr>
            <w:r w:rsidRPr="00CD38F3">
              <w:rPr>
                <w:iCs/>
              </w:rPr>
              <w:t>Fly-in/fly-out</w:t>
            </w:r>
          </w:p>
        </w:tc>
        <w:tc>
          <w:tcPr>
            <w:tcW w:w="1417" w:type="dxa"/>
          </w:tcPr>
          <w:p w:rsidR="00AF0CA4" w:rsidRPr="00CD38F3" w:rsidRDefault="00AF0CA4" w:rsidP="00CD38F3">
            <w:pPr>
              <w:pStyle w:val="Tabletext"/>
              <w:tabs>
                <w:tab w:val="decimal" w:pos="567"/>
              </w:tabs>
              <w:rPr>
                <w:rFonts w:cs="Arial"/>
                <w:szCs w:val="16"/>
              </w:rPr>
            </w:pPr>
            <w:r w:rsidRPr="00CD38F3">
              <w:rPr>
                <w:rFonts w:cs="Arial"/>
                <w:szCs w:val="16"/>
              </w:rPr>
              <w:t>0.306</w:t>
            </w:r>
          </w:p>
        </w:tc>
        <w:tc>
          <w:tcPr>
            <w:tcW w:w="1418" w:type="dxa"/>
          </w:tcPr>
          <w:p w:rsidR="00AF0CA4" w:rsidRPr="00CD38F3" w:rsidRDefault="00AF0CA4" w:rsidP="00CD38F3">
            <w:pPr>
              <w:pStyle w:val="Tabletext"/>
              <w:tabs>
                <w:tab w:val="decimal" w:pos="567"/>
              </w:tabs>
              <w:rPr>
                <w:rFonts w:cs="Arial"/>
                <w:szCs w:val="16"/>
              </w:rPr>
            </w:pPr>
            <w:r w:rsidRPr="00CD38F3">
              <w:rPr>
                <w:rFonts w:cs="Arial"/>
                <w:szCs w:val="16"/>
              </w:rPr>
              <w:t>0.04</w:t>
            </w:r>
          </w:p>
        </w:tc>
      </w:tr>
      <w:tr w:rsidR="00AF0CA4" w:rsidRPr="00CD38F3" w:rsidTr="00CD38F3">
        <w:tc>
          <w:tcPr>
            <w:tcW w:w="5954" w:type="dxa"/>
          </w:tcPr>
          <w:p w:rsidR="00AF0CA4" w:rsidRPr="00CD38F3" w:rsidRDefault="00AF0CA4" w:rsidP="00CD38F3">
            <w:pPr>
              <w:pStyle w:val="Tabletext"/>
              <w:ind w:left="227"/>
              <w:rPr>
                <w:iCs/>
              </w:rPr>
            </w:pPr>
            <w:r w:rsidRPr="00CD38F3">
              <w:rPr>
                <w:iCs/>
              </w:rPr>
              <w:t>Temporary contract</w:t>
            </w:r>
          </w:p>
        </w:tc>
        <w:tc>
          <w:tcPr>
            <w:tcW w:w="1417" w:type="dxa"/>
          </w:tcPr>
          <w:p w:rsidR="00AF0CA4" w:rsidRPr="00CD38F3" w:rsidRDefault="00AF0CA4" w:rsidP="00CD38F3">
            <w:pPr>
              <w:pStyle w:val="Tabletext"/>
              <w:tabs>
                <w:tab w:val="decimal" w:pos="567"/>
              </w:tabs>
              <w:rPr>
                <w:rFonts w:cs="Arial"/>
                <w:szCs w:val="16"/>
              </w:rPr>
            </w:pPr>
            <w:r w:rsidRPr="00CD38F3">
              <w:rPr>
                <w:rFonts w:cs="Arial"/>
                <w:szCs w:val="16"/>
              </w:rPr>
              <w:t>-0.326</w:t>
            </w:r>
          </w:p>
        </w:tc>
        <w:tc>
          <w:tcPr>
            <w:tcW w:w="1418" w:type="dxa"/>
          </w:tcPr>
          <w:p w:rsidR="00AF0CA4" w:rsidRPr="00CD38F3" w:rsidRDefault="00AF0CA4" w:rsidP="00CD38F3">
            <w:pPr>
              <w:pStyle w:val="Tabletext"/>
              <w:tabs>
                <w:tab w:val="decimal" w:pos="567"/>
              </w:tabs>
              <w:rPr>
                <w:rFonts w:cs="Arial"/>
                <w:szCs w:val="16"/>
              </w:rPr>
            </w:pPr>
            <w:r w:rsidRPr="00CD38F3">
              <w:rPr>
                <w:rFonts w:cs="Arial"/>
                <w:szCs w:val="16"/>
              </w:rPr>
              <w:t>0.03</w:t>
            </w:r>
          </w:p>
        </w:tc>
      </w:tr>
      <w:tr w:rsidR="00AF0CA4" w:rsidRPr="00CD38F3" w:rsidTr="00CD38F3">
        <w:tc>
          <w:tcPr>
            <w:tcW w:w="5954" w:type="dxa"/>
          </w:tcPr>
          <w:p w:rsidR="00AF0CA4" w:rsidRPr="00CD38F3" w:rsidRDefault="00AF0CA4" w:rsidP="00CD38F3">
            <w:pPr>
              <w:pStyle w:val="Tabletext"/>
              <w:ind w:left="227"/>
              <w:rPr>
                <w:iCs/>
              </w:rPr>
            </w:pPr>
            <w:r w:rsidRPr="00CD38F3">
              <w:rPr>
                <w:iCs/>
              </w:rPr>
              <w:t>With training</w:t>
            </w:r>
          </w:p>
        </w:tc>
        <w:tc>
          <w:tcPr>
            <w:tcW w:w="1417" w:type="dxa"/>
          </w:tcPr>
          <w:p w:rsidR="00AF0CA4" w:rsidRPr="00CD38F3" w:rsidRDefault="00AF0CA4" w:rsidP="00CD38F3">
            <w:pPr>
              <w:pStyle w:val="Tabletext"/>
              <w:tabs>
                <w:tab w:val="decimal" w:pos="567"/>
              </w:tabs>
              <w:rPr>
                <w:rFonts w:cs="Arial"/>
                <w:szCs w:val="16"/>
              </w:rPr>
            </w:pPr>
            <w:r w:rsidRPr="00CD38F3">
              <w:rPr>
                <w:rFonts w:cs="Arial"/>
                <w:szCs w:val="16"/>
              </w:rPr>
              <w:t>0.199</w:t>
            </w:r>
          </w:p>
        </w:tc>
        <w:tc>
          <w:tcPr>
            <w:tcW w:w="1418" w:type="dxa"/>
          </w:tcPr>
          <w:p w:rsidR="00AF0CA4" w:rsidRPr="00CD38F3" w:rsidRDefault="00AF0CA4" w:rsidP="00CD38F3">
            <w:pPr>
              <w:pStyle w:val="Tabletext"/>
              <w:tabs>
                <w:tab w:val="decimal" w:pos="567"/>
              </w:tabs>
              <w:rPr>
                <w:rFonts w:cs="Arial"/>
                <w:szCs w:val="16"/>
              </w:rPr>
            </w:pPr>
            <w:r w:rsidRPr="00CD38F3">
              <w:rPr>
                <w:rFonts w:cs="Arial"/>
                <w:szCs w:val="16"/>
              </w:rPr>
              <w:t>0.03</w:t>
            </w:r>
          </w:p>
        </w:tc>
      </w:tr>
      <w:tr w:rsidR="00AF0CA4" w:rsidRPr="00CD38F3" w:rsidTr="00CD38F3">
        <w:tc>
          <w:tcPr>
            <w:tcW w:w="5954" w:type="dxa"/>
          </w:tcPr>
          <w:p w:rsidR="00AF0CA4" w:rsidRPr="00CD38F3" w:rsidRDefault="00AF0CA4" w:rsidP="00CD38F3">
            <w:pPr>
              <w:pStyle w:val="Tabletext"/>
              <w:ind w:left="227"/>
              <w:rPr>
                <w:iCs/>
                <w:vertAlign w:val="superscript"/>
              </w:rPr>
            </w:pPr>
            <w:r w:rsidRPr="00CD38F3">
              <w:rPr>
                <w:iCs/>
              </w:rPr>
              <w:t>Constant (moving-specific)*</w:t>
            </w:r>
          </w:p>
        </w:tc>
        <w:tc>
          <w:tcPr>
            <w:tcW w:w="1417" w:type="dxa"/>
          </w:tcPr>
          <w:p w:rsidR="00AF0CA4" w:rsidRPr="00CD38F3" w:rsidRDefault="00AF0CA4" w:rsidP="00CD38F3">
            <w:pPr>
              <w:pStyle w:val="Tabletext"/>
              <w:tabs>
                <w:tab w:val="decimal" w:pos="567"/>
              </w:tabs>
              <w:rPr>
                <w:rFonts w:cs="Arial"/>
                <w:szCs w:val="16"/>
                <w:vertAlign w:val="superscript"/>
              </w:rPr>
            </w:pPr>
            <w:r w:rsidRPr="00CD38F3">
              <w:rPr>
                <w:rFonts w:cs="Arial"/>
                <w:szCs w:val="16"/>
              </w:rPr>
              <w:t>-0.876</w:t>
            </w:r>
          </w:p>
        </w:tc>
        <w:tc>
          <w:tcPr>
            <w:tcW w:w="1418" w:type="dxa"/>
          </w:tcPr>
          <w:p w:rsidR="00AF0CA4" w:rsidRPr="00CD38F3" w:rsidRDefault="00AF0CA4" w:rsidP="00CD38F3">
            <w:pPr>
              <w:pStyle w:val="Tabletext"/>
              <w:tabs>
                <w:tab w:val="decimal" w:pos="567"/>
              </w:tabs>
              <w:rPr>
                <w:rFonts w:cs="Arial"/>
                <w:szCs w:val="16"/>
              </w:rPr>
            </w:pPr>
            <w:r w:rsidRPr="00CD38F3">
              <w:rPr>
                <w:rFonts w:cs="Arial"/>
                <w:szCs w:val="16"/>
              </w:rPr>
              <w:t>0.58</w:t>
            </w:r>
          </w:p>
        </w:tc>
      </w:tr>
      <w:tr w:rsidR="00AF0CA4" w:rsidRPr="00CD38F3" w:rsidTr="00CD38F3">
        <w:tc>
          <w:tcPr>
            <w:tcW w:w="5954" w:type="dxa"/>
            <w:tcMar>
              <w:right w:w="0" w:type="dxa"/>
            </w:tcMar>
          </w:tcPr>
          <w:p w:rsidR="00AF0CA4" w:rsidRPr="00CD38F3" w:rsidRDefault="00AF0CA4" w:rsidP="00CD38F3">
            <w:pPr>
              <w:pStyle w:val="Tabletext"/>
              <w:ind w:left="227"/>
              <w:rPr>
                <w:iCs/>
              </w:rPr>
            </w:pPr>
            <w:r w:rsidRPr="00CD38F3">
              <w:rPr>
                <w:iCs/>
              </w:rPr>
              <w:t>Annual wage attribute (assumes standard deviation of a triangular distribution)</w:t>
            </w:r>
          </w:p>
        </w:tc>
        <w:tc>
          <w:tcPr>
            <w:tcW w:w="1417" w:type="dxa"/>
          </w:tcPr>
          <w:p w:rsidR="00AF0CA4" w:rsidRPr="00CD38F3" w:rsidRDefault="00AF0CA4" w:rsidP="00CD38F3">
            <w:pPr>
              <w:pStyle w:val="Tabletext"/>
              <w:tabs>
                <w:tab w:val="decimal" w:pos="567"/>
              </w:tabs>
              <w:rPr>
                <w:rFonts w:cs="Arial"/>
                <w:szCs w:val="16"/>
              </w:rPr>
            </w:pPr>
            <w:r w:rsidRPr="00CD38F3">
              <w:rPr>
                <w:rFonts w:cs="Arial"/>
                <w:szCs w:val="16"/>
              </w:rPr>
              <w:t>2.152</w:t>
            </w:r>
          </w:p>
        </w:tc>
        <w:tc>
          <w:tcPr>
            <w:tcW w:w="1418" w:type="dxa"/>
          </w:tcPr>
          <w:p w:rsidR="00AF0CA4" w:rsidRPr="00CD38F3" w:rsidRDefault="00AF0CA4" w:rsidP="00CD38F3">
            <w:pPr>
              <w:pStyle w:val="Tabletext"/>
              <w:tabs>
                <w:tab w:val="decimal" w:pos="567"/>
              </w:tabs>
              <w:rPr>
                <w:rFonts w:cs="Arial"/>
                <w:szCs w:val="16"/>
              </w:rPr>
            </w:pPr>
            <w:r w:rsidRPr="00CD38F3">
              <w:rPr>
                <w:rFonts w:cs="Arial"/>
                <w:szCs w:val="16"/>
              </w:rPr>
              <w:t>0.06</w:t>
            </w:r>
          </w:p>
        </w:tc>
      </w:tr>
      <w:tr w:rsidR="00AF0CA4" w:rsidRPr="00CD38F3" w:rsidTr="00CD38F3">
        <w:tc>
          <w:tcPr>
            <w:tcW w:w="5954" w:type="dxa"/>
          </w:tcPr>
          <w:p w:rsidR="00AF0CA4" w:rsidRPr="00CD38F3" w:rsidRDefault="00AF0CA4" w:rsidP="00CD38F3">
            <w:pPr>
              <w:pStyle w:val="Tabletext"/>
              <w:ind w:left="227"/>
              <w:rPr>
                <w:iCs/>
              </w:rPr>
            </w:pPr>
            <w:r w:rsidRPr="00CD38F3">
              <w:rPr>
                <w:iCs/>
              </w:rPr>
              <w:t>Fly-in/fly-out (assumes standard deviation of normal distribution)</w:t>
            </w:r>
          </w:p>
        </w:tc>
        <w:tc>
          <w:tcPr>
            <w:tcW w:w="1417" w:type="dxa"/>
          </w:tcPr>
          <w:p w:rsidR="00AF0CA4" w:rsidRPr="00CD38F3" w:rsidRDefault="00AF0CA4" w:rsidP="00CD38F3">
            <w:pPr>
              <w:pStyle w:val="Tabletext"/>
              <w:tabs>
                <w:tab w:val="decimal" w:pos="567"/>
              </w:tabs>
              <w:rPr>
                <w:rFonts w:cs="Arial"/>
                <w:szCs w:val="16"/>
              </w:rPr>
            </w:pPr>
            <w:r w:rsidRPr="00CD38F3">
              <w:rPr>
                <w:rFonts w:cs="Arial"/>
                <w:szCs w:val="16"/>
              </w:rPr>
              <w:t>1.131</w:t>
            </w:r>
          </w:p>
        </w:tc>
        <w:tc>
          <w:tcPr>
            <w:tcW w:w="1418" w:type="dxa"/>
          </w:tcPr>
          <w:p w:rsidR="00AF0CA4" w:rsidRPr="00CD38F3" w:rsidRDefault="00AF0CA4" w:rsidP="00CD38F3">
            <w:pPr>
              <w:pStyle w:val="Tabletext"/>
              <w:tabs>
                <w:tab w:val="decimal" w:pos="567"/>
              </w:tabs>
              <w:rPr>
                <w:rFonts w:cs="Arial"/>
                <w:szCs w:val="16"/>
              </w:rPr>
            </w:pPr>
            <w:r w:rsidRPr="00CD38F3">
              <w:rPr>
                <w:rFonts w:cs="Arial"/>
                <w:szCs w:val="16"/>
              </w:rPr>
              <w:t>0.06</w:t>
            </w:r>
          </w:p>
        </w:tc>
      </w:tr>
      <w:tr w:rsidR="00AF0CA4" w:rsidRPr="00CD38F3" w:rsidTr="00CD38F3">
        <w:tc>
          <w:tcPr>
            <w:tcW w:w="5954" w:type="dxa"/>
          </w:tcPr>
          <w:p w:rsidR="00AF0CA4" w:rsidRPr="00CD38F3" w:rsidRDefault="00AF0CA4" w:rsidP="00CD38F3">
            <w:pPr>
              <w:pStyle w:val="Tabletext"/>
              <w:ind w:left="227"/>
              <w:rPr>
                <w:iCs/>
              </w:rPr>
            </w:pPr>
            <w:r w:rsidRPr="00CD38F3">
              <w:rPr>
                <w:iCs/>
              </w:rPr>
              <w:t>Temporary contract (assumes standard deviation of normal distribution)</w:t>
            </w:r>
          </w:p>
        </w:tc>
        <w:tc>
          <w:tcPr>
            <w:tcW w:w="1417" w:type="dxa"/>
          </w:tcPr>
          <w:p w:rsidR="00AF0CA4" w:rsidRPr="00CD38F3" w:rsidRDefault="00AF0CA4" w:rsidP="00CD38F3">
            <w:pPr>
              <w:pStyle w:val="Tabletext"/>
              <w:tabs>
                <w:tab w:val="decimal" w:pos="567"/>
              </w:tabs>
              <w:rPr>
                <w:rFonts w:cs="Arial"/>
                <w:szCs w:val="16"/>
              </w:rPr>
            </w:pPr>
            <w:r w:rsidRPr="00CD38F3">
              <w:rPr>
                <w:rFonts w:cs="Arial"/>
                <w:szCs w:val="16"/>
              </w:rPr>
              <w:t>0.197</w:t>
            </w:r>
          </w:p>
        </w:tc>
        <w:tc>
          <w:tcPr>
            <w:tcW w:w="1418" w:type="dxa"/>
          </w:tcPr>
          <w:p w:rsidR="00AF0CA4" w:rsidRPr="00CD38F3" w:rsidRDefault="00AF0CA4" w:rsidP="00CD38F3">
            <w:pPr>
              <w:pStyle w:val="Tabletext"/>
              <w:tabs>
                <w:tab w:val="decimal" w:pos="567"/>
              </w:tabs>
              <w:rPr>
                <w:rFonts w:cs="Arial"/>
                <w:szCs w:val="16"/>
              </w:rPr>
            </w:pPr>
            <w:r w:rsidRPr="00CD38F3">
              <w:rPr>
                <w:rFonts w:cs="Arial"/>
                <w:szCs w:val="16"/>
              </w:rPr>
              <w:t>0.08</w:t>
            </w:r>
          </w:p>
        </w:tc>
      </w:tr>
      <w:tr w:rsidR="00AF0CA4" w:rsidRPr="00CD38F3" w:rsidTr="00CD38F3">
        <w:tc>
          <w:tcPr>
            <w:tcW w:w="5954" w:type="dxa"/>
          </w:tcPr>
          <w:p w:rsidR="00AF0CA4" w:rsidRPr="00CD38F3" w:rsidRDefault="00AF0CA4" w:rsidP="00CD38F3">
            <w:pPr>
              <w:pStyle w:val="Tabletext"/>
              <w:ind w:left="227"/>
              <w:rPr>
                <w:iCs/>
                <w:vertAlign w:val="superscript"/>
              </w:rPr>
            </w:pPr>
            <w:r w:rsidRPr="00CD38F3">
              <w:rPr>
                <w:iCs/>
              </w:rPr>
              <w:t>With training (assumes standard deviation of normal distribution)*</w:t>
            </w:r>
          </w:p>
        </w:tc>
        <w:tc>
          <w:tcPr>
            <w:tcW w:w="1417" w:type="dxa"/>
          </w:tcPr>
          <w:p w:rsidR="00AF0CA4" w:rsidRPr="00CD38F3" w:rsidRDefault="00AF0CA4" w:rsidP="00CD38F3">
            <w:pPr>
              <w:pStyle w:val="Tabletext"/>
              <w:tabs>
                <w:tab w:val="decimal" w:pos="567"/>
              </w:tabs>
              <w:rPr>
                <w:rFonts w:cs="Arial"/>
                <w:szCs w:val="16"/>
                <w:vertAlign w:val="superscript"/>
              </w:rPr>
            </w:pPr>
            <w:r w:rsidRPr="00CD38F3">
              <w:rPr>
                <w:rFonts w:cs="Arial"/>
                <w:szCs w:val="16"/>
              </w:rPr>
              <w:t>0.007</w:t>
            </w:r>
          </w:p>
        </w:tc>
        <w:tc>
          <w:tcPr>
            <w:tcW w:w="1418" w:type="dxa"/>
          </w:tcPr>
          <w:p w:rsidR="00AF0CA4" w:rsidRPr="00CD38F3" w:rsidRDefault="00AF0CA4" w:rsidP="00CD38F3">
            <w:pPr>
              <w:pStyle w:val="Tabletext"/>
              <w:tabs>
                <w:tab w:val="decimal" w:pos="567"/>
              </w:tabs>
              <w:rPr>
                <w:rFonts w:cs="Arial"/>
                <w:szCs w:val="16"/>
              </w:rPr>
            </w:pPr>
            <w:r w:rsidRPr="00CD38F3">
              <w:rPr>
                <w:rFonts w:cs="Arial"/>
                <w:szCs w:val="16"/>
              </w:rPr>
              <w:t>0.04</w:t>
            </w:r>
          </w:p>
        </w:tc>
      </w:tr>
      <w:tr w:rsidR="00AF0CA4" w:rsidRPr="00CD38F3" w:rsidTr="00CD38F3">
        <w:tc>
          <w:tcPr>
            <w:tcW w:w="5954" w:type="dxa"/>
            <w:tcMar>
              <w:right w:w="0" w:type="dxa"/>
            </w:tcMar>
          </w:tcPr>
          <w:p w:rsidR="00AF0CA4" w:rsidRPr="00CD38F3" w:rsidRDefault="00AF0CA4" w:rsidP="00CD38F3">
            <w:pPr>
              <w:pStyle w:val="Tabletext"/>
              <w:ind w:left="227"/>
              <w:rPr>
                <w:iCs/>
              </w:rPr>
            </w:pPr>
            <w:r w:rsidRPr="00CD38F3">
              <w:rPr>
                <w:iCs/>
              </w:rPr>
              <w:t>Constant (moving-specific) (assumes standard deviation of normal distribution)</w:t>
            </w:r>
          </w:p>
        </w:tc>
        <w:tc>
          <w:tcPr>
            <w:tcW w:w="1417" w:type="dxa"/>
          </w:tcPr>
          <w:p w:rsidR="00AF0CA4" w:rsidRPr="00CD38F3" w:rsidRDefault="00AF0CA4" w:rsidP="00CD38F3">
            <w:pPr>
              <w:pStyle w:val="Tabletext"/>
              <w:tabs>
                <w:tab w:val="decimal" w:pos="567"/>
              </w:tabs>
              <w:rPr>
                <w:rFonts w:cs="Arial"/>
                <w:szCs w:val="16"/>
              </w:rPr>
            </w:pPr>
            <w:r w:rsidRPr="00CD38F3">
              <w:rPr>
                <w:rFonts w:cs="Arial"/>
                <w:szCs w:val="16"/>
              </w:rPr>
              <w:t>3.707</w:t>
            </w:r>
          </w:p>
        </w:tc>
        <w:tc>
          <w:tcPr>
            <w:tcW w:w="1418" w:type="dxa"/>
          </w:tcPr>
          <w:p w:rsidR="00AF0CA4" w:rsidRPr="00CD38F3" w:rsidRDefault="00AF0CA4" w:rsidP="00CD38F3">
            <w:pPr>
              <w:pStyle w:val="Tabletext"/>
              <w:tabs>
                <w:tab w:val="decimal" w:pos="567"/>
              </w:tabs>
              <w:rPr>
                <w:rFonts w:cs="Arial"/>
                <w:szCs w:val="16"/>
              </w:rPr>
            </w:pPr>
            <w:r w:rsidRPr="00CD38F3">
              <w:rPr>
                <w:rFonts w:cs="Arial"/>
                <w:szCs w:val="16"/>
              </w:rPr>
              <w:t>0.13</w:t>
            </w:r>
          </w:p>
        </w:tc>
      </w:tr>
      <w:tr w:rsidR="00AF0CA4" w:rsidRPr="00CD38F3" w:rsidTr="00CD38F3">
        <w:tc>
          <w:tcPr>
            <w:tcW w:w="5954" w:type="dxa"/>
          </w:tcPr>
          <w:p w:rsidR="00AF0CA4" w:rsidRPr="00CD38F3" w:rsidRDefault="00AF0CA4" w:rsidP="00CD38F3">
            <w:pPr>
              <w:pStyle w:val="Tabletext"/>
              <w:rPr>
                <w:b/>
              </w:rPr>
            </w:pPr>
            <w:r w:rsidRPr="00CD38F3">
              <w:rPr>
                <w:b/>
              </w:rPr>
              <w:t>Individual characteristics</w:t>
            </w:r>
          </w:p>
        </w:tc>
        <w:tc>
          <w:tcPr>
            <w:tcW w:w="1417" w:type="dxa"/>
          </w:tcPr>
          <w:p w:rsidR="00AF0CA4" w:rsidRPr="00CD38F3" w:rsidRDefault="00AF0CA4" w:rsidP="00CD38F3">
            <w:pPr>
              <w:pStyle w:val="Tabletext"/>
              <w:tabs>
                <w:tab w:val="decimal" w:pos="567"/>
              </w:tabs>
              <w:rPr>
                <w:iCs/>
              </w:rPr>
            </w:pPr>
          </w:p>
        </w:tc>
        <w:tc>
          <w:tcPr>
            <w:tcW w:w="1418" w:type="dxa"/>
          </w:tcPr>
          <w:p w:rsidR="00AF0CA4" w:rsidRPr="00CD38F3" w:rsidRDefault="00AF0CA4" w:rsidP="00CD38F3">
            <w:pPr>
              <w:pStyle w:val="Tabletext"/>
              <w:tabs>
                <w:tab w:val="decimal" w:pos="567"/>
              </w:tabs>
              <w:rPr>
                <w:iCs/>
              </w:rPr>
            </w:pPr>
          </w:p>
        </w:tc>
      </w:tr>
      <w:tr w:rsidR="00AF0CA4" w:rsidRPr="00CD38F3" w:rsidTr="00CD38F3">
        <w:tc>
          <w:tcPr>
            <w:tcW w:w="5954" w:type="dxa"/>
          </w:tcPr>
          <w:p w:rsidR="00AF0CA4" w:rsidRPr="00CD38F3" w:rsidRDefault="00AF0CA4" w:rsidP="005E69DE">
            <w:pPr>
              <w:pStyle w:val="Tabletext"/>
              <w:ind w:left="227"/>
              <w:rPr>
                <w:iCs/>
                <w:vertAlign w:val="superscript"/>
              </w:rPr>
            </w:pPr>
            <w:r w:rsidRPr="00CD38F3">
              <w:rPr>
                <w:iCs/>
              </w:rPr>
              <w:t>Age</w:t>
            </w:r>
            <w:r w:rsidR="005E69DE">
              <w:rPr>
                <w:iCs/>
                <w:vertAlign w:val="superscript"/>
              </w:rPr>
              <w:t>1</w:t>
            </w:r>
          </w:p>
        </w:tc>
        <w:tc>
          <w:tcPr>
            <w:tcW w:w="1417" w:type="dxa"/>
          </w:tcPr>
          <w:p w:rsidR="00AF0CA4" w:rsidRPr="00CD38F3" w:rsidRDefault="00AF0CA4" w:rsidP="00CD38F3">
            <w:pPr>
              <w:pStyle w:val="Tabletext"/>
              <w:tabs>
                <w:tab w:val="decimal" w:pos="567"/>
              </w:tabs>
              <w:rPr>
                <w:rFonts w:cs="Arial"/>
                <w:szCs w:val="16"/>
              </w:rPr>
            </w:pPr>
            <w:r w:rsidRPr="00CD38F3">
              <w:rPr>
                <w:rFonts w:cs="Arial"/>
                <w:szCs w:val="16"/>
              </w:rPr>
              <w:t>-0.031</w:t>
            </w:r>
          </w:p>
        </w:tc>
        <w:tc>
          <w:tcPr>
            <w:tcW w:w="1418" w:type="dxa"/>
          </w:tcPr>
          <w:p w:rsidR="00AF0CA4" w:rsidRPr="00CD38F3" w:rsidRDefault="00AF0CA4" w:rsidP="00CD38F3">
            <w:pPr>
              <w:pStyle w:val="Tabletext"/>
              <w:tabs>
                <w:tab w:val="decimal" w:pos="567"/>
              </w:tabs>
              <w:rPr>
                <w:rFonts w:cs="Arial"/>
                <w:szCs w:val="16"/>
              </w:rPr>
            </w:pPr>
            <w:r w:rsidRPr="00CD38F3">
              <w:rPr>
                <w:rFonts w:cs="Arial"/>
                <w:szCs w:val="16"/>
              </w:rPr>
              <w:t>0.01</w:t>
            </w:r>
          </w:p>
        </w:tc>
      </w:tr>
      <w:tr w:rsidR="00AF0CA4" w:rsidRPr="00CD38F3" w:rsidTr="00CD38F3">
        <w:tc>
          <w:tcPr>
            <w:tcW w:w="5954" w:type="dxa"/>
          </w:tcPr>
          <w:p w:rsidR="00AF0CA4" w:rsidRPr="00CD38F3" w:rsidRDefault="00AF0CA4" w:rsidP="00CD38F3">
            <w:pPr>
              <w:pStyle w:val="Tabletext"/>
              <w:ind w:left="227"/>
              <w:rPr>
                <w:iCs/>
              </w:rPr>
            </w:pPr>
            <w:r w:rsidRPr="00CD38F3">
              <w:rPr>
                <w:iCs/>
              </w:rPr>
              <w:t>Male</w:t>
            </w:r>
          </w:p>
        </w:tc>
        <w:tc>
          <w:tcPr>
            <w:tcW w:w="1417" w:type="dxa"/>
          </w:tcPr>
          <w:p w:rsidR="00AF0CA4" w:rsidRPr="00CD38F3" w:rsidRDefault="00AF0CA4" w:rsidP="00CD38F3">
            <w:pPr>
              <w:pStyle w:val="Tabletext"/>
              <w:tabs>
                <w:tab w:val="decimal" w:pos="567"/>
              </w:tabs>
              <w:rPr>
                <w:rFonts w:cs="Arial"/>
                <w:szCs w:val="16"/>
              </w:rPr>
            </w:pPr>
            <w:r w:rsidRPr="00CD38F3">
              <w:rPr>
                <w:rFonts w:cs="Arial"/>
                <w:szCs w:val="16"/>
              </w:rPr>
              <w:t>0.845</w:t>
            </w:r>
          </w:p>
        </w:tc>
        <w:tc>
          <w:tcPr>
            <w:tcW w:w="1418" w:type="dxa"/>
          </w:tcPr>
          <w:p w:rsidR="00AF0CA4" w:rsidRPr="00CD38F3" w:rsidRDefault="00AF0CA4" w:rsidP="00CD38F3">
            <w:pPr>
              <w:pStyle w:val="Tabletext"/>
              <w:tabs>
                <w:tab w:val="decimal" w:pos="567"/>
              </w:tabs>
              <w:rPr>
                <w:rFonts w:cs="Arial"/>
                <w:szCs w:val="16"/>
              </w:rPr>
            </w:pPr>
            <w:r w:rsidRPr="00CD38F3">
              <w:rPr>
                <w:rFonts w:cs="Arial"/>
                <w:szCs w:val="16"/>
              </w:rPr>
              <w:t>0.20</w:t>
            </w:r>
          </w:p>
        </w:tc>
      </w:tr>
      <w:tr w:rsidR="00AF0CA4" w:rsidRPr="00CD38F3" w:rsidTr="00CD38F3">
        <w:tc>
          <w:tcPr>
            <w:tcW w:w="5954" w:type="dxa"/>
          </w:tcPr>
          <w:p w:rsidR="00AF0CA4" w:rsidRPr="00CD38F3" w:rsidRDefault="00AF0CA4" w:rsidP="00CD38F3">
            <w:pPr>
              <w:pStyle w:val="Tabletext"/>
              <w:ind w:left="227"/>
              <w:rPr>
                <w:iCs/>
              </w:rPr>
            </w:pPr>
            <w:r w:rsidRPr="00CD38F3">
              <w:rPr>
                <w:iCs/>
              </w:rPr>
              <w:t>Born in Australia</w:t>
            </w:r>
          </w:p>
        </w:tc>
        <w:tc>
          <w:tcPr>
            <w:tcW w:w="1417" w:type="dxa"/>
          </w:tcPr>
          <w:p w:rsidR="00AF0CA4" w:rsidRPr="00CD38F3" w:rsidRDefault="00AF0CA4" w:rsidP="00CD38F3">
            <w:pPr>
              <w:pStyle w:val="Tabletext"/>
              <w:tabs>
                <w:tab w:val="decimal" w:pos="567"/>
              </w:tabs>
              <w:rPr>
                <w:rFonts w:cs="Arial"/>
                <w:szCs w:val="16"/>
              </w:rPr>
            </w:pPr>
            <w:r w:rsidRPr="00CD38F3">
              <w:rPr>
                <w:rFonts w:cs="Arial"/>
                <w:szCs w:val="16"/>
              </w:rPr>
              <w:t>-0.424</w:t>
            </w:r>
          </w:p>
        </w:tc>
        <w:tc>
          <w:tcPr>
            <w:tcW w:w="1418" w:type="dxa"/>
          </w:tcPr>
          <w:p w:rsidR="00AF0CA4" w:rsidRPr="00CD38F3" w:rsidRDefault="00AF0CA4" w:rsidP="00CD38F3">
            <w:pPr>
              <w:pStyle w:val="Tabletext"/>
              <w:tabs>
                <w:tab w:val="decimal" w:pos="567"/>
              </w:tabs>
              <w:rPr>
                <w:rFonts w:cs="Arial"/>
                <w:szCs w:val="16"/>
              </w:rPr>
            </w:pPr>
            <w:r w:rsidRPr="00CD38F3">
              <w:rPr>
                <w:rFonts w:cs="Arial"/>
                <w:szCs w:val="16"/>
              </w:rPr>
              <w:t>0.21</w:t>
            </w:r>
          </w:p>
        </w:tc>
      </w:tr>
      <w:tr w:rsidR="00AF0CA4" w:rsidRPr="00CD38F3" w:rsidTr="00CD38F3">
        <w:tc>
          <w:tcPr>
            <w:tcW w:w="5954" w:type="dxa"/>
          </w:tcPr>
          <w:p w:rsidR="00AF0CA4" w:rsidRPr="00CD38F3" w:rsidRDefault="00AF0CA4" w:rsidP="00CD38F3">
            <w:pPr>
              <w:pStyle w:val="Tabletext"/>
              <w:ind w:left="227"/>
              <w:rPr>
                <w:iCs/>
              </w:rPr>
            </w:pPr>
            <w:r w:rsidRPr="00CD38F3">
              <w:rPr>
                <w:iCs/>
              </w:rPr>
              <w:t>Single</w:t>
            </w:r>
          </w:p>
        </w:tc>
        <w:tc>
          <w:tcPr>
            <w:tcW w:w="1417" w:type="dxa"/>
          </w:tcPr>
          <w:p w:rsidR="00AF0CA4" w:rsidRPr="00CD38F3" w:rsidRDefault="00AF0CA4" w:rsidP="00CD38F3">
            <w:pPr>
              <w:pStyle w:val="Tabletext"/>
              <w:tabs>
                <w:tab w:val="decimal" w:pos="567"/>
              </w:tabs>
              <w:rPr>
                <w:rFonts w:cs="Arial"/>
                <w:szCs w:val="16"/>
              </w:rPr>
            </w:pPr>
            <w:r w:rsidRPr="00CD38F3">
              <w:rPr>
                <w:rFonts w:cs="Arial"/>
                <w:szCs w:val="16"/>
              </w:rPr>
              <w:t>0.557</w:t>
            </w:r>
          </w:p>
        </w:tc>
        <w:tc>
          <w:tcPr>
            <w:tcW w:w="1418" w:type="dxa"/>
          </w:tcPr>
          <w:p w:rsidR="00AF0CA4" w:rsidRPr="00CD38F3" w:rsidRDefault="00AF0CA4" w:rsidP="00CD38F3">
            <w:pPr>
              <w:pStyle w:val="Tabletext"/>
              <w:tabs>
                <w:tab w:val="decimal" w:pos="567"/>
              </w:tabs>
              <w:rPr>
                <w:rFonts w:cs="Arial"/>
                <w:szCs w:val="16"/>
              </w:rPr>
            </w:pPr>
            <w:r w:rsidRPr="00CD38F3">
              <w:rPr>
                <w:rFonts w:cs="Arial"/>
                <w:szCs w:val="16"/>
              </w:rPr>
              <w:t>0.21</w:t>
            </w:r>
          </w:p>
        </w:tc>
      </w:tr>
      <w:tr w:rsidR="00AF0CA4" w:rsidRPr="00CD38F3" w:rsidTr="00CD38F3">
        <w:tc>
          <w:tcPr>
            <w:tcW w:w="5954" w:type="dxa"/>
          </w:tcPr>
          <w:p w:rsidR="00AF0CA4" w:rsidRPr="00CD38F3" w:rsidRDefault="00AF0CA4" w:rsidP="00CD38F3">
            <w:pPr>
              <w:pStyle w:val="Tabletext"/>
              <w:ind w:left="227"/>
              <w:rPr>
                <w:iCs/>
              </w:rPr>
            </w:pPr>
            <w:r w:rsidRPr="00CD38F3">
              <w:rPr>
                <w:iCs/>
              </w:rPr>
              <w:t>Unemployed</w:t>
            </w:r>
          </w:p>
        </w:tc>
        <w:tc>
          <w:tcPr>
            <w:tcW w:w="1417" w:type="dxa"/>
          </w:tcPr>
          <w:p w:rsidR="00AF0CA4" w:rsidRPr="00CD38F3" w:rsidRDefault="00AF0CA4" w:rsidP="00CD38F3">
            <w:pPr>
              <w:pStyle w:val="Tabletext"/>
              <w:tabs>
                <w:tab w:val="decimal" w:pos="567"/>
              </w:tabs>
              <w:rPr>
                <w:rFonts w:cs="Arial"/>
                <w:szCs w:val="16"/>
              </w:rPr>
            </w:pPr>
            <w:r w:rsidRPr="00CD38F3">
              <w:rPr>
                <w:rFonts w:cs="Arial"/>
                <w:szCs w:val="16"/>
              </w:rPr>
              <w:t>2.092</w:t>
            </w:r>
          </w:p>
        </w:tc>
        <w:tc>
          <w:tcPr>
            <w:tcW w:w="1418" w:type="dxa"/>
          </w:tcPr>
          <w:p w:rsidR="00AF0CA4" w:rsidRPr="00CD38F3" w:rsidRDefault="00AF0CA4" w:rsidP="00CD38F3">
            <w:pPr>
              <w:pStyle w:val="Tabletext"/>
              <w:tabs>
                <w:tab w:val="decimal" w:pos="567"/>
              </w:tabs>
              <w:rPr>
                <w:rFonts w:cs="Arial"/>
                <w:szCs w:val="16"/>
              </w:rPr>
            </w:pPr>
            <w:r w:rsidRPr="00CD38F3">
              <w:rPr>
                <w:rFonts w:cs="Arial"/>
                <w:szCs w:val="16"/>
              </w:rPr>
              <w:t>0.43</w:t>
            </w:r>
          </w:p>
        </w:tc>
      </w:tr>
      <w:tr w:rsidR="00AF0CA4" w:rsidRPr="00CD38F3" w:rsidTr="00CD38F3">
        <w:tc>
          <w:tcPr>
            <w:tcW w:w="5954" w:type="dxa"/>
          </w:tcPr>
          <w:p w:rsidR="00AF0CA4" w:rsidRPr="00CD38F3" w:rsidRDefault="00AF0CA4" w:rsidP="00CD38F3">
            <w:pPr>
              <w:pStyle w:val="Tabletext"/>
              <w:ind w:left="227"/>
              <w:rPr>
                <w:iCs/>
              </w:rPr>
            </w:pPr>
            <w:r w:rsidRPr="00CD38F3">
              <w:rPr>
                <w:iCs/>
              </w:rPr>
              <w:t>Employed, looking for work</w:t>
            </w:r>
          </w:p>
        </w:tc>
        <w:tc>
          <w:tcPr>
            <w:tcW w:w="1417" w:type="dxa"/>
          </w:tcPr>
          <w:p w:rsidR="00AF0CA4" w:rsidRPr="00CD38F3" w:rsidRDefault="00AF0CA4" w:rsidP="00CD38F3">
            <w:pPr>
              <w:pStyle w:val="Tabletext"/>
              <w:tabs>
                <w:tab w:val="decimal" w:pos="567"/>
              </w:tabs>
              <w:rPr>
                <w:rFonts w:cs="Arial"/>
                <w:szCs w:val="16"/>
              </w:rPr>
            </w:pPr>
            <w:r w:rsidRPr="00CD38F3">
              <w:rPr>
                <w:rFonts w:cs="Arial"/>
                <w:szCs w:val="16"/>
              </w:rPr>
              <w:t>1.772</w:t>
            </w:r>
          </w:p>
        </w:tc>
        <w:tc>
          <w:tcPr>
            <w:tcW w:w="1418" w:type="dxa"/>
          </w:tcPr>
          <w:p w:rsidR="00AF0CA4" w:rsidRPr="00CD38F3" w:rsidRDefault="00AF0CA4" w:rsidP="00CD38F3">
            <w:pPr>
              <w:pStyle w:val="Tabletext"/>
              <w:tabs>
                <w:tab w:val="decimal" w:pos="567"/>
              </w:tabs>
              <w:rPr>
                <w:rFonts w:cs="Arial"/>
                <w:szCs w:val="16"/>
              </w:rPr>
            </w:pPr>
            <w:r w:rsidRPr="00CD38F3">
              <w:rPr>
                <w:rFonts w:cs="Arial"/>
                <w:szCs w:val="16"/>
              </w:rPr>
              <w:t>0.24</w:t>
            </w:r>
          </w:p>
        </w:tc>
      </w:tr>
      <w:tr w:rsidR="00AF0CA4" w:rsidRPr="00CD38F3" w:rsidTr="00CD38F3">
        <w:tc>
          <w:tcPr>
            <w:tcW w:w="5954" w:type="dxa"/>
          </w:tcPr>
          <w:p w:rsidR="00AF0CA4" w:rsidRPr="00CD38F3" w:rsidRDefault="00AF0CA4" w:rsidP="00CD38F3">
            <w:pPr>
              <w:pStyle w:val="Tabletext"/>
              <w:ind w:left="227"/>
              <w:rPr>
                <w:iCs/>
              </w:rPr>
            </w:pPr>
            <w:r w:rsidRPr="00CD38F3">
              <w:rPr>
                <w:iCs/>
              </w:rPr>
              <w:t>Currently studying</w:t>
            </w:r>
          </w:p>
        </w:tc>
        <w:tc>
          <w:tcPr>
            <w:tcW w:w="1417" w:type="dxa"/>
          </w:tcPr>
          <w:p w:rsidR="00AF0CA4" w:rsidRPr="00CD38F3" w:rsidRDefault="00AF0CA4" w:rsidP="00CD38F3">
            <w:pPr>
              <w:pStyle w:val="Tabletext"/>
              <w:tabs>
                <w:tab w:val="decimal" w:pos="567"/>
              </w:tabs>
              <w:rPr>
                <w:rFonts w:cs="Arial"/>
                <w:szCs w:val="16"/>
              </w:rPr>
            </w:pPr>
            <w:r w:rsidRPr="00CD38F3">
              <w:rPr>
                <w:rFonts w:cs="Arial"/>
                <w:szCs w:val="16"/>
              </w:rPr>
              <w:t>0.721</w:t>
            </w:r>
          </w:p>
        </w:tc>
        <w:tc>
          <w:tcPr>
            <w:tcW w:w="1418" w:type="dxa"/>
          </w:tcPr>
          <w:p w:rsidR="00AF0CA4" w:rsidRPr="00CD38F3" w:rsidRDefault="00AF0CA4" w:rsidP="00CD38F3">
            <w:pPr>
              <w:pStyle w:val="Tabletext"/>
              <w:tabs>
                <w:tab w:val="decimal" w:pos="567"/>
              </w:tabs>
              <w:rPr>
                <w:rFonts w:cs="Arial"/>
                <w:szCs w:val="16"/>
              </w:rPr>
            </w:pPr>
            <w:r w:rsidRPr="00CD38F3">
              <w:rPr>
                <w:rFonts w:cs="Arial"/>
                <w:szCs w:val="16"/>
              </w:rPr>
              <w:t>0.27</w:t>
            </w:r>
          </w:p>
        </w:tc>
      </w:tr>
      <w:tr w:rsidR="00AF0CA4" w:rsidRPr="00CD38F3" w:rsidTr="00CD38F3">
        <w:tc>
          <w:tcPr>
            <w:tcW w:w="5954" w:type="dxa"/>
          </w:tcPr>
          <w:p w:rsidR="00AF0CA4" w:rsidRPr="00CD38F3" w:rsidRDefault="00AF0CA4" w:rsidP="00CD38F3">
            <w:pPr>
              <w:pStyle w:val="Tabletext"/>
              <w:ind w:left="227"/>
              <w:rPr>
                <w:iCs/>
              </w:rPr>
            </w:pPr>
            <w:r w:rsidRPr="00CD38F3">
              <w:rPr>
                <w:iCs/>
              </w:rPr>
              <w:t>Own house</w:t>
            </w:r>
          </w:p>
        </w:tc>
        <w:tc>
          <w:tcPr>
            <w:tcW w:w="1417" w:type="dxa"/>
          </w:tcPr>
          <w:p w:rsidR="00AF0CA4" w:rsidRPr="00CD38F3" w:rsidRDefault="00AF0CA4" w:rsidP="00CD38F3">
            <w:pPr>
              <w:pStyle w:val="Tabletext"/>
              <w:tabs>
                <w:tab w:val="decimal" w:pos="567"/>
              </w:tabs>
              <w:rPr>
                <w:rFonts w:cs="Arial"/>
                <w:szCs w:val="16"/>
              </w:rPr>
            </w:pPr>
            <w:r w:rsidRPr="00CD38F3">
              <w:rPr>
                <w:rFonts w:cs="Arial"/>
                <w:szCs w:val="16"/>
              </w:rPr>
              <w:t>-0.741</w:t>
            </w:r>
          </w:p>
        </w:tc>
        <w:tc>
          <w:tcPr>
            <w:tcW w:w="1418" w:type="dxa"/>
          </w:tcPr>
          <w:p w:rsidR="00AF0CA4" w:rsidRPr="00CD38F3" w:rsidRDefault="00AF0CA4" w:rsidP="00CD38F3">
            <w:pPr>
              <w:pStyle w:val="Tabletext"/>
              <w:tabs>
                <w:tab w:val="decimal" w:pos="567"/>
              </w:tabs>
              <w:rPr>
                <w:rFonts w:cs="Arial"/>
                <w:szCs w:val="16"/>
              </w:rPr>
            </w:pPr>
            <w:r w:rsidRPr="00CD38F3">
              <w:rPr>
                <w:rFonts w:cs="Arial"/>
                <w:szCs w:val="16"/>
              </w:rPr>
              <w:t>0.22</w:t>
            </w:r>
          </w:p>
        </w:tc>
      </w:tr>
      <w:tr w:rsidR="00AF0CA4" w:rsidRPr="00CD38F3" w:rsidTr="00CD38F3">
        <w:tc>
          <w:tcPr>
            <w:tcW w:w="5954" w:type="dxa"/>
          </w:tcPr>
          <w:p w:rsidR="00AF0CA4" w:rsidRPr="00CD38F3" w:rsidRDefault="00AF0CA4" w:rsidP="00CD38F3">
            <w:pPr>
              <w:pStyle w:val="Tabletext"/>
              <w:ind w:left="227"/>
              <w:rPr>
                <w:iCs/>
              </w:rPr>
            </w:pPr>
            <w:r w:rsidRPr="00CD38F3">
              <w:rPr>
                <w:iCs/>
              </w:rPr>
              <w:t>Have been to destination*</w:t>
            </w:r>
          </w:p>
        </w:tc>
        <w:tc>
          <w:tcPr>
            <w:tcW w:w="1417" w:type="dxa"/>
          </w:tcPr>
          <w:p w:rsidR="00AF0CA4" w:rsidRPr="00CD38F3" w:rsidRDefault="00AF0CA4" w:rsidP="00CD38F3">
            <w:pPr>
              <w:pStyle w:val="Tabletext"/>
              <w:tabs>
                <w:tab w:val="decimal" w:pos="567"/>
              </w:tabs>
              <w:rPr>
                <w:rFonts w:cs="Arial"/>
                <w:szCs w:val="16"/>
                <w:vertAlign w:val="superscript"/>
              </w:rPr>
            </w:pPr>
            <w:r w:rsidRPr="00CD38F3">
              <w:rPr>
                <w:rFonts w:cs="Arial"/>
                <w:szCs w:val="16"/>
              </w:rPr>
              <w:t>0.532</w:t>
            </w:r>
          </w:p>
        </w:tc>
        <w:tc>
          <w:tcPr>
            <w:tcW w:w="1418" w:type="dxa"/>
          </w:tcPr>
          <w:p w:rsidR="00AF0CA4" w:rsidRPr="00CD38F3" w:rsidRDefault="00AF0CA4" w:rsidP="00CD38F3">
            <w:pPr>
              <w:pStyle w:val="Tabletext"/>
              <w:tabs>
                <w:tab w:val="decimal" w:pos="567"/>
              </w:tabs>
              <w:rPr>
                <w:rFonts w:cs="Arial"/>
                <w:szCs w:val="16"/>
              </w:rPr>
            </w:pPr>
            <w:r w:rsidRPr="00CD38F3">
              <w:rPr>
                <w:rFonts w:cs="Arial"/>
                <w:szCs w:val="16"/>
              </w:rPr>
              <w:t>0.42</w:t>
            </w:r>
          </w:p>
        </w:tc>
      </w:tr>
      <w:tr w:rsidR="00AF0CA4" w:rsidRPr="00CD38F3" w:rsidTr="00CD38F3">
        <w:tc>
          <w:tcPr>
            <w:tcW w:w="5954" w:type="dxa"/>
          </w:tcPr>
          <w:p w:rsidR="00AF0CA4" w:rsidRPr="00CD38F3" w:rsidRDefault="00AF0CA4" w:rsidP="00CD38F3">
            <w:pPr>
              <w:pStyle w:val="Tabletext"/>
              <w:ind w:left="227"/>
              <w:rPr>
                <w:iCs/>
              </w:rPr>
            </w:pPr>
            <w:r w:rsidRPr="00CD38F3">
              <w:rPr>
                <w:iCs/>
              </w:rPr>
              <w:t>Know people living in destination</w:t>
            </w:r>
          </w:p>
        </w:tc>
        <w:tc>
          <w:tcPr>
            <w:tcW w:w="1417" w:type="dxa"/>
          </w:tcPr>
          <w:p w:rsidR="00AF0CA4" w:rsidRPr="00CD38F3" w:rsidRDefault="00AF0CA4" w:rsidP="00CD38F3">
            <w:pPr>
              <w:pStyle w:val="Tabletext"/>
              <w:tabs>
                <w:tab w:val="decimal" w:pos="567"/>
              </w:tabs>
              <w:rPr>
                <w:rFonts w:cs="Arial"/>
                <w:szCs w:val="16"/>
              </w:rPr>
            </w:pPr>
            <w:r w:rsidRPr="00CD38F3">
              <w:rPr>
                <w:rFonts w:cs="Arial"/>
                <w:szCs w:val="16"/>
              </w:rPr>
              <w:t>1.261</w:t>
            </w:r>
          </w:p>
        </w:tc>
        <w:tc>
          <w:tcPr>
            <w:tcW w:w="1418" w:type="dxa"/>
          </w:tcPr>
          <w:p w:rsidR="00AF0CA4" w:rsidRPr="00CD38F3" w:rsidRDefault="00AF0CA4" w:rsidP="00CD38F3">
            <w:pPr>
              <w:pStyle w:val="Tabletext"/>
              <w:tabs>
                <w:tab w:val="decimal" w:pos="567"/>
              </w:tabs>
              <w:rPr>
                <w:rFonts w:cs="Arial"/>
                <w:szCs w:val="16"/>
              </w:rPr>
            </w:pPr>
            <w:r w:rsidRPr="00CD38F3">
              <w:rPr>
                <w:rFonts w:cs="Arial"/>
                <w:szCs w:val="16"/>
              </w:rPr>
              <w:t>0.45</w:t>
            </w:r>
          </w:p>
        </w:tc>
      </w:tr>
      <w:tr w:rsidR="00AF0CA4" w:rsidRPr="00CD38F3" w:rsidTr="00CD38F3">
        <w:tc>
          <w:tcPr>
            <w:tcW w:w="5954" w:type="dxa"/>
          </w:tcPr>
          <w:p w:rsidR="00AF0CA4" w:rsidRPr="00CD38F3" w:rsidRDefault="00AF0CA4" w:rsidP="00A16916">
            <w:pPr>
              <w:pStyle w:val="Tabletext"/>
              <w:ind w:left="227"/>
              <w:rPr>
                <w:iCs/>
              </w:rPr>
            </w:pPr>
            <w:r w:rsidRPr="00CD38F3">
              <w:rPr>
                <w:iCs/>
              </w:rPr>
              <w:t>Frequency of social contact</w:t>
            </w:r>
            <w:r w:rsidR="00A16916">
              <w:rPr>
                <w:iCs/>
                <w:vertAlign w:val="superscript"/>
              </w:rPr>
              <w:t>1</w:t>
            </w:r>
            <w:r w:rsidRPr="00CD38F3">
              <w:rPr>
                <w:iCs/>
              </w:rPr>
              <w:t>*</w:t>
            </w:r>
          </w:p>
        </w:tc>
        <w:tc>
          <w:tcPr>
            <w:tcW w:w="1417" w:type="dxa"/>
          </w:tcPr>
          <w:p w:rsidR="00AF0CA4" w:rsidRPr="00CD38F3" w:rsidRDefault="00AF0CA4" w:rsidP="00CD38F3">
            <w:pPr>
              <w:pStyle w:val="Tabletext"/>
              <w:tabs>
                <w:tab w:val="decimal" w:pos="567"/>
              </w:tabs>
              <w:rPr>
                <w:rFonts w:cs="Arial"/>
                <w:szCs w:val="16"/>
                <w:vertAlign w:val="superscript"/>
              </w:rPr>
            </w:pPr>
            <w:r w:rsidRPr="00CD38F3">
              <w:rPr>
                <w:rFonts w:cs="Arial"/>
                <w:szCs w:val="16"/>
              </w:rPr>
              <w:t>0.157</w:t>
            </w:r>
          </w:p>
        </w:tc>
        <w:tc>
          <w:tcPr>
            <w:tcW w:w="1418" w:type="dxa"/>
          </w:tcPr>
          <w:p w:rsidR="00AF0CA4" w:rsidRPr="00CD38F3" w:rsidRDefault="00AF0CA4" w:rsidP="00CD38F3">
            <w:pPr>
              <w:pStyle w:val="Tabletext"/>
              <w:tabs>
                <w:tab w:val="decimal" w:pos="567"/>
              </w:tabs>
              <w:rPr>
                <w:rFonts w:cs="Arial"/>
                <w:szCs w:val="16"/>
              </w:rPr>
            </w:pPr>
            <w:r w:rsidRPr="00CD38F3">
              <w:rPr>
                <w:rFonts w:cs="Arial"/>
                <w:szCs w:val="16"/>
              </w:rPr>
              <w:t>0.12</w:t>
            </w:r>
          </w:p>
        </w:tc>
      </w:tr>
      <w:tr w:rsidR="00AF0CA4" w:rsidRPr="00CD38F3" w:rsidTr="00CD38F3">
        <w:tc>
          <w:tcPr>
            <w:tcW w:w="5954" w:type="dxa"/>
          </w:tcPr>
          <w:p w:rsidR="00AF0CA4" w:rsidRPr="00CD38F3" w:rsidRDefault="00AF0CA4" w:rsidP="00A16916">
            <w:pPr>
              <w:pStyle w:val="Tabletext"/>
              <w:ind w:left="227"/>
              <w:rPr>
                <w:iCs/>
                <w:vertAlign w:val="superscript"/>
              </w:rPr>
            </w:pPr>
            <w:r w:rsidRPr="00CD38F3">
              <w:rPr>
                <w:iCs/>
              </w:rPr>
              <w:t>Opinion on current accommodation</w:t>
            </w:r>
            <w:r w:rsidR="00A16916">
              <w:rPr>
                <w:iCs/>
                <w:vertAlign w:val="superscript"/>
              </w:rPr>
              <w:t>1</w:t>
            </w:r>
          </w:p>
        </w:tc>
        <w:tc>
          <w:tcPr>
            <w:tcW w:w="1417" w:type="dxa"/>
          </w:tcPr>
          <w:p w:rsidR="00AF0CA4" w:rsidRPr="00CD38F3" w:rsidRDefault="00AF0CA4" w:rsidP="00CD38F3">
            <w:pPr>
              <w:pStyle w:val="Tabletext"/>
              <w:tabs>
                <w:tab w:val="decimal" w:pos="567"/>
              </w:tabs>
              <w:rPr>
                <w:rFonts w:cs="Arial"/>
                <w:szCs w:val="16"/>
              </w:rPr>
            </w:pPr>
            <w:r w:rsidRPr="00CD38F3">
              <w:rPr>
                <w:rFonts w:cs="Arial"/>
                <w:szCs w:val="16"/>
              </w:rPr>
              <w:t>-0.481</w:t>
            </w:r>
          </w:p>
        </w:tc>
        <w:tc>
          <w:tcPr>
            <w:tcW w:w="1418" w:type="dxa"/>
          </w:tcPr>
          <w:p w:rsidR="00AF0CA4" w:rsidRPr="00CD38F3" w:rsidRDefault="00AF0CA4" w:rsidP="00CD38F3">
            <w:pPr>
              <w:pStyle w:val="Tabletext"/>
              <w:tabs>
                <w:tab w:val="decimal" w:pos="567"/>
              </w:tabs>
              <w:rPr>
                <w:rFonts w:cs="Arial"/>
                <w:szCs w:val="16"/>
              </w:rPr>
            </w:pPr>
            <w:r w:rsidRPr="00CD38F3">
              <w:rPr>
                <w:rFonts w:cs="Arial"/>
                <w:szCs w:val="16"/>
              </w:rPr>
              <w:t>0.14</w:t>
            </w:r>
          </w:p>
        </w:tc>
      </w:tr>
      <w:tr w:rsidR="00AF0CA4" w:rsidRPr="00CD38F3" w:rsidTr="00CD38F3">
        <w:tc>
          <w:tcPr>
            <w:tcW w:w="5954" w:type="dxa"/>
          </w:tcPr>
          <w:p w:rsidR="00AF0CA4" w:rsidRPr="00CD38F3" w:rsidRDefault="00AF0CA4" w:rsidP="00CD38F3">
            <w:pPr>
              <w:pStyle w:val="Tabletext"/>
              <w:rPr>
                <w:b/>
              </w:rPr>
            </w:pPr>
            <w:r w:rsidRPr="00CD38F3">
              <w:rPr>
                <w:b/>
              </w:rPr>
              <w:t>Other controls</w:t>
            </w:r>
          </w:p>
        </w:tc>
        <w:tc>
          <w:tcPr>
            <w:tcW w:w="1417" w:type="dxa"/>
          </w:tcPr>
          <w:p w:rsidR="00AF0CA4" w:rsidRPr="00CD38F3" w:rsidRDefault="00AF0CA4" w:rsidP="00CD38F3">
            <w:pPr>
              <w:pStyle w:val="Tabletext"/>
              <w:tabs>
                <w:tab w:val="decimal" w:pos="567"/>
              </w:tabs>
              <w:rPr>
                <w:iCs/>
              </w:rPr>
            </w:pPr>
          </w:p>
        </w:tc>
        <w:tc>
          <w:tcPr>
            <w:tcW w:w="1418" w:type="dxa"/>
          </w:tcPr>
          <w:p w:rsidR="00AF0CA4" w:rsidRPr="00CD38F3" w:rsidRDefault="00AF0CA4" w:rsidP="00CD38F3">
            <w:pPr>
              <w:pStyle w:val="Tabletext"/>
              <w:tabs>
                <w:tab w:val="decimal" w:pos="567"/>
              </w:tabs>
              <w:rPr>
                <w:iCs/>
              </w:rPr>
            </w:pPr>
          </w:p>
        </w:tc>
      </w:tr>
      <w:tr w:rsidR="00AF0CA4" w:rsidRPr="00CD38F3" w:rsidTr="00CD38F3">
        <w:tc>
          <w:tcPr>
            <w:tcW w:w="5954" w:type="dxa"/>
          </w:tcPr>
          <w:p w:rsidR="00AF0CA4" w:rsidRPr="00CD38F3" w:rsidRDefault="00AF0CA4" w:rsidP="00CD38F3">
            <w:pPr>
              <w:pStyle w:val="Tabletext"/>
              <w:ind w:left="227"/>
              <w:rPr>
                <w:iCs/>
              </w:rPr>
            </w:pPr>
            <w:r w:rsidRPr="00CD38F3">
              <w:rPr>
                <w:iCs/>
              </w:rPr>
              <w:t>Current/expected wage (</w:t>
            </w:r>
            <w:r w:rsidR="00602830" w:rsidRPr="00CD38F3">
              <w:rPr>
                <w:iCs/>
              </w:rPr>
              <w:t>‘</w:t>
            </w:r>
            <w:r w:rsidRPr="00CD38F3">
              <w:rPr>
                <w:iCs/>
              </w:rPr>
              <w:t>000)</w:t>
            </w:r>
          </w:p>
        </w:tc>
        <w:tc>
          <w:tcPr>
            <w:tcW w:w="1417" w:type="dxa"/>
          </w:tcPr>
          <w:p w:rsidR="00AF0CA4" w:rsidRPr="00CD38F3" w:rsidRDefault="00AF0CA4" w:rsidP="00CD38F3">
            <w:pPr>
              <w:pStyle w:val="Tabletext"/>
              <w:tabs>
                <w:tab w:val="decimal" w:pos="567"/>
              </w:tabs>
              <w:rPr>
                <w:rFonts w:cs="Arial"/>
                <w:szCs w:val="16"/>
              </w:rPr>
            </w:pPr>
            <w:r w:rsidRPr="00CD38F3">
              <w:rPr>
                <w:rFonts w:cs="Arial"/>
                <w:szCs w:val="16"/>
              </w:rPr>
              <w:t>0.011</w:t>
            </w:r>
          </w:p>
        </w:tc>
        <w:tc>
          <w:tcPr>
            <w:tcW w:w="1418" w:type="dxa"/>
          </w:tcPr>
          <w:p w:rsidR="00AF0CA4" w:rsidRPr="00CD38F3" w:rsidRDefault="00AF0CA4" w:rsidP="00CD38F3">
            <w:pPr>
              <w:pStyle w:val="Tabletext"/>
              <w:tabs>
                <w:tab w:val="decimal" w:pos="567"/>
              </w:tabs>
              <w:rPr>
                <w:rFonts w:cs="Arial"/>
                <w:szCs w:val="16"/>
              </w:rPr>
            </w:pPr>
            <w:r w:rsidRPr="00CD38F3">
              <w:rPr>
                <w:rFonts w:cs="Arial"/>
                <w:szCs w:val="16"/>
              </w:rPr>
              <w:t>0.003</w:t>
            </w:r>
          </w:p>
        </w:tc>
      </w:tr>
      <w:tr w:rsidR="00AF0CA4" w:rsidRPr="00CD38F3" w:rsidTr="00CD38F3">
        <w:tc>
          <w:tcPr>
            <w:tcW w:w="5954" w:type="dxa"/>
            <w:tcBorders>
              <w:bottom w:val="dashed" w:sz="4" w:space="0" w:color="auto"/>
            </w:tcBorders>
          </w:tcPr>
          <w:p w:rsidR="00AF0CA4" w:rsidRPr="00CD38F3" w:rsidRDefault="00AF0CA4" w:rsidP="00CD38F3">
            <w:pPr>
              <w:pStyle w:val="Tabletext"/>
              <w:ind w:left="227"/>
              <w:rPr>
                <w:iCs/>
              </w:rPr>
            </w:pPr>
            <w:r w:rsidRPr="00CD38F3">
              <w:rPr>
                <w:iCs/>
              </w:rPr>
              <w:t>Actual/expected wage gap for employed</w:t>
            </w:r>
          </w:p>
        </w:tc>
        <w:tc>
          <w:tcPr>
            <w:tcW w:w="1417" w:type="dxa"/>
            <w:tcBorders>
              <w:bottom w:val="dashed" w:sz="4" w:space="0" w:color="auto"/>
            </w:tcBorders>
          </w:tcPr>
          <w:p w:rsidR="00AF0CA4" w:rsidRPr="00CD38F3" w:rsidRDefault="00AF0CA4" w:rsidP="00CD38F3">
            <w:pPr>
              <w:pStyle w:val="Tabletext"/>
              <w:tabs>
                <w:tab w:val="decimal" w:pos="567"/>
              </w:tabs>
              <w:rPr>
                <w:rFonts w:cs="Arial"/>
                <w:szCs w:val="16"/>
              </w:rPr>
            </w:pPr>
            <w:r w:rsidRPr="00CD38F3">
              <w:rPr>
                <w:rFonts w:cs="Arial"/>
                <w:szCs w:val="16"/>
              </w:rPr>
              <w:t>0.009</w:t>
            </w:r>
          </w:p>
        </w:tc>
        <w:tc>
          <w:tcPr>
            <w:tcW w:w="1418" w:type="dxa"/>
            <w:tcBorders>
              <w:bottom w:val="dashed" w:sz="4" w:space="0" w:color="auto"/>
            </w:tcBorders>
          </w:tcPr>
          <w:p w:rsidR="00AF0CA4" w:rsidRPr="00CD38F3" w:rsidRDefault="00AF0CA4" w:rsidP="00CD38F3">
            <w:pPr>
              <w:pStyle w:val="Tabletext"/>
              <w:tabs>
                <w:tab w:val="decimal" w:pos="567"/>
              </w:tabs>
              <w:rPr>
                <w:rFonts w:cs="Arial"/>
                <w:szCs w:val="16"/>
              </w:rPr>
            </w:pPr>
            <w:r w:rsidRPr="00CD38F3">
              <w:rPr>
                <w:rFonts w:cs="Arial"/>
                <w:szCs w:val="16"/>
              </w:rPr>
              <w:t>0.004</w:t>
            </w:r>
          </w:p>
        </w:tc>
      </w:tr>
      <w:tr w:rsidR="00AF0CA4" w:rsidRPr="00CD38F3" w:rsidTr="00CD38F3">
        <w:tc>
          <w:tcPr>
            <w:tcW w:w="5954" w:type="dxa"/>
            <w:tcBorders>
              <w:top w:val="dashed" w:sz="4" w:space="0" w:color="auto"/>
            </w:tcBorders>
          </w:tcPr>
          <w:p w:rsidR="00AF0CA4" w:rsidRPr="00CD38F3" w:rsidRDefault="00AF0CA4" w:rsidP="00CD38F3">
            <w:pPr>
              <w:pStyle w:val="Tabletext"/>
            </w:pPr>
            <w:r w:rsidRPr="00CD38F3">
              <w:t>McFadden Adjusted R-Square^</w:t>
            </w:r>
          </w:p>
        </w:tc>
        <w:tc>
          <w:tcPr>
            <w:tcW w:w="1417" w:type="dxa"/>
            <w:tcBorders>
              <w:top w:val="dashed" w:sz="4" w:space="0" w:color="auto"/>
            </w:tcBorders>
          </w:tcPr>
          <w:p w:rsidR="00AF0CA4" w:rsidRPr="00CD38F3" w:rsidRDefault="00AF0CA4" w:rsidP="00CD38F3">
            <w:pPr>
              <w:pStyle w:val="Tabletext"/>
              <w:tabs>
                <w:tab w:val="decimal" w:pos="567"/>
              </w:tabs>
              <w:rPr>
                <w:rFonts w:cs="Arial"/>
                <w:szCs w:val="16"/>
              </w:rPr>
            </w:pPr>
            <w:r w:rsidRPr="00CD38F3">
              <w:rPr>
                <w:rFonts w:cs="Arial"/>
                <w:szCs w:val="16"/>
              </w:rPr>
              <w:t>0.30</w:t>
            </w:r>
          </w:p>
        </w:tc>
        <w:tc>
          <w:tcPr>
            <w:tcW w:w="1418" w:type="dxa"/>
            <w:tcBorders>
              <w:top w:val="dashed" w:sz="4" w:space="0" w:color="auto"/>
            </w:tcBorders>
          </w:tcPr>
          <w:p w:rsidR="00AF0CA4" w:rsidRPr="00CD38F3" w:rsidRDefault="00AF0CA4" w:rsidP="00CD38F3">
            <w:pPr>
              <w:pStyle w:val="Tabletext"/>
              <w:tabs>
                <w:tab w:val="decimal" w:pos="567"/>
              </w:tabs>
              <w:rPr>
                <w:iCs/>
              </w:rPr>
            </w:pPr>
          </w:p>
        </w:tc>
      </w:tr>
      <w:tr w:rsidR="00AF0CA4" w:rsidRPr="00CD38F3" w:rsidTr="00CD38F3">
        <w:tc>
          <w:tcPr>
            <w:tcW w:w="5954" w:type="dxa"/>
            <w:tcBorders>
              <w:bottom w:val="single" w:sz="4" w:space="0" w:color="auto"/>
            </w:tcBorders>
          </w:tcPr>
          <w:p w:rsidR="00AF0CA4" w:rsidRPr="00CD38F3" w:rsidRDefault="00AF0CA4" w:rsidP="00CD38F3">
            <w:pPr>
              <w:pStyle w:val="Tabletext"/>
            </w:pPr>
            <w:r w:rsidRPr="00CD38F3">
              <w:t>Log-likelihood</w:t>
            </w:r>
          </w:p>
        </w:tc>
        <w:tc>
          <w:tcPr>
            <w:tcW w:w="1417" w:type="dxa"/>
            <w:tcBorders>
              <w:bottom w:val="single" w:sz="4" w:space="0" w:color="auto"/>
            </w:tcBorders>
          </w:tcPr>
          <w:p w:rsidR="00AF0CA4" w:rsidRPr="00CD38F3" w:rsidRDefault="00AF0CA4" w:rsidP="00CD38F3">
            <w:pPr>
              <w:pStyle w:val="Tabletext"/>
              <w:tabs>
                <w:tab w:val="decimal" w:pos="567"/>
              </w:tabs>
              <w:rPr>
                <w:rFonts w:cs="Arial"/>
                <w:szCs w:val="16"/>
              </w:rPr>
            </w:pPr>
            <w:r w:rsidRPr="00CD38F3">
              <w:rPr>
                <w:rFonts w:cs="Arial"/>
                <w:szCs w:val="16"/>
              </w:rPr>
              <w:t>-8968.27525</w:t>
            </w:r>
          </w:p>
        </w:tc>
        <w:tc>
          <w:tcPr>
            <w:tcW w:w="1418" w:type="dxa"/>
            <w:tcBorders>
              <w:bottom w:val="single" w:sz="4" w:space="0" w:color="auto"/>
            </w:tcBorders>
          </w:tcPr>
          <w:p w:rsidR="00AF0CA4" w:rsidRPr="00CD38F3" w:rsidRDefault="00AF0CA4" w:rsidP="00CD38F3">
            <w:pPr>
              <w:pStyle w:val="Tabletext"/>
              <w:tabs>
                <w:tab w:val="decimal" w:pos="567"/>
              </w:tabs>
              <w:rPr>
                <w:iCs/>
              </w:rPr>
            </w:pPr>
          </w:p>
        </w:tc>
      </w:tr>
    </w:tbl>
    <w:p w:rsidR="00AF0CA4" w:rsidRPr="00CD38F3" w:rsidRDefault="00AF0CA4" w:rsidP="00CD38F3">
      <w:pPr>
        <w:pStyle w:val="Source"/>
      </w:pPr>
      <w:r w:rsidRPr="00FE162C">
        <w:t>Notes:</w:t>
      </w:r>
      <w:r w:rsidRPr="00FE162C">
        <w:tab/>
        <w:t xml:space="preserve">Random coefficients were specified for all four job attributes and estimated using 400 Halton draws. The triangular distribution was used for the annual wage attribute to restrict the estimates between to non-negative values. For the other three attributes the </w:t>
      </w:r>
      <w:r w:rsidRPr="00CD38F3">
        <w:t>normal distribution was used. The wage attribute was imputed into the model as a percentage increase from the current (expected) wage.</w:t>
      </w:r>
    </w:p>
    <w:p w:rsidR="00AF0CA4" w:rsidRPr="00CD38F3" w:rsidRDefault="00AF0CA4" w:rsidP="00CD38F3">
      <w:pPr>
        <w:pStyle w:val="Source"/>
        <w:ind w:firstLine="0"/>
      </w:pPr>
      <w:r w:rsidRPr="00CD38F3">
        <w:t>All estimates are significant at the 5</w:t>
      </w:r>
      <w:r w:rsidR="00AF1216" w:rsidRPr="00CD38F3">
        <w:t xml:space="preserve">% </w:t>
      </w:r>
      <w:r w:rsidRPr="00CD38F3">
        <w:t>or lower level except those marked with an asterisk (*).</w:t>
      </w:r>
    </w:p>
    <w:p w:rsidR="00AF0CA4" w:rsidRPr="00CD38F3" w:rsidRDefault="00AF0CA4" w:rsidP="00CD38F3">
      <w:pPr>
        <w:pStyle w:val="Source"/>
      </w:pPr>
      <w:r w:rsidRPr="00CD38F3">
        <w:tab/>
      </w:r>
      <w:r w:rsidR="00A16916">
        <w:t>1</w:t>
      </w:r>
      <w:r w:rsidRPr="00CD38F3">
        <w:t xml:space="preserve"> Non-dummy variables</w:t>
      </w:r>
      <w:r w:rsidR="00A16916">
        <w:t>.</w:t>
      </w:r>
    </w:p>
    <w:p w:rsidR="00AF0CA4" w:rsidRPr="00FE162C" w:rsidRDefault="00AF0CA4" w:rsidP="00CD38F3">
      <w:pPr>
        <w:pStyle w:val="Source"/>
      </w:pPr>
      <w:r w:rsidRPr="00CD38F3">
        <w:tab/>
        <w:t>^ Calculated using constant</w:t>
      </w:r>
      <w:r w:rsidRPr="00FE162C">
        <w:t xml:space="preserve"> only MNL model as base case</w:t>
      </w:r>
      <w:r w:rsidR="00E20505">
        <w:t>.</w:t>
      </w:r>
    </w:p>
    <w:p w:rsidR="006B754A" w:rsidRPr="00FE162C" w:rsidRDefault="006B754A">
      <w:pPr>
        <w:spacing w:before="0" w:line="240" w:lineRule="auto"/>
        <w:rPr>
          <w:rFonts w:ascii="Tahoma" w:hAnsi="Tahoma" w:cs="Tahoma"/>
          <w:color w:val="000000" w:themeColor="text1"/>
          <w:kern w:val="28"/>
          <w:sz w:val="56"/>
          <w:szCs w:val="56"/>
        </w:rPr>
      </w:pPr>
      <w:r w:rsidRPr="00FE162C">
        <w:rPr>
          <w:color w:val="000000" w:themeColor="text1"/>
        </w:rPr>
        <w:br w:type="page"/>
      </w:r>
    </w:p>
    <w:p w:rsidR="006B754A" w:rsidRPr="00FE162C" w:rsidRDefault="006B754A" w:rsidP="006B754A">
      <w:pPr>
        <w:pStyle w:val="Heading1"/>
        <w:rPr>
          <w:color w:val="000000" w:themeColor="text1"/>
        </w:rPr>
      </w:pPr>
      <w:bookmarkStart w:id="72" w:name="_Toc386530501"/>
      <w:r w:rsidRPr="00FE162C">
        <w:rPr>
          <w:color w:val="000000" w:themeColor="text1"/>
        </w:rPr>
        <w:lastRenderedPageBreak/>
        <w:t xml:space="preserve">Appendix </w:t>
      </w:r>
      <w:r w:rsidR="00AF0CA4" w:rsidRPr="00FE162C">
        <w:rPr>
          <w:color w:val="000000" w:themeColor="text1"/>
        </w:rPr>
        <w:t>D</w:t>
      </w:r>
      <w:r w:rsidRPr="00FE162C">
        <w:rPr>
          <w:color w:val="000000" w:themeColor="text1"/>
        </w:rPr>
        <w:t xml:space="preserve">: Estimation and </w:t>
      </w:r>
      <w:r w:rsidR="00A16916">
        <w:rPr>
          <w:color w:val="000000" w:themeColor="text1"/>
        </w:rPr>
        <w:t>d</w:t>
      </w:r>
      <w:r w:rsidRPr="00FE162C">
        <w:rPr>
          <w:color w:val="000000" w:themeColor="text1"/>
        </w:rPr>
        <w:t>esign</w:t>
      </w:r>
      <w:bookmarkEnd w:id="72"/>
    </w:p>
    <w:p w:rsidR="005320A5" w:rsidRPr="00FE162C" w:rsidRDefault="005320A5" w:rsidP="006B5D1B">
      <w:pPr>
        <w:pStyle w:val="Text"/>
      </w:pPr>
      <w:r w:rsidRPr="00FE162C">
        <w:t xml:space="preserve">Respondent </w:t>
      </w:r>
      <w:r w:rsidRPr="00FE162C">
        <w:rPr>
          <w:i/>
          <w:iCs/>
        </w:rPr>
        <w:t>i</w:t>
      </w:r>
      <w:r w:rsidR="00602830">
        <w:t>’</w:t>
      </w:r>
      <w:r w:rsidRPr="00FE162C">
        <w:t xml:space="preserve">s </w:t>
      </w:r>
      <w:r w:rsidRPr="006B5D1B">
        <w:t>utility</w:t>
      </w:r>
      <w:r w:rsidRPr="00FE162C">
        <w:t xml:space="preserve"> from choosing alternative </w:t>
      </w:r>
      <w:r w:rsidRPr="00FE162C">
        <w:rPr>
          <w:i/>
          <w:iCs/>
        </w:rPr>
        <w:t>j</w:t>
      </w:r>
      <w:r w:rsidRPr="00FE162C">
        <w:t xml:space="preserve"> from choice set s can be expressed as:</w:t>
      </w:r>
    </w:p>
    <w:p w:rsidR="005320A5" w:rsidRPr="006B5D1B" w:rsidRDefault="00D643A2" w:rsidP="006B5D1B">
      <w:pPr>
        <w:pStyle w:val="Text"/>
      </w:pPr>
      <m:oMath>
        <m:sSub>
          <m:sSubPr>
            <m:ctrlPr>
              <w:rPr>
                <w:rFonts w:ascii="Cambria Math" w:hAnsi="Cambria Math"/>
                <w:i/>
              </w:rPr>
            </m:ctrlPr>
          </m:sSubPr>
          <m:e>
            <m:r>
              <w:rPr>
                <w:rFonts w:ascii="Cambria Math" w:hAnsi="Cambria Math"/>
              </w:rPr>
              <m:t>U</m:t>
            </m:r>
          </m:e>
          <m:sub>
            <m:r>
              <w:rPr>
                <w:rFonts w:ascii="Cambria Math" w:hAnsi="Cambria Math"/>
              </w:rPr>
              <m:t>ijs</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wage</m:t>
                </m:r>
              </m:e>
              <m:sub>
                <m:r>
                  <w:rPr>
                    <w:rFonts w:ascii="Cambria Math" w:hAnsi="Cambria Math"/>
                  </w:rPr>
                  <m:t>ijs</m:t>
                </m:r>
              </m:sub>
            </m:sSub>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FIFO</m:t>
                </m:r>
              </m:e>
              <m:sub>
                <m:r>
                  <w:rPr>
                    <w:rFonts w:ascii="Cambria Math" w:hAnsi="Cambria Math"/>
                  </w:rPr>
                  <m:t>ijs</m:t>
                </m:r>
              </m:sub>
            </m:sSub>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d>
          <m:dPr>
            <m:ctrlPr>
              <w:rPr>
                <w:rFonts w:ascii="Cambria Math" w:hAnsi="Cambria Math"/>
                <w:i/>
              </w:rPr>
            </m:ctrlPr>
          </m:dPr>
          <m:e>
            <m:sSub>
              <m:sSubPr>
                <m:ctrlPr>
                  <w:rPr>
                    <w:rFonts w:ascii="Cambria Math" w:hAnsi="Cambria Math"/>
                    <w:i/>
                  </w:rPr>
                </m:ctrlPr>
              </m:sSubPr>
              <m:e>
                <m:r>
                  <w:rPr>
                    <w:rFonts w:ascii="Cambria Math" w:hAnsi="Cambria Math"/>
                  </w:rPr>
                  <m:t>Training</m:t>
                </m:r>
              </m:e>
              <m:sub>
                <m:r>
                  <w:rPr>
                    <w:rFonts w:ascii="Cambria Math" w:hAnsi="Cambria Math"/>
                  </w:rPr>
                  <m:t>ijs</m:t>
                </m:r>
              </m:sub>
            </m:sSub>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d>
          <m:dPr>
            <m:ctrlPr>
              <w:rPr>
                <w:rFonts w:ascii="Cambria Math" w:hAnsi="Cambria Math"/>
                <w:i/>
              </w:rPr>
            </m:ctrlPr>
          </m:dPr>
          <m:e>
            <m:sSub>
              <m:sSubPr>
                <m:ctrlPr>
                  <w:rPr>
                    <w:rFonts w:ascii="Cambria Math" w:hAnsi="Cambria Math"/>
                    <w:i/>
                  </w:rPr>
                </m:ctrlPr>
              </m:sSubPr>
              <m:e>
                <m:r>
                  <w:rPr>
                    <w:rFonts w:ascii="Cambria Math" w:hAnsi="Cambria Math"/>
                  </w:rPr>
                  <m:t>Temporary</m:t>
                </m:r>
              </m:e>
              <m:sub>
                <m:r>
                  <w:rPr>
                    <w:rFonts w:ascii="Cambria Math" w:hAnsi="Cambria Math"/>
                  </w:rPr>
                  <m:t>ijs</m:t>
                </m:r>
              </m:sub>
            </m:sSub>
          </m:e>
        </m:d>
        <m:r>
          <w:rPr>
            <w:rFonts w:ascii="Cambria Math" w:hAnsi="Cambria Math"/>
          </w:rPr>
          <m:t>+</m:t>
        </m:r>
        <m:sSub>
          <m:sSubPr>
            <m:ctrlPr>
              <w:rPr>
                <w:rFonts w:ascii="Cambria Math" w:hAnsi="Cambria Math"/>
                <w:i/>
              </w:rPr>
            </m:ctrlPr>
          </m:sSubPr>
          <m:e>
            <m:r>
              <m:rPr>
                <m:sty m:val="bi"/>
              </m:rPr>
              <w:rPr>
                <w:rFonts w:ascii="Cambria Math" w:hAnsi="Cambria Math"/>
              </w:rPr>
              <m:t>γX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ijs</m:t>
            </m:r>
          </m:sub>
        </m:sSub>
      </m:oMath>
      <w:r w:rsidR="005320A5" w:rsidRPr="00FE162C">
        <w:tab/>
      </w:r>
      <w:r w:rsidR="005320A5" w:rsidRPr="00FE162C">
        <w:tab/>
      </w:r>
      <w:r w:rsidR="005320A5" w:rsidRPr="006B5D1B">
        <w:t>(1)</w:t>
      </w:r>
    </w:p>
    <w:p w:rsidR="005320A5" w:rsidRPr="006B5D1B" w:rsidRDefault="005320A5" w:rsidP="006B5D1B">
      <w:pPr>
        <w:pStyle w:val="Text"/>
      </w:pPr>
      <w:r w:rsidRPr="006B5D1B">
        <w:t>where</w:t>
      </w:r>
    </w:p>
    <w:p w:rsidR="005320A5" w:rsidRPr="006B5D1B" w:rsidRDefault="00D643A2" w:rsidP="006B5D1B">
      <w:pPr>
        <w:pStyle w:val="Text"/>
        <w:ind w:left="284" w:right="0"/>
      </w:pPr>
      <m:oMath>
        <m:sSub>
          <m:sSubPr>
            <m:ctrlPr>
              <w:rPr>
                <w:rFonts w:ascii="Cambria Math" w:hAnsi="Cambria Math"/>
              </w:rPr>
            </m:ctrlPr>
          </m:sSubPr>
          <m:e>
            <m:r>
              <w:rPr>
                <w:rFonts w:ascii="Cambria Math" w:hAnsi="Cambria Math"/>
              </w:rPr>
              <m:t>β</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3</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β</m:t>
            </m:r>
          </m:e>
          <m:sub>
            <m:r>
              <m:rPr>
                <m:sty m:val="p"/>
              </m:rPr>
              <w:rPr>
                <w:rFonts w:ascii="Cambria Math" w:hAnsi="Cambria Math"/>
              </w:rPr>
              <m:t>4</m:t>
            </m:r>
          </m:sub>
        </m:sSub>
        <m:r>
          <m:rPr>
            <m:sty m:val="p"/>
          </m:rPr>
          <w:rPr>
            <w:rFonts w:ascii="Cambria Math" w:hAnsi="Cambria Math"/>
          </w:rPr>
          <m:t xml:space="preserve"> </m:t>
        </m:r>
      </m:oMath>
      <w:r w:rsidR="005320A5" w:rsidRPr="006B5D1B">
        <w:t xml:space="preserve"> are coefficients corresponding to the respective job characteristics</w:t>
      </w:r>
      <w:r w:rsidR="00A16916">
        <w:t>,</w:t>
      </w:r>
      <w:r w:rsidR="005320A5" w:rsidRPr="006B5D1B">
        <w:t xml:space="preserve"> while </w:t>
      </w:r>
      <m:oMath>
        <m:r>
          <m:rPr>
            <m:sty m:val="bi"/>
          </m:rPr>
          <w:rPr>
            <w:rFonts w:ascii="Cambria Math" w:hAnsi="Cambria Math"/>
          </w:rPr>
          <m:t>γ</m:t>
        </m:r>
      </m:oMath>
      <w:r w:rsidR="005320A5" w:rsidRPr="006B5D1B">
        <w:t xml:space="preserve"> is a vector of coefficients corresponding to individual coefficients</w:t>
      </w:r>
    </w:p>
    <w:p w:rsidR="005320A5" w:rsidRPr="006B5D1B" w:rsidRDefault="00D643A2" w:rsidP="006B5D1B">
      <w:pPr>
        <w:pStyle w:val="Text"/>
        <w:ind w:left="284" w:right="0"/>
      </w:pPr>
      <m:oMath>
        <m:sSub>
          <m:sSubPr>
            <m:ctrlPr>
              <w:rPr>
                <w:rFonts w:ascii="Cambria Math" w:hAnsi="Cambria Math"/>
              </w:rPr>
            </m:ctrlPr>
          </m:sSubPr>
          <m:e>
            <m:r>
              <w:rPr>
                <w:rFonts w:ascii="Cambria Math" w:hAnsi="Cambria Math"/>
              </w:rPr>
              <m:t>wage</m:t>
            </m:r>
          </m:e>
          <m:sub>
            <m:r>
              <w:rPr>
                <w:rFonts w:ascii="Cambria Math" w:hAnsi="Cambria Math"/>
              </w:rPr>
              <m:t>i</m:t>
            </m:r>
            <m:r>
              <w:rPr>
                <w:rFonts w:ascii="Cambria Math" w:hAnsi="Cambria Math"/>
              </w:rPr>
              <m:t>js</m:t>
            </m:r>
          </m:sub>
        </m:sSub>
      </m:oMath>
      <w:r w:rsidR="005320A5" w:rsidRPr="006B5D1B">
        <w:t xml:space="preserve"> is the annual wage expressed as a percentage of the annual wage of the respondent</w:t>
      </w:r>
      <w:r w:rsidR="00602830" w:rsidRPr="006B5D1B">
        <w:t>’</w:t>
      </w:r>
      <w:r w:rsidR="005320A5" w:rsidRPr="006B5D1B">
        <w:t>s current</w:t>
      </w:r>
      <w:r w:rsidR="004A70FA" w:rsidRPr="006B5D1B">
        <w:t xml:space="preserve"> job or expected job </w:t>
      </w:r>
      <w:r w:rsidR="005320A5" w:rsidRPr="006B5D1B">
        <w:t xml:space="preserve">if </w:t>
      </w:r>
      <w:r w:rsidR="004A70FA" w:rsidRPr="006B5D1B">
        <w:t>they are looking for work</w:t>
      </w:r>
    </w:p>
    <w:p w:rsidR="005320A5" w:rsidRPr="006B5D1B" w:rsidRDefault="00D643A2" w:rsidP="006B5D1B">
      <w:pPr>
        <w:pStyle w:val="Text"/>
        <w:ind w:left="284" w:right="0"/>
      </w:pPr>
      <m:oMath>
        <m:sSub>
          <m:sSubPr>
            <m:ctrlPr>
              <w:rPr>
                <w:rFonts w:ascii="Cambria Math" w:hAnsi="Cambria Math"/>
              </w:rPr>
            </m:ctrlPr>
          </m:sSubPr>
          <m:e>
            <m:r>
              <w:rPr>
                <w:rFonts w:ascii="Cambria Math" w:hAnsi="Cambria Math"/>
              </w:rPr>
              <m:t>FIFO</m:t>
            </m:r>
          </m:e>
          <m:sub>
            <m:r>
              <w:rPr>
                <w:rFonts w:ascii="Cambria Math" w:hAnsi="Cambria Math"/>
              </w:rPr>
              <m:t>ijs</m:t>
            </m:r>
          </m:sub>
        </m:sSub>
      </m:oMath>
      <w:r w:rsidR="005320A5" w:rsidRPr="006B5D1B">
        <w:t xml:space="preserve"> takes the value 1 if the job offer involves a fly-in, fly-out arrangement and takes the value 0 otherwise</w:t>
      </w:r>
    </w:p>
    <w:p w:rsidR="005320A5" w:rsidRPr="006B5D1B" w:rsidRDefault="00D643A2" w:rsidP="006B5D1B">
      <w:pPr>
        <w:pStyle w:val="Text"/>
        <w:ind w:left="284" w:right="0"/>
      </w:pPr>
      <m:oMath>
        <m:sSub>
          <m:sSubPr>
            <m:ctrlPr>
              <w:rPr>
                <w:rFonts w:ascii="Cambria Math" w:hAnsi="Cambria Math"/>
              </w:rPr>
            </m:ctrlPr>
          </m:sSubPr>
          <m:e>
            <m:r>
              <w:rPr>
                <w:rFonts w:ascii="Cambria Math" w:hAnsi="Cambria Math"/>
              </w:rPr>
              <m:t>Training</m:t>
            </m:r>
          </m:e>
          <m:sub>
            <m:r>
              <w:rPr>
                <w:rFonts w:ascii="Cambria Math" w:hAnsi="Cambria Math"/>
              </w:rPr>
              <m:t>ijs</m:t>
            </m:r>
          </m:sub>
        </m:sSub>
      </m:oMath>
      <w:r w:rsidR="005320A5" w:rsidRPr="006B5D1B">
        <w:t xml:space="preserve"> takes the value 1 if the job offer involves three months of training with a reduced wage and takes the value 0 otherwise</w:t>
      </w:r>
    </w:p>
    <w:p w:rsidR="005320A5" w:rsidRPr="006B5D1B" w:rsidRDefault="00D643A2" w:rsidP="006B5D1B">
      <w:pPr>
        <w:pStyle w:val="Text"/>
        <w:ind w:left="284" w:right="0"/>
      </w:pPr>
      <m:oMath>
        <m:sSub>
          <m:sSubPr>
            <m:ctrlPr>
              <w:rPr>
                <w:rFonts w:ascii="Cambria Math" w:hAnsi="Cambria Math"/>
              </w:rPr>
            </m:ctrlPr>
          </m:sSubPr>
          <m:e>
            <m:r>
              <w:rPr>
                <w:rFonts w:ascii="Cambria Math" w:hAnsi="Cambria Math"/>
              </w:rPr>
              <m:t>Temporary</m:t>
            </m:r>
          </m:e>
          <m:sub>
            <m:r>
              <w:rPr>
                <w:rFonts w:ascii="Cambria Math" w:hAnsi="Cambria Math"/>
              </w:rPr>
              <m:t>ijs</m:t>
            </m:r>
          </m:sub>
        </m:sSub>
      </m:oMath>
      <w:r w:rsidR="005320A5" w:rsidRPr="006B5D1B">
        <w:t xml:space="preserve"> takes the value 1 if the job offer involves a temporary six month</w:t>
      </w:r>
      <w:r w:rsidR="004A70FA" w:rsidRPr="006B5D1B">
        <w:t>s</w:t>
      </w:r>
      <w:r w:rsidR="005320A5" w:rsidRPr="006B5D1B">
        <w:t xml:space="preserve"> position and takes the value 0 otherwise</w:t>
      </w:r>
    </w:p>
    <w:p w:rsidR="005320A5" w:rsidRPr="006B5D1B" w:rsidRDefault="00D643A2" w:rsidP="006B5D1B">
      <w:pPr>
        <w:pStyle w:val="Text"/>
        <w:ind w:left="284" w:right="0"/>
      </w:pPr>
      <m:oMath>
        <m:sSub>
          <m:sSubPr>
            <m:ctrlPr>
              <w:rPr>
                <w:rFonts w:ascii="Cambria Math" w:hAnsi="Cambria Math"/>
              </w:rPr>
            </m:ctrlPr>
          </m:sSubPr>
          <m:e>
            <m:r>
              <m:rPr>
                <m:sty m:val="bi"/>
              </m:rPr>
              <w:rPr>
                <w:rFonts w:ascii="Cambria Math" w:hAnsi="Cambria Math"/>
              </w:rPr>
              <m:t>X</m:t>
            </m:r>
          </m:e>
          <m:sub>
            <m:r>
              <w:rPr>
                <w:rFonts w:ascii="Cambria Math" w:hAnsi="Cambria Math"/>
              </w:rPr>
              <m:t>i</m:t>
            </m:r>
          </m:sub>
        </m:sSub>
      </m:oMath>
      <w:r w:rsidR="005320A5" w:rsidRPr="006B5D1B">
        <w:t xml:space="preserve"> is a vector of individual characteristics</w:t>
      </w:r>
    </w:p>
    <w:p w:rsidR="005320A5" w:rsidRPr="006B5D1B" w:rsidRDefault="00D643A2" w:rsidP="006B5D1B">
      <w:pPr>
        <w:pStyle w:val="Text"/>
        <w:ind w:left="284" w:right="0"/>
      </w:pPr>
      <m:oMath>
        <m:sSub>
          <m:sSubPr>
            <m:ctrlPr>
              <w:rPr>
                <w:rFonts w:ascii="Cambria Math" w:hAnsi="Cambria Math"/>
              </w:rPr>
            </m:ctrlPr>
          </m:sSubPr>
          <m:e>
            <m:r>
              <w:rPr>
                <w:rFonts w:ascii="Cambria Math" w:hAnsi="Cambria Math"/>
              </w:rPr>
              <m:t>ϵ</m:t>
            </m:r>
          </m:e>
          <m:sub>
            <m:r>
              <w:rPr>
                <w:rFonts w:ascii="Cambria Math" w:hAnsi="Cambria Math"/>
              </w:rPr>
              <m:t>ijs</m:t>
            </m:r>
          </m:sub>
        </m:sSub>
      </m:oMath>
      <w:r w:rsidR="005320A5" w:rsidRPr="006B5D1B">
        <w:t xml:space="preserve"> is an error term whose distribution will vary depending on the modelling assumption.</w:t>
      </w:r>
    </w:p>
    <w:p w:rsidR="005320A5" w:rsidRPr="006B5D1B" w:rsidRDefault="005320A5" w:rsidP="006B5D1B">
      <w:pPr>
        <w:pStyle w:val="Text"/>
      </w:pPr>
      <w:r w:rsidRPr="006B5D1B">
        <w:t>Equation (1) can be estimated by McFadden</w:t>
      </w:r>
      <w:r w:rsidR="00602830" w:rsidRPr="006B5D1B">
        <w:t>’</w:t>
      </w:r>
      <w:r w:rsidRPr="006B5D1B">
        <w:t>s conditional logit (</w:t>
      </w:r>
      <w:r w:rsidR="00406B75" w:rsidRPr="006B5D1B">
        <w:fldChar w:fldCharType="begin"/>
      </w:r>
      <w:r w:rsidR="00CA754F" w:rsidRPr="006B5D1B">
        <w:instrText xml:space="preserve"> ADDIN EN.CITE &lt;EndNote&gt;&lt;Cite&gt;&lt;Author&gt;McFadden&lt;/Author&gt;&lt;Year&gt;1974&lt;/Year&gt;&lt;RecNum&gt;1334&lt;/RecNum&gt;&lt;DisplayText&gt;McFadden (1974)&lt;/DisplayText&gt;&lt;record&gt;&lt;rec-number&gt;1334&lt;/rec-number&gt;&lt;foreign-keys&gt;&lt;key app="EN" db-id="refafpv0nd2rd4e9e2qxeaf6rw5xxvv2ds22" timestamp="1380687785"&gt;1334&lt;/key&gt;&lt;/foreign-keys&gt;&lt;ref-type name="Book Section"&gt;5&lt;/ref-type&gt;&lt;contributors&gt;&lt;authors&gt;&lt;author&gt;McFadden, Daniel&lt;/author&gt;&lt;/authors&gt;&lt;secondary-authors&gt;&lt;author&gt;Zarembka, P.&lt;/author&gt;&lt;/secondary-authors&gt;&lt;/contributors&gt;&lt;auth-address&gt;New York&lt;/auth-address&gt;&lt;titles&gt;&lt;title&gt;Conditional Logit Analysis of Qualitative Choice Behavior&lt;/title&gt;&lt;secondary-title&gt;Frontiers in econometrics&lt;/secondary-title&gt;&lt;/titles&gt;&lt;pages&gt;105-142&lt;/pages&gt;&lt;keywords&gt;&lt;keyword&gt;discrete_choice&lt;/keyword&gt;&lt;/keywords&gt;&lt;dates&gt;&lt;year&gt;1974&lt;/year&gt;&lt;/dates&gt;&lt;pub-location&gt;New York&lt;/pub-location&gt;&lt;publisher&gt;Academic Press&lt;/publisher&gt;&lt;urls&gt;&lt;/urls&gt;&lt;electronic-resource-num&gt;citeulike-article-id:912734&lt;/electronic-resource-num&gt;&lt;/record&gt;&lt;/Cite&gt;&lt;/EndNote&gt;</w:instrText>
      </w:r>
      <w:r w:rsidR="00406B75" w:rsidRPr="006B5D1B">
        <w:fldChar w:fldCharType="separate"/>
      </w:r>
      <w:hyperlink w:anchor="_ENREF_49" w:tooltip="McFadden, 1974 #1334" w:history="1">
        <w:r w:rsidR="004A70FA" w:rsidRPr="006B5D1B">
          <w:t xml:space="preserve">McFadden </w:t>
        </w:r>
        <w:r w:rsidR="00CA754F" w:rsidRPr="006B5D1B">
          <w:t>1974</w:t>
        </w:r>
      </w:hyperlink>
      <w:r w:rsidR="00CA754F" w:rsidRPr="006B5D1B">
        <w:t>)</w:t>
      </w:r>
      <w:r w:rsidR="00406B75" w:rsidRPr="006B5D1B">
        <w:fldChar w:fldCharType="end"/>
      </w:r>
      <w:r w:rsidRPr="006B5D1B">
        <w:t>. The software Ngene (</w:t>
      </w:r>
      <w:r w:rsidR="007A1312" w:rsidRPr="006B5D1B">
        <w:t xml:space="preserve">developed </w:t>
      </w:r>
      <w:r w:rsidRPr="006B5D1B">
        <w:t>by ChoiceMetrics Pty Ltd) was use</w:t>
      </w:r>
      <w:r w:rsidR="004A70FA" w:rsidRPr="006B5D1B">
        <w:t>d to generate a two-</w:t>
      </w:r>
      <w:r w:rsidR="007A1312" w:rsidRPr="006B5D1B">
        <w:t>block, five-</w:t>
      </w:r>
      <w:r w:rsidR="004A70FA" w:rsidRPr="006B5D1B">
        <w:t>choice set design</w:t>
      </w:r>
      <w:r w:rsidRPr="006B5D1B">
        <w:t xml:space="preserve"> that minimises the D-error of the coefficients of the equation above (</w:t>
      </w:r>
      <w:r w:rsidR="00406B75" w:rsidRPr="006B5D1B">
        <w:fldChar w:fldCharType="begin"/>
      </w:r>
      <w:r w:rsidR="00CA754F" w:rsidRPr="006B5D1B">
        <w:instrText xml:space="preserve"> ADDIN EN.CITE &lt;EndNote&gt;&lt;Cite&gt;&lt;Author&gt;Hensher&lt;/Author&gt;&lt;Year&gt;2005&lt;/Year&gt;&lt;RecNum&gt;945&lt;/RecNum&gt;&lt;DisplayText&gt;Hensher, Rose and Greene (2005)&lt;/DisplayText&gt;&lt;record&gt;&lt;rec-number&gt;945&lt;/rec-number&gt;&lt;foreign-keys&gt;&lt;key app="EN" db-id="refafpv0nd2rd4e9e2qxeaf6rw5xxvv2ds22" timestamp="1322657668"&gt;945&lt;/key&gt;&lt;/foreign-keys&gt;&lt;ref-type name="Book"&gt;6&lt;/ref-type&gt;&lt;contributors&gt;&lt;authors&gt;&lt;author&gt;Hensher, D.A&lt;/author&gt;&lt;author&gt;Rose, J.M&lt;/author&gt;&lt;author&gt;Greene, W.H&lt;/author&gt;&lt;/authors&gt;&lt;/contributors&gt;&lt;titles&gt;&lt;title&gt;Applied choice analysis: a primer&lt;/title&gt;&lt;/titles&gt;&lt;dates&gt;&lt;year&gt;2005&lt;/year&gt;&lt;/dates&gt;&lt;pub-location&gt;Cambridge&lt;/pub-location&gt;&lt;publisher&gt;Cambridge University Press&lt;/publisher&gt;&lt;urls&gt;&lt;/urls&gt;&lt;/record&gt;&lt;/Cite&gt;&lt;/EndNote&gt;</w:instrText>
      </w:r>
      <w:r w:rsidR="00406B75" w:rsidRPr="006B5D1B">
        <w:fldChar w:fldCharType="separate"/>
      </w:r>
      <w:hyperlink w:anchor="_ENREF_28" w:tooltip="Hensher, 2005 #945" w:history="1">
        <w:r w:rsidR="004A70FA" w:rsidRPr="006B5D1B">
          <w:t xml:space="preserve">Hensher, Rose </w:t>
        </w:r>
        <w:r w:rsidR="00C53DC7" w:rsidRPr="006B5D1B">
          <w:t>&amp;</w:t>
        </w:r>
        <w:r w:rsidR="00A16916">
          <w:t xml:space="preserve"> </w:t>
        </w:r>
        <w:r w:rsidR="004A70FA" w:rsidRPr="006B5D1B">
          <w:t xml:space="preserve">Greene </w:t>
        </w:r>
        <w:r w:rsidR="00CA754F" w:rsidRPr="006B5D1B">
          <w:t>2005</w:t>
        </w:r>
      </w:hyperlink>
      <w:r w:rsidR="00CE053F" w:rsidRPr="006B5D1B">
        <w:t>)</w:t>
      </w:r>
      <w:r w:rsidR="00406B75" w:rsidRPr="006B5D1B">
        <w:fldChar w:fldCharType="end"/>
      </w:r>
      <w:r w:rsidRPr="006B5D1B">
        <w:t xml:space="preserve">. The coefficients used to generate the design were from a pilot survey conducted on TAFE </w:t>
      </w:r>
      <w:r w:rsidR="00C53DC7" w:rsidRPr="006B5D1B">
        <w:t xml:space="preserve">(technical and further education) </w:t>
      </w:r>
      <w:r w:rsidRPr="006B5D1B">
        <w:t>students at a TAFE institute in Victoria.</w:t>
      </w:r>
    </w:p>
    <w:p w:rsidR="005320A5" w:rsidRPr="006B5D1B" w:rsidRDefault="00F55056" w:rsidP="006B5D1B">
      <w:pPr>
        <w:pStyle w:val="Text"/>
      </w:pPr>
      <w:r>
        <w:t xml:space="preserve">The estimates for marginal willingness to pay presented in this report were estimated using the </w:t>
      </w:r>
      <w:r w:rsidR="005320A5" w:rsidRPr="006B5D1B">
        <w:t xml:space="preserve">Mixed Multinomial Logit </w:t>
      </w:r>
      <w:r w:rsidR="007A1312" w:rsidRPr="006B5D1B">
        <w:t xml:space="preserve">(MMNL) </w:t>
      </w:r>
      <w:r w:rsidR="005320A5" w:rsidRPr="006B5D1B">
        <w:t>(</w:t>
      </w:r>
      <w:r w:rsidR="00406B75" w:rsidRPr="006B5D1B">
        <w:fldChar w:fldCharType="begin"/>
      </w:r>
      <w:r w:rsidR="00CA754F" w:rsidRPr="006B5D1B">
        <w:instrText xml:space="preserve"> ADDIN EN.CITE &lt;EndNote&gt;&lt;Cite&gt;&lt;Author&gt;Revelt&lt;/Author&gt;&lt;Year&gt;1998&lt;/Year&gt;&lt;RecNum&gt;921&lt;/RecNum&gt;&lt;DisplayText&gt;Revelt and Train (1998)&lt;/DisplayText&gt;&lt;record&gt;&lt;rec-number&gt;921&lt;/rec-number&gt;&lt;foreign-keys&gt;&lt;key app="EN" db-id="refafpv0nd2rd4e9e2qxeaf6rw5xxvv2ds22" timestamp="1322291211"&gt;921&lt;/key&gt;&lt;/foreign-keys&gt;&lt;ref-type name="Journal Article"&gt;17&lt;/ref-type&gt;&lt;contributors&gt;&lt;authors&gt;&lt;author&gt;Revelt, D&lt;/author&gt;&lt;author&gt;Train, K&lt;/author&gt;&lt;/authors&gt;&lt;/contributors&gt;&lt;titles&gt;&lt;title&gt;Mixed logit with repeated choices of appliance efficiency levels&lt;/title&gt;&lt;secondary-title&gt;Review of Economics and Statistics&lt;/secondary-title&gt;&lt;/titles&gt;&lt;periodical&gt;&lt;full-title&gt;Review of Economics and Statistics&lt;/full-title&gt;&lt;/periodical&gt;&lt;pages&gt;647-657&lt;/pages&gt;&lt;volume&gt;80&lt;/volume&gt;&lt;number&gt;4&lt;/number&gt;&lt;dates&gt;&lt;year&gt;1998&lt;/year&gt;&lt;/dates&gt;&lt;urls&gt;&lt;/urls&gt;&lt;/record&gt;&lt;/Cite&gt;&lt;/EndNote&gt;</w:instrText>
      </w:r>
      <w:r w:rsidR="00406B75" w:rsidRPr="006B5D1B">
        <w:fldChar w:fldCharType="separate"/>
      </w:r>
      <w:hyperlink w:anchor="_ENREF_53" w:tooltip="Revelt, 1998 #921" w:history="1">
        <w:r w:rsidR="007629E6" w:rsidRPr="006B5D1B">
          <w:t xml:space="preserve">Revelt </w:t>
        </w:r>
        <w:r w:rsidR="00C53DC7" w:rsidRPr="006B5D1B">
          <w:t>&amp;</w:t>
        </w:r>
        <w:r w:rsidR="007629E6" w:rsidRPr="006B5D1B">
          <w:t xml:space="preserve"> Train </w:t>
        </w:r>
        <w:r w:rsidR="00CA754F" w:rsidRPr="006B5D1B">
          <w:t>1998</w:t>
        </w:r>
      </w:hyperlink>
      <w:r w:rsidR="00CA754F" w:rsidRPr="006B5D1B">
        <w:t>)</w:t>
      </w:r>
      <w:r w:rsidR="00406B75" w:rsidRPr="006B5D1B">
        <w:fldChar w:fldCharType="end"/>
      </w:r>
      <w:r w:rsidR="005320A5" w:rsidRPr="006B5D1B">
        <w:t xml:space="preserve"> using the following specification</w:t>
      </w:r>
      <w:r>
        <w:t xml:space="preserve"> in order to relax some restrictive assumption for the basic conditional logit</w:t>
      </w:r>
      <w:r w:rsidR="005320A5" w:rsidRPr="006B5D1B">
        <w:t>:</w:t>
      </w:r>
    </w:p>
    <w:p w:rsidR="005320A5" w:rsidRPr="006B5D1B" w:rsidRDefault="00D643A2" w:rsidP="006B5D1B">
      <w:pPr>
        <w:pStyle w:val="Text"/>
      </w:pPr>
      <m:oMath>
        <m:sSub>
          <m:sSubPr>
            <m:ctrlPr>
              <w:rPr>
                <w:rFonts w:ascii="Cambria Math" w:hAnsi="Cambria Math"/>
              </w:rPr>
            </m:ctrlPr>
          </m:sSubPr>
          <m:e>
            <m:r>
              <w:rPr>
                <w:rFonts w:ascii="Cambria Math" w:hAnsi="Cambria Math"/>
              </w:rPr>
              <m:t>U</m:t>
            </m:r>
          </m:e>
          <m:sub>
            <m:r>
              <w:rPr>
                <w:rFonts w:ascii="Cambria Math" w:hAnsi="Cambria Math"/>
              </w:rPr>
              <m:t>ijs</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δ</m:t>
            </m:r>
          </m:e>
          <m:sub>
            <m:r>
              <m:rPr>
                <m:sty m:val="p"/>
              </m:rPr>
              <w:rPr>
                <w:rFonts w:ascii="Cambria Math" w:hAnsi="Cambria Math"/>
              </w:rPr>
              <m:t>1</m:t>
            </m:r>
            <m:r>
              <w:rPr>
                <w:rFonts w:ascii="Cambria Math" w:hAnsi="Cambria Math"/>
              </w:rPr>
              <m:t>i</m:t>
            </m:r>
          </m:sub>
        </m:sSub>
        <m:d>
          <m:dPr>
            <m:ctrlPr>
              <w:rPr>
                <w:rFonts w:ascii="Cambria Math" w:hAnsi="Cambria Math"/>
              </w:rPr>
            </m:ctrlPr>
          </m:dPr>
          <m:e>
            <m:sSub>
              <m:sSubPr>
                <m:ctrlPr>
                  <w:rPr>
                    <w:rFonts w:ascii="Cambria Math" w:hAnsi="Cambria Math"/>
                  </w:rPr>
                </m:ctrlPr>
              </m:sSubPr>
              <m:e>
                <m:r>
                  <w:rPr>
                    <w:rFonts w:ascii="Cambria Math" w:hAnsi="Cambria Math"/>
                  </w:rPr>
                  <m:t>wage</m:t>
                </m:r>
              </m:e>
              <m:sub>
                <m:r>
                  <w:rPr>
                    <w:rFonts w:ascii="Cambria Math" w:hAnsi="Cambria Math"/>
                  </w:rPr>
                  <m:t>ijs</m:t>
                </m:r>
              </m:sub>
            </m:sSub>
          </m:e>
        </m:d>
        <m:r>
          <m:rPr>
            <m:sty m:val="p"/>
          </m:rPr>
          <w:rPr>
            <w:rFonts w:ascii="Cambria Math" w:hAnsi="Cambria Math"/>
          </w:rPr>
          <m:t>+</m:t>
        </m:r>
        <m:sSub>
          <m:sSubPr>
            <m:ctrlPr>
              <w:rPr>
                <w:rFonts w:ascii="Cambria Math" w:hAnsi="Cambria Math"/>
              </w:rPr>
            </m:ctrlPr>
          </m:sSubPr>
          <m:e>
            <m:r>
              <w:rPr>
                <w:rFonts w:ascii="Cambria Math" w:hAnsi="Cambria Math"/>
              </w:rPr>
              <m:t>δ</m:t>
            </m:r>
          </m:e>
          <m:sub>
            <m:r>
              <m:rPr>
                <m:sty m:val="p"/>
              </m:rPr>
              <w:rPr>
                <w:rFonts w:ascii="Cambria Math" w:hAnsi="Cambria Math"/>
              </w:rPr>
              <m:t>2</m:t>
            </m:r>
            <m:r>
              <w:rPr>
                <w:rFonts w:ascii="Cambria Math" w:hAnsi="Cambria Math"/>
              </w:rPr>
              <m:t>i</m:t>
            </m:r>
          </m:sub>
        </m:sSub>
        <m:d>
          <m:dPr>
            <m:ctrlPr>
              <w:rPr>
                <w:rFonts w:ascii="Cambria Math" w:hAnsi="Cambria Math"/>
              </w:rPr>
            </m:ctrlPr>
          </m:dPr>
          <m:e>
            <m:sSub>
              <m:sSubPr>
                <m:ctrlPr>
                  <w:rPr>
                    <w:rFonts w:ascii="Cambria Math" w:hAnsi="Cambria Math"/>
                  </w:rPr>
                </m:ctrlPr>
              </m:sSubPr>
              <m:e>
                <m:r>
                  <w:rPr>
                    <w:rFonts w:ascii="Cambria Math" w:hAnsi="Cambria Math"/>
                  </w:rPr>
                  <m:t>FIFO</m:t>
                </m:r>
              </m:e>
              <m:sub>
                <m:r>
                  <w:rPr>
                    <w:rFonts w:ascii="Cambria Math" w:hAnsi="Cambria Math"/>
                  </w:rPr>
                  <m:t>ijs</m:t>
                </m:r>
              </m:sub>
            </m:sSub>
          </m:e>
        </m:d>
        <m:r>
          <m:rPr>
            <m:sty m:val="p"/>
          </m:rPr>
          <w:rPr>
            <w:rFonts w:ascii="Cambria Math" w:hAnsi="Cambria Math"/>
          </w:rPr>
          <m:t>+</m:t>
        </m:r>
        <m:sSub>
          <m:sSubPr>
            <m:ctrlPr>
              <w:rPr>
                <w:rFonts w:ascii="Cambria Math" w:hAnsi="Cambria Math"/>
              </w:rPr>
            </m:ctrlPr>
          </m:sSubPr>
          <m:e>
            <m:r>
              <w:rPr>
                <w:rFonts w:ascii="Cambria Math" w:hAnsi="Cambria Math"/>
              </w:rPr>
              <m:t>δ</m:t>
            </m:r>
          </m:e>
          <m:sub>
            <m:r>
              <m:rPr>
                <m:sty m:val="p"/>
              </m:rPr>
              <w:rPr>
                <w:rFonts w:ascii="Cambria Math" w:hAnsi="Cambria Math"/>
              </w:rPr>
              <m:t>3</m:t>
            </m:r>
            <m:r>
              <w:rPr>
                <w:rFonts w:ascii="Cambria Math" w:hAnsi="Cambria Math"/>
              </w:rPr>
              <m:t>i</m:t>
            </m:r>
          </m:sub>
        </m:sSub>
        <m:d>
          <m:dPr>
            <m:ctrlPr>
              <w:rPr>
                <w:rFonts w:ascii="Cambria Math" w:hAnsi="Cambria Math"/>
              </w:rPr>
            </m:ctrlPr>
          </m:dPr>
          <m:e>
            <m:sSub>
              <m:sSubPr>
                <m:ctrlPr>
                  <w:rPr>
                    <w:rFonts w:ascii="Cambria Math" w:hAnsi="Cambria Math"/>
                  </w:rPr>
                </m:ctrlPr>
              </m:sSubPr>
              <m:e>
                <m:r>
                  <w:rPr>
                    <w:rFonts w:ascii="Cambria Math" w:hAnsi="Cambria Math"/>
                  </w:rPr>
                  <m:t>Training</m:t>
                </m:r>
              </m:e>
              <m:sub>
                <m:r>
                  <w:rPr>
                    <w:rFonts w:ascii="Cambria Math" w:hAnsi="Cambria Math"/>
                  </w:rPr>
                  <m:t>ijs</m:t>
                </m:r>
              </m:sub>
            </m:sSub>
          </m:e>
        </m:d>
        <m:r>
          <m:rPr>
            <m:sty m:val="p"/>
          </m:rPr>
          <w:rPr>
            <w:rFonts w:ascii="Cambria Math" w:hAnsi="Cambria Math"/>
          </w:rPr>
          <m:t>+</m:t>
        </m:r>
        <m:sSub>
          <m:sSubPr>
            <m:ctrlPr>
              <w:rPr>
                <w:rFonts w:ascii="Cambria Math" w:hAnsi="Cambria Math"/>
              </w:rPr>
            </m:ctrlPr>
          </m:sSubPr>
          <m:e>
            <m:r>
              <w:rPr>
                <w:rFonts w:ascii="Cambria Math" w:hAnsi="Cambria Math"/>
              </w:rPr>
              <m:t>δ</m:t>
            </m:r>
          </m:e>
          <m:sub>
            <m:r>
              <m:rPr>
                <m:sty m:val="p"/>
              </m:rPr>
              <w:rPr>
                <w:rFonts w:ascii="Cambria Math" w:hAnsi="Cambria Math"/>
              </w:rPr>
              <m:t>4</m:t>
            </m:r>
            <m:r>
              <w:rPr>
                <w:rFonts w:ascii="Cambria Math" w:hAnsi="Cambria Math"/>
              </w:rPr>
              <m:t>i</m:t>
            </m:r>
          </m:sub>
        </m:sSub>
        <m:d>
          <m:dPr>
            <m:ctrlPr>
              <w:rPr>
                <w:rFonts w:ascii="Cambria Math" w:hAnsi="Cambria Math"/>
              </w:rPr>
            </m:ctrlPr>
          </m:dPr>
          <m:e>
            <m:sSub>
              <m:sSubPr>
                <m:ctrlPr>
                  <w:rPr>
                    <w:rFonts w:ascii="Cambria Math" w:hAnsi="Cambria Math"/>
                  </w:rPr>
                </m:ctrlPr>
              </m:sSubPr>
              <m:e>
                <m:r>
                  <w:rPr>
                    <w:rFonts w:ascii="Cambria Math" w:hAnsi="Cambria Math"/>
                  </w:rPr>
                  <m:t>Temporary</m:t>
                </m:r>
              </m:e>
              <m:sub>
                <m:r>
                  <w:rPr>
                    <w:rFonts w:ascii="Cambria Math" w:hAnsi="Cambria Math"/>
                  </w:rPr>
                  <m:t>ijs</m:t>
                </m:r>
              </m:sub>
            </m:sSub>
          </m:e>
        </m:d>
        <m:r>
          <m:rPr>
            <m:sty m:val="p"/>
          </m:rPr>
          <w:rPr>
            <w:rFonts w:ascii="Cambria Math" w:hAnsi="Cambria Math"/>
          </w:rPr>
          <m:t>+</m:t>
        </m:r>
        <m:sSub>
          <m:sSubPr>
            <m:ctrlPr>
              <w:rPr>
                <w:rFonts w:ascii="Cambria Math" w:hAnsi="Cambria Math"/>
              </w:rPr>
            </m:ctrlPr>
          </m:sSubPr>
          <m:e>
            <m:r>
              <m:rPr>
                <m:sty m:val="bi"/>
              </m:rPr>
              <w:rPr>
                <w:rFonts w:ascii="Cambria Math" w:hAnsi="Cambria Math"/>
              </w:rPr>
              <m:t>γX</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error</m:t>
            </m:r>
          </m:e>
          <m:sub>
            <m:r>
              <w:rPr>
                <w:rFonts w:ascii="Cambria Math" w:hAnsi="Cambria Math"/>
              </w:rPr>
              <m:t>ijs</m:t>
            </m:r>
          </m:sub>
        </m:sSub>
      </m:oMath>
      <w:r w:rsidR="007A1312" w:rsidRPr="006B5D1B">
        <w:tab/>
      </w:r>
      <w:r w:rsidR="005320A5" w:rsidRPr="006B5D1B">
        <w:t>(2)</w:t>
      </w:r>
    </w:p>
    <w:p w:rsidR="005320A5" w:rsidRPr="006B5D1B" w:rsidRDefault="005320A5" w:rsidP="006B5D1B">
      <w:pPr>
        <w:pStyle w:val="Text"/>
      </w:pPr>
      <w:r w:rsidRPr="006B5D1B">
        <w:t>where</w:t>
      </w:r>
    </w:p>
    <w:p w:rsidR="007A1312" w:rsidRPr="006B5D1B" w:rsidRDefault="00D643A2" w:rsidP="006B5D1B">
      <w:pPr>
        <w:pStyle w:val="Text"/>
      </w:pPr>
      <m:oMathPara>
        <m:oMath>
          <m:sSub>
            <m:sSubPr>
              <m:ctrlPr>
                <w:rPr>
                  <w:rFonts w:ascii="Cambria Math" w:hAnsi="Cambria Math"/>
                  <w:i/>
                </w:rPr>
              </m:ctrlPr>
            </m:sSubPr>
            <m:e>
              <m:r>
                <w:rPr>
                  <w:rFonts w:ascii="Cambria Math" w:hAnsi="Cambria Math"/>
                </w:rPr>
                <m:t>δ</m:t>
              </m:r>
            </m:e>
            <m:sub>
              <m:r>
                <w:rPr>
                  <w:rFonts w:ascii="Cambria Math" w:hAnsi="Cambria Math"/>
                </w:rPr>
                <m:t>ki</m:t>
              </m:r>
            </m:sub>
          </m:sSub>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δ</m:t>
                  </m:r>
                </m:e>
                <m:sub>
                  <m:r>
                    <w:rPr>
                      <w:rFonts w:ascii="Cambria Math" w:hAnsi="Cambria Math"/>
                    </w:rPr>
                    <m:t>k</m:t>
                  </m:r>
                </m:sub>
              </m:sSub>
            </m:e>
          </m:acc>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k</m:t>
              </m:r>
            </m:sub>
          </m:sSub>
          <m:sSub>
            <m:sSubPr>
              <m:ctrlPr>
                <w:rPr>
                  <w:rFonts w:ascii="Cambria Math" w:hAnsi="Cambria Math"/>
                  <w:i/>
                </w:rPr>
              </m:ctrlPr>
            </m:sSubPr>
            <m:e>
              <m:r>
                <w:rPr>
                  <w:rFonts w:ascii="Cambria Math" w:hAnsi="Cambria Math"/>
                </w:rPr>
                <m:t>z</m:t>
              </m:r>
            </m:e>
            <m:sub>
              <m:r>
                <w:rPr>
                  <w:rFonts w:ascii="Cambria Math" w:hAnsi="Cambria Math"/>
                </w:rPr>
                <m:t>kijs</m:t>
              </m:r>
            </m:sub>
          </m:sSub>
        </m:oMath>
      </m:oMathPara>
    </w:p>
    <w:p w:rsidR="005320A5" w:rsidRPr="00FE162C" w:rsidRDefault="007A1312" w:rsidP="006B5D1B">
      <w:pPr>
        <w:pStyle w:val="Text"/>
      </w:pPr>
      <w:r w:rsidRPr="006B5D1B">
        <w:t xml:space="preserve">and </w:t>
      </w:r>
      <w:r w:rsidR="005320A5" w:rsidRPr="006B5D1B">
        <w:t>k</w:t>
      </w:r>
      <w:r w:rsidR="007629E6" w:rsidRPr="006B5D1B">
        <w:t xml:space="preserve"> which</w:t>
      </w:r>
      <w:r w:rsidR="00951C34" w:rsidRPr="006B5D1B">
        <w:t xml:space="preserve"> </w:t>
      </w:r>
      <w:r w:rsidRPr="006B5D1B">
        <w:t>ranges</w:t>
      </w:r>
      <w:r w:rsidR="005320A5" w:rsidRPr="006B5D1B">
        <w:t xml:space="preserve"> from 1 to 4 </w:t>
      </w:r>
      <w:r w:rsidR="00951C34" w:rsidRPr="006B5D1B">
        <w:t>repre</w:t>
      </w:r>
      <w:r w:rsidR="00951C34" w:rsidRPr="00FE162C">
        <w:t>sents the four</w:t>
      </w:r>
      <w:r w:rsidR="005320A5" w:rsidRPr="00FE162C">
        <w:t xml:space="preserve"> job attributes</w:t>
      </w:r>
      <w:r w:rsidR="00951C34" w:rsidRPr="00FE162C">
        <w:t>.</w:t>
      </w:r>
    </w:p>
    <w:p w:rsidR="005320A5" w:rsidRPr="00FE162C" w:rsidRDefault="007629E6" w:rsidP="006B5D1B">
      <w:pPr>
        <w:pStyle w:val="Text"/>
      </w:pPr>
      <w:r>
        <w:t>E</w:t>
      </w:r>
      <w:r w:rsidR="005320A5" w:rsidRPr="00FE162C">
        <w:t xml:space="preserve">ach coefficient associated with </w:t>
      </w:r>
      <w:r>
        <w:t>a job characteristic</w:t>
      </w:r>
      <w:r w:rsidR="005320A5" w:rsidRPr="00FE162C">
        <w:t xml:space="preserve"> has a subscript </w:t>
      </w:r>
      <w:r w:rsidR="005320A5" w:rsidRPr="00FE162C">
        <w:rPr>
          <w:i/>
        </w:rPr>
        <w:t>i</w:t>
      </w:r>
      <w:r w:rsidR="005320A5" w:rsidRPr="00FE162C">
        <w:t>. As shown in the definition, these coefficient</w:t>
      </w:r>
      <w:r>
        <w:t>s now vary across individuals</w:t>
      </w:r>
      <w:r w:rsidR="00C53DC7">
        <w:t xml:space="preserve"> </w:t>
      </w:r>
      <w:r>
        <w:t>—</w:t>
      </w:r>
      <w:r w:rsidR="00C53DC7">
        <w:t xml:space="preserve"> </w:t>
      </w:r>
      <w:r w:rsidR="005320A5" w:rsidRPr="00FE162C">
        <w:t xml:space="preserve">they are in fact assumed to be distributed according to some distributional assumption imposed on </w:t>
      </w:r>
      <m:oMath>
        <m:sSub>
          <m:sSubPr>
            <m:ctrlPr>
              <w:rPr>
                <w:rFonts w:ascii="Cambria Math" w:hAnsi="Cambria Math"/>
                <w:i/>
              </w:rPr>
            </m:ctrlPr>
          </m:sSubPr>
          <m:e>
            <m:r>
              <w:rPr>
                <w:rFonts w:ascii="Cambria Math" w:hAnsi="Cambria Math"/>
              </w:rPr>
              <m:t>z</m:t>
            </m:r>
          </m:e>
          <m:sub>
            <m:r>
              <w:rPr>
                <w:rFonts w:ascii="Cambria Math" w:hAnsi="Cambria Math"/>
              </w:rPr>
              <m:t>kijs</m:t>
            </m:r>
          </m:sub>
        </m:sSub>
      </m:oMath>
      <w:r w:rsidR="005320A5" w:rsidRPr="00FE162C">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δ</m:t>
                </m:r>
              </m:e>
              <m:sub>
                <m:r>
                  <w:rPr>
                    <w:rFonts w:ascii="Cambria Math" w:hAnsi="Cambria Math"/>
                  </w:rPr>
                  <m:t>1</m:t>
                </m:r>
              </m:sub>
            </m:sSub>
          </m:e>
        </m:acc>
      </m:oMath>
      <w:r w:rsidR="005320A5" w:rsidRPr="00FE162C">
        <w:t xml:space="preserve"> is the estimated mean of this distribution, while </w:t>
      </w:r>
      <m:oMath>
        <m:sSub>
          <m:sSubPr>
            <m:ctrlPr>
              <w:rPr>
                <w:rFonts w:ascii="Cambria Math" w:hAnsi="Cambria Math"/>
                <w:i/>
              </w:rPr>
            </m:ctrlPr>
          </m:sSubPr>
          <m:e>
            <m:r>
              <w:rPr>
                <w:rFonts w:ascii="Cambria Math" w:hAnsi="Cambria Math"/>
              </w:rPr>
              <m:t>η</m:t>
            </m:r>
          </m:e>
          <m:sub>
            <m:r>
              <w:rPr>
                <w:rFonts w:ascii="Cambria Math" w:hAnsi="Cambria Math"/>
              </w:rPr>
              <m:t>k</m:t>
            </m:r>
          </m:sub>
        </m:sSub>
      </m:oMath>
      <w:r w:rsidR="005320A5" w:rsidRPr="00FE162C">
        <w:t xml:space="preserve"> is the estimated standard deviation. In our application, we assume that </w:t>
      </w:r>
      <m:oMath>
        <m:sSub>
          <m:sSubPr>
            <m:ctrlPr>
              <w:rPr>
                <w:rFonts w:ascii="Cambria Math" w:hAnsi="Cambria Math"/>
                <w:i/>
              </w:rPr>
            </m:ctrlPr>
          </m:sSubPr>
          <m:e>
            <m:r>
              <w:rPr>
                <w:rFonts w:ascii="Cambria Math" w:hAnsi="Cambria Math"/>
              </w:rPr>
              <m:t>z</m:t>
            </m:r>
          </m:e>
          <m:sub>
            <m:r>
              <w:rPr>
                <w:rFonts w:ascii="Cambria Math" w:hAnsi="Cambria Math"/>
              </w:rPr>
              <m:t>kijs</m:t>
            </m:r>
          </m:sub>
        </m:sSub>
        <m:r>
          <w:rPr>
            <w:rFonts w:ascii="Cambria Math" w:hAnsi="Cambria Math"/>
          </w:rPr>
          <m:t>~N</m:t>
        </m:r>
        <m:d>
          <m:dPr>
            <m:ctrlPr>
              <w:rPr>
                <w:rFonts w:ascii="Cambria Math" w:hAnsi="Cambria Math"/>
                <w:i/>
              </w:rPr>
            </m:ctrlPr>
          </m:dPr>
          <m:e>
            <m:r>
              <w:rPr>
                <w:rFonts w:ascii="Cambria Math" w:hAnsi="Cambria Math"/>
              </w:rPr>
              <m:t>0,1</m:t>
            </m:r>
          </m:e>
        </m:d>
      </m:oMath>
      <w:r w:rsidR="005320A5" w:rsidRPr="00FE162C">
        <w:t xml:space="preserve"> </w:t>
      </w:r>
      <w:r>
        <w:t xml:space="preserve">(standard normal distribution) </w:t>
      </w:r>
      <w:r w:rsidR="005320A5" w:rsidRPr="00FE162C">
        <w:t xml:space="preserve">with the exception of </w:t>
      </w:r>
      <m:oMath>
        <m:sSub>
          <m:sSubPr>
            <m:ctrlPr>
              <w:rPr>
                <w:rFonts w:ascii="Cambria Math" w:hAnsi="Cambria Math"/>
                <w:i/>
              </w:rPr>
            </m:ctrlPr>
          </m:sSubPr>
          <m:e>
            <m:r>
              <w:rPr>
                <w:rFonts w:ascii="Cambria Math" w:hAnsi="Cambria Math"/>
              </w:rPr>
              <m:t>δ</m:t>
            </m:r>
          </m:e>
          <m:sub>
            <m:r>
              <w:rPr>
                <w:rFonts w:ascii="Cambria Math" w:hAnsi="Cambria Math"/>
              </w:rPr>
              <m:t>1i</m:t>
            </m:r>
          </m:sub>
        </m:sSub>
      </m:oMath>
      <w:r w:rsidR="00C53DC7">
        <w:t xml:space="preserve">, </w:t>
      </w:r>
      <w:r w:rsidR="007A1312" w:rsidRPr="00FE162C">
        <w:t>which</w:t>
      </w:r>
      <w:r w:rsidR="005320A5" w:rsidRPr="00FE162C">
        <w:t xml:space="preserve"> is distributed according to the triangular distribution. The triangular distribution allows all values of </w:t>
      </w:r>
      <m:oMath>
        <m:sSub>
          <m:sSubPr>
            <m:ctrlPr>
              <w:rPr>
                <w:rFonts w:ascii="Cambria Math" w:hAnsi="Cambria Math"/>
                <w:i/>
              </w:rPr>
            </m:ctrlPr>
          </m:sSubPr>
          <m:e>
            <m:r>
              <w:rPr>
                <w:rFonts w:ascii="Cambria Math" w:hAnsi="Cambria Math"/>
              </w:rPr>
              <m:t>δ</m:t>
            </m:r>
          </m:e>
          <m:sub>
            <m:r>
              <w:rPr>
                <w:rFonts w:ascii="Cambria Math" w:hAnsi="Cambria Math"/>
              </w:rPr>
              <m:t>1i</m:t>
            </m:r>
          </m:sub>
        </m:sSub>
      </m:oMath>
      <w:r>
        <w:t xml:space="preserve"> to be constrained</w:t>
      </w:r>
      <w:r w:rsidR="005320A5" w:rsidRPr="00FE162C">
        <w:t xml:space="preserve"> to be positive, which is a reasonable assumption for this model</w:t>
      </w:r>
      <w:r w:rsidR="00C53DC7">
        <w:t>,</w:t>
      </w:r>
      <w:r w:rsidR="005320A5" w:rsidRPr="00FE162C">
        <w:t xml:space="preserve"> given that it would make little sense if </w:t>
      </w:r>
      <w:r w:rsidR="005320A5" w:rsidRPr="00FE162C">
        <w:lastRenderedPageBreak/>
        <w:t>increased wages decreased the utility from the alternative and</w:t>
      </w:r>
      <w:r w:rsidR="001327E3" w:rsidRPr="00FE162C">
        <w:t>,</w:t>
      </w:r>
      <w:r w:rsidR="005320A5" w:rsidRPr="00FE162C">
        <w:t xml:space="preserve"> hence</w:t>
      </w:r>
      <w:r w:rsidR="001327E3" w:rsidRPr="00FE162C">
        <w:t>,</w:t>
      </w:r>
      <w:r w:rsidR="00C53DC7">
        <w:t xml:space="preserve"> reduce</w:t>
      </w:r>
      <w:r w:rsidR="005320A5" w:rsidRPr="00FE162C">
        <w:t xml:space="preserve"> the likelihood of acce</w:t>
      </w:r>
      <w:r w:rsidR="007A1312" w:rsidRPr="00FE162C">
        <w:t>pting the</w:t>
      </w:r>
      <w:r w:rsidR="005320A5" w:rsidRPr="00FE162C">
        <w:t xml:space="preserve"> job offer.</w:t>
      </w:r>
    </w:p>
    <w:p w:rsidR="005320A5" w:rsidRPr="00FE162C" w:rsidRDefault="005320A5" w:rsidP="006B5D1B">
      <w:pPr>
        <w:pStyle w:val="Text"/>
      </w:pPr>
      <w:r w:rsidRPr="00FE162C">
        <w:t>Notice that if coefficients are not allowed to vary across individuals, then differences across individuals</w:t>
      </w:r>
      <w:r w:rsidR="001327E3" w:rsidRPr="00FE162C">
        <w:t>,</w:t>
      </w:r>
      <w:r w:rsidRPr="00FE162C">
        <w:t xml:space="preserve"> represented by the term </w:t>
      </w:r>
      <m:oMath>
        <m:sSub>
          <m:sSubPr>
            <m:ctrlPr>
              <w:rPr>
                <w:rFonts w:ascii="Cambria Math" w:hAnsi="Cambria Math"/>
                <w:i/>
              </w:rPr>
            </m:ctrlPr>
          </m:sSubPr>
          <m:e>
            <m:r>
              <w:rPr>
                <w:rFonts w:ascii="Cambria Math" w:hAnsi="Cambria Math"/>
              </w:rPr>
              <m:t>η</m:t>
            </m:r>
          </m:e>
          <m:sub>
            <m:r>
              <w:rPr>
                <w:rFonts w:ascii="Cambria Math" w:hAnsi="Cambria Math"/>
              </w:rPr>
              <m:t>k</m:t>
            </m:r>
          </m:sub>
        </m:sSub>
        <m:sSub>
          <m:sSubPr>
            <m:ctrlPr>
              <w:rPr>
                <w:rFonts w:ascii="Cambria Math" w:hAnsi="Cambria Math"/>
                <w:i/>
              </w:rPr>
            </m:ctrlPr>
          </m:sSubPr>
          <m:e>
            <m:r>
              <w:rPr>
                <w:rFonts w:ascii="Cambria Math" w:hAnsi="Cambria Math"/>
              </w:rPr>
              <m:t>z</m:t>
            </m:r>
          </m:e>
          <m:sub>
            <m:r>
              <w:rPr>
                <w:rFonts w:ascii="Cambria Math" w:hAnsi="Cambria Math"/>
              </w:rPr>
              <m:t>kijs</m:t>
            </m:r>
          </m:sub>
        </m:sSub>
      </m:oMath>
      <w:r w:rsidR="001327E3" w:rsidRPr="00FE162C">
        <w:t>,</w:t>
      </w:r>
      <w:r w:rsidRPr="00FE162C">
        <w:t xml:space="preserve"> may be forced into the error term, which may then increase</w:t>
      </w:r>
      <w:r w:rsidR="007629E6">
        <w:t xml:space="preserve"> the likelihood of correlation between the error term and the</w:t>
      </w:r>
      <w:r w:rsidRPr="00FE162C">
        <w:t xml:space="preserve"> exp</w:t>
      </w:r>
      <w:r w:rsidR="007629E6">
        <w:t>lanatory variables or correlation with each other</w:t>
      </w:r>
      <w:r w:rsidRPr="00FE162C">
        <w:t xml:space="preserve">. </w:t>
      </w:r>
      <w:r w:rsidR="007629E6">
        <w:t>Such correlation could result in bias in the</w:t>
      </w:r>
      <w:r w:rsidRPr="00FE162C">
        <w:t xml:space="preserve"> results.</w:t>
      </w:r>
    </w:p>
    <w:p w:rsidR="005320A5" w:rsidRPr="00FE162C" w:rsidRDefault="005320A5" w:rsidP="006B5D1B">
      <w:pPr>
        <w:pStyle w:val="Text"/>
      </w:pPr>
      <w:r w:rsidRPr="00FE162C">
        <w:t>From equation (1), marginal willingness to pay (MWTP) for a particular attribute</w:t>
      </w:r>
      <w:r w:rsidR="001327E3" w:rsidRPr="00FE162C">
        <w:t>,</w:t>
      </w:r>
      <w:r w:rsidRPr="00FE162C">
        <w:t xml:space="preserve"> or individual characteristic</w:t>
      </w:r>
      <w:r w:rsidR="001327E3" w:rsidRPr="00FE162C">
        <w:t>,</w:t>
      </w:r>
      <w:r w:rsidRPr="00FE162C">
        <w:t xml:space="preserve"> </w:t>
      </w:r>
      <m:oMath>
        <m:r>
          <w:rPr>
            <w:rFonts w:ascii="Cambria Math" w:hAnsi="Cambria Math"/>
          </w:rPr>
          <m:t>μ</m:t>
        </m:r>
      </m:oMath>
      <w:r w:rsidRPr="00FE162C">
        <w:t xml:space="preserve"> can be defined as:</w:t>
      </w:r>
    </w:p>
    <w:p w:rsidR="005320A5" w:rsidRPr="00FE162C" w:rsidRDefault="00D643A2" w:rsidP="006B5D1B">
      <w:pPr>
        <w:pStyle w:val="Text"/>
      </w:pPr>
      <m:oMathPara>
        <m:oMathParaPr>
          <m:jc m:val="center"/>
        </m:oMathParaPr>
        <m:oMath>
          <m:sSub>
            <m:sSubPr>
              <m:ctrlPr>
                <w:rPr>
                  <w:rFonts w:ascii="Cambria Math" w:hAnsi="Cambria Math"/>
                  <w:i/>
                  <w:sz w:val="28"/>
                  <w:szCs w:val="28"/>
                </w:rPr>
              </m:ctrlPr>
            </m:sSubPr>
            <m:e>
              <m:r>
                <w:rPr>
                  <w:rFonts w:ascii="Cambria Math" w:hAnsi="Cambria Math"/>
                  <w:sz w:val="28"/>
                  <w:szCs w:val="28"/>
                </w:rPr>
                <m:t>MWTP</m:t>
              </m:r>
            </m:e>
            <m:sub>
              <m:r>
                <w:rPr>
                  <w:rFonts w:ascii="Cambria Math" w:hAnsi="Cambria Math"/>
                </w:rPr>
                <m:t>μ</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rPr>
                  </m:ctrlPr>
                </m:sSubPr>
                <m:e>
                  <m:r>
                    <w:rPr>
                      <w:rFonts w:ascii="Cambria Math" w:hAnsi="Cambria Math"/>
                    </w:rPr>
                    <m:t>C</m:t>
                  </m:r>
                </m:e>
                <m:sub>
                  <m:r>
                    <w:rPr>
                      <w:rFonts w:ascii="Cambria Math" w:hAnsi="Cambria Math"/>
                    </w:rPr>
                    <m:t>μ</m:t>
                  </m:r>
                </m:sub>
              </m:sSub>
            </m:num>
            <m:den>
              <m:sSub>
                <m:sSubPr>
                  <m:ctrlPr>
                    <w:rPr>
                      <w:rFonts w:ascii="Cambria Math" w:hAnsi="Cambria Math"/>
                      <w:i/>
                    </w:rPr>
                  </m:ctrlPr>
                </m:sSubPr>
                <m:e>
                  <m:r>
                    <w:rPr>
                      <w:rFonts w:ascii="Cambria Math" w:hAnsi="Cambria Math"/>
                    </w:rPr>
                    <m:t>β</m:t>
                  </m:r>
                </m:e>
                <m:sub>
                  <m:r>
                    <w:rPr>
                      <w:rFonts w:ascii="Cambria Math" w:hAnsi="Cambria Math"/>
                    </w:rPr>
                    <m:t>1</m:t>
                  </m:r>
                </m:sub>
              </m:sSub>
            </m:den>
          </m:f>
        </m:oMath>
      </m:oMathPara>
    </w:p>
    <w:p w:rsidR="005320A5" w:rsidRPr="00FE162C" w:rsidRDefault="005320A5" w:rsidP="006B5D1B">
      <w:pPr>
        <w:pStyle w:val="Text"/>
      </w:pPr>
      <w:r w:rsidRPr="00FE162C">
        <w:t xml:space="preserve">where </w:t>
      </w:r>
      <m:oMath>
        <m:sSub>
          <m:sSubPr>
            <m:ctrlPr>
              <w:rPr>
                <w:rFonts w:ascii="Cambria Math" w:hAnsi="Cambria Math"/>
                <w:i/>
              </w:rPr>
            </m:ctrlPr>
          </m:sSubPr>
          <m:e>
            <m:r>
              <w:rPr>
                <w:rFonts w:ascii="Cambria Math" w:hAnsi="Cambria Math"/>
              </w:rPr>
              <m:t>C</m:t>
            </m:r>
          </m:e>
          <m:sub>
            <m:r>
              <w:rPr>
                <w:rFonts w:ascii="Cambria Math" w:hAnsi="Cambria Math"/>
              </w:rPr>
              <m:t>μ</m:t>
            </m:r>
          </m:sub>
        </m:sSub>
      </m:oMath>
      <w:r w:rsidRPr="00FE162C">
        <w:t xml:space="preserve"> is any coefficient in the model that is not </w:t>
      </w:r>
      <m:oMath>
        <m:sSub>
          <m:sSubPr>
            <m:ctrlPr>
              <w:rPr>
                <w:rFonts w:ascii="Cambria Math" w:hAnsi="Cambria Math"/>
                <w:i/>
              </w:rPr>
            </m:ctrlPr>
          </m:sSubPr>
          <m:e>
            <m:r>
              <w:rPr>
                <w:rFonts w:ascii="Cambria Math" w:hAnsi="Cambria Math"/>
              </w:rPr>
              <m:t>β</m:t>
            </m:r>
          </m:e>
          <m:sub>
            <m:r>
              <w:rPr>
                <w:rFonts w:ascii="Cambria Math" w:hAnsi="Cambria Math"/>
              </w:rPr>
              <m:t>1</m:t>
            </m:r>
          </m:sub>
        </m:sSub>
      </m:oMath>
      <w:r w:rsidRPr="00FE162C">
        <w:t>.</w:t>
      </w:r>
    </w:p>
    <w:p w:rsidR="005320A5" w:rsidRPr="00FE162C" w:rsidRDefault="005320A5" w:rsidP="006B5D1B">
      <w:pPr>
        <w:pStyle w:val="Text"/>
      </w:pPr>
      <w:r w:rsidRPr="00FE162C">
        <w:t>In equation (2) the expression is more complicated</w:t>
      </w:r>
      <w:r w:rsidR="00C53DC7">
        <w:t>,</w:t>
      </w:r>
      <w:r w:rsidRPr="00FE162C">
        <w:t xml:space="preserve"> since the coefficients vary across individuals. For the purpose of making simple inferences, we ask only what the average MWTP would look like across individuals; that is, we restrict ourselves to using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δ</m:t>
                </m:r>
              </m:e>
              <m:sub>
                <m:r>
                  <w:rPr>
                    <w:rFonts w:ascii="Cambria Math" w:hAnsi="Cambria Math"/>
                  </w:rPr>
                  <m:t>k</m:t>
                </m:r>
              </m:sub>
            </m:sSub>
          </m:e>
        </m:acc>
      </m:oMath>
      <w:r w:rsidRPr="00FE162C">
        <w:t>, which gives us:</w:t>
      </w:r>
    </w:p>
    <w:p w:rsidR="005320A5" w:rsidRPr="00FE162C" w:rsidRDefault="00D643A2" w:rsidP="006B5D1B">
      <w:pPr>
        <w:pStyle w:val="Text"/>
      </w:pPr>
      <m:oMathPara>
        <m:oMathParaPr>
          <m:jc m:val="center"/>
        </m:oMathParaPr>
        <m:oMath>
          <m:sSub>
            <m:sSubPr>
              <m:ctrlPr>
                <w:rPr>
                  <w:rFonts w:ascii="Cambria Math" w:hAnsi="Cambria Math"/>
                  <w:i/>
                  <w:sz w:val="28"/>
                  <w:szCs w:val="28"/>
                </w:rPr>
              </m:ctrlPr>
            </m:sSubPr>
            <m:e>
              <m:r>
                <w:rPr>
                  <w:rFonts w:ascii="Cambria Math" w:hAnsi="Cambria Math"/>
                  <w:sz w:val="28"/>
                  <w:szCs w:val="28"/>
                </w:rPr>
                <m:t>MWTP</m:t>
              </m:r>
            </m:e>
            <m:sub>
              <m:r>
                <w:rPr>
                  <w:rFonts w:ascii="Cambria Math" w:hAnsi="Cambria Math"/>
                </w:rPr>
                <m:t>μ</m:t>
              </m:r>
            </m:sub>
          </m:sSub>
          <m:r>
            <w:rPr>
              <w:rFonts w:ascii="Cambria Math" w:hAnsi="Cambria Math"/>
              <w:sz w:val="28"/>
              <w:szCs w:val="28"/>
            </w:rPr>
            <m:t>=</m:t>
          </m:r>
          <m:f>
            <m:fPr>
              <m:ctrlPr>
                <w:rPr>
                  <w:rFonts w:ascii="Cambria Math" w:hAnsi="Cambria Math"/>
                  <w:i/>
                  <w:sz w:val="28"/>
                  <w:szCs w:val="28"/>
                </w:rPr>
              </m:ctrlPr>
            </m:fPr>
            <m:num>
              <m:acc>
                <m:accPr>
                  <m:chr m:val="̅"/>
                  <m:ctrlPr>
                    <w:rPr>
                      <w:rFonts w:ascii="Cambria Math" w:hAnsi="Cambria Math"/>
                      <w:i/>
                    </w:rPr>
                  </m:ctrlPr>
                </m:accPr>
                <m:e>
                  <m:sSub>
                    <m:sSubPr>
                      <m:ctrlPr>
                        <w:rPr>
                          <w:rFonts w:ascii="Cambria Math" w:hAnsi="Cambria Math"/>
                          <w:i/>
                        </w:rPr>
                      </m:ctrlPr>
                    </m:sSubPr>
                    <m:e>
                      <m:r>
                        <w:rPr>
                          <w:rFonts w:ascii="Cambria Math" w:hAnsi="Cambria Math"/>
                        </w:rPr>
                        <m:t>C</m:t>
                      </m:r>
                    </m:e>
                    <m:sub>
                      <m:r>
                        <w:rPr>
                          <w:rFonts w:ascii="Cambria Math" w:hAnsi="Cambria Math"/>
                        </w:rPr>
                        <m:t>μ</m:t>
                      </m:r>
                    </m:sub>
                  </m:sSub>
                </m:e>
              </m:acc>
              <m:r>
                <m:rPr>
                  <m:sty m:val="p"/>
                </m:rPr>
                <w:rPr>
                  <w:rFonts w:ascii="Cambria Math" w:hAnsi="Cambria Math"/>
                </w:rPr>
                <m:t xml:space="preserve"> </m:t>
              </m:r>
            </m:num>
            <m:den>
              <m:acc>
                <m:accPr>
                  <m:chr m:val="̅"/>
                  <m:ctrlPr>
                    <w:rPr>
                      <w:rFonts w:ascii="Cambria Math" w:hAnsi="Cambria Math"/>
                      <w:i/>
                    </w:rPr>
                  </m:ctrlPr>
                </m:accPr>
                <m:e>
                  <m:sSub>
                    <m:sSubPr>
                      <m:ctrlPr>
                        <w:rPr>
                          <w:rFonts w:ascii="Cambria Math" w:hAnsi="Cambria Math"/>
                          <w:i/>
                        </w:rPr>
                      </m:ctrlPr>
                    </m:sSubPr>
                    <m:e>
                      <m:r>
                        <w:rPr>
                          <w:rFonts w:ascii="Cambria Math" w:hAnsi="Cambria Math"/>
                        </w:rPr>
                        <m:t>δ</m:t>
                      </m:r>
                    </m:e>
                    <m:sub>
                      <m:r>
                        <w:rPr>
                          <w:rFonts w:ascii="Cambria Math" w:hAnsi="Cambria Math"/>
                        </w:rPr>
                        <m:t>1</m:t>
                      </m:r>
                    </m:sub>
                  </m:sSub>
                </m:e>
              </m:acc>
              <m:r>
                <m:rPr>
                  <m:sty m:val="p"/>
                </m:rPr>
                <w:rPr>
                  <w:rFonts w:ascii="Cambria Math" w:hAnsi="Cambria Math"/>
                </w:rPr>
                <m:t xml:space="preserve"> </m:t>
              </m:r>
            </m:den>
          </m:f>
        </m:oMath>
      </m:oMathPara>
    </w:p>
    <w:p w:rsidR="005320A5" w:rsidRPr="00FE162C" w:rsidRDefault="005320A5" w:rsidP="006B5D1B">
      <w:pPr>
        <w:pStyle w:val="Text"/>
      </w:pPr>
      <w:r w:rsidRPr="00FE162C">
        <w:t xml:space="preserve">where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C</m:t>
                </m:r>
              </m:e>
              <m:sub>
                <m:r>
                  <w:rPr>
                    <w:rFonts w:ascii="Cambria Math" w:hAnsi="Cambria Math"/>
                  </w:rPr>
                  <m:t>μ</m:t>
                </m:r>
              </m:sub>
            </m:sSub>
          </m:e>
        </m:acc>
      </m:oMath>
      <w:r w:rsidRPr="00FE162C">
        <w:t xml:space="preserve"> is the mean of any coefficient in the model that is not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δ</m:t>
                </m:r>
              </m:e>
              <m:sub>
                <m:r>
                  <w:rPr>
                    <w:rFonts w:ascii="Cambria Math" w:hAnsi="Cambria Math"/>
                  </w:rPr>
                  <m:t>1</m:t>
                </m:r>
              </m:sub>
            </m:sSub>
          </m:e>
        </m:acc>
      </m:oMath>
      <w:r w:rsidRPr="00FE162C">
        <w:t>.</w:t>
      </w:r>
    </w:p>
    <w:p w:rsidR="005320A5" w:rsidRPr="00FE162C" w:rsidRDefault="005320A5" w:rsidP="006B5D1B">
      <w:pPr>
        <w:pStyle w:val="Text"/>
      </w:pPr>
      <w:r w:rsidRPr="00FE162C">
        <w:t>Similarly from equation (2), to</w:t>
      </w:r>
      <w:r w:rsidR="004328F1">
        <w:t>tal willingness to pay (TWTP) for</w:t>
      </w:r>
      <w:r w:rsidRPr="00FE162C">
        <w:t xml:space="preserve"> individual </w:t>
      </w:r>
      <w:r w:rsidRPr="00FE162C">
        <w:rPr>
          <w:i/>
        </w:rPr>
        <w:t>i</w:t>
      </w:r>
      <w:r w:rsidRPr="00FE162C">
        <w:t xml:space="preserve"> can be defined</w:t>
      </w:r>
      <w:r w:rsidR="004328F1">
        <w:t xml:space="preserve"> as</w:t>
      </w:r>
      <w:r w:rsidRPr="00FE162C">
        <w:t>:</w:t>
      </w:r>
    </w:p>
    <w:p w:rsidR="005320A5" w:rsidRPr="00FE162C" w:rsidRDefault="00D643A2" w:rsidP="006B5D1B">
      <w:pPr>
        <w:pStyle w:val="Text"/>
      </w:pPr>
      <m:oMath>
        <m:sSub>
          <m:sSubPr>
            <m:ctrlPr>
              <w:rPr>
                <w:rFonts w:ascii="Cambria Math" w:hAnsi="Cambria Math"/>
                <w:i/>
              </w:rPr>
            </m:ctrlPr>
          </m:sSubPr>
          <m:e>
            <m:r>
              <w:rPr>
                <w:rFonts w:ascii="Cambria Math" w:hAnsi="Cambria Math"/>
              </w:rPr>
              <m:t>TWTP</m:t>
            </m:r>
          </m:e>
          <m:sub>
            <m:r>
              <w:rPr>
                <w:rFonts w:ascii="Cambria Math" w:hAnsi="Cambria Math"/>
              </w:rPr>
              <m:t>i</m:t>
            </m:r>
          </m:sub>
        </m:sSub>
        <m:r>
          <w:rPr>
            <w:rFonts w:ascii="Cambria Math" w:hAnsi="Cambria Math"/>
          </w:rPr>
          <m:t xml:space="preserve">= </m:t>
        </m:r>
        <m:f>
          <m:fPr>
            <m:ctrlPr>
              <w:rPr>
                <w:rFonts w:ascii="Cambria Math" w:hAnsi="Cambria Math"/>
                <w:i/>
              </w:rPr>
            </m:ctrlPr>
          </m:fPr>
          <m:num>
            <m:acc>
              <m:accPr>
                <m:chr m:val="̅"/>
                <m:ctrlPr>
                  <w:rPr>
                    <w:rFonts w:ascii="Cambria Math" w:hAnsi="Cambria Math"/>
                    <w:i/>
                  </w:rPr>
                </m:ctrlPr>
              </m:accPr>
              <m:e>
                <m:sSub>
                  <m:sSubPr>
                    <m:ctrlPr>
                      <w:rPr>
                        <w:rFonts w:ascii="Cambria Math" w:hAnsi="Cambria Math"/>
                        <w:i/>
                      </w:rPr>
                    </m:ctrlPr>
                  </m:sSubPr>
                  <m:e>
                    <m:r>
                      <w:rPr>
                        <w:rFonts w:ascii="Cambria Math" w:hAnsi="Cambria Math"/>
                      </w:rPr>
                      <m:t>δ</m:t>
                    </m:r>
                  </m:e>
                  <m:sub>
                    <m:r>
                      <w:rPr>
                        <w:rFonts w:ascii="Cambria Math" w:hAnsi="Cambria Math"/>
                      </w:rPr>
                      <m:t>2</m:t>
                    </m:r>
                  </m:sub>
                </m:sSub>
              </m:e>
            </m:acc>
          </m:num>
          <m:den>
            <m:acc>
              <m:accPr>
                <m:chr m:val="̅"/>
                <m:ctrlPr>
                  <w:rPr>
                    <w:rFonts w:ascii="Cambria Math" w:hAnsi="Cambria Math"/>
                    <w:i/>
                  </w:rPr>
                </m:ctrlPr>
              </m:accPr>
              <m:e>
                <m:sSub>
                  <m:sSubPr>
                    <m:ctrlPr>
                      <w:rPr>
                        <w:rFonts w:ascii="Cambria Math" w:hAnsi="Cambria Math"/>
                        <w:i/>
                      </w:rPr>
                    </m:ctrlPr>
                  </m:sSubPr>
                  <m:e>
                    <m:r>
                      <w:rPr>
                        <w:rFonts w:ascii="Cambria Math" w:hAnsi="Cambria Math"/>
                      </w:rPr>
                      <m:t>δ</m:t>
                    </m:r>
                  </m:e>
                  <m:sub>
                    <m:r>
                      <w:rPr>
                        <w:rFonts w:ascii="Cambria Math" w:hAnsi="Cambria Math"/>
                      </w:rPr>
                      <m:t>1</m:t>
                    </m:r>
                  </m:sub>
                </m:sSub>
              </m:e>
            </m:acc>
          </m:den>
        </m:f>
        <m:d>
          <m:dPr>
            <m:ctrlPr>
              <w:rPr>
                <w:rFonts w:ascii="Cambria Math" w:hAnsi="Cambria Math"/>
                <w:i/>
              </w:rPr>
            </m:ctrlPr>
          </m:dPr>
          <m:e>
            <m:sSub>
              <m:sSubPr>
                <m:ctrlPr>
                  <w:rPr>
                    <w:rFonts w:ascii="Cambria Math" w:hAnsi="Cambria Math"/>
                    <w:i/>
                  </w:rPr>
                </m:ctrlPr>
              </m:sSubPr>
              <m:e>
                <m:r>
                  <w:rPr>
                    <w:rFonts w:ascii="Cambria Math" w:hAnsi="Cambria Math"/>
                  </w:rPr>
                  <m:t>FIFO</m:t>
                </m:r>
              </m:e>
              <m:sub>
                <m:r>
                  <w:rPr>
                    <w:rFonts w:ascii="Cambria Math" w:hAnsi="Cambria Math"/>
                  </w:rPr>
                  <m:t>ijs</m:t>
                </m:r>
              </m:sub>
            </m:sSub>
          </m:e>
        </m:d>
        <m:r>
          <w:rPr>
            <w:rFonts w:ascii="Cambria Math" w:hAnsi="Cambria Math"/>
          </w:rPr>
          <m:t>+</m:t>
        </m:r>
        <m:f>
          <m:fPr>
            <m:ctrlPr>
              <w:rPr>
                <w:rFonts w:ascii="Cambria Math" w:hAnsi="Cambria Math"/>
                <w:i/>
              </w:rPr>
            </m:ctrlPr>
          </m:fPr>
          <m:num>
            <m:acc>
              <m:accPr>
                <m:chr m:val="̅"/>
                <m:ctrlPr>
                  <w:rPr>
                    <w:rFonts w:ascii="Cambria Math" w:hAnsi="Cambria Math"/>
                    <w:i/>
                  </w:rPr>
                </m:ctrlPr>
              </m:accPr>
              <m:e>
                <m:sSub>
                  <m:sSubPr>
                    <m:ctrlPr>
                      <w:rPr>
                        <w:rFonts w:ascii="Cambria Math" w:hAnsi="Cambria Math"/>
                        <w:i/>
                      </w:rPr>
                    </m:ctrlPr>
                  </m:sSubPr>
                  <m:e>
                    <m:r>
                      <w:rPr>
                        <w:rFonts w:ascii="Cambria Math" w:hAnsi="Cambria Math"/>
                      </w:rPr>
                      <m:t>δ</m:t>
                    </m:r>
                  </m:e>
                  <m:sub>
                    <m:r>
                      <w:rPr>
                        <w:rFonts w:ascii="Cambria Math" w:hAnsi="Cambria Math"/>
                      </w:rPr>
                      <m:t>3</m:t>
                    </m:r>
                  </m:sub>
                </m:sSub>
              </m:e>
            </m:acc>
          </m:num>
          <m:den>
            <m:acc>
              <m:accPr>
                <m:chr m:val="̅"/>
                <m:ctrlPr>
                  <w:rPr>
                    <w:rFonts w:ascii="Cambria Math" w:hAnsi="Cambria Math"/>
                    <w:i/>
                  </w:rPr>
                </m:ctrlPr>
              </m:accPr>
              <m:e>
                <m:sSub>
                  <m:sSubPr>
                    <m:ctrlPr>
                      <w:rPr>
                        <w:rFonts w:ascii="Cambria Math" w:hAnsi="Cambria Math"/>
                        <w:i/>
                      </w:rPr>
                    </m:ctrlPr>
                  </m:sSubPr>
                  <m:e>
                    <m:r>
                      <w:rPr>
                        <w:rFonts w:ascii="Cambria Math" w:hAnsi="Cambria Math"/>
                      </w:rPr>
                      <m:t>δ</m:t>
                    </m:r>
                  </m:e>
                  <m:sub>
                    <m:r>
                      <w:rPr>
                        <w:rFonts w:ascii="Cambria Math" w:hAnsi="Cambria Math"/>
                      </w:rPr>
                      <m:t>1</m:t>
                    </m:r>
                  </m:sub>
                </m:sSub>
              </m:e>
            </m:acc>
          </m:den>
        </m:f>
        <m:d>
          <m:dPr>
            <m:ctrlPr>
              <w:rPr>
                <w:rFonts w:ascii="Cambria Math" w:hAnsi="Cambria Math"/>
                <w:i/>
              </w:rPr>
            </m:ctrlPr>
          </m:dPr>
          <m:e>
            <m:sSub>
              <m:sSubPr>
                <m:ctrlPr>
                  <w:rPr>
                    <w:rFonts w:ascii="Cambria Math" w:hAnsi="Cambria Math"/>
                    <w:i/>
                  </w:rPr>
                </m:ctrlPr>
              </m:sSubPr>
              <m:e>
                <m:r>
                  <w:rPr>
                    <w:rFonts w:ascii="Cambria Math" w:hAnsi="Cambria Math"/>
                  </w:rPr>
                  <m:t>Training</m:t>
                </m:r>
              </m:e>
              <m:sub>
                <m:r>
                  <w:rPr>
                    <w:rFonts w:ascii="Cambria Math" w:hAnsi="Cambria Math"/>
                  </w:rPr>
                  <m:t>ijs</m:t>
                </m:r>
              </m:sub>
            </m:sSub>
          </m:e>
        </m:d>
        <m:r>
          <w:rPr>
            <w:rFonts w:ascii="Cambria Math" w:hAnsi="Cambria Math"/>
          </w:rPr>
          <m:t>+</m:t>
        </m:r>
        <m:f>
          <m:fPr>
            <m:ctrlPr>
              <w:rPr>
                <w:rFonts w:ascii="Cambria Math" w:hAnsi="Cambria Math"/>
                <w:i/>
              </w:rPr>
            </m:ctrlPr>
          </m:fPr>
          <m:num>
            <m:acc>
              <m:accPr>
                <m:chr m:val="̅"/>
                <m:ctrlPr>
                  <w:rPr>
                    <w:rFonts w:ascii="Cambria Math" w:hAnsi="Cambria Math"/>
                    <w:i/>
                  </w:rPr>
                </m:ctrlPr>
              </m:accPr>
              <m:e>
                <m:sSub>
                  <m:sSubPr>
                    <m:ctrlPr>
                      <w:rPr>
                        <w:rFonts w:ascii="Cambria Math" w:hAnsi="Cambria Math"/>
                        <w:i/>
                      </w:rPr>
                    </m:ctrlPr>
                  </m:sSubPr>
                  <m:e>
                    <m:r>
                      <w:rPr>
                        <w:rFonts w:ascii="Cambria Math" w:hAnsi="Cambria Math"/>
                      </w:rPr>
                      <m:t>δ</m:t>
                    </m:r>
                  </m:e>
                  <m:sub>
                    <m:r>
                      <w:rPr>
                        <w:rFonts w:ascii="Cambria Math" w:hAnsi="Cambria Math"/>
                      </w:rPr>
                      <m:t>4</m:t>
                    </m:r>
                  </m:sub>
                </m:sSub>
              </m:e>
            </m:acc>
          </m:num>
          <m:den>
            <m:acc>
              <m:accPr>
                <m:chr m:val="̅"/>
                <m:ctrlPr>
                  <w:rPr>
                    <w:rFonts w:ascii="Cambria Math" w:hAnsi="Cambria Math"/>
                    <w:i/>
                  </w:rPr>
                </m:ctrlPr>
              </m:accPr>
              <m:e>
                <m:sSub>
                  <m:sSubPr>
                    <m:ctrlPr>
                      <w:rPr>
                        <w:rFonts w:ascii="Cambria Math" w:hAnsi="Cambria Math"/>
                        <w:i/>
                      </w:rPr>
                    </m:ctrlPr>
                  </m:sSubPr>
                  <m:e>
                    <m:r>
                      <w:rPr>
                        <w:rFonts w:ascii="Cambria Math" w:hAnsi="Cambria Math"/>
                      </w:rPr>
                      <m:t>δ</m:t>
                    </m:r>
                  </m:e>
                  <m:sub>
                    <m:r>
                      <w:rPr>
                        <w:rFonts w:ascii="Cambria Math" w:hAnsi="Cambria Math"/>
                      </w:rPr>
                      <m:t>1</m:t>
                    </m:r>
                  </m:sub>
                </m:sSub>
              </m:e>
            </m:acc>
          </m:den>
        </m:f>
        <m:d>
          <m:dPr>
            <m:ctrlPr>
              <w:rPr>
                <w:rFonts w:ascii="Cambria Math" w:hAnsi="Cambria Math"/>
                <w:i/>
              </w:rPr>
            </m:ctrlPr>
          </m:dPr>
          <m:e>
            <m:sSub>
              <m:sSubPr>
                <m:ctrlPr>
                  <w:rPr>
                    <w:rFonts w:ascii="Cambria Math" w:hAnsi="Cambria Math"/>
                    <w:i/>
                  </w:rPr>
                </m:ctrlPr>
              </m:sSubPr>
              <m:e>
                <m:r>
                  <w:rPr>
                    <w:rFonts w:ascii="Cambria Math" w:hAnsi="Cambria Math"/>
                  </w:rPr>
                  <m:t>Temporary</m:t>
                </m:r>
              </m:e>
              <m:sub>
                <m:r>
                  <w:rPr>
                    <w:rFonts w:ascii="Cambria Math" w:hAnsi="Cambria Math"/>
                  </w:rPr>
                  <m:t>ijs</m:t>
                </m:r>
              </m:sub>
            </m:sSub>
          </m:e>
        </m:d>
        <m:r>
          <w:rPr>
            <w:rFonts w:ascii="Cambria Math" w:hAnsi="Cambria Math"/>
          </w:rPr>
          <m:t>+</m:t>
        </m:r>
        <m:sSub>
          <m:sSubPr>
            <m:ctrlPr>
              <w:rPr>
                <w:rFonts w:ascii="Cambria Math" w:hAnsi="Cambria Math"/>
                <w:i/>
              </w:rPr>
            </m:ctrlPr>
          </m:sSubPr>
          <m:e>
            <m:f>
              <m:fPr>
                <m:ctrlPr>
                  <w:rPr>
                    <w:rFonts w:ascii="Cambria Math" w:hAnsi="Cambria Math"/>
                    <w:i/>
                  </w:rPr>
                </m:ctrlPr>
              </m:fPr>
              <m:num>
                <m:r>
                  <m:rPr>
                    <m:sty m:val="bi"/>
                  </m:rPr>
                  <w:rPr>
                    <w:rFonts w:ascii="Cambria Math" w:hAnsi="Cambria Math"/>
                  </w:rPr>
                  <m:t>γ</m:t>
                </m:r>
              </m:num>
              <m:den>
                <m:acc>
                  <m:accPr>
                    <m:chr m:val="̅"/>
                    <m:ctrlPr>
                      <w:rPr>
                        <w:rFonts w:ascii="Cambria Math" w:hAnsi="Cambria Math"/>
                        <w:i/>
                      </w:rPr>
                    </m:ctrlPr>
                  </m:accPr>
                  <m:e>
                    <m:sSub>
                      <m:sSubPr>
                        <m:ctrlPr>
                          <w:rPr>
                            <w:rFonts w:ascii="Cambria Math" w:hAnsi="Cambria Math"/>
                            <w:i/>
                          </w:rPr>
                        </m:ctrlPr>
                      </m:sSubPr>
                      <m:e>
                        <m:r>
                          <w:rPr>
                            <w:rFonts w:ascii="Cambria Math" w:hAnsi="Cambria Math"/>
                          </w:rPr>
                          <m:t>δ</m:t>
                        </m:r>
                      </m:e>
                      <m:sub>
                        <m:r>
                          <w:rPr>
                            <w:rFonts w:ascii="Cambria Math" w:hAnsi="Cambria Math"/>
                          </w:rPr>
                          <m:t>1</m:t>
                        </m:r>
                      </m:sub>
                    </m:sSub>
                  </m:e>
                </m:acc>
              </m:den>
            </m:f>
            <m:r>
              <m:rPr>
                <m:sty m:val="bi"/>
              </m:rPr>
              <w:rPr>
                <w:rFonts w:ascii="Cambria Math" w:hAnsi="Cambria Math"/>
              </w:rPr>
              <m:t>X</m:t>
            </m:r>
          </m:e>
          <m:sub>
            <m:r>
              <w:rPr>
                <w:rFonts w:ascii="Cambria Math" w:hAnsi="Cambria Math"/>
              </w:rPr>
              <m:t>i</m:t>
            </m:r>
          </m:sub>
        </m:sSub>
      </m:oMath>
      <w:r w:rsidR="007A1312" w:rsidRPr="00FE162C">
        <w:tab/>
      </w:r>
      <w:r w:rsidR="007A1312" w:rsidRPr="00FE162C">
        <w:tab/>
      </w:r>
      <w:r w:rsidR="007A1312" w:rsidRPr="00FE162C">
        <w:tab/>
      </w:r>
      <w:r w:rsidR="00951C34" w:rsidRPr="00FE162C">
        <w:tab/>
      </w:r>
      <w:r w:rsidR="007A1312" w:rsidRPr="00FE162C">
        <w:t>(3)</w:t>
      </w:r>
    </w:p>
    <w:p w:rsidR="00BE5A5C" w:rsidRPr="00FE162C" w:rsidRDefault="00BE5A5C">
      <w:pPr>
        <w:spacing w:before="0" w:line="240" w:lineRule="auto"/>
        <w:rPr>
          <w:rFonts w:ascii="Tahoma" w:hAnsi="Tahoma" w:cs="Tahoma"/>
          <w:color w:val="000000" w:themeColor="text1"/>
          <w:kern w:val="28"/>
          <w:sz w:val="56"/>
          <w:szCs w:val="56"/>
        </w:rPr>
      </w:pPr>
      <w:r w:rsidRPr="00FE162C">
        <w:rPr>
          <w:color w:val="000000" w:themeColor="text1"/>
        </w:rPr>
        <w:br w:type="page"/>
      </w:r>
    </w:p>
    <w:p w:rsidR="00EC3B91" w:rsidRPr="00FE162C" w:rsidRDefault="00FF246B" w:rsidP="00EC3B91">
      <w:pPr>
        <w:pStyle w:val="Heading1"/>
        <w:rPr>
          <w:color w:val="000000" w:themeColor="text1"/>
        </w:rPr>
      </w:pPr>
      <w:bookmarkStart w:id="73" w:name="_Toc369184117"/>
      <w:bookmarkStart w:id="74" w:name="_Toc386530502"/>
      <w:r w:rsidRPr="00FE162C">
        <w:rPr>
          <w:color w:val="000000" w:themeColor="text1"/>
        </w:rPr>
        <w:lastRenderedPageBreak/>
        <w:t>NVETR</w:t>
      </w:r>
      <w:r w:rsidR="00EC3B91" w:rsidRPr="00FE162C">
        <w:rPr>
          <w:color w:val="000000" w:themeColor="text1"/>
        </w:rPr>
        <w:t xml:space="preserve"> </w:t>
      </w:r>
      <w:r w:rsidRPr="00FE162C">
        <w:rPr>
          <w:color w:val="000000" w:themeColor="text1"/>
        </w:rPr>
        <w:t>P</w:t>
      </w:r>
      <w:r w:rsidR="00EC3B91" w:rsidRPr="00FE162C">
        <w:rPr>
          <w:color w:val="000000" w:themeColor="text1"/>
        </w:rPr>
        <w:t>rogram funding</w:t>
      </w:r>
      <w:bookmarkEnd w:id="73"/>
      <w:bookmarkEnd w:id="74"/>
      <w:r w:rsidR="00FF41C9" w:rsidRPr="00FE162C">
        <w:rPr>
          <w:color w:val="000000" w:themeColor="text1"/>
        </w:rPr>
        <w:t xml:space="preserve"> </w:t>
      </w:r>
    </w:p>
    <w:p w:rsidR="00157690" w:rsidRPr="006425DA" w:rsidRDefault="00157690" w:rsidP="00FB54B1">
      <w:pPr>
        <w:pStyle w:val="Text"/>
        <w:ind w:right="283"/>
      </w:pPr>
      <w:r w:rsidRPr="00FE162C">
        <w:t>This work has been produced by NCVER under the National Vocational Education and Training Research (NVETR) Program, which is coordinated and managed by NCVER on behalf of the Australian Government and state and territory governments. Funding is provided through the Department of Industry</w:t>
      </w:r>
      <w:r w:rsidRPr="006425DA">
        <w:t xml:space="preserve">. </w:t>
      </w:r>
    </w:p>
    <w:p w:rsidR="00157690" w:rsidRPr="006425DA" w:rsidRDefault="00157690" w:rsidP="00FB54B1">
      <w:pPr>
        <w:pStyle w:val="Text"/>
        <w:ind w:right="283"/>
      </w:pPr>
      <w:r w:rsidRPr="006425DA">
        <w:t xml:space="preserve">The NVETR Program is based on national research priorities approved by ministers with responsibility for vocational education and training. </w:t>
      </w:r>
    </w:p>
    <w:p w:rsidR="00157690" w:rsidRPr="006425DA" w:rsidRDefault="00157690" w:rsidP="00FB54B1">
      <w:pPr>
        <w:pStyle w:val="Text"/>
        <w:ind w:right="283"/>
      </w:pPr>
      <w:r w:rsidRPr="006425DA">
        <w:t>The author/project team was funded to undertake this research via a grant under the NVETR Program. The research grants are awarded to organisations through a competitive process, in which NCVER does not participate. To ensure the quality and relevance of the research, projects are selected using an independent and transparent process and research reports are double</w:t>
      </w:r>
      <w:r w:rsidR="00A16916">
        <w:t>-</w:t>
      </w:r>
      <w:r w:rsidRPr="006425DA">
        <w:t>blind peer</w:t>
      </w:r>
      <w:r w:rsidR="00A16916">
        <w:t>-</w:t>
      </w:r>
      <w:r w:rsidRPr="006425DA">
        <w:t>reviewed.</w:t>
      </w:r>
    </w:p>
    <w:p w:rsidR="00157690" w:rsidRPr="006425DA" w:rsidRDefault="00157690" w:rsidP="00FB54B1">
      <w:pPr>
        <w:pStyle w:val="Text"/>
        <w:ind w:right="283"/>
      </w:pPr>
      <w:r w:rsidRPr="006425DA">
        <w:t>The NVETR research program aims to improve policy and practice in the VET sector. The research effort itself is a collaborative one, which requires strong relationships with the research community in Australia</w:t>
      </w:r>
      <w:r w:rsidR="00602830" w:rsidRPr="006425DA">
        <w:t>’</w:t>
      </w:r>
      <w:r w:rsidRPr="006425DA">
        <w:t>s universities and beyond. NCVER may also involve various stakeholders, including state and territory governments, industry and practitioners</w:t>
      </w:r>
      <w:r w:rsidR="00A16916">
        <w:t>,</w:t>
      </w:r>
      <w:r w:rsidRPr="006425DA">
        <w:t xml:space="preserve"> to inform the commissioned research, using a variety of mechanisms such as project roundtables and forums. </w:t>
      </w:r>
    </w:p>
    <w:p w:rsidR="00E64507" w:rsidRPr="00FE162C" w:rsidRDefault="00157690" w:rsidP="006425DA">
      <w:pPr>
        <w:pStyle w:val="Text"/>
      </w:pPr>
      <w:r w:rsidRPr="006425DA">
        <w:t>For further information about the program go to the NC</w:t>
      </w:r>
      <w:r w:rsidRPr="00FE162C">
        <w:t>VER website &lt;http://www.ncver.edu.au&gt;.</w:t>
      </w:r>
    </w:p>
    <w:sectPr w:rsidR="00E64507" w:rsidRPr="00FE162C" w:rsidSect="005A6AB2">
      <w:footerReference w:type="even" r:id="rId31"/>
      <w:footerReference w:type="default" r:id="rId32"/>
      <w:pgSz w:w="11907" w:h="16840" w:code="9"/>
      <w:pgMar w:top="1276" w:right="1701" w:bottom="1276" w:left="1418"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298" w:rsidRDefault="00626298">
      <w:r>
        <w:separator/>
      </w:r>
    </w:p>
  </w:endnote>
  <w:endnote w:type="continuationSeparator" w:id="0">
    <w:p w:rsidR="00626298" w:rsidRDefault="0062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 Garde">
    <w:altName w:val="Century Gothic"/>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98" w:rsidRPr="008C0A74" w:rsidRDefault="00D643A2" w:rsidP="00FF5931">
    <w:pPr>
      <w:pStyle w:val="Footer"/>
      <w:tabs>
        <w:tab w:val="clear" w:pos="8505"/>
        <w:tab w:val="right" w:pos="8789"/>
      </w:tabs>
      <w:rPr>
        <w:b/>
      </w:rPr>
    </w:pPr>
    <w:r>
      <w:rPr>
        <w:b/>
        <w:noProof/>
        <w:color w:val="FFFFFF" w:themeColor="background1"/>
        <w:lang w:eastAsia="en-AU"/>
      </w:rPr>
      <mc:AlternateContent>
        <mc:Choice Requires="wps">
          <w:drawing>
            <wp:anchor distT="0" distB="0" distL="114300" distR="114300" simplePos="0" relativeHeight="251661312" behindDoc="1" locked="0" layoutInCell="1" allowOverlap="1">
              <wp:simplePos x="0" y="0"/>
              <wp:positionH relativeFrom="column">
                <wp:posOffset>-1080135</wp:posOffset>
              </wp:positionH>
              <wp:positionV relativeFrom="paragraph">
                <wp:posOffset>-31115</wp:posOffset>
              </wp:positionV>
              <wp:extent cx="1257300" cy="238125"/>
              <wp:effectExtent l="0" t="0" r="0"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5.05pt;margin-top:-2.45pt;width:99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sBmA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nnKbAZgCAABoBQAADgAAAAAAAAAAAAAAAAAuAgAAZHJzL2Uy&#10;b0RvYy54bWxQSwECLQAUAAYACAAAACEA/ZB0tuEAAAAJAQAADwAAAAAAAAAAAAAAAADyBAAAZHJz&#10;L2Rvd25yZXYueG1sUEsFBgAAAAAEAAQA8wAAAAAGAAAAAA==&#10;" fillcolor="black [3213]" stroked="f" strokecolor="#bfbfbf [2412]"/>
          </w:pict>
        </mc:Fallback>
      </mc:AlternateContent>
    </w:r>
    <w:r w:rsidR="00626298" w:rsidRPr="008C0A74">
      <w:rPr>
        <w:b/>
        <w:color w:val="FFFFFF" w:themeColor="background1"/>
      </w:rPr>
      <w:fldChar w:fldCharType="begin"/>
    </w:r>
    <w:r w:rsidR="00626298" w:rsidRPr="008C0A74">
      <w:rPr>
        <w:b/>
        <w:color w:val="FFFFFF" w:themeColor="background1"/>
      </w:rPr>
      <w:instrText xml:space="preserve"> PAGE </w:instrText>
    </w:r>
    <w:r w:rsidR="00626298" w:rsidRPr="008C0A74">
      <w:rPr>
        <w:b/>
        <w:color w:val="FFFFFF" w:themeColor="background1"/>
      </w:rPr>
      <w:fldChar w:fldCharType="separate"/>
    </w:r>
    <w:r>
      <w:rPr>
        <w:b/>
        <w:noProof/>
        <w:color w:val="FFFFFF" w:themeColor="background1"/>
      </w:rPr>
      <w:t>48</w:t>
    </w:r>
    <w:r w:rsidR="00626298" w:rsidRPr="008C0A74">
      <w:rPr>
        <w:b/>
        <w:color w:val="FFFFFF" w:themeColor="background1"/>
      </w:rPr>
      <w:fldChar w:fldCharType="end"/>
    </w:r>
    <w:r w:rsidR="00626298" w:rsidRPr="008C0A74">
      <w:rPr>
        <w:b/>
        <w:color w:val="FFFFFF" w:themeColor="background1"/>
      </w:rPr>
      <w:tab/>
    </w:r>
    <w:r w:rsidR="00626298" w:rsidRPr="00C20ED6">
      <w:rPr>
        <w:b/>
        <w:bCs/>
        <w:color w:val="000000" w:themeColor="text1"/>
      </w:rPr>
      <w:t>Incentives for relocating to regional Australia: estimates using a choice experiment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98" w:rsidRPr="009775C7" w:rsidRDefault="00D643A2" w:rsidP="008C0A74">
    <w:pPr>
      <w:pStyle w:val="Footer"/>
      <w:tabs>
        <w:tab w:val="clear" w:pos="8505"/>
        <w:tab w:val="right" w:pos="8789"/>
      </w:tabs>
      <w:rPr>
        <w:color w:val="FFFFFF" w:themeColor="background1"/>
      </w:rPr>
    </w:pPr>
    <w:r>
      <w:rPr>
        <w:b/>
        <w:noProof/>
        <w:lang w:eastAsia="en-AU"/>
      </w:rPr>
      <mc:AlternateContent>
        <mc:Choice Requires="wps">
          <w:drawing>
            <wp:anchor distT="0" distB="0" distL="114300" distR="114300" simplePos="0" relativeHeight="251663360" behindDoc="1" locked="0" layoutInCell="1" allowOverlap="1">
              <wp:simplePos x="0" y="0"/>
              <wp:positionH relativeFrom="column">
                <wp:posOffset>5405120</wp:posOffset>
              </wp:positionH>
              <wp:positionV relativeFrom="paragraph">
                <wp:posOffset>-31115</wp:posOffset>
              </wp:positionV>
              <wp:extent cx="1257300" cy="238125"/>
              <wp:effectExtent l="0" t="0" r="0"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25.6pt;margin-top:-2.45pt;width:99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OmA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" fillcolor="black [3213]" stroked="f" strokecolor="#bfbfbf [2412]"/>
          </w:pict>
        </mc:Fallback>
      </mc:AlternateContent>
    </w:r>
    <w:r w:rsidR="00626298" w:rsidRPr="009775C7">
      <w:rPr>
        <w:b/>
      </w:rPr>
      <w:t>NCVER</w:t>
    </w:r>
    <w:r w:rsidR="00626298" w:rsidRPr="009775C7">
      <w:tab/>
    </w:r>
    <w:r w:rsidR="00626298" w:rsidRPr="009775C7">
      <w:rPr>
        <w:rStyle w:val="PageNumber"/>
        <w:rFonts w:cs="Tahoma"/>
        <w:b/>
        <w:color w:val="FFFFFF" w:themeColor="background1"/>
        <w:sz w:val="17"/>
      </w:rPr>
      <w:fldChar w:fldCharType="begin"/>
    </w:r>
    <w:r w:rsidR="00626298" w:rsidRPr="009775C7">
      <w:rPr>
        <w:rStyle w:val="PageNumber"/>
        <w:rFonts w:cs="Tahoma"/>
        <w:b/>
        <w:color w:val="FFFFFF" w:themeColor="background1"/>
        <w:sz w:val="17"/>
      </w:rPr>
      <w:instrText xml:space="preserve"> PAGE </w:instrText>
    </w:r>
    <w:r w:rsidR="00626298" w:rsidRPr="009775C7">
      <w:rPr>
        <w:rStyle w:val="PageNumber"/>
        <w:rFonts w:cs="Tahoma"/>
        <w:b/>
        <w:color w:val="FFFFFF" w:themeColor="background1"/>
        <w:sz w:val="17"/>
      </w:rPr>
      <w:fldChar w:fldCharType="separate"/>
    </w:r>
    <w:r>
      <w:rPr>
        <w:rStyle w:val="PageNumber"/>
        <w:rFonts w:cs="Tahoma"/>
        <w:b/>
        <w:noProof/>
        <w:color w:val="FFFFFF" w:themeColor="background1"/>
        <w:sz w:val="17"/>
      </w:rPr>
      <w:t>47</w:t>
    </w:r>
    <w:r w:rsidR="00626298" w:rsidRPr="009775C7">
      <w:rPr>
        <w:rStyle w:val="PageNumber"/>
        <w:rFonts w:cs="Tahoma"/>
        <w:b/>
        <w:color w:val="FFFFFF" w:themeColor="background1"/>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298" w:rsidRDefault="00626298">
      <w:r>
        <w:separator/>
      </w:r>
    </w:p>
  </w:footnote>
  <w:footnote w:type="continuationSeparator" w:id="0">
    <w:p w:rsidR="00626298" w:rsidRDefault="00626298">
      <w:r>
        <w:continuationSeparator/>
      </w:r>
    </w:p>
  </w:footnote>
  <w:footnote w:id="1">
    <w:p w:rsidR="00626298" w:rsidRDefault="00626298" w:rsidP="0076411E">
      <w:pPr>
        <w:pStyle w:val="FootnoteText"/>
      </w:pPr>
      <w:r>
        <w:rPr>
          <w:rStyle w:val="FootnoteReference"/>
        </w:rPr>
        <w:footnoteRef/>
      </w:r>
      <w:r>
        <w:tab/>
      </w:r>
      <w:r w:rsidRPr="00A8241F">
        <w:t>In the past Australia has been considered to be experiencing a resource boom if either of these two variables has been at high levels.</w:t>
      </w:r>
    </w:p>
  </w:footnote>
  <w:footnote w:id="2">
    <w:p w:rsidR="00626298" w:rsidRDefault="00626298" w:rsidP="0076411E">
      <w:pPr>
        <w:pStyle w:val="FootnoteText"/>
      </w:pPr>
      <w:r>
        <w:rPr>
          <w:rStyle w:val="FootnoteReference"/>
        </w:rPr>
        <w:footnoteRef/>
      </w:r>
      <w:r>
        <w:t xml:space="preserve"> </w:t>
      </w:r>
      <w:r>
        <w:tab/>
        <w:t>&lt;</w:t>
      </w:r>
      <w:hyperlink r:id="rId1" w:history="1">
        <w:r w:rsidRPr="00E8798D">
          <w:t>https://deewr.gov.au/information-job-seekers-about-move-2-work</w:t>
        </w:r>
      </w:hyperlink>
      <w:r>
        <w:t>&gt;.</w:t>
      </w:r>
    </w:p>
  </w:footnote>
  <w:footnote w:id="3">
    <w:p w:rsidR="00626298" w:rsidRDefault="00626298" w:rsidP="0076411E">
      <w:pPr>
        <w:pStyle w:val="FootnoteText"/>
      </w:pPr>
      <w:r>
        <w:rPr>
          <w:rStyle w:val="FootnoteReference"/>
        </w:rPr>
        <w:footnoteRef/>
      </w:r>
      <w:r>
        <w:t xml:space="preserve"> </w:t>
      </w:r>
      <w:r>
        <w:tab/>
      </w:r>
      <w:r w:rsidRPr="00FA05E3">
        <w:t xml:space="preserve">For example, the European Commission declared 2006 </w:t>
      </w:r>
      <w:r>
        <w:t>as the ‘European Year of Worker</w:t>
      </w:r>
      <w:r w:rsidRPr="00FA05E3">
        <w:t>s</w:t>
      </w:r>
      <w:r>
        <w:t>’</w:t>
      </w:r>
      <w:r w:rsidRPr="00FA05E3">
        <w:t xml:space="preserve"> Mobility</w:t>
      </w:r>
      <w:r>
        <w:t>’</w:t>
      </w:r>
      <w:r w:rsidRPr="00FA05E3">
        <w:t>.</w:t>
      </w:r>
    </w:p>
  </w:footnote>
  <w:footnote w:id="4">
    <w:p w:rsidR="00626298" w:rsidRDefault="00626298">
      <w:pPr>
        <w:pStyle w:val="FootnoteText"/>
      </w:pPr>
      <w:r>
        <w:rPr>
          <w:rStyle w:val="FootnoteReference"/>
        </w:rPr>
        <w:footnoteRef/>
      </w:r>
      <w:r>
        <w:t xml:space="preserve"> </w:t>
      </w:r>
      <w:r>
        <w:tab/>
        <w:t>The 25 countries in the European Union.</w:t>
      </w:r>
    </w:p>
  </w:footnote>
  <w:footnote w:id="5">
    <w:p w:rsidR="00626298" w:rsidRDefault="00626298">
      <w:pPr>
        <w:pStyle w:val="FootnoteText"/>
      </w:pPr>
      <w:r>
        <w:rPr>
          <w:rStyle w:val="FootnoteReference"/>
        </w:rPr>
        <w:footnoteRef/>
      </w:r>
      <w:r>
        <w:t xml:space="preserve"> </w:t>
      </w:r>
      <w:r>
        <w:tab/>
        <w:t>Reservation wages is the level of wages below which jobs are not accepted.</w:t>
      </w:r>
    </w:p>
  </w:footnote>
  <w:footnote w:id="6">
    <w:p w:rsidR="00626298" w:rsidRDefault="00626298" w:rsidP="00782E5B">
      <w:pPr>
        <w:pStyle w:val="FootnoteText"/>
        <w:ind w:right="-143"/>
      </w:pPr>
      <w:r>
        <w:rPr>
          <w:rStyle w:val="FootnoteReference"/>
        </w:rPr>
        <w:footnoteRef/>
      </w:r>
      <w:r>
        <w:t xml:space="preserve"> </w:t>
      </w:r>
      <w:r>
        <w:tab/>
        <w:t>These include hours of work, on-call arrangements, practice team and arrangements for getting a locum on short notice.</w:t>
      </w:r>
    </w:p>
  </w:footnote>
  <w:footnote w:id="7">
    <w:p w:rsidR="00626298" w:rsidRDefault="00626298">
      <w:pPr>
        <w:pStyle w:val="FootnoteText"/>
      </w:pPr>
      <w:r>
        <w:rPr>
          <w:rStyle w:val="FootnoteReference"/>
        </w:rPr>
        <w:footnoteRef/>
      </w:r>
      <w:r>
        <w:t xml:space="preserve"> </w:t>
      </w:r>
      <w:r>
        <w:tab/>
        <w:t>Pure Profile pays each respondent to the survey a flat fee of approximately $6 for a completed survey.</w:t>
      </w:r>
    </w:p>
  </w:footnote>
  <w:footnote w:id="8">
    <w:p w:rsidR="00626298" w:rsidRDefault="00626298">
      <w:pPr>
        <w:pStyle w:val="FootnoteText"/>
      </w:pPr>
      <w:r>
        <w:rPr>
          <w:rStyle w:val="FootnoteReference"/>
        </w:rPr>
        <w:footnoteRef/>
      </w:r>
      <w:r>
        <w:t xml:space="preserve"> </w:t>
      </w:r>
      <w:r>
        <w:tab/>
        <w:t>The population of South Australia is less than a quarter that of New South Wales.</w:t>
      </w:r>
    </w:p>
  </w:footnote>
  <w:footnote w:id="9">
    <w:p w:rsidR="00626298" w:rsidRDefault="00626298">
      <w:pPr>
        <w:pStyle w:val="FootnoteText"/>
      </w:pPr>
      <w:r>
        <w:rPr>
          <w:rStyle w:val="FootnoteReference"/>
        </w:rPr>
        <w:footnoteRef/>
      </w:r>
      <w:r>
        <w:t xml:space="preserve"> </w:t>
      </w:r>
      <w:r>
        <w:tab/>
        <w:t>The average time to complete the survey was 15 minutes and five minutes or fewer is considered too short a time to complete and provide ‘considered’ responses.</w:t>
      </w:r>
    </w:p>
  </w:footnote>
  <w:footnote w:id="10">
    <w:p w:rsidR="00626298" w:rsidRDefault="00626298">
      <w:pPr>
        <w:pStyle w:val="FootnoteText"/>
      </w:pPr>
      <w:r>
        <w:rPr>
          <w:rStyle w:val="FootnoteReference"/>
        </w:rPr>
        <w:footnoteRef/>
      </w:r>
      <w:r>
        <w:t xml:space="preserve"> </w:t>
      </w:r>
      <w:r>
        <w:tab/>
      </w:r>
      <w:r w:rsidRPr="002E46D3">
        <w:t xml:space="preserve">The </w:t>
      </w:r>
      <w:r>
        <w:t xml:space="preserve">$24 000 figure was achieved by using the </w:t>
      </w:r>
      <w:r w:rsidRPr="002E46D3">
        <w:t>minimum wa</w:t>
      </w:r>
      <w:r>
        <w:t>ge of</w:t>
      </w:r>
      <w:r w:rsidRPr="002E46D3">
        <w:t xml:space="preserve"> $15.51 per hour</w:t>
      </w:r>
      <w:r>
        <w:t xml:space="preserve"> at the time of the survey and a </w:t>
      </w:r>
      <w:r>
        <w:br/>
        <w:t>30-hour working week.</w:t>
      </w:r>
    </w:p>
  </w:footnote>
  <w:footnote w:id="11">
    <w:p w:rsidR="00626298" w:rsidRDefault="00626298" w:rsidP="005F73E6">
      <w:pPr>
        <w:pStyle w:val="FootnoteText"/>
        <w:ind w:right="566"/>
      </w:pPr>
      <w:r>
        <w:rPr>
          <w:rStyle w:val="FootnoteReference"/>
        </w:rPr>
        <w:footnoteRef/>
      </w:r>
      <w:r>
        <w:t xml:space="preserve"> </w:t>
      </w:r>
      <w:r>
        <w:tab/>
        <w:t>In this model the dependent variable is binary with a value of 1 if a job offer is accepted and a value of zero if it is rejected.</w:t>
      </w:r>
    </w:p>
  </w:footnote>
  <w:footnote w:id="12">
    <w:p w:rsidR="00626298" w:rsidRDefault="00626298">
      <w:pPr>
        <w:pStyle w:val="FootnoteText"/>
      </w:pPr>
      <w:r>
        <w:rPr>
          <w:rStyle w:val="FootnoteReference"/>
        </w:rPr>
        <w:footnoteRef/>
      </w:r>
      <w:r>
        <w:t xml:space="preserve"> </w:t>
      </w:r>
      <w:r>
        <w:tab/>
        <w:t>As suggested by a referee to this report.</w:t>
      </w:r>
    </w:p>
  </w:footnote>
  <w:footnote w:id="13">
    <w:p w:rsidR="00626298" w:rsidRPr="00B86DA4" w:rsidRDefault="00626298" w:rsidP="009F2B01">
      <w:pPr>
        <w:pStyle w:val="FootnoteText"/>
        <w:rPr>
          <w:color w:val="000000" w:themeColor="text1"/>
        </w:rPr>
      </w:pPr>
      <w:r w:rsidRPr="00B86DA4">
        <w:rPr>
          <w:rStyle w:val="FootnoteReference"/>
          <w:color w:val="000000" w:themeColor="text1"/>
        </w:rPr>
        <w:footnoteRef/>
      </w:r>
      <w:r w:rsidRPr="00B86DA4">
        <w:rPr>
          <w:color w:val="000000" w:themeColor="text1"/>
        </w:rPr>
        <w:t xml:space="preserve"> </w:t>
      </w:r>
      <w:r>
        <w:rPr>
          <w:color w:val="000000" w:themeColor="text1"/>
        </w:rPr>
        <w:tab/>
      </w:r>
      <w:r w:rsidRPr="00B86DA4">
        <w:rPr>
          <w:color w:val="000000" w:themeColor="text1"/>
        </w:rPr>
        <w:t>We also estimated a model that included occupation dummy variables in the specification, but found their effect to be statistically insignificant.</w:t>
      </w:r>
    </w:p>
  </w:footnote>
  <w:footnote w:id="14">
    <w:p w:rsidR="00626298" w:rsidRDefault="00626298">
      <w:pPr>
        <w:pStyle w:val="FootnoteText"/>
      </w:pPr>
      <w:r>
        <w:rPr>
          <w:rStyle w:val="FootnoteReference"/>
        </w:rPr>
        <w:footnoteRef/>
      </w:r>
      <w:r>
        <w:t xml:space="preserve"> </w:t>
      </w:r>
      <w:r>
        <w:tab/>
      </w:r>
      <w:r w:rsidRPr="005616B0">
        <w:t>Th</w:t>
      </w:r>
      <w:r>
        <w:t>e mixed multinomial logit</w:t>
      </w:r>
      <w:r w:rsidRPr="005616B0">
        <w:t xml:space="preserve"> </w:t>
      </w:r>
      <w:r>
        <w:t xml:space="preserve">model </w:t>
      </w:r>
      <w:r w:rsidRPr="005616B0">
        <w:t>allows some coefficients to vary across individua</w:t>
      </w:r>
      <w:r>
        <w:t>ls (as opposed to being fixed for all individuals</w:t>
      </w:r>
      <w:r w:rsidRPr="005616B0">
        <w:t xml:space="preserve">), thereby minimising one of the most common issues </w:t>
      </w:r>
      <w:r>
        <w:t xml:space="preserve">with cross-sectional analyses, which is </w:t>
      </w:r>
      <w:r w:rsidRPr="005616B0">
        <w:t>the correlation between un</w:t>
      </w:r>
      <w:r>
        <w:t>observed</w:t>
      </w:r>
      <w:r w:rsidRPr="005616B0">
        <w:t xml:space="preserve"> and explanatory variables. </w:t>
      </w:r>
      <w:r>
        <w:t>A further advantage of this model is that it allows us to relax</w:t>
      </w:r>
      <w:r w:rsidRPr="005616B0">
        <w:t xml:space="preserve"> the Independence of Irrelevant Alternatives</w:t>
      </w:r>
      <w:r>
        <w:t xml:space="preserve"> (IIA) and</w:t>
      </w:r>
      <w:r w:rsidRPr="005616B0">
        <w:t xml:space="preserve"> the Independent and Ident</w:t>
      </w:r>
      <w:r>
        <w:t>ically Distributed (IID) assumptions as well as</w:t>
      </w:r>
      <w:r w:rsidRPr="005616B0">
        <w:t xml:space="preserve"> account</w:t>
      </w:r>
      <w:r>
        <w:t>ing for</w:t>
      </w:r>
      <w:r w:rsidRPr="005616B0">
        <w:t xml:space="preserve"> the panel nature of the data</w:t>
      </w:r>
      <w:r>
        <w:t>.</w:t>
      </w:r>
    </w:p>
  </w:footnote>
  <w:footnote w:id="15">
    <w:p w:rsidR="00626298" w:rsidRDefault="00626298" w:rsidP="00AD47D5">
      <w:pPr>
        <w:pStyle w:val="FootnoteText"/>
      </w:pPr>
      <w:r>
        <w:rPr>
          <w:rStyle w:val="FootnoteReference"/>
        </w:rPr>
        <w:footnoteRef/>
      </w:r>
      <w:r>
        <w:t xml:space="preserve"> </w:t>
      </w:r>
      <w:r>
        <w:tab/>
        <w:t>A priori it is unclear whether it is the absolute or relative wages that are more influential in the individual’s decision-making.</w:t>
      </w:r>
    </w:p>
  </w:footnote>
  <w:footnote w:id="16">
    <w:p w:rsidR="00626298" w:rsidRDefault="00626298">
      <w:pPr>
        <w:pStyle w:val="FootnoteText"/>
      </w:pPr>
      <w:r>
        <w:rPr>
          <w:rStyle w:val="FootnoteReference"/>
        </w:rPr>
        <w:footnoteRef/>
      </w:r>
      <w:r>
        <w:t xml:space="preserve"> </w:t>
      </w:r>
      <w:r>
        <w:tab/>
        <w:t>Marginal effects can be calculated, but because our main focus is marginal willingness to pay, only logits are reported.</w:t>
      </w:r>
    </w:p>
  </w:footnote>
  <w:footnote w:id="17">
    <w:p w:rsidR="00626298" w:rsidRDefault="00626298" w:rsidP="00DA0F63">
      <w:pPr>
        <w:pStyle w:val="FootnoteText"/>
      </w:pPr>
      <w:r>
        <w:rPr>
          <w:rStyle w:val="FootnoteReference"/>
        </w:rPr>
        <w:footnoteRef/>
      </w:r>
      <w:r>
        <w:t xml:space="preserve"> </w:t>
      </w:r>
      <w:r>
        <w:tab/>
        <w:t>Each MWTP estimate is derived by dividing the corresponding coefficient in table C1 in appendix C by the coefficient for wage attribute from the same table. The estimate in dollars is derived by multiplying this ratio by $74 380, which is the sample average of current (expected) annual wage.</w:t>
      </w:r>
    </w:p>
  </w:footnote>
  <w:footnote w:id="18">
    <w:p w:rsidR="00626298" w:rsidRDefault="00626298">
      <w:pPr>
        <w:pStyle w:val="FootnoteText"/>
      </w:pPr>
      <w:r>
        <w:rPr>
          <w:rStyle w:val="FootnoteReference"/>
        </w:rPr>
        <w:footnoteRef/>
      </w:r>
      <w:r>
        <w:t xml:space="preserve"> </w:t>
      </w:r>
      <w:r>
        <w:tab/>
        <w:t>These costs are likely to be relatively less for moving to a capital city than to either Emerald or Karratha.</w:t>
      </w:r>
    </w:p>
  </w:footnote>
  <w:footnote w:id="19">
    <w:p w:rsidR="00626298" w:rsidRDefault="00626298">
      <w:pPr>
        <w:pStyle w:val="FootnoteText"/>
      </w:pPr>
      <w:r>
        <w:rPr>
          <w:rStyle w:val="FootnoteReference"/>
        </w:rPr>
        <w:footnoteRef/>
      </w:r>
      <w:r>
        <w:t xml:space="preserve"> </w:t>
      </w:r>
      <w:r>
        <w:tab/>
        <w:t>The savings from food alone amounts to $5000 a year, assuming a person is rostered for 200 days in a year and food costs $25 a day.</w:t>
      </w:r>
    </w:p>
  </w:footnote>
  <w:footnote w:id="20">
    <w:p w:rsidR="00626298" w:rsidRDefault="00626298">
      <w:pPr>
        <w:pStyle w:val="FootnoteText"/>
      </w:pPr>
      <w:r>
        <w:rPr>
          <w:rStyle w:val="FootnoteReference"/>
        </w:rPr>
        <w:footnoteRef/>
      </w:r>
      <w:r>
        <w:t xml:space="preserve"> </w:t>
      </w:r>
      <w:r>
        <w:tab/>
        <w:t>The reason why this result appears to be inconsistent with the corresponding result in table 3 is because in table 4 we control for the fact that individuals with high wage expectations are offered higher wages.</w:t>
      </w:r>
    </w:p>
  </w:footnote>
  <w:footnote w:id="21">
    <w:p w:rsidR="00626298" w:rsidRDefault="00626298">
      <w:pPr>
        <w:pStyle w:val="FootnoteText"/>
      </w:pPr>
      <w:r>
        <w:rPr>
          <w:rStyle w:val="FootnoteReference"/>
        </w:rPr>
        <w:footnoteRef/>
      </w:r>
      <w:r>
        <w:t xml:space="preserve"> </w:t>
      </w:r>
      <w:r>
        <w:tab/>
        <w:t>TWTP is essentially the sum of the various MWTPs conditioned on each individual’s actual characteristics. A mathematical definition is provided in appendix D.</w:t>
      </w:r>
    </w:p>
  </w:footnote>
  <w:footnote w:id="22">
    <w:p w:rsidR="00626298" w:rsidRDefault="00626298" w:rsidP="00BD11DA">
      <w:pPr>
        <w:pStyle w:val="FootnoteText"/>
      </w:pPr>
      <w:r>
        <w:rPr>
          <w:rStyle w:val="FootnoteReference"/>
        </w:rPr>
        <w:footnoteRef/>
      </w:r>
      <w:r>
        <w:t xml:space="preserve"> </w:t>
      </w:r>
      <w:r>
        <w:tab/>
        <w:t xml:space="preserve">In other words the three dummy variables in equation (3) in appendix D are set to zero. </w:t>
      </w:r>
      <w:r w:rsidRPr="00BD11DA">
        <w:t>The explanatory variable showing the difference between the actual and expected wage for persons who are employed is also set to zero when calculating TWTPs. This reduces the bias associated with individuals with high wage expectations receiving higher wage offers.</w:t>
      </w:r>
    </w:p>
  </w:footnote>
  <w:footnote w:id="23">
    <w:p w:rsidR="00626298" w:rsidRDefault="00626298">
      <w:pPr>
        <w:pStyle w:val="FootnoteText"/>
      </w:pPr>
      <w:r>
        <w:rPr>
          <w:rStyle w:val="FootnoteReference"/>
        </w:rPr>
        <w:footnoteRef/>
      </w:r>
      <w:r>
        <w:t xml:space="preserve"> </w:t>
      </w:r>
      <w:r>
        <w:tab/>
        <w:t>This is represented by the area bounded by the curve and the x-axis between the vertical lines x = 0 and x =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0EF"/>
    <w:multiLevelType w:val="hybridMultilevel"/>
    <w:tmpl w:val="B6F0B62E"/>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7C36FAC"/>
    <w:multiLevelType w:val="hybridMultilevel"/>
    <w:tmpl w:val="B27CDB98"/>
    <w:lvl w:ilvl="0" w:tplc="89D2A914">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FD3017"/>
    <w:multiLevelType w:val="hybridMultilevel"/>
    <w:tmpl w:val="3124B7BC"/>
    <w:lvl w:ilvl="0" w:tplc="0C09000F">
      <w:start w:val="1"/>
      <w:numFmt w:val="decimal"/>
      <w:lvlText w:val="%1."/>
      <w:lvlJc w:val="left"/>
      <w:pPr>
        <w:ind w:left="720" w:hanging="360"/>
      </w:pPr>
    </w:lvl>
    <w:lvl w:ilvl="1" w:tplc="A4700D24">
      <w:start w:val="1"/>
      <w:numFmt w:val="lowerLetter"/>
      <w:lvlText w:val="%2."/>
      <w:lvlJc w:val="left"/>
      <w:pPr>
        <w:ind w:left="1800" w:hanging="720"/>
      </w:pPr>
      <w:rPr>
        <w:rFonts w:hint="default"/>
      </w:rPr>
    </w:lvl>
    <w:lvl w:ilvl="2" w:tplc="E1EA4936">
      <w:start w:val="1"/>
      <w:numFmt w:val="decimal"/>
      <w:lvlText w:val="(%3)"/>
      <w:lvlJc w:val="left"/>
      <w:pPr>
        <w:ind w:left="2340" w:hanging="360"/>
      </w:pPr>
      <w:rPr>
        <w:rFonts w:hint="default"/>
      </w:rPr>
    </w:lvl>
    <w:lvl w:ilvl="3" w:tplc="538C896A">
      <w:numFmt w:val="bullet"/>
      <w:lvlText w:val="•"/>
      <w:lvlJc w:val="left"/>
      <w:pPr>
        <w:ind w:left="3240" w:hanging="720"/>
      </w:pPr>
      <w:rPr>
        <w:rFonts w:ascii="Trebuchet MS" w:eastAsia="Times New Roman" w:hAnsi="Trebuchet MS" w:cs="Times New Roman"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640852"/>
    <w:multiLevelType w:val="hybridMultilevel"/>
    <w:tmpl w:val="CDCEDB90"/>
    <w:lvl w:ilvl="0" w:tplc="0C090001">
      <w:start w:val="1"/>
      <w:numFmt w:val="bullet"/>
      <w:lvlText w:val=""/>
      <w:lvlJc w:val="left"/>
      <w:pPr>
        <w:ind w:left="360" w:hanging="360"/>
      </w:pPr>
      <w:rPr>
        <w:rFonts w:ascii="Symbol" w:hAnsi="Symbol" w:hint="default"/>
      </w:rPr>
    </w:lvl>
    <w:lvl w:ilvl="1" w:tplc="A4700D24">
      <w:start w:val="1"/>
      <w:numFmt w:val="lowerLetter"/>
      <w:lvlText w:val="%2."/>
      <w:lvlJc w:val="left"/>
      <w:pPr>
        <w:ind w:left="1440" w:hanging="720"/>
      </w:pPr>
      <w:rPr>
        <w:rFonts w:hint="default"/>
      </w:rPr>
    </w:lvl>
    <w:lvl w:ilvl="2" w:tplc="E1EA4936">
      <w:start w:val="1"/>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A0E7B9A"/>
    <w:multiLevelType w:val="hybridMultilevel"/>
    <w:tmpl w:val="2C38DEB8"/>
    <w:lvl w:ilvl="0" w:tplc="D41CC10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A0F06B7"/>
    <w:multiLevelType w:val="hybridMultilevel"/>
    <w:tmpl w:val="8B0234F4"/>
    <w:lvl w:ilvl="0" w:tplc="776CD020">
      <w:start w:val="1"/>
      <w:numFmt w:val="decimal"/>
      <w:lvlText w:val="%1."/>
      <w:lvlJc w:val="left"/>
      <w:pPr>
        <w:ind w:left="360" w:hanging="360"/>
      </w:pPr>
      <w:rPr>
        <w:rFonts w:hint="default"/>
      </w:rPr>
    </w:lvl>
    <w:lvl w:ilvl="1" w:tplc="A4700D24">
      <w:start w:val="1"/>
      <w:numFmt w:val="lowerLetter"/>
      <w:lvlText w:val="%2."/>
      <w:lvlJc w:val="left"/>
      <w:pPr>
        <w:ind w:left="1440" w:hanging="720"/>
      </w:pPr>
      <w:rPr>
        <w:rFonts w:hint="default"/>
      </w:rPr>
    </w:lvl>
    <w:lvl w:ilvl="2" w:tplc="E1EA4936">
      <w:start w:val="1"/>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0CF24311"/>
    <w:multiLevelType w:val="hybridMultilevel"/>
    <w:tmpl w:val="45A64DEA"/>
    <w:lvl w:ilvl="0" w:tplc="BBF66C6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01E7908"/>
    <w:multiLevelType w:val="hybridMultilevel"/>
    <w:tmpl w:val="D77666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nsid w:val="12F32D6F"/>
    <w:multiLevelType w:val="hybridMultilevel"/>
    <w:tmpl w:val="4CB896A2"/>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4926BAD"/>
    <w:multiLevelType w:val="hybridMultilevel"/>
    <w:tmpl w:val="5010F11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BC63AC6"/>
    <w:multiLevelType w:val="hybridMultilevel"/>
    <w:tmpl w:val="EB141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C2274E7"/>
    <w:multiLevelType w:val="hybridMultilevel"/>
    <w:tmpl w:val="187466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1463AC8"/>
    <w:multiLevelType w:val="hybridMultilevel"/>
    <w:tmpl w:val="749E304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235B25DB"/>
    <w:multiLevelType w:val="hybridMultilevel"/>
    <w:tmpl w:val="039E07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79F48CE"/>
    <w:multiLevelType w:val="hybridMultilevel"/>
    <w:tmpl w:val="844CCC0C"/>
    <w:lvl w:ilvl="0" w:tplc="3488D19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27FB0947"/>
    <w:multiLevelType w:val="hybridMultilevel"/>
    <w:tmpl w:val="16B461C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C6C6861"/>
    <w:multiLevelType w:val="hybridMultilevel"/>
    <w:tmpl w:val="52B0AD0A"/>
    <w:lvl w:ilvl="0" w:tplc="E9982FB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2F175027"/>
    <w:multiLevelType w:val="hybridMultilevel"/>
    <w:tmpl w:val="68A049CC"/>
    <w:lvl w:ilvl="0" w:tplc="B84CE23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F784815"/>
    <w:multiLevelType w:val="hybridMultilevel"/>
    <w:tmpl w:val="07A6DF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34514BF7"/>
    <w:multiLevelType w:val="hybridMultilevel"/>
    <w:tmpl w:val="1BB43A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3BCE11EF"/>
    <w:multiLevelType w:val="hybridMultilevel"/>
    <w:tmpl w:val="702247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CAA1006"/>
    <w:multiLevelType w:val="hybridMultilevel"/>
    <w:tmpl w:val="F5742A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41B21D7C"/>
    <w:multiLevelType w:val="hybridMultilevel"/>
    <w:tmpl w:val="AB44F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5B32D18"/>
    <w:multiLevelType w:val="hybridMultilevel"/>
    <w:tmpl w:val="7FFEC3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503D7CC4"/>
    <w:multiLevelType w:val="hybridMultilevel"/>
    <w:tmpl w:val="578AC1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51491891"/>
    <w:multiLevelType w:val="hybridMultilevel"/>
    <w:tmpl w:val="2CF2B694"/>
    <w:lvl w:ilvl="0" w:tplc="95C07832">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77D2FC9"/>
    <w:multiLevelType w:val="hybridMultilevel"/>
    <w:tmpl w:val="F2DC8A14"/>
    <w:lvl w:ilvl="0" w:tplc="DCF8A348">
      <w:start w:val="1"/>
      <w:numFmt w:val="decimal"/>
      <w:lvlText w:val="%1."/>
      <w:lvlJc w:val="left"/>
      <w:pPr>
        <w:ind w:left="360" w:hanging="360"/>
      </w:pPr>
      <w:rPr>
        <w:rFonts w:hint="default"/>
      </w:rPr>
    </w:lvl>
    <w:lvl w:ilvl="1" w:tplc="A4700D24">
      <w:start w:val="1"/>
      <w:numFmt w:val="lowerLetter"/>
      <w:lvlText w:val="%2."/>
      <w:lvlJc w:val="left"/>
      <w:pPr>
        <w:ind w:left="1440" w:hanging="720"/>
      </w:pPr>
      <w:rPr>
        <w:rFonts w:hint="default"/>
      </w:rPr>
    </w:lvl>
    <w:lvl w:ilvl="2" w:tplc="E1EA4936">
      <w:start w:val="1"/>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58C849D4"/>
    <w:multiLevelType w:val="hybridMultilevel"/>
    <w:tmpl w:val="3B06DD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5D764C52"/>
    <w:multiLevelType w:val="hybridMultilevel"/>
    <w:tmpl w:val="3F1C667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nsid w:val="6A214344"/>
    <w:multiLevelType w:val="hybridMultilevel"/>
    <w:tmpl w:val="A666404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6B9510B4"/>
    <w:multiLevelType w:val="hybridMultilevel"/>
    <w:tmpl w:val="DF86CCA0"/>
    <w:lvl w:ilvl="0" w:tplc="BBF66C6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E4C2B6E"/>
    <w:multiLevelType w:val="hybridMultilevel"/>
    <w:tmpl w:val="C20249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6E6568BB"/>
    <w:multiLevelType w:val="hybridMultilevel"/>
    <w:tmpl w:val="E27C6F86"/>
    <w:lvl w:ilvl="0" w:tplc="C1E4D216">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F21183A"/>
    <w:multiLevelType w:val="hybridMultilevel"/>
    <w:tmpl w:val="2A72B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0844093"/>
    <w:multiLevelType w:val="hybridMultilevel"/>
    <w:tmpl w:val="F6EEAA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70B933A0"/>
    <w:multiLevelType w:val="hybridMultilevel"/>
    <w:tmpl w:val="58960F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1453DF0"/>
    <w:multiLevelType w:val="hybridMultilevel"/>
    <w:tmpl w:val="BDB203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E2B1A8E"/>
    <w:multiLevelType w:val="hybridMultilevel"/>
    <w:tmpl w:val="BEB6E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32"/>
  </w:num>
  <w:num w:numId="4">
    <w:abstractNumId w:val="35"/>
  </w:num>
  <w:num w:numId="5">
    <w:abstractNumId w:val="23"/>
  </w:num>
  <w:num w:numId="6">
    <w:abstractNumId w:val="24"/>
  </w:num>
  <w:num w:numId="7">
    <w:abstractNumId w:val="21"/>
  </w:num>
  <w:num w:numId="8">
    <w:abstractNumId w:val="20"/>
  </w:num>
  <w:num w:numId="9">
    <w:abstractNumId w:val="2"/>
  </w:num>
  <w:num w:numId="10">
    <w:abstractNumId w:val="9"/>
  </w:num>
  <w:num w:numId="11">
    <w:abstractNumId w:val="8"/>
  </w:num>
  <w:num w:numId="12">
    <w:abstractNumId w:val="18"/>
  </w:num>
  <w:num w:numId="13">
    <w:abstractNumId w:val="13"/>
  </w:num>
  <w:num w:numId="14">
    <w:abstractNumId w:val="6"/>
  </w:num>
  <w:num w:numId="15">
    <w:abstractNumId w:val="22"/>
  </w:num>
  <w:num w:numId="16">
    <w:abstractNumId w:val="31"/>
  </w:num>
  <w:num w:numId="17">
    <w:abstractNumId w:val="14"/>
  </w:num>
  <w:num w:numId="18">
    <w:abstractNumId w:val="26"/>
  </w:num>
  <w:num w:numId="19">
    <w:abstractNumId w:val="27"/>
  </w:num>
  <w:num w:numId="20">
    <w:abstractNumId w:val="34"/>
  </w:num>
  <w:num w:numId="21">
    <w:abstractNumId w:val="36"/>
  </w:num>
  <w:num w:numId="22">
    <w:abstractNumId w:val="19"/>
  </w:num>
  <w:num w:numId="23">
    <w:abstractNumId w:val="5"/>
  </w:num>
  <w:num w:numId="24">
    <w:abstractNumId w:val="16"/>
  </w:num>
  <w:num w:numId="25">
    <w:abstractNumId w:val="4"/>
  </w:num>
  <w:num w:numId="26">
    <w:abstractNumId w:val="15"/>
  </w:num>
  <w:num w:numId="27">
    <w:abstractNumId w:val="17"/>
  </w:num>
  <w:num w:numId="28">
    <w:abstractNumId w:val="1"/>
  </w:num>
  <w:num w:numId="29">
    <w:abstractNumId w:val="25"/>
  </w:num>
  <w:num w:numId="30">
    <w:abstractNumId w:val="11"/>
  </w:num>
  <w:num w:numId="31">
    <w:abstractNumId w:val="38"/>
  </w:num>
  <w:num w:numId="32">
    <w:abstractNumId w:val="7"/>
  </w:num>
  <w:num w:numId="33">
    <w:abstractNumId w:val="10"/>
  </w:num>
  <w:num w:numId="34">
    <w:abstractNumId w:val="28"/>
  </w:num>
  <w:num w:numId="35">
    <w:abstractNumId w:val="12"/>
  </w:num>
  <w:num w:numId="36">
    <w:abstractNumId w:val="3"/>
  </w:num>
  <w:num w:numId="37">
    <w:abstractNumId w:val="30"/>
  </w:num>
  <w:num w:numId="38">
    <w:abstractNumId w:val="37"/>
  </w:num>
  <w:num w:numId="39">
    <w:abstractNumId w:val="33"/>
  </w:num>
  <w:num w:numId="40">
    <w:abstractNumId w:val="29"/>
  </w:num>
  <w:num w:numId="41">
    <w:abstractNumId w:val="0"/>
  </w:num>
  <w:num w:numId="4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9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0&lt;/ScanUnformatted&gt;&lt;ScanChanges&gt;0&lt;/ScanChanges&gt;&lt;Suspended&gt;0&lt;/Suspended&gt;&lt;/ENInstantFormat&gt;"/>
    <w:docVar w:name="EN.Layout" w:val="&lt;ENLayout&gt;&lt;Style&gt;CHANDRA2&lt;/Style&gt;&lt;LeftDelim&gt;{&lt;/LeftDelim&gt;&lt;RightDelim&gt;}&lt;/RightDelim&gt;&lt;FontName&gt;Trebuchet MS&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efafpv0nd2rd4e9e2qxeaf6rw5xxvv2ds22&quot;&gt;chandra3&lt;record-ids&gt;&lt;item&gt;919&lt;/item&gt;&lt;item&gt;920&lt;/item&gt;&lt;item&gt;921&lt;/item&gt;&lt;item&gt;922&lt;/item&gt;&lt;item&gt;923&lt;/item&gt;&lt;item&gt;926&lt;/item&gt;&lt;item&gt;927&lt;/item&gt;&lt;item&gt;928&lt;/item&gt;&lt;item&gt;931&lt;/item&gt;&lt;item&gt;935&lt;/item&gt;&lt;item&gt;938&lt;/item&gt;&lt;item&gt;939&lt;/item&gt;&lt;item&gt;940&lt;/item&gt;&lt;item&gt;941&lt;/item&gt;&lt;item&gt;942&lt;/item&gt;&lt;item&gt;943&lt;/item&gt;&lt;item&gt;944&lt;/item&gt;&lt;item&gt;945&lt;/item&gt;&lt;item&gt;946&lt;/item&gt;&lt;item&gt;953&lt;/item&gt;&lt;item&gt;955&lt;/item&gt;&lt;item&gt;1093&lt;/item&gt;&lt;item&gt;1094&lt;/item&gt;&lt;item&gt;1097&lt;/item&gt;&lt;item&gt;1098&lt;/item&gt;&lt;item&gt;1141&lt;/item&gt;&lt;item&gt;1189&lt;/item&gt;&lt;item&gt;1190&lt;/item&gt;&lt;item&gt;1251&lt;/item&gt;&lt;item&gt;1252&lt;/item&gt;&lt;item&gt;1253&lt;/item&gt;&lt;item&gt;1254&lt;/item&gt;&lt;item&gt;1256&lt;/item&gt;&lt;item&gt;1257&lt;/item&gt;&lt;item&gt;1258&lt;/item&gt;&lt;item&gt;1260&lt;/item&gt;&lt;item&gt;1261&lt;/item&gt;&lt;item&gt;1265&lt;/item&gt;&lt;item&gt;1267&lt;/item&gt;&lt;item&gt;1313&lt;/item&gt;&lt;item&gt;1316&lt;/item&gt;&lt;item&gt;1317&lt;/item&gt;&lt;item&gt;1318&lt;/item&gt;&lt;item&gt;1319&lt;/item&gt;&lt;item&gt;1320&lt;/item&gt;&lt;item&gt;1323&lt;/item&gt;&lt;item&gt;1324&lt;/item&gt;&lt;item&gt;1325&lt;/item&gt;&lt;item&gt;1327&lt;/item&gt;&lt;item&gt;1328&lt;/item&gt;&lt;item&gt;1329&lt;/item&gt;&lt;item&gt;1330&lt;/item&gt;&lt;item&gt;1332&lt;/item&gt;&lt;item&gt;1333&lt;/item&gt;&lt;item&gt;1334&lt;/item&gt;&lt;item&gt;1335&lt;/item&gt;&lt;item&gt;1336&lt;/item&gt;&lt;item&gt;1337&lt;/item&gt;&lt;item&gt;1340&lt;/item&gt;&lt;item&gt;1341&lt;/item&gt;&lt;item&gt;1342&lt;/item&gt;&lt;item&gt;1358&lt;/item&gt;&lt;item&gt;1359&lt;/item&gt;&lt;item&gt;1360&lt;/item&gt;&lt;item&gt;1361&lt;/item&gt;&lt;item&gt;1362&lt;/item&gt;&lt;/record-ids&gt;&lt;/item&gt;&lt;/Libraries&gt;"/>
  </w:docVars>
  <w:rsids>
    <w:rsidRoot w:val="00450D00"/>
    <w:rsid w:val="00000410"/>
    <w:rsid w:val="00002C65"/>
    <w:rsid w:val="00004162"/>
    <w:rsid w:val="000108B2"/>
    <w:rsid w:val="00010922"/>
    <w:rsid w:val="00010AB8"/>
    <w:rsid w:val="00012B64"/>
    <w:rsid w:val="00013265"/>
    <w:rsid w:val="00013AF5"/>
    <w:rsid w:val="00013D64"/>
    <w:rsid w:val="00013F85"/>
    <w:rsid w:val="00014BFC"/>
    <w:rsid w:val="00017514"/>
    <w:rsid w:val="00020300"/>
    <w:rsid w:val="00020E10"/>
    <w:rsid w:val="00021548"/>
    <w:rsid w:val="00022290"/>
    <w:rsid w:val="000226BA"/>
    <w:rsid w:val="000243DF"/>
    <w:rsid w:val="00027DE1"/>
    <w:rsid w:val="0003077D"/>
    <w:rsid w:val="000315D7"/>
    <w:rsid w:val="00036B80"/>
    <w:rsid w:val="00036F06"/>
    <w:rsid w:val="00037E4B"/>
    <w:rsid w:val="000408B7"/>
    <w:rsid w:val="00040B56"/>
    <w:rsid w:val="0004280F"/>
    <w:rsid w:val="000451D7"/>
    <w:rsid w:val="000455B4"/>
    <w:rsid w:val="000455D8"/>
    <w:rsid w:val="0004684C"/>
    <w:rsid w:val="00050DE6"/>
    <w:rsid w:val="00052987"/>
    <w:rsid w:val="00053683"/>
    <w:rsid w:val="000547A2"/>
    <w:rsid w:val="00057B3F"/>
    <w:rsid w:val="00061161"/>
    <w:rsid w:val="0006125F"/>
    <w:rsid w:val="00063032"/>
    <w:rsid w:val="000633AF"/>
    <w:rsid w:val="0006348B"/>
    <w:rsid w:val="00074BD4"/>
    <w:rsid w:val="0007667B"/>
    <w:rsid w:val="00080669"/>
    <w:rsid w:val="000838D9"/>
    <w:rsid w:val="00083AA7"/>
    <w:rsid w:val="00084796"/>
    <w:rsid w:val="000855E8"/>
    <w:rsid w:val="00087BAF"/>
    <w:rsid w:val="000907F6"/>
    <w:rsid w:val="00090F67"/>
    <w:rsid w:val="00093B1A"/>
    <w:rsid w:val="00093F88"/>
    <w:rsid w:val="00094EF2"/>
    <w:rsid w:val="00095C33"/>
    <w:rsid w:val="00096CCC"/>
    <w:rsid w:val="000A0745"/>
    <w:rsid w:val="000A3BF7"/>
    <w:rsid w:val="000A5E90"/>
    <w:rsid w:val="000A6BD3"/>
    <w:rsid w:val="000A7256"/>
    <w:rsid w:val="000B1D88"/>
    <w:rsid w:val="000B62E1"/>
    <w:rsid w:val="000C20AD"/>
    <w:rsid w:val="000C3CA3"/>
    <w:rsid w:val="000C4974"/>
    <w:rsid w:val="000C4ACA"/>
    <w:rsid w:val="000D33C1"/>
    <w:rsid w:val="000D4211"/>
    <w:rsid w:val="000D66BF"/>
    <w:rsid w:val="000D6EE1"/>
    <w:rsid w:val="000D79C8"/>
    <w:rsid w:val="000E196C"/>
    <w:rsid w:val="000E2347"/>
    <w:rsid w:val="000E5321"/>
    <w:rsid w:val="000E77BB"/>
    <w:rsid w:val="000F1460"/>
    <w:rsid w:val="000F36EC"/>
    <w:rsid w:val="000F5980"/>
    <w:rsid w:val="000F5ED7"/>
    <w:rsid w:val="000F641C"/>
    <w:rsid w:val="00100FF1"/>
    <w:rsid w:val="00103618"/>
    <w:rsid w:val="001055B7"/>
    <w:rsid w:val="001066C0"/>
    <w:rsid w:val="00106864"/>
    <w:rsid w:val="00106E8E"/>
    <w:rsid w:val="0010761A"/>
    <w:rsid w:val="001100C3"/>
    <w:rsid w:val="0011185B"/>
    <w:rsid w:val="0011373C"/>
    <w:rsid w:val="00117898"/>
    <w:rsid w:val="00120E5B"/>
    <w:rsid w:val="00121B30"/>
    <w:rsid w:val="00121BC9"/>
    <w:rsid w:val="00122010"/>
    <w:rsid w:val="00123B5C"/>
    <w:rsid w:val="00125009"/>
    <w:rsid w:val="001263F6"/>
    <w:rsid w:val="00126BE9"/>
    <w:rsid w:val="0013084E"/>
    <w:rsid w:val="00130FF4"/>
    <w:rsid w:val="00131016"/>
    <w:rsid w:val="00131194"/>
    <w:rsid w:val="00132148"/>
    <w:rsid w:val="001327A8"/>
    <w:rsid w:val="001327E3"/>
    <w:rsid w:val="00134E5B"/>
    <w:rsid w:val="00135C75"/>
    <w:rsid w:val="00137E58"/>
    <w:rsid w:val="00141669"/>
    <w:rsid w:val="0014260B"/>
    <w:rsid w:val="001429B2"/>
    <w:rsid w:val="001445A9"/>
    <w:rsid w:val="00146270"/>
    <w:rsid w:val="00150874"/>
    <w:rsid w:val="001509F3"/>
    <w:rsid w:val="00153EE8"/>
    <w:rsid w:val="00154A30"/>
    <w:rsid w:val="00154B9D"/>
    <w:rsid w:val="00155733"/>
    <w:rsid w:val="00155839"/>
    <w:rsid w:val="001565EC"/>
    <w:rsid w:val="00157690"/>
    <w:rsid w:val="00157A46"/>
    <w:rsid w:val="001602EF"/>
    <w:rsid w:val="00160492"/>
    <w:rsid w:val="001610C4"/>
    <w:rsid w:val="0016133C"/>
    <w:rsid w:val="001653FD"/>
    <w:rsid w:val="00166BBE"/>
    <w:rsid w:val="00166D80"/>
    <w:rsid w:val="00166ED3"/>
    <w:rsid w:val="00166EF6"/>
    <w:rsid w:val="00167081"/>
    <w:rsid w:val="00170452"/>
    <w:rsid w:val="0017157F"/>
    <w:rsid w:val="0017313A"/>
    <w:rsid w:val="001733D6"/>
    <w:rsid w:val="00173D2B"/>
    <w:rsid w:val="00173E64"/>
    <w:rsid w:val="00177827"/>
    <w:rsid w:val="0017798F"/>
    <w:rsid w:val="00184504"/>
    <w:rsid w:val="001849FB"/>
    <w:rsid w:val="00185EBE"/>
    <w:rsid w:val="00187F00"/>
    <w:rsid w:val="00193A2B"/>
    <w:rsid w:val="00193F7F"/>
    <w:rsid w:val="001943A2"/>
    <w:rsid w:val="001A1990"/>
    <w:rsid w:val="001A22F5"/>
    <w:rsid w:val="001A327F"/>
    <w:rsid w:val="001A356D"/>
    <w:rsid w:val="001A4767"/>
    <w:rsid w:val="001A7306"/>
    <w:rsid w:val="001A7732"/>
    <w:rsid w:val="001A7FF2"/>
    <w:rsid w:val="001B0E62"/>
    <w:rsid w:val="001B3E41"/>
    <w:rsid w:val="001B43CF"/>
    <w:rsid w:val="001B4B08"/>
    <w:rsid w:val="001B51E7"/>
    <w:rsid w:val="001B5601"/>
    <w:rsid w:val="001C261E"/>
    <w:rsid w:val="001C2CB5"/>
    <w:rsid w:val="001C4B71"/>
    <w:rsid w:val="001C6858"/>
    <w:rsid w:val="001C7681"/>
    <w:rsid w:val="001C7BB1"/>
    <w:rsid w:val="001D1CF0"/>
    <w:rsid w:val="001D3904"/>
    <w:rsid w:val="001D4425"/>
    <w:rsid w:val="001D52A4"/>
    <w:rsid w:val="001D57DB"/>
    <w:rsid w:val="001D7935"/>
    <w:rsid w:val="001D7EDD"/>
    <w:rsid w:val="001E091F"/>
    <w:rsid w:val="001E0E24"/>
    <w:rsid w:val="001E0F6F"/>
    <w:rsid w:val="001E2C8D"/>
    <w:rsid w:val="001E4F3F"/>
    <w:rsid w:val="001E72C1"/>
    <w:rsid w:val="001F0E82"/>
    <w:rsid w:val="001F3175"/>
    <w:rsid w:val="001F4B70"/>
    <w:rsid w:val="001F4C08"/>
    <w:rsid w:val="001F7D84"/>
    <w:rsid w:val="00202818"/>
    <w:rsid w:val="00203106"/>
    <w:rsid w:val="00203A2C"/>
    <w:rsid w:val="00203C2A"/>
    <w:rsid w:val="002050E7"/>
    <w:rsid w:val="00205717"/>
    <w:rsid w:val="00206A36"/>
    <w:rsid w:val="002072BA"/>
    <w:rsid w:val="0020766B"/>
    <w:rsid w:val="002130DB"/>
    <w:rsid w:val="0021380D"/>
    <w:rsid w:val="00216A1D"/>
    <w:rsid w:val="00216D4B"/>
    <w:rsid w:val="002173E6"/>
    <w:rsid w:val="0021765E"/>
    <w:rsid w:val="00217A9F"/>
    <w:rsid w:val="00221805"/>
    <w:rsid w:val="00226411"/>
    <w:rsid w:val="00227298"/>
    <w:rsid w:val="002277A9"/>
    <w:rsid w:val="002335A1"/>
    <w:rsid w:val="00233738"/>
    <w:rsid w:val="00233BFA"/>
    <w:rsid w:val="002345B0"/>
    <w:rsid w:val="0023581F"/>
    <w:rsid w:val="00237F79"/>
    <w:rsid w:val="00240F32"/>
    <w:rsid w:val="0024240C"/>
    <w:rsid w:val="002436AF"/>
    <w:rsid w:val="00243B62"/>
    <w:rsid w:val="00243E66"/>
    <w:rsid w:val="00245105"/>
    <w:rsid w:val="00245A4F"/>
    <w:rsid w:val="00245A5B"/>
    <w:rsid w:val="00245B00"/>
    <w:rsid w:val="002518C5"/>
    <w:rsid w:val="002528A3"/>
    <w:rsid w:val="002530AD"/>
    <w:rsid w:val="00255E30"/>
    <w:rsid w:val="002563B8"/>
    <w:rsid w:val="002566DB"/>
    <w:rsid w:val="0025748F"/>
    <w:rsid w:val="00261ECF"/>
    <w:rsid w:val="002643E4"/>
    <w:rsid w:val="00266AE5"/>
    <w:rsid w:val="00267C31"/>
    <w:rsid w:val="0027015E"/>
    <w:rsid w:val="002724DB"/>
    <w:rsid w:val="0027347C"/>
    <w:rsid w:val="0027475F"/>
    <w:rsid w:val="00276EB7"/>
    <w:rsid w:val="002774DD"/>
    <w:rsid w:val="00277F7C"/>
    <w:rsid w:val="0028087D"/>
    <w:rsid w:val="00284FCB"/>
    <w:rsid w:val="00286374"/>
    <w:rsid w:val="00286589"/>
    <w:rsid w:val="00286989"/>
    <w:rsid w:val="00286D33"/>
    <w:rsid w:val="00287446"/>
    <w:rsid w:val="00292215"/>
    <w:rsid w:val="00292B41"/>
    <w:rsid w:val="00294064"/>
    <w:rsid w:val="002953CF"/>
    <w:rsid w:val="00295C42"/>
    <w:rsid w:val="00295FC3"/>
    <w:rsid w:val="002A01C1"/>
    <w:rsid w:val="002A2152"/>
    <w:rsid w:val="002A3A55"/>
    <w:rsid w:val="002A3FAC"/>
    <w:rsid w:val="002A43BA"/>
    <w:rsid w:val="002A7DD6"/>
    <w:rsid w:val="002B1FA4"/>
    <w:rsid w:val="002B26B9"/>
    <w:rsid w:val="002B4201"/>
    <w:rsid w:val="002B62AA"/>
    <w:rsid w:val="002B6D30"/>
    <w:rsid w:val="002B7C43"/>
    <w:rsid w:val="002B7F7C"/>
    <w:rsid w:val="002C0F8C"/>
    <w:rsid w:val="002C2004"/>
    <w:rsid w:val="002C4762"/>
    <w:rsid w:val="002C494F"/>
    <w:rsid w:val="002C526D"/>
    <w:rsid w:val="002D105D"/>
    <w:rsid w:val="002D1677"/>
    <w:rsid w:val="002D5EA8"/>
    <w:rsid w:val="002D66A2"/>
    <w:rsid w:val="002D6EA0"/>
    <w:rsid w:val="002E1913"/>
    <w:rsid w:val="002E196B"/>
    <w:rsid w:val="002E2A2E"/>
    <w:rsid w:val="002E46D3"/>
    <w:rsid w:val="002E5F1B"/>
    <w:rsid w:val="002F0C70"/>
    <w:rsid w:val="002F554E"/>
    <w:rsid w:val="002F6915"/>
    <w:rsid w:val="002F6939"/>
    <w:rsid w:val="002F7035"/>
    <w:rsid w:val="00301222"/>
    <w:rsid w:val="00301C49"/>
    <w:rsid w:val="003030ED"/>
    <w:rsid w:val="00304E1B"/>
    <w:rsid w:val="00306F51"/>
    <w:rsid w:val="003077A5"/>
    <w:rsid w:val="00312468"/>
    <w:rsid w:val="00312CEB"/>
    <w:rsid w:val="0031358D"/>
    <w:rsid w:val="0031407F"/>
    <w:rsid w:val="003155D6"/>
    <w:rsid w:val="003167DB"/>
    <w:rsid w:val="003225FE"/>
    <w:rsid w:val="00324117"/>
    <w:rsid w:val="00333611"/>
    <w:rsid w:val="00333C39"/>
    <w:rsid w:val="00334CE3"/>
    <w:rsid w:val="00337812"/>
    <w:rsid w:val="00337E7F"/>
    <w:rsid w:val="00340B4D"/>
    <w:rsid w:val="0034146A"/>
    <w:rsid w:val="00341603"/>
    <w:rsid w:val="00342A9F"/>
    <w:rsid w:val="00346E75"/>
    <w:rsid w:val="003478BA"/>
    <w:rsid w:val="003479AB"/>
    <w:rsid w:val="00347E81"/>
    <w:rsid w:val="003542BD"/>
    <w:rsid w:val="0035560E"/>
    <w:rsid w:val="00356121"/>
    <w:rsid w:val="00356EF0"/>
    <w:rsid w:val="00357DF3"/>
    <w:rsid w:val="00367546"/>
    <w:rsid w:val="003729FD"/>
    <w:rsid w:val="0037427A"/>
    <w:rsid w:val="00375A21"/>
    <w:rsid w:val="00382404"/>
    <w:rsid w:val="0038280C"/>
    <w:rsid w:val="0038359E"/>
    <w:rsid w:val="00383E89"/>
    <w:rsid w:val="003921C9"/>
    <w:rsid w:val="003969E8"/>
    <w:rsid w:val="00397C94"/>
    <w:rsid w:val="003A1F42"/>
    <w:rsid w:val="003A5AB1"/>
    <w:rsid w:val="003B04AC"/>
    <w:rsid w:val="003B16DA"/>
    <w:rsid w:val="003B2492"/>
    <w:rsid w:val="003B37E5"/>
    <w:rsid w:val="003B483E"/>
    <w:rsid w:val="003B5EDD"/>
    <w:rsid w:val="003B75B3"/>
    <w:rsid w:val="003C00CC"/>
    <w:rsid w:val="003C0CAF"/>
    <w:rsid w:val="003C15B1"/>
    <w:rsid w:val="003C2367"/>
    <w:rsid w:val="003C32E0"/>
    <w:rsid w:val="003C726F"/>
    <w:rsid w:val="003D05C9"/>
    <w:rsid w:val="003D1A6B"/>
    <w:rsid w:val="003D2394"/>
    <w:rsid w:val="003D289A"/>
    <w:rsid w:val="003D337E"/>
    <w:rsid w:val="003D3795"/>
    <w:rsid w:val="003D38C7"/>
    <w:rsid w:val="003D5EB0"/>
    <w:rsid w:val="003D6251"/>
    <w:rsid w:val="003E0C13"/>
    <w:rsid w:val="003E480D"/>
    <w:rsid w:val="003E640F"/>
    <w:rsid w:val="003E67CB"/>
    <w:rsid w:val="003F057D"/>
    <w:rsid w:val="003F242D"/>
    <w:rsid w:val="003F31C1"/>
    <w:rsid w:val="003F4A07"/>
    <w:rsid w:val="00403520"/>
    <w:rsid w:val="00403AA6"/>
    <w:rsid w:val="004045C6"/>
    <w:rsid w:val="00404960"/>
    <w:rsid w:val="00405B61"/>
    <w:rsid w:val="00406B75"/>
    <w:rsid w:val="00406BF7"/>
    <w:rsid w:val="004127E5"/>
    <w:rsid w:val="004145EE"/>
    <w:rsid w:val="004170BE"/>
    <w:rsid w:val="00422611"/>
    <w:rsid w:val="00423830"/>
    <w:rsid w:val="00424AE8"/>
    <w:rsid w:val="004257F7"/>
    <w:rsid w:val="00425C8C"/>
    <w:rsid w:val="004276F8"/>
    <w:rsid w:val="00430038"/>
    <w:rsid w:val="00430CE6"/>
    <w:rsid w:val="00430FD7"/>
    <w:rsid w:val="004324CB"/>
    <w:rsid w:val="004328F1"/>
    <w:rsid w:val="0043361D"/>
    <w:rsid w:val="00433643"/>
    <w:rsid w:val="0043494A"/>
    <w:rsid w:val="00435CD3"/>
    <w:rsid w:val="004364C5"/>
    <w:rsid w:val="004368FA"/>
    <w:rsid w:val="0044012E"/>
    <w:rsid w:val="00442FE6"/>
    <w:rsid w:val="00443364"/>
    <w:rsid w:val="0044512A"/>
    <w:rsid w:val="0044663B"/>
    <w:rsid w:val="00450D00"/>
    <w:rsid w:val="004515E1"/>
    <w:rsid w:val="0045225C"/>
    <w:rsid w:val="00452906"/>
    <w:rsid w:val="00453F58"/>
    <w:rsid w:val="00455F79"/>
    <w:rsid w:val="00456721"/>
    <w:rsid w:val="00456B5F"/>
    <w:rsid w:val="00456F45"/>
    <w:rsid w:val="004608F2"/>
    <w:rsid w:val="004613F4"/>
    <w:rsid w:val="004705F7"/>
    <w:rsid w:val="004737C1"/>
    <w:rsid w:val="004807ED"/>
    <w:rsid w:val="00482B03"/>
    <w:rsid w:val="0048304D"/>
    <w:rsid w:val="00485FD8"/>
    <w:rsid w:val="0048643A"/>
    <w:rsid w:val="0048663C"/>
    <w:rsid w:val="004869AD"/>
    <w:rsid w:val="00486DCE"/>
    <w:rsid w:val="00491041"/>
    <w:rsid w:val="00492C6B"/>
    <w:rsid w:val="00493FBE"/>
    <w:rsid w:val="0049453B"/>
    <w:rsid w:val="004946A5"/>
    <w:rsid w:val="00494AF0"/>
    <w:rsid w:val="00494E7C"/>
    <w:rsid w:val="00495EE1"/>
    <w:rsid w:val="00496141"/>
    <w:rsid w:val="004A0BF1"/>
    <w:rsid w:val="004A1320"/>
    <w:rsid w:val="004A4E68"/>
    <w:rsid w:val="004A59A3"/>
    <w:rsid w:val="004A5E93"/>
    <w:rsid w:val="004A60B5"/>
    <w:rsid w:val="004A70FA"/>
    <w:rsid w:val="004B2255"/>
    <w:rsid w:val="004B228F"/>
    <w:rsid w:val="004B524D"/>
    <w:rsid w:val="004B5AF0"/>
    <w:rsid w:val="004C4063"/>
    <w:rsid w:val="004C61FA"/>
    <w:rsid w:val="004C62F6"/>
    <w:rsid w:val="004C6974"/>
    <w:rsid w:val="004C7B58"/>
    <w:rsid w:val="004D12C2"/>
    <w:rsid w:val="004D1FFB"/>
    <w:rsid w:val="004D39DD"/>
    <w:rsid w:val="004D4802"/>
    <w:rsid w:val="004D7852"/>
    <w:rsid w:val="004E43FB"/>
    <w:rsid w:val="004E7067"/>
    <w:rsid w:val="004E7227"/>
    <w:rsid w:val="004F0634"/>
    <w:rsid w:val="004F0E9D"/>
    <w:rsid w:val="004F14FE"/>
    <w:rsid w:val="004F186B"/>
    <w:rsid w:val="004F4239"/>
    <w:rsid w:val="004F529C"/>
    <w:rsid w:val="005029BB"/>
    <w:rsid w:val="00502B4F"/>
    <w:rsid w:val="00505D31"/>
    <w:rsid w:val="00513B93"/>
    <w:rsid w:val="005140A8"/>
    <w:rsid w:val="005140B6"/>
    <w:rsid w:val="005145A1"/>
    <w:rsid w:val="005169AB"/>
    <w:rsid w:val="005174CD"/>
    <w:rsid w:val="00520315"/>
    <w:rsid w:val="00520AE1"/>
    <w:rsid w:val="0052276C"/>
    <w:rsid w:val="00530E8F"/>
    <w:rsid w:val="00531C82"/>
    <w:rsid w:val="005320A5"/>
    <w:rsid w:val="00532C80"/>
    <w:rsid w:val="0053460D"/>
    <w:rsid w:val="005351A3"/>
    <w:rsid w:val="0054018F"/>
    <w:rsid w:val="005408A6"/>
    <w:rsid w:val="00541B94"/>
    <w:rsid w:val="00541F26"/>
    <w:rsid w:val="00542073"/>
    <w:rsid w:val="00545ED0"/>
    <w:rsid w:val="005469CC"/>
    <w:rsid w:val="00550C1E"/>
    <w:rsid w:val="0055160A"/>
    <w:rsid w:val="00553226"/>
    <w:rsid w:val="00554DDC"/>
    <w:rsid w:val="0055547A"/>
    <w:rsid w:val="005554BC"/>
    <w:rsid w:val="00555664"/>
    <w:rsid w:val="005561FC"/>
    <w:rsid w:val="00557109"/>
    <w:rsid w:val="005616B0"/>
    <w:rsid w:val="00562C94"/>
    <w:rsid w:val="005651D0"/>
    <w:rsid w:val="0056685A"/>
    <w:rsid w:val="00570758"/>
    <w:rsid w:val="005716D2"/>
    <w:rsid w:val="00571F19"/>
    <w:rsid w:val="00575B57"/>
    <w:rsid w:val="005761AA"/>
    <w:rsid w:val="00576C7E"/>
    <w:rsid w:val="005802F4"/>
    <w:rsid w:val="00580401"/>
    <w:rsid w:val="00581587"/>
    <w:rsid w:val="005824AD"/>
    <w:rsid w:val="005825D0"/>
    <w:rsid w:val="005853FC"/>
    <w:rsid w:val="00585EC9"/>
    <w:rsid w:val="0059009F"/>
    <w:rsid w:val="00590B8E"/>
    <w:rsid w:val="00592349"/>
    <w:rsid w:val="00592E39"/>
    <w:rsid w:val="0059497C"/>
    <w:rsid w:val="00594E81"/>
    <w:rsid w:val="00595CFC"/>
    <w:rsid w:val="00595EEA"/>
    <w:rsid w:val="00595FE2"/>
    <w:rsid w:val="005969ED"/>
    <w:rsid w:val="0059747F"/>
    <w:rsid w:val="00597AED"/>
    <w:rsid w:val="00597D1D"/>
    <w:rsid w:val="005A4FEC"/>
    <w:rsid w:val="005A6811"/>
    <w:rsid w:val="005A6AB2"/>
    <w:rsid w:val="005A71F2"/>
    <w:rsid w:val="005A7284"/>
    <w:rsid w:val="005B036B"/>
    <w:rsid w:val="005B1350"/>
    <w:rsid w:val="005B25A9"/>
    <w:rsid w:val="005B37EA"/>
    <w:rsid w:val="005B5A45"/>
    <w:rsid w:val="005B612E"/>
    <w:rsid w:val="005B6913"/>
    <w:rsid w:val="005C1608"/>
    <w:rsid w:val="005C277E"/>
    <w:rsid w:val="005C616C"/>
    <w:rsid w:val="005C61F8"/>
    <w:rsid w:val="005C7756"/>
    <w:rsid w:val="005D0936"/>
    <w:rsid w:val="005D14CE"/>
    <w:rsid w:val="005D34A0"/>
    <w:rsid w:val="005D3C74"/>
    <w:rsid w:val="005D4474"/>
    <w:rsid w:val="005D7655"/>
    <w:rsid w:val="005D7A29"/>
    <w:rsid w:val="005E13DF"/>
    <w:rsid w:val="005E3BDB"/>
    <w:rsid w:val="005E4764"/>
    <w:rsid w:val="005E5DA1"/>
    <w:rsid w:val="005E6064"/>
    <w:rsid w:val="005E69DE"/>
    <w:rsid w:val="005F0D77"/>
    <w:rsid w:val="005F16CF"/>
    <w:rsid w:val="005F1C9B"/>
    <w:rsid w:val="005F4001"/>
    <w:rsid w:val="005F4B8B"/>
    <w:rsid w:val="005F73E6"/>
    <w:rsid w:val="00600148"/>
    <w:rsid w:val="006002AE"/>
    <w:rsid w:val="00602830"/>
    <w:rsid w:val="006038A6"/>
    <w:rsid w:val="0060417B"/>
    <w:rsid w:val="00606F16"/>
    <w:rsid w:val="006073AD"/>
    <w:rsid w:val="006102D2"/>
    <w:rsid w:val="006112A8"/>
    <w:rsid w:val="00611886"/>
    <w:rsid w:val="00614F81"/>
    <w:rsid w:val="00616C4D"/>
    <w:rsid w:val="00616F5D"/>
    <w:rsid w:val="00617B9C"/>
    <w:rsid w:val="006209CF"/>
    <w:rsid w:val="00621B44"/>
    <w:rsid w:val="00622F36"/>
    <w:rsid w:val="00623D0C"/>
    <w:rsid w:val="00624B90"/>
    <w:rsid w:val="00626298"/>
    <w:rsid w:val="0062700D"/>
    <w:rsid w:val="0062735F"/>
    <w:rsid w:val="00627574"/>
    <w:rsid w:val="006314BE"/>
    <w:rsid w:val="006326FC"/>
    <w:rsid w:val="00633737"/>
    <w:rsid w:val="00633C5E"/>
    <w:rsid w:val="00641981"/>
    <w:rsid w:val="006425DA"/>
    <w:rsid w:val="00643800"/>
    <w:rsid w:val="0064564D"/>
    <w:rsid w:val="00646993"/>
    <w:rsid w:val="00651C8C"/>
    <w:rsid w:val="00652845"/>
    <w:rsid w:val="00652973"/>
    <w:rsid w:val="00653DCE"/>
    <w:rsid w:val="00654D1B"/>
    <w:rsid w:val="00655665"/>
    <w:rsid w:val="006556FE"/>
    <w:rsid w:val="00655B97"/>
    <w:rsid w:val="00656102"/>
    <w:rsid w:val="00656679"/>
    <w:rsid w:val="0065681A"/>
    <w:rsid w:val="00657067"/>
    <w:rsid w:val="0066069E"/>
    <w:rsid w:val="00660A2C"/>
    <w:rsid w:val="00660C6D"/>
    <w:rsid w:val="00660F42"/>
    <w:rsid w:val="00662C39"/>
    <w:rsid w:val="00662D21"/>
    <w:rsid w:val="006634CF"/>
    <w:rsid w:val="00665E32"/>
    <w:rsid w:val="006678F0"/>
    <w:rsid w:val="00670FED"/>
    <w:rsid w:val="00674ECE"/>
    <w:rsid w:val="00675724"/>
    <w:rsid w:val="0067712D"/>
    <w:rsid w:val="00680710"/>
    <w:rsid w:val="00682A97"/>
    <w:rsid w:val="00686A91"/>
    <w:rsid w:val="006909DB"/>
    <w:rsid w:val="00691B54"/>
    <w:rsid w:val="00693694"/>
    <w:rsid w:val="006937A4"/>
    <w:rsid w:val="00693EB9"/>
    <w:rsid w:val="00696A48"/>
    <w:rsid w:val="00696FB1"/>
    <w:rsid w:val="006A08AF"/>
    <w:rsid w:val="006A15F7"/>
    <w:rsid w:val="006A1CE4"/>
    <w:rsid w:val="006A20CE"/>
    <w:rsid w:val="006A4140"/>
    <w:rsid w:val="006A5EC1"/>
    <w:rsid w:val="006A7624"/>
    <w:rsid w:val="006B22E8"/>
    <w:rsid w:val="006B2579"/>
    <w:rsid w:val="006B56E9"/>
    <w:rsid w:val="006B5D1B"/>
    <w:rsid w:val="006B6B53"/>
    <w:rsid w:val="006B754A"/>
    <w:rsid w:val="006C1461"/>
    <w:rsid w:val="006C231C"/>
    <w:rsid w:val="006C2388"/>
    <w:rsid w:val="006C5DA9"/>
    <w:rsid w:val="006C6143"/>
    <w:rsid w:val="006C7981"/>
    <w:rsid w:val="006D493F"/>
    <w:rsid w:val="006D49BD"/>
    <w:rsid w:val="006D4EA7"/>
    <w:rsid w:val="006D636C"/>
    <w:rsid w:val="006D68A6"/>
    <w:rsid w:val="006D7D75"/>
    <w:rsid w:val="006D7FC5"/>
    <w:rsid w:val="006E329E"/>
    <w:rsid w:val="006E465A"/>
    <w:rsid w:val="006E6BA5"/>
    <w:rsid w:val="006E7DAF"/>
    <w:rsid w:val="006F03F6"/>
    <w:rsid w:val="006F1DAB"/>
    <w:rsid w:val="006F27E3"/>
    <w:rsid w:val="006F5726"/>
    <w:rsid w:val="007009BB"/>
    <w:rsid w:val="00703048"/>
    <w:rsid w:val="0070308C"/>
    <w:rsid w:val="007037A4"/>
    <w:rsid w:val="0070496D"/>
    <w:rsid w:val="00705B28"/>
    <w:rsid w:val="00705B94"/>
    <w:rsid w:val="00705CA8"/>
    <w:rsid w:val="0071174C"/>
    <w:rsid w:val="00711960"/>
    <w:rsid w:val="00711FD3"/>
    <w:rsid w:val="00712096"/>
    <w:rsid w:val="007121A3"/>
    <w:rsid w:val="00712235"/>
    <w:rsid w:val="007137EF"/>
    <w:rsid w:val="00713D03"/>
    <w:rsid w:val="00715447"/>
    <w:rsid w:val="007164CF"/>
    <w:rsid w:val="00717946"/>
    <w:rsid w:val="00723B12"/>
    <w:rsid w:val="00724E8D"/>
    <w:rsid w:val="0072728B"/>
    <w:rsid w:val="0073086A"/>
    <w:rsid w:val="007312B6"/>
    <w:rsid w:val="00731505"/>
    <w:rsid w:val="00731EC8"/>
    <w:rsid w:val="00734696"/>
    <w:rsid w:val="00735CBB"/>
    <w:rsid w:val="00736E6D"/>
    <w:rsid w:val="00736E92"/>
    <w:rsid w:val="007400CF"/>
    <w:rsid w:val="00740A26"/>
    <w:rsid w:val="00741210"/>
    <w:rsid w:val="00741D04"/>
    <w:rsid w:val="00744B74"/>
    <w:rsid w:val="00746FF8"/>
    <w:rsid w:val="00747449"/>
    <w:rsid w:val="00752787"/>
    <w:rsid w:val="00753BEC"/>
    <w:rsid w:val="00753D67"/>
    <w:rsid w:val="00754AD2"/>
    <w:rsid w:val="00755F94"/>
    <w:rsid w:val="00761234"/>
    <w:rsid w:val="0076147C"/>
    <w:rsid w:val="007629E6"/>
    <w:rsid w:val="0076411E"/>
    <w:rsid w:val="00764689"/>
    <w:rsid w:val="007672AB"/>
    <w:rsid w:val="00772531"/>
    <w:rsid w:val="00774851"/>
    <w:rsid w:val="00775600"/>
    <w:rsid w:val="00775948"/>
    <w:rsid w:val="00776103"/>
    <w:rsid w:val="0077648E"/>
    <w:rsid w:val="00776CED"/>
    <w:rsid w:val="00780A88"/>
    <w:rsid w:val="0078273C"/>
    <w:rsid w:val="00782BAC"/>
    <w:rsid w:val="00782E5B"/>
    <w:rsid w:val="0078340D"/>
    <w:rsid w:val="00783F44"/>
    <w:rsid w:val="00784F4E"/>
    <w:rsid w:val="00785419"/>
    <w:rsid w:val="00787494"/>
    <w:rsid w:val="00787941"/>
    <w:rsid w:val="00787D3A"/>
    <w:rsid w:val="00792E48"/>
    <w:rsid w:val="0079324D"/>
    <w:rsid w:val="007944FB"/>
    <w:rsid w:val="0079456F"/>
    <w:rsid w:val="00796FC3"/>
    <w:rsid w:val="007970FA"/>
    <w:rsid w:val="007A1312"/>
    <w:rsid w:val="007A2079"/>
    <w:rsid w:val="007A230C"/>
    <w:rsid w:val="007A2784"/>
    <w:rsid w:val="007A48CD"/>
    <w:rsid w:val="007A6785"/>
    <w:rsid w:val="007A7741"/>
    <w:rsid w:val="007B0620"/>
    <w:rsid w:val="007B0896"/>
    <w:rsid w:val="007B11BD"/>
    <w:rsid w:val="007B29C1"/>
    <w:rsid w:val="007B6C4A"/>
    <w:rsid w:val="007C09F3"/>
    <w:rsid w:val="007C1223"/>
    <w:rsid w:val="007C1373"/>
    <w:rsid w:val="007C3281"/>
    <w:rsid w:val="007C50A7"/>
    <w:rsid w:val="007C75D3"/>
    <w:rsid w:val="007D0F80"/>
    <w:rsid w:val="007D486C"/>
    <w:rsid w:val="007D6037"/>
    <w:rsid w:val="007D6FDA"/>
    <w:rsid w:val="007D749C"/>
    <w:rsid w:val="007E149A"/>
    <w:rsid w:val="007E2D8C"/>
    <w:rsid w:val="007E49E6"/>
    <w:rsid w:val="007E5243"/>
    <w:rsid w:val="007E7893"/>
    <w:rsid w:val="007F0186"/>
    <w:rsid w:val="007F3053"/>
    <w:rsid w:val="007F3149"/>
    <w:rsid w:val="007F4D9B"/>
    <w:rsid w:val="007F4EB6"/>
    <w:rsid w:val="007F54E9"/>
    <w:rsid w:val="007F5E1B"/>
    <w:rsid w:val="00800291"/>
    <w:rsid w:val="00800A2B"/>
    <w:rsid w:val="008016CA"/>
    <w:rsid w:val="008018C3"/>
    <w:rsid w:val="008031E0"/>
    <w:rsid w:val="00804BE9"/>
    <w:rsid w:val="008056ED"/>
    <w:rsid w:val="00806C1C"/>
    <w:rsid w:val="00807559"/>
    <w:rsid w:val="00807955"/>
    <w:rsid w:val="00810029"/>
    <w:rsid w:val="00814619"/>
    <w:rsid w:val="00814F8A"/>
    <w:rsid w:val="00815395"/>
    <w:rsid w:val="00815BDE"/>
    <w:rsid w:val="008172E9"/>
    <w:rsid w:val="00817616"/>
    <w:rsid w:val="0082057E"/>
    <w:rsid w:val="00822714"/>
    <w:rsid w:val="00824F39"/>
    <w:rsid w:val="008256BA"/>
    <w:rsid w:val="00825D7D"/>
    <w:rsid w:val="00826757"/>
    <w:rsid w:val="00826D8C"/>
    <w:rsid w:val="0083094D"/>
    <w:rsid w:val="00830D81"/>
    <w:rsid w:val="00832E30"/>
    <w:rsid w:val="00833108"/>
    <w:rsid w:val="0083443D"/>
    <w:rsid w:val="00834F8C"/>
    <w:rsid w:val="00835181"/>
    <w:rsid w:val="008414FF"/>
    <w:rsid w:val="00842044"/>
    <w:rsid w:val="00842E6A"/>
    <w:rsid w:val="00842F95"/>
    <w:rsid w:val="008445F3"/>
    <w:rsid w:val="00845D55"/>
    <w:rsid w:val="0084604B"/>
    <w:rsid w:val="008466A2"/>
    <w:rsid w:val="00852661"/>
    <w:rsid w:val="0085460F"/>
    <w:rsid w:val="00854DAD"/>
    <w:rsid w:val="00855597"/>
    <w:rsid w:val="0085746E"/>
    <w:rsid w:val="00861183"/>
    <w:rsid w:val="00865A6B"/>
    <w:rsid w:val="0086734D"/>
    <w:rsid w:val="00867D69"/>
    <w:rsid w:val="00867EA5"/>
    <w:rsid w:val="00871720"/>
    <w:rsid w:val="00874DA5"/>
    <w:rsid w:val="00875EC8"/>
    <w:rsid w:val="00876A76"/>
    <w:rsid w:val="008807E7"/>
    <w:rsid w:val="008816C6"/>
    <w:rsid w:val="008817A8"/>
    <w:rsid w:val="00882289"/>
    <w:rsid w:val="00882CC9"/>
    <w:rsid w:val="00883565"/>
    <w:rsid w:val="00883EAF"/>
    <w:rsid w:val="00885F8A"/>
    <w:rsid w:val="00890D24"/>
    <w:rsid w:val="008923B6"/>
    <w:rsid w:val="00893363"/>
    <w:rsid w:val="00894271"/>
    <w:rsid w:val="00896633"/>
    <w:rsid w:val="008A18B3"/>
    <w:rsid w:val="008A27E8"/>
    <w:rsid w:val="008A2EA2"/>
    <w:rsid w:val="008A3172"/>
    <w:rsid w:val="008A654E"/>
    <w:rsid w:val="008A69B4"/>
    <w:rsid w:val="008A76EE"/>
    <w:rsid w:val="008B0807"/>
    <w:rsid w:val="008B0DE8"/>
    <w:rsid w:val="008B106C"/>
    <w:rsid w:val="008B22E2"/>
    <w:rsid w:val="008B326B"/>
    <w:rsid w:val="008B4B8A"/>
    <w:rsid w:val="008B5DAE"/>
    <w:rsid w:val="008C0A74"/>
    <w:rsid w:val="008C0BE7"/>
    <w:rsid w:val="008C1844"/>
    <w:rsid w:val="008C2283"/>
    <w:rsid w:val="008C22C5"/>
    <w:rsid w:val="008C3742"/>
    <w:rsid w:val="008C70E5"/>
    <w:rsid w:val="008C7235"/>
    <w:rsid w:val="008C797E"/>
    <w:rsid w:val="008D0971"/>
    <w:rsid w:val="008D0EE4"/>
    <w:rsid w:val="008D5A7E"/>
    <w:rsid w:val="008E2B1C"/>
    <w:rsid w:val="008E3307"/>
    <w:rsid w:val="008E3674"/>
    <w:rsid w:val="008E4EE9"/>
    <w:rsid w:val="008E79A5"/>
    <w:rsid w:val="008F008E"/>
    <w:rsid w:val="008F20BA"/>
    <w:rsid w:val="008F2B31"/>
    <w:rsid w:val="008F4E0E"/>
    <w:rsid w:val="008F7FC5"/>
    <w:rsid w:val="00900353"/>
    <w:rsid w:val="009005B3"/>
    <w:rsid w:val="0090217B"/>
    <w:rsid w:val="00904457"/>
    <w:rsid w:val="00904A13"/>
    <w:rsid w:val="009058B5"/>
    <w:rsid w:val="00912DDF"/>
    <w:rsid w:val="00912EA0"/>
    <w:rsid w:val="00912F45"/>
    <w:rsid w:val="009216A2"/>
    <w:rsid w:val="00924C27"/>
    <w:rsid w:val="009300BF"/>
    <w:rsid w:val="0093112F"/>
    <w:rsid w:val="00933186"/>
    <w:rsid w:val="00933317"/>
    <w:rsid w:val="00936FA2"/>
    <w:rsid w:val="00937607"/>
    <w:rsid w:val="00941446"/>
    <w:rsid w:val="00942C5F"/>
    <w:rsid w:val="009436C8"/>
    <w:rsid w:val="009461ED"/>
    <w:rsid w:val="0094664B"/>
    <w:rsid w:val="00947441"/>
    <w:rsid w:val="009476FB"/>
    <w:rsid w:val="00947A86"/>
    <w:rsid w:val="00951C34"/>
    <w:rsid w:val="009538E6"/>
    <w:rsid w:val="009546FB"/>
    <w:rsid w:val="00957992"/>
    <w:rsid w:val="00963F80"/>
    <w:rsid w:val="00965475"/>
    <w:rsid w:val="00965F5F"/>
    <w:rsid w:val="00966C5A"/>
    <w:rsid w:val="00966D03"/>
    <w:rsid w:val="00966DD3"/>
    <w:rsid w:val="009704E4"/>
    <w:rsid w:val="00971284"/>
    <w:rsid w:val="00972C0C"/>
    <w:rsid w:val="009774CF"/>
    <w:rsid w:val="009775C7"/>
    <w:rsid w:val="0098131B"/>
    <w:rsid w:val="0098185A"/>
    <w:rsid w:val="00981C54"/>
    <w:rsid w:val="0098524B"/>
    <w:rsid w:val="009852B3"/>
    <w:rsid w:val="009871F9"/>
    <w:rsid w:val="0098787D"/>
    <w:rsid w:val="00987C8D"/>
    <w:rsid w:val="00993521"/>
    <w:rsid w:val="00993BDF"/>
    <w:rsid w:val="00994650"/>
    <w:rsid w:val="00994C7A"/>
    <w:rsid w:val="00995870"/>
    <w:rsid w:val="009A11B2"/>
    <w:rsid w:val="009A1E5A"/>
    <w:rsid w:val="009A278B"/>
    <w:rsid w:val="009A355C"/>
    <w:rsid w:val="009A54CB"/>
    <w:rsid w:val="009A64FC"/>
    <w:rsid w:val="009A6BC8"/>
    <w:rsid w:val="009A779C"/>
    <w:rsid w:val="009A7EB3"/>
    <w:rsid w:val="009B06B6"/>
    <w:rsid w:val="009B16E1"/>
    <w:rsid w:val="009B1A74"/>
    <w:rsid w:val="009B3501"/>
    <w:rsid w:val="009B4067"/>
    <w:rsid w:val="009B4B78"/>
    <w:rsid w:val="009B6524"/>
    <w:rsid w:val="009C01E1"/>
    <w:rsid w:val="009C1D9E"/>
    <w:rsid w:val="009C22BE"/>
    <w:rsid w:val="009C5B9A"/>
    <w:rsid w:val="009D0FDF"/>
    <w:rsid w:val="009D2A6D"/>
    <w:rsid w:val="009D2C3F"/>
    <w:rsid w:val="009D3A3A"/>
    <w:rsid w:val="009D425E"/>
    <w:rsid w:val="009D5E9F"/>
    <w:rsid w:val="009E0136"/>
    <w:rsid w:val="009E231A"/>
    <w:rsid w:val="009E2A64"/>
    <w:rsid w:val="009E2F64"/>
    <w:rsid w:val="009E4041"/>
    <w:rsid w:val="009E56A6"/>
    <w:rsid w:val="009E699D"/>
    <w:rsid w:val="009E6E63"/>
    <w:rsid w:val="009E7015"/>
    <w:rsid w:val="009E7DC5"/>
    <w:rsid w:val="009F08CF"/>
    <w:rsid w:val="009F0CC6"/>
    <w:rsid w:val="009F22B5"/>
    <w:rsid w:val="009F2B01"/>
    <w:rsid w:val="009F57D7"/>
    <w:rsid w:val="009F61EB"/>
    <w:rsid w:val="00A01702"/>
    <w:rsid w:val="00A018D8"/>
    <w:rsid w:val="00A05DA9"/>
    <w:rsid w:val="00A05FC2"/>
    <w:rsid w:val="00A07734"/>
    <w:rsid w:val="00A07A96"/>
    <w:rsid w:val="00A07EC7"/>
    <w:rsid w:val="00A10A6B"/>
    <w:rsid w:val="00A10C89"/>
    <w:rsid w:val="00A10E2B"/>
    <w:rsid w:val="00A11D9C"/>
    <w:rsid w:val="00A13D63"/>
    <w:rsid w:val="00A161C6"/>
    <w:rsid w:val="00A16916"/>
    <w:rsid w:val="00A2036C"/>
    <w:rsid w:val="00A22F06"/>
    <w:rsid w:val="00A22FC5"/>
    <w:rsid w:val="00A22FFA"/>
    <w:rsid w:val="00A251E0"/>
    <w:rsid w:val="00A2763A"/>
    <w:rsid w:val="00A30084"/>
    <w:rsid w:val="00A32C99"/>
    <w:rsid w:val="00A33EAA"/>
    <w:rsid w:val="00A33F95"/>
    <w:rsid w:val="00A3506D"/>
    <w:rsid w:val="00A36951"/>
    <w:rsid w:val="00A40A44"/>
    <w:rsid w:val="00A415FA"/>
    <w:rsid w:val="00A4566E"/>
    <w:rsid w:val="00A45A45"/>
    <w:rsid w:val="00A50895"/>
    <w:rsid w:val="00A5384F"/>
    <w:rsid w:val="00A5674C"/>
    <w:rsid w:val="00A567A3"/>
    <w:rsid w:val="00A56A4A"/>
    <w:rsid w:val="00A578A8"/>
    <w:rsid w:val="00A61222"/>
    <w:rsid w:val="00A614C9"/>
    <w:rsid w:val="00A63FD1"/>
    <w:rsid w:val="00A71684"/>
    <w:rsid w:val="00A726E6"/>
    <w:rsid w:val="00A73318"/>
    <w:rsid w:val="00A752E8"/>
    <w:rsid w:val="00A7722B"/>
    <w:rsid w:val="00A7794D"/>
    <w:rsid w:val="00A77E0A"/>
    <w:rsid w:val="00A818A4"/>
    <w:rsid w:val="00A8241F"/>
    <w:rsid w:val="00A84AD5"/>
    <w:rsid w:val="00A86B0C"/>
    <w:rsid w:val="00A87BA1"/>
    <w:rsid w:val="00A90348"/>
    <w:rsid w:val="00A90795"/>
    <w:rsid w:val="00A90EBF"/>
    <w:rsid w:val="00A93867"/>
    <w:rsid w:val="00A94347"/>
    <w:rsid w:val="00A94CE8"/>
    <w:rsid w:val="00A97BE7"/>
    <w:rsid w:val="00AA143C"/>
    <w:rsid w:val="00AA381A"/>
    <w:rsid w:val="00AA3D16"/>
    <w:rsid w:val="00AA44D4"/>
    <w:rsid w:val="00AB2C28"/>
    <w:rsid w:val="00AB5716"/>
    <w:rsid w:val="00AB7C9D"/>
    <w:rsid w:val="00AC1559"/>
    <w:rsid w:val="00AC37F8"/>
    <w:rsid w:val="00AC4226"/>
    <w:rsid w:val="00AC688A"/>
    <w:rsid w:val="00AD4589"/>
    <w:rsid w:val="00AD47D5"/>
    <w:rsid w:val="00AD67E8"/>
    <w:rsid w:val="00AE1390"/>
    <w:rsid w:val="00AE1BD8"/>
    <w:rsid w:val="00AE4305"/>
    <w:rsid w:val="00AE59AA"/>
    <w:rsid w:val="00AE5C10"/>
    <w:rsid w:val="00AE6758"/>
    <w:rsid w:val="00AF03C2"/>
    <w:rsid w:val="00AF0CA4"/>
    <w:rsid w:val="00AF1005"/>
    <w:rsid w:val="00AF1216"/>
    <w:rsid w:val="00AF1AA3"/>
    <w:rsid w:val="00AF2D11"/>
    <w:rsid w:val="00AF2E5F"/>
    <w:rsid w:val="00AF3296"/>
    <w:rsid w:val="00AF56F4"/>
    <w:rsid w:val="00AF5914"/>
    <w:rsid w:val="00AF6B31"/>
    <w:rsid w:val="00AF7CD4"/>
    <w:rsid w:val="00B000C0"/>
    <w:rsid w:val="00B00852"/>
    <w:rsid w:val="00B05848"/>
    <w:rsid w:val="00B05F5C"/>
    <w:rsid w:val="00B07D92"/>
    <w:rsid w:val="00B15F54"/>
    <w:rsid w:val="00B168CD"/>
    <w:rsid w:val="00B16C17"/>
    <w:rsid w:val="00B205CC"/>
    <w:rsid w:val="00B20EAF"/>
    <w:rsid w:val="00B24007"/>
    <w:rsid w:val="00B31273"/>
    <w:rsid w:val="00B327AC"/>
    <w:rsid w:val="00B32C95"/>
    <w:rsid w:val="00B40BD3"/>
    <w:rsid w:val="00B41272"/>
    <w:rsid w:val="00B426FE"/>
    <w:rsid w:val="00B433E7"/>
    <w:rsid w:val="00B43CFB"/>
    <w:rsid w:val="00B45A40"/>
    <w:rsid w:val="00B46152"/>
    <w:rsid w:val="00B46626"/>
    <w:rsid w:val="00B46D83"/>
    <w:rsid w:val="00B477DE"/>
    <w:rsid w:val="00B5180A"/>
    <w:rsid w:val="00B5202A"/>
    <w:rsid w:val="00B526E5"/>
    <w:rsid w:val="00B52A10"/>
    <w:rsid w:val="00B534A9"/>
    <w:rsid w:val="00B54E47"/>
    <w:rsid w:val="00B6029D"/>
    <w:rsid w:val="00B67288"/>
    <w:rsid w:val="00B70CA4"/>
    <w:rsid w:val="00B73351"/>
    <w:rsid w:val="00B75255"/>
    <w:rsid w:val="00B77043"/>
    <w:rsid w:val="00B7757D"/>
    <w:rsid w:val="00B776B6"/>
    <w:rsid w:val="00B80F91"/>
    <w:rsid w:val="00B816F6"/>
    <w:rsid w:val="00B8521E"/>
    <w:rsid w:val="00B857EE"/>
    <w:rsid w:val="00B86B3E"/>
    <w:rsid w:val="00B86D06"/>
    <w:rsid w:val="00B86DA4"/>
    <w:rsid w:val="00B87039"/>
    <w:rsid w:val="00B91D03"/>
    <w:rsid w:val="00B9246F"/>
    <w:rsid w:val="00B92D19"/>
    <w:rsid w:val="00B93F07"/>
    <w:rsid w:val="00B93FFD"/>
    <w:rsid w:val="00B9454E"/>
    <w:rsid w:val="00B9485D"/>
    <w:rsid w:val="00B9571C"/>
    <w:rsid w:val="00BA335E"/>
    <w:rsid w:val="00BA3A03"/>
    <w:rsid w:val="00BB113D"/>
    <w:rsid w:val="00BB5A0A"/>
    <w:rsid w:val="00BB6D07"/>
    <w:rsid w:val="00BC0366"/>
    <w:rsid w:val="00BC0A04"/>
    <w:rsid w:val="00BC241A"/>
    <w:rsid w:val="00BC3AE1"/>
    <w:rsid w:val="00BC45A2"/>
    <w:rsid w:val="00BC770A"/>
    <w:rsid w:val="00BC7C47"/>
    <w:rsid w:val="00BD0580"/>
    <w:rsid w:val="00BD11DA"/>
    <w:rsid w:val="00BD27FF"/>
    <w:rsid w:val="00BD3085"/>
    <w:rsid w:val="00BD3900"/>
    <w:rsid w:val="00BD5155"/>
    <w:rsid w:val="00BD53A0"/>
    <w:rsid w:val="00BD57B2"/>
    <w:rsid w:val="00BD7A55"/>
    <w:rsid w:val="00BD7DD8"/>
    <w:rsid w:val="00BE2D1F"/>
    <w:rsid w:val="00BE4D22"/>
    <w:rsid w:val="00BE558D"/>
    <w:rsid w:val="00BE5A5C"/>
    <w:rsid w:val="00BE7104"/>
    <w:rsid w:val="00BF3886"/>
    <w:rsid w:val="00BF3C78"/>
    <w:rsid w:val="00BF690E"/>
    <w:rsid w:val="00BF6CA0"/>
    <w:rsid w:val="00BF6D3C"/>
    <w:rsid w:val="00C00BF0"/>
    <w:rsid w:val="00C02077"/>
    <w:rsid w:val="00C04A4B"/>
    <w:rsid w:val="00C053D5"/>
    <w:rsid w:val="00C06109"/>
    <w:rsid w:val="00C064C9"/>
    <w:rsid w:val="00C066AD"/>
    <w:rsid w:val="00C07421"/>
    <w:rsid w:val="00C07775"/>
    <w:rsid w:val="00C077B4"/>
    <w:rsid w:val="00C11403"/>
    <w:rsid w:val="00C120CD"/>
    <w:rsid w:val="00C1723A"/>
    <w:rsid w:val="00C179B4"/>
    <w:rsid w:val="00C20ED6"/>
    <w:rsid w:val="00C21ED9"/>
    <w:rsid w:val="00C26926"/>
    <w:rsid w:val="00C27972"/>
    <w:rsid w:val="00C27C98"/>
    <w:rsid w:val="00C32526"/>
    <w:rsid w:val="00C3486B"/>
    <w:rsid w:val="00C37003"/>
    <w:rsid w:val="00C4049A"/>
    <w:rsid w:val="00C44197"/>
    <w:rsid w:val="00C4471B"/>
    <w:rsid w:val="00C45FB6"/>
    <w:rsid w:val="00C47E60"/>
    <w:rsid w:val="00C53AC6"/>
    <w:rsid w:val="00C53D65"/>
    <w:rsid w:val="00C53DC7"/>
    <w:rsid w:val="00C54125"/>
    <w:rsid w:val="00C559F5"/>
    <w:rsid w:val="00C6077E"/>
    <w:rsid w:val="00C615C6"/>
    <w:rsid w:val="00C6255F"/>
    <w:rsid w:val="00C63294"/>
    <w:rsid w:val="00C64BBE"/>
    <w:rsid w:val="00C65032"/>
    <w:rsid w:val="00C652CF"/>
    <w:rsid w:val="00C66423"/>
    <w:rsid w:val="00C72726"/>
    <w:rsid w:val="00C73A26"/>
    <w:rsid w:val="00C7729F"/>
    <w:rsid w:val="00C77DC6"/>
    <w:rsid w:val="00C801DA"/>
    <w:rsid w:val="00C80D15"/>
    <w:rsid w:val="00C80DAE"/>
    <w:rsid w:val="00C82455"/>
    <w:rsid w:val="00C86489"/>
    <w:rsid w:val="00C8670E"/>
    <w:rsid w:val="00C86969"/>
    <w:rsid w:val="00C87FE6"/>
    <w:rsid w:val="00C90543"/>
    <w:rsid w:val="00C90C0D"/>
    <w:rsid w:val="00C91D44"/>
    <w:rsid w:val="00C926F0"/>
    <w:rsid w:val="00C945B8"/>
    <w:rsid w:val="00C95625"/>
    <w:rsid w:val="00C95F3C"/>
    <w:rsid w:val="00C961B3"/>
    <w:rsid w:val="00C9656D"/>
    <w:rsid w:val="00C9711C"/>
    <w:rsid w:val="00CA2428"/>
    <w:rsid w:val="00CA29C7"/>
    <w:rsid w:val="00CA3865"/>
    <w:rsid w:val="00CA428A"/>
    <w:rsid w:val="00CA4AFC"/>
    <w:rsid w:val="00CA53BE"/>
    <w:rsid w:val="00CA6DE3"/>
    <w:rsid w:val="00CA754F"/>
    <w:rsid w:val="00CA7826"/>
    <w:rsid w:val="00CB3F0A"/>
    <w:rsid w:val="00CB455E"/>
    <w:rsid w:val="00CB49F1"/>
    <w:rsid w:val="00CB7485"/>
    <w:rsid w:val="00CC064E"/>
    <w:rsid w:val="00CC2BEB"/>
    <w:rsid w:val="00CC448A"/>
    <w:rsid w:val="00CC5A65"/>
    <w:rsid w:val="00CC79BE"/>
    <w:rsid w:val="00CD194B"/>
    <w:rsid w:val="00CD35AB"/>
    <w:rsid w:val="00CD38F3"/>
    <w:rsid w:val="00CD40BD"/>
    <w:rsid w:val="00CD43B9"/>
    <w:rsid w:val="00CD4B96"/>
    <w:rsid w:val="00CD5F32"/>
    <w:rsid w:val="00CE053F"/>
    <w:rsid w:val="00CE246B"/>
    <w:rsid w:val="00CE3391"/>
    <w:rsid w:val="00CE50A0"/>
    <w:rsid w:val="00CE7DB6"/>
    <w:rsid w:val="00CF09E6"/>
    <w:rsid w:val="00CF102B"/>
    <w:rsid w:val="00CF1035"/>
    <w:rsid w:val="00CF26EB"/>
    <w:rsid w:val="00CF2E01"/>
    <w:rsid w:val="00CF3CDD"/>
    <w:rsid w:val="00CF3CED"/>
    <w:rsid w:val="00CF40A3"/>
    <w:rsid w:val="00CF51CB"/>
    <w:rsid w:val="00CF77E1"/>
    <w:rsid w:val="00CF7C87"/>
    <w:rsid w:val="00D0694A"/>
    <w:rsid w:val="00D14BA4"/>
    <w:rsid w:val="00D16C17"/>
    <w:rsid w:val="00D16E25"/>
    <w:rsid w:val="00D16F09"/>
    <w:rsid w:val="00D17E25"/>
    <w:rsid w:val="00D22CF7"/>
    <w:rsid w:val="00D23500"/>
    <w:rsid w:val="00D23575"/>
    <w:rsid w:val="00D2393F"/>
    <w:rsid w:val="00D23A96"/>
    <w:rsid w:val="00D246E6"/>
    <w:rsid w:val="00D27EE3"/>
    <w:rsid w:val="00D33012"/>
    <w:rsid w:val="00D41181"/>
    <w:rsid w:val="00D411C6"/>
    <w:rsid w:val="00D43B5F"/>
    <w:rsid w:val="00D45E40"/>
    <w:rsid w:val="00D45F12"/>
    <w:rsid w:val="00D5065B"/>
    <w:rsid w:val="00D50E0C"/>
    <w:rsid w:val="00D520EE"/>
    <w:rsid w:val="00D536CD"/>
    <w:rsid w:val="00D55E01"/>
    <w:rsid w:val="00D578BD"/>
    <w:rsid w:val="00D62075"/>
    <w:rsid w:val="00D643A2"/>
    <w:rsid w:val="00D656D1"/>
    <w:rsid w:val="00D66DEB"/>
    <w:rsid w:val="00D6757D"/>
    <w:rsid w:val="00D7233C"/>
    <w:rsid w:val="00D731F2"/>
    <w:rsid w:val="00D74257"/>
    <w:rsid w:val="00D77635"/>
    <w:rsid w:val="00D80081"/>
    <w:rsid w:val="00D806B0"/>
    <w:rsid w:val="00D80CA5"/>
    <w:rsid w:val="00D827BD"/>
    <w:rsid w:val="00D82CD1"/>
    <w:rsid w:val="00D83670"/>
    <w:rsid w:val="00D85BBE"/>
    <w:rsid w:val="00D85FDD"/>
    <w:rsid w:val="00D870C0"/>
    <w:rsid w:val="00D910AF"/>
    <w:rsid w:val="00D91D47"/>
    <w:rsid w:val="00D92B79"/>
    <w:rsid w:val="00D95D3A"/>
    <w:rsid w:val="00D9662A"/>
    <w:rsid w:val="00DA0F63"/>
    <w:rsid w:val="00DA3FE8"/>
    <w:rsid w:val="00DA4048"/>
    <w:rsid w:val="00DA4BDB"/>
    <w:rsid w:val="00DB067E"/>
    <w:rsid w:val="00DB0B3D"/>
    <w:rsid w:val="00DB1135"/>
    <w:rsid w:val="00DB16F9"/>
    <w:rsid w:val="00DB599C"/>
    <w:rsid w:val="00DB6DA9"/>
    <w:rsid w:val="00DB701F"/>
    <w:rsid w:val="00DC278E"/>
    <w:rsid w:val="00DC3904"/>
    <w:rsid w:val="00DC4471"/>
    <w:rsid w:val="00DC5671"/>
    <w:rsid w:val="00DC5DC2"/>
    <w:rsid w:val="00DC5F5C"/>
    <w:rsid w:val="00DC77A3"/>
    <w:rsid w:val="00DD2501"/>
    <w:rsid w:val="00DD2DF2"/>
    <w:rsid w:val="00DD2E62"/>
    <w:rsid w:val="00DD61CF"/>
    <w:rsid w:val="00DD7856"/>
    <w:rsid w:val="00DE056C"/>
    <w:rsid w:val="00DE1C00"/>
    <w:rsid w:val="00DE2C71"/>
    <w:rsid w:val="00DE616D"/>
    <w:rsid w:val="00DE6B51"/>
    <w:rsid w:val="00DF0A12"/>
    <w:rsid w:val="00DF56B8"/>
    <w:rsid w:val="00DF5E32"/>
    <w:rsid w:val="00DF6C49"/>
    <w:rsid w:val="00DF6F08"/>
    <w:rsid w:val="00DF7EFC"/>
    <w:rsid w:val="00E00596"/>
    <w:rsid w:val="00E009B4"/>
    <w:rsid w:val="00E00D52"/>
    <w:rsid w:val="00E03311"/>
    <w:rsid w:val="00E0388D"/>
    <w:rsid w:val="00E06B95"/>
    <w:rsid w:val="00E078DA"/>
    <w:rsid w:val="00E11797"/>
    <w:rsid w:val="00E12357"/>
    <w:rsid w:val="00E123CB"/>
    <w:rsid w:val="00E14FA9"/>
    <w:rsid w:val="00E16A3B"/>
    <w:rsid w:val="00E16EE5"/>
    <w:rsid w:val="00E17299"/>
    <w:rsid w:val="00E20161"/>
    <w:rsid w:val="00E20505"/>
    <w:rsid w:val="00E218AC"/>
    <w:rsid w:val="00E236D0"/>
    <w:rsid w:val="00E25F1F"/>
    <w:rsid w:val="00E27414"/>
    <w:rsid w:val="00E27D2A"/>
    <w:rsid w:val="00E3039B"/>
    <w:rsid w:val="00E31AD9"/>
    <w:rsid w:val="00E323FF"/>
    <w:rsid w:val="00E3357D"/>
    <w:rsid w:val="00E365F8"/>
    <w:rsid w:val="00E36916"/>
    <w:rsid w:val="00E36ADA"/>
    <w:rsid w:val="00E37B08"/>
    <w:rsid w:val="00E40CBE"/>
    <w:rsid w:val="00E42FA8"/>
    <w:rsid w:val="00E44CC6"/>
    <w:rsid w:val="00E4500F"/>
    <w:rsid w:val="00E45A10"/>
    <w:rsid w:val="00E46080"/>
    <w:rsid w:val="00E4654F"/>
    <w:rsid w:val="00E474FE"/>
    <w:rsid w:val="00E503BB"/>
    <w:rsid w:val="00E51276"/>
    <w:rsid w:val="00E52039"/>
    <w:rsid w:val="00E52313"/>
    <w:rsid w:val="00E53C83"/>
    <w:rsid w:val="00E55A52"/>
    <w:rsid w:val="00E56109"/>
    <w:rsid w:val="00E56EC1"/>
    <w:rsid w:val="00E57478"/>
    <w:rsid w:val="00E57DEA"/>
    <w:rsid w:val="00E6022E"/>
    <w:rsid w:val="00E60B46"/>
    <w:rsid w:val="00E63CD2"/>
    <w:rsid w:val="00E64507"/>
    <w:rsid w:val="00E66703"/>
    <w:rsid w:val="00E66CA2"/>
    <w:rsid w:val="00E6712B"/>
    <w:rsid w:val="00E70D6B"/>
    <w:rsid w:val="00E71116"/>
    <w:rsid w:val="00E7144B"/>
    <w:rsid w:val="00E71E87"/>
    <w:rsid w:val="00E71F01"/>
    <w:rsid w:val="00E7287A"/>
    <w:rsid w:val="00E73367"/>
    <w:rsid w:val="00E74601"/>
    <w:rsid w:val="00E7696F"/>
    <w:rsid w:val="00E81A91"/>
    <w:rsid w:val="00E83E3E"/>
    <w:rsid w:val="00E84A94"/>
    <w:rsid w:val="00E85AF0"/>
    <w:rsid w:val="00E85F8D"/>
    <w:rsid w:val="00E8798D"/>
    <w:rsid w:val="00E87DA5"/>
    <w:rsid w:val="00E9393A"/>
    <w:rsid w:val="00E95812"/>
    <w:rsid w:val="00E95948"/>
    <w:rsid w:val="00E97DAB"/>
    <w:rsid w:val="00EA18C6"/>
    <w:rsid w:val="00EA1EB6"/>
    <w:rsid w:val="00EA29FE"/>
    <w:rsid w:val="00EA4938"/>
    <w:rsid w:val="00EA5956"/>
    <w:rsid w:val="00EA6392"/>
    <w:rsid w:val="00EB342B"/>
    <w:rsid w:val="00EB410B"/>
    <w:rsid w:val="00EB6F30"/>
    <w:rsid w:val="00EC0AA2"/>
    <w:rsid w:val="00EC0CAE"/>
    <w:rsid w:val="00EC0E50"/>
    <w:rsid w:val="00EC29E3"/>
    <w:rsid w:val="00EC3208"/>
    <w:rsid w:val="00EC3B91"/>
    <w:rsid w:val="00EC5A13"/>
    <w:rsid w:val="00EC5FCA"/>
    <w:rsid w:val="00EC6FCC"/>
    <w:rsid w:val="00EC7ED5"/>
    <w:rsid w:val="00ED1D82"/>
    <w:rsid w:val="00ED2131"/>
    <w:rsid w:val="00ED24C5"/>
    <w:rsid w:val="00ED24F6"/>
    <w:rsid w:val="00ED4AE0"/>
    <w:rsid w:val="00ED4D6D"/>
    <w:rsid w:val="00ED5164"/>
    <w:rsid w:val="00ED5DD0"/>
    <w:rsid w:val="00ED6C16"/>
    <w:rsid w:val="00ED7BE5"/>
    <w:rsid w:val="00EE0B9B"/>
    <w:rsid w:val="00EE0F35"/>
    <w:rsid w:val="00EE1572"/>
    <w:rsid w:val="00EE42D7"/>
    <w:rsid w:val="00EE42D9"/>
    <w:rsid w:val="00EE4B10"/>
    <w:rsid w:val="00EE67B3"/>
    <w:rsid w:val="00EE717F"/>
    <w:rsid w:val="00EF151D"/>
    <w:rsid w:val="00EF1DE3"/>
    <w:rsid w:val="00EF2ADF"/>
    <w:rsid w:val="00EF502E"/>
    <w:rsid w:val="00EF6B5E"/>
    <w:rsid w:val="00F00F93"/>
    <w:rsid w:val="00F01030"/>
    <w:rsid w:val="00F0126D"/>
    <w:rsid w:val="00F03A0C"/>
    <w:rsid w:val="00F03E4A"/>
    <w:rsid w:val="00F07B30"/>
    <w:rsid w:val="00F1324C"/>
    <w:rsid w:val="00F15F1F"/>
    <w:rsid w:val="00F1733A"/>
    <w:rsid w:val="00F2060F"/>
    <w:rsid w:val="00F20AD9"/>
    <w:rsid w:val="00F21814"/>
    <w:rsid w:val="00F2353B"/>
    <w:rsid w:val="00F27DA7"/>
    <w:rsid w:val="00F31C9D"/>
    <w:rsid w:val="00F32343"/>
    <w:rsid w:val="00F33504"/>
    <w:rsid w:val="00F34BB5"/>
    <w:rsid w:val="00F35482"/>
    <w:rsid w:val="00F41A8F"/>
    <w:rsid w:val="00F4299B"/>
    <w:rsid w:val="00F430C1"/>
    <w:rsid w:val="00F50A54"/>
    <w:rsid w:val="00F50E2A"/>
    <w:rsid w:val="00F51C84"/>
    <w:rsid w:val="00F5311C"/>
    <w:rsid w:val="00F53C6B"/>
    <w:rsid w:val="00F55056"/>
    <w:rsid w:val="00F55D0F"/>
    <w:rsid w:val="00F60BA5"/>
    <w:rsid w:val="00F639C6"/>
    <w:rsid w:val="00F64FED"/>
    <w:rsid w:val="00F65B41"/>
    <w:rsid w:val="00F66120"/>
    <w:rsid w:val="00F6771B"/>
    <w:rsid w:val="00F67AB5"/>
    <w:rsid w:val="00F71584"/>
    <w:rsid w:val="00F71A29"/>
    <w:rsid w:val="00F74F68"/>
    <w:rsid w:val="00F7625D"/>
    <w:rsid w:val="00F76C8A"/>
    <w:rsid w:val="00F77BFF"/>
    <w:rsid w:val="00F80453"/>
    <w:rsid w:val="00F80E1D"/>
    <w:rsid w:val="00F822D1"/>
    <w:rsid w:val="00F84159"/>
    <w:rsid w:val="00F870CD"/>
    <w:rsid w:val="00F87485"/>
    <w:rsid w:val="00F8762F"/>
    <w:rsid w:val="00F91D1D"/>
    <w:rsid w:val="00F91DD9"/>
    <w:rsid w:val="00F92337"/>
    <w:rsid w:val="00F93048"/>
    <w:rsid w:val="00F967FA"/>
    <w:rsid w:val="00F97248"/>
    <w:rsid w:val="00F97B53"/>
    <w:rsid w:val="00FA00EA"/>
    <w:rsid w:val="00FA05E3"/>
    <w:rsid w:val="00FA3C1B"/>
    <w:rsid w:val="00FA3ED6"/>
    <w:rsid w:val="00FA4C69"/>
    <w:rsid w:val="00FA4D85"/>
    <w:rsid w:val="00FA54AD"/>
    <w:rsid w:val="00FA584E"/>
    <w:rsid w:val="00FA7577"/>
    <w:rsid w:val="00FA7628"/>
    <w:rsid w:val="00FA79F7"/>
    <w:rsid w:val="00FB03A0"/>
    <w:rsid w:val="00FB1208"/>
    <w:rsid w:val="00FB1841"/>
    <w:rsid w:val="00FB54B1"/>
    <w:rsid w:val="00FC10F5"/>
    <w:rsid w:val="00FC183E"/>
    <w:rsid w:val="00FC5377"/>
    <w:rsid w:val="00FC5B5E"/>
    <w:rsid w:val="00FD201B"/>
    <w:rsid w:val="00FD3C17"/>
    <w:rsid w:val="00FD59DD"/>
    <w:rsid w:val="00FD5A11"/>
    <w:rsid w:val="00FD6374"/>
    <w:rsid w:val="00FD764D"/>
    <w:rsid w:val="00FE162C"/>
    <w:rsid w:val="00FE2338"/>
    <w:rsid w:val="00FE3365"/>
    <w:rsid w:val="00FE3440"/>
    <w:rsid w:val="00FE3F74"/>
    <w:rsid w:val="00FE4A2D"/>
    <w:rsid w:val="00FE4D17"/>
    <w:rsid w:val="00FE57FA"/>
    <w:rsid w:val="00FE67B4"/>
    <w:rsid w:val="00FE7009"/>
    <w:rsid w:val="00FE7E3A"/>
    <w:rsid w:val="00FF03B6"/>
    <w:rsid w:val="00FF1B5B"/>
    <w:rsid w:val="00FF246B"/>
    <w:rsid w:val="00FF25D2"/>
    <w:rsid w:val="00FF31EA"/>
    <w:rsid w:val="00FF3C63"/>
    <w:rsid w:val="00FF41C9"/>
    <w:rsid w:val="00FF5325"/>
    <w:rsid w:val="00FF583A"/>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Body Text" w:uiPriority="0"/>
    <w:lsdException w:name="Body Text Indent" w:uiPriority="0"/>
    <w:lsdException w:name="Subtitle" w:uiPriority="11" w:unhideWhenUsed="0" w:qFormat="1"/>
    <w:lsdException w:name="Salutation" w:unhideWhenUsed="0"/>
    <w:lsdException w:name="Date" w:unhideWhenUsed="0"/>
    <w:lsdException w:name="Body Text First Indent" w:unhideWhenUsed="0"/>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semiHidden/>
    <w:qFormat/>
    <w:rsid w:val="003B04AC"/>
    <w:pPr>
      <w:spacing w:before="160" w:line="260" w:lineRule="exact"/>
    </w:pPr>
    <w:rPr>
      <w:rFonts w:ascii="Trebuchet MS" w:hAnsi="Trebuchet MS"/>
      <w:sz w:val="19"/>
      <w:lang w:val="en-AU"/>
    </w:rPr>
  </w:style>
  <w:style w:type="paragraph" w:styleId="Heading1">
    <w:name w:val="heading 1"/>
    <w:next w:val="Text"/>
    <w:qFormat/>
    <w:rsid w:val="00125009"/>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125009"/>
    <w:pPr>
      <w:keepNext/>
      <w:spacing w:before="360"/>
      <w:ind w:right="-369"/>
      <w:outlineLvl w:val="1"/>
    </w:pPr>
    <w:rPr>
      <w:rFonts w:ascii="Tahoma" w:hAnsi="Tahoma" w:cs="Tahoma"/>
      <w:sz w:val="28"/>
      <w:lang w:val="en-AU"/>
    </w:rPr>
  </w:style>
  <w:style w:type="paragraph" w:styleId="Heading3">
    <w:name w:val="heading 3"/>
    <w:next w:val="Text"/>
    <w:link w:val="Heading3Char"/>
    <w:qFormat/>
    <w:rsid w:val="00125009"/>
    <w:pPr>
      <w:spacing w:before="280" w:line="320" w:lineRule="exact"/>
      <w:outlineLvl w:val="2"/>
    </w:pPr>
    <w:rPr>
      <w:rFonts w:ascii="Tahoma" w:hAnsi="Tahoma" w:cs="Tahoma"/>
      <w:color w:val="000000"/>
      <w:sz w:val="24"/>
      <w:lang w:val="en-AU"/>
    </w:rPr>
  </w:style>
  <w:style w:type="paragraph" w:styleId="Heading4">
    <w:name w:val="heading 4"/>
    <w:next w:val="Text"/>
    <w:qFormat/>
    <w:rsid w:val="00125009"/>
    <w:pPr>
      <w:spacing w:before="240"/>
      <w:outlineLvl w:val="3"/>
    </w:pPr>
    <w:rPr>
      <w:rFonts w:ascii="Tahoma" w:hAnsi="Tahoma"/>
      <w:i/>
      <w:sz w:val="22"/>
      <w:lang w:val="en-AU"/>
    </w:rPr>
  </w:style>
  <w:style w:type="paragraph" w:styleId="Heading5">
    <w:name w:val="heading 5"/>
    <w:basedOn w:val="Normal"/>
    <w:next w:val="Normal"/>
    <w:qFormat/>
    <w:rsid w:val="00125009"/>
    <w:pPr>
      <w:keepNext/>
      <w:outlineLvl w:val="4"/>
    </w:pPr>
    <w:rPr>
      <w:rFonts w:ascii="Tahoma" w:hAnsi="Tahoma"/>
      <w:b/>
    </w:rPr>
  </w:style>
  <w:style w:type="paragraph" w:styleId="Heading6">
    <w:name w:val="heading 6"/>
    <w:basedOn w:val="Normal"/>
    <w:next w:val="Normal"/>
    <w:qFormat/>
    <w:rsid w:val="00125009"/>
    <w:pPr>
      <w:keepNext/>
      <w:ind w:left="2977"/>
      <w:outlineLvl w:val="5"/>
    </w:pPr>
    <w:rPr>
      <w:rFonts w:ascii="Tahoma" w:hAnsi="Tahoma"/>
      <w:sz w:val="20"/>
    </w:rPr>
  </w:style>
  <w:style w:type="paragraph" w:styleId="Heading7">
    <w:name w:val="heading 7"/>
    <w:basedOn w:val="Normal"/>
    <w:next w:val="Normal"/>
    <w:qFormat/>
    <w:rsid w:val="00125009"/>
    <w:pPr>
      <w:keepNext/>
      <w:jc w:val="center"/>
      <w:outlineLvl w:val="6"/>
    </w:pPr>
    <w:rPr>
      <w:rFonts w:ascii="Tahoma" w:hAnsi="Tahoma"/>
      <w:spacing w:val="20"/>
      <w:sz w:val="20"/>
    </w:rPr>
  </w:style>
  <w:style w:type="paragraph" w:styleId="Heading8">
    <w:name w:val="heading 8"/>
    <w:basedOn w:val="Normal"/>
    <w:next w:val="Normal"/>
    <w:qFormat/>
    <w:rsid w:val="00125009"/>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125009"/>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125009"/>
    <w:rPr>
      <w:rFonts w:ascii="Trebuchet MS" w:hAnsi="Trebuchet MS"/>
      <w:sz w:val="19"/>
      <w:lang w:val="en-AU"/>
    </w:rPr>
  </w:style>
  <w:style w:type="character" w:styleId="PageNumber">
    <w:name w:val="page number"/>
    <w:basedOn w:val="DefaultParagraphFont"/>
    <w:rsid w:val="00125009"/>
    <w:rPr>
      <w:rFonts w:ascii="Tahoma" w:hAnsi="Tahoma"/>
      <w:sz w:val="18"/>
    </w:rPr>
  </w:style>
  <w:style w:type="paragraph" w:styleId="Footer">
    <w:name w:val="footer"/>
    <w:basedOn w:val="Normal"/>
    <w:link w:val="FooterChar"/>
    <w:rsid w:val="00125009"/>
    <w:pPr>
      <w:tabs>
        <w:tab w:val="right" w:pos="8505"/>
      </w:tabs>
      <w:spacing w:before="0"/>
    </w:pPr>
    <w:rPr>
      <w:rFonts w:ascii="Tahoma" w:hAnsi="Tahoma"/>
      <w:sz w:val="17"/>
      <w:szCs w:val="17"/>
    </w:rPr>
  </w:style>
  <w:style w:type="paragraph" w:styleId="TOC1">
    <w:name w:val="toc 1"/>
    <w:uiPriority w:val="39"/>
    <w:rsid w:val="00125009"/>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125009"/>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25009"/>
    <w:pPr>
      <w:spacing w:before="360" w:after="80"/>
      <w:ind w:left="851" w:hanging="851"/>
    </w:pPr>
    <w:rPr>
      <w:rFonts w:ascii="Tahoma" w:hAnsi="Tahoma"/>
      <w:b/>
      <w:sz w:val="17"/>
      <w:lang w:val="en-AU"/>
    </w:rPr>
  </w:style>
  <w:style w:type="paragraph" w:customStyle="1" w:styleId="Tabletext">
    <w:name w:val="Table text"/>
    <w:next w:val="Text"/>
    <w:rsid w:val="00125009"/>
    <w:pPr>
      <w:spacing w:before="40" w:after="40"/>
    </w:pPr>
    <w:rPr>
      <w:rFonts w:ascii="Arial" w:hAnsi="Arial"/>
      <w:sz w:val="16"/>
      <w:lang w:val="en-AU"/>
    </w:rPr>
  </w:style>
  <w:style w:type="paragraph" w:customStyle="1" w:styleId="Tablehead1">
    <w:name w:val="Tablehead1"/>
    <w:rsid w:val="00125009"/>
    <w:pPr>
      <w:spacing w:before="80" w:after="80"/>
    </w:pPr>
    <w:rPr>
      <w:rFonts w:ascii="Arial" w:hAnsi="Arial"/>
      <w:b/>
      <w:sz w:val="17"/>
      <w:lang w:val="en-AU"/>
    </w:rPr>
  </w:style>
  <w:style w:type="paragraph" w:styleId="Quote">
    <w:name w:val="Quote"/>
    <w:basedOn w:val="Text"/>
    <w:qFormat/>
    <w:rsid w:val="00125009"/>
    <w:pPr>
      <w:tabs>
        <w:tab w:val="right" w:pos="7853"/>
      </w:tabs>
      <w:spacing w:before="80"/>
      <w:ind w:left="567" w:right="652"/>
    </w:pPr>
    <w:rPr>
      <w:sz w:val="17"/>
    </w:rPr>
  </w:style>
  <w:style w:type="paragraph" w:customStyle="1" w:styleId="References">
    <w:name w:val="References"/>
    <w:rsid w:val="00F35482"/>
    <w:pPr>
      <w:spacing w:before="80"/>
      <w:ind w:left="284" w:hanging="284"/>
    </w:pPr>
    <w:rPr>
      <w:rFonts w:ascii="Trebuchet MS" w:hAnsi="Trebuchet MS"/>
      <w:sz w:val="18"/>
      <w:lang w:val="en-AU"/>
    </w:rPr>
  </w:style>
  <w:style w:type="paragraph" w:customStyle="1" w:styleId="Tablehead2">
    <w:name w:val="Tablehead2"/>
    <w:basedOn w:val="Tablehead1"/>
    <w:rsid w:val="00125009"/>
    <w:pPr>
      <w:tabs>
        <w:tab w:val="left" w:pos="992"/>
      </w:tabs>
      <w:spacing w:before="20" w:after="20"/>
    </w:pPr>
    <w:rPr>
      <w:b w:val="0"/>
    </w:rPr>
  </w:style>
  <w:style w:type="paragraph" w:customStyle="1" w:styleId="Tablehead3">
    <w:name w:val="Tablehead3"/>
    <w:basedOn w:val="Tablehead2"/>
    <w:rsid w:val="00125009"/>
    <w:rPr>
      <w:i/>
    </w:rPr>
  </w:style>
  <w:style w:type="paragraph" w:styleId="TableofFigures">
    <w:name w:val="table of figures"/>
    <w:basedOn w:val="TOC1"/>
    <w:next w:val="Normal"/>
    <w:uiPriority w:val="99"/>
    <w:rsid w:val="0098787D"/>
    <w:pPr>
      <w:spacing w:before="80"/>
      <w:ind w:left="425" w:right="1985" w:hanging="425"/>
    </w:pPr>
  </w:style>
  <w:style w:type="paragraph" w:customStyle="1" w:styleId="Imprint">
    <w:name w:val="Imprint"/>
    <w:basedOn w:val="Normal"/>
    <w:rsid w:val="00125009"/>
    <w:pPr>
      <w:spacing w:line="260" w:lineRule="atLeast"/>
    </w:pPr>
    <w:rPr>
      <w:sz w:val="16"/>
    </w:rPr>
  </w:style>
  <w:style w:type="paragraph" w:customStyle="1" w:styleId="Figuretitle">
    <w:name w:val="Figuretitle"/>
    <w:basedOn w:val="tabletitle"/>
    <w:rsid w:val="00125009"/>
  </w:style>
  <w:style w:type="paragraph" w:customStyle="1" w:styleId="Dotpoint1">
    <w:name w:val="Dotpoint1"/>
    <w:rsid w:val="00C066AD"/>
    <w:pPr>
      <w:numPr>
        <w:numId w:val="39"/>
      </w:numPr>
      <w:tabs>
        <w:tab w:val="left" w:pos="284"/>
      </w:tabs>
      <w:spacing w:before="80" w:line="300" w:lineRule="exact"/>
      <w:ind w:left="284" w:hanging="284"/>
    </w:pPr>
    <w:rPr>
      <w:rFonts w:ascii="Trebuchet MS" w:hAnsi="Trebuchet MS"/>
      <w:color w:val="000000"/>
      <w:sz w:val="19"/>
      <w:lang w:val="en-AU"/>
    </w:rPr>
  </w:style>
  <w:style w:type="paragraph" w:customStyle="1" w:styleId="Dotpoint2">
    <w:name w:val="Dotpoint2"/>
    <w:basedOn w:val="Dotpoint1"/>
    <w:rsid w:val="00C066AD"/>
    <w:pPr>
      <w:numPr>
        <w:numId w:val="40"/>
      </w:numPr>
      <w:tabs>
        <w:tab w:val="clear" w:pos="284"/>
        <w:tab w:val="left" w:pos="567"/>
      </w:tabs>
      <w:ind w:left="568" w:hanging="284"/>
    </w:pPr>
  </w:style>
  <w:style w:type="paragraph" w:customStyle="1" w:styleId="NumberedListContinuing">
    <w:name w:val="NumberedListContinuing"/>
    <w:rsid w:val="00125009"/>
    <w:pPr>
      <w:numPr>
        <w:numId w:val="42"/>
      </w:numPr>
      <w:spacing w:before="80" w:line="300" w:lineRule="exact"/>
    </w:pPr>
    <w:rPr>
      <w:rFonts w:ascii="Trebuchet MS" w:hAnsi="Trebuchet MS"/>
      <w:sz w:val="19"/>
      <w:lang w:val="en-AU" w:eastAsia="en-AU"/>
    </w:rPr>
  </w:style>
  <w:style w:type="paragraph" w:customStyle="1" w:styleId="Source">
    <w:name w:val="Source"/>
    <w:rsid w:val="00125009"/>
    <w:pPr>
      <w:spacing w:before="40"/>
      <w:ind w:left="567" w:hanging="567"/>
    </w:pPr>
    <w:rPr>
      <w:rFonts w:ascii="Arial" w:hAnsi="Arial"/>
      <w:sz w:val="15"/>
      <w:lang w:val="en-AU"/>
    </w:rPr>
  </w:style>
  <w:style w:type="paragraph" w:styleId="FootnoteText">
    <w:name w:val="footnote text"/>
    <w:basedOn w:val="Text"/>
    <w:link w:val="FootnoteTextChar"/>
    <w:rsid w:val="00125009"/>
    <w:pPr>
      <w:tabs>
        <w:tab w:val="left" w:pos="170"/>
      </w:tabs>
      <w:spacing w:before="0" w:line="220" w:lineRule="exact"/>
      <w:ind w:left="170" w:right="0" w:hanging="170"/>
    </w:pPr>
    <w:rPr>
      <w:sz w:val="16"/>
    </w:rPr>
  </w:style>
  <w:style w:type="paragraph" w:styleId="NormalWeb">
    <w:name w:val="Normal (Web)"/>
    <w:basedOn w:val="Normal"/>
    <w:uiPriority w:val="1"/>
    <w:semiHidden/>
    <w:rsid w:val="00125009"/>
    <w:pPr>
      <w:spacing w:before="100" w:beforeAutospacing="1" w:after="240"/>
    </w:pPr>
    <w:rPr>
      <w:sz w:val="18"/>
      <w:szCs w:val="18"/>
    </w:rPr>
  </w:style>
  <w:style w:type="paragraph" w:customStyle="1" w:styleId="PublicationTitle">
    <w:name w:val="Publication Title"/>
    <w:qFormat/>
    <w:rsid w:val="00125009"/>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12500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009"/>
    <w:rPr>
      <w:rFonts w:ascii="Tahoma" w:hAnsi="Tahoma" w:cs="Tahoma"/>
      <w:sz w:val="16"/>
      <w:szCs w:val="16"/>
      <w:lang w:val="en-AU"/>
    </w:rPr>
  </w:style>
  <w:style w:type="table" w:styleId="TableGrid">
    <w:name w:val="Table Grid"/>
    <w:basedOn w:val="TableNormal"/>
    <w:uiPriority w:val="59"/>
    <w:rsid w:val="0012500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125009"/>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125009"/>
    <w:rPr>
      <w:rFonts w:ascii="Trebuchet MS" w:hAnsi="Trebuchet MS"/>
      <w:sz w:val="19"/>
      <w:lang w:val="en-AU"/>
    </w:rPr>
  </w:style>
  <w:style w:type="character" w:customStyle="1" w:styleId="Heading3Char">
    <w:name w:val="Heading 3 Char"/>
    <w:basedOn w:val="DefaultParagraphFont"/>
    <w:link w:val="Heading3"/>
    <w:rsid w:val="00125009"/>
    <w:rPr>
      <w:rFonts w:ascii="Tahoma" w:hAnsi="Tahoma" w:cs="Tahoma"/>
      <w:color w:val="000000"/>
      <w:sz w:val="24"/>
      <w:lang w:val="en-AU"/>
    </w:rPr>
  </w:style>
  <w:style w:type="character" w:styleId="Hyperlink">
    <w:name w:val="Hyperlink"/>
    <w:basedOn w:val="DefaultParagraphFont"/>
    <w:unhideWhenUsed/>
    <w:rsid w:val="00125009"/>
    <w:rPr>
      <w:rFonts w:ascii="Trebuchet MS" w:hAnsi="Trebuchet MS"/>
      <w:color w:val="auto"/>
      <w:sz w:val="19"/>
      <w:u w:val="none"/>
    </w:rPr>
  </w:style>
  <w:style w:type="paragraph" w:styleId="ListParagraph">
    <w:name w:val="List Paragraph"/>
    <w:basedOn w:val="Normal"/>
    <w:uiPriority w:val="34"/>
    <w:semiHidden/>
    <w:qFormat/>
    <w:rsid w:val="00125009"/>
    <w:pPr>
      <w:ind w:left="720"/>
      <w:contextualSpacing/>
    </w:pPr>
  </w:style>
  <w:style w:type="paragraph" w:styleId="BodyText">
    <w:name w:val="Body Text"/>
    <w:basedOn w:val="Normal"/>
    <w:link w:val="BodyTextChar"/>
    <w:rsid w:val="00125009"/>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125009"/>
    <w:rPr>
      <w:b/>
      <w:lang w:eastAsia="ko-KR"/>
    </w:rPr>
  </w:style>
  <w:style w:type="paragraph" w:styleId="BodyText2">
    <w:name w:val="Body Text 2"/>
    <w:basedOn w:val="Normal"/>
    <w:link w:val="BodyText2Char"/>
    <w:rsid w:val="00125009"/>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125009"/>
    <w:rPr>
      <w:sz w:val="22"/>
      <w:lang w:eastAsia="ko-KR"/>
    </w:rPr>
  </w:style>
  <w:style w:type="paragraph" w:styleId="BodyTextIndent">
    <w:name w:val="Body Text Indent"/>
    <w:basedOn w:val="Normal"/>
    <w:link w:val="BodyTextIndentChar"/>
    <w:rsid w:val="00125009"/>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125009"/>
    <w:rPr>
      <w:sz w:val="22"/>
      <w:lang w:val="en-AU" w:eastAsia="en-AU"/>
    </w:rPr>
  </w:style>
  <w:style w:type="paragraph" w:customStyle="1" w:styleId="Authors">
    <w:name w:val="Authors"/>
    <w:qFormat/>
    <w:rsid w:val="00125009"/>
    <w:pPr>
      <w:ind w:left="1701" w:right="-1"/>
    </w:pPr>
    <w:rPr>
      <w:rFonts w:ascii="Tahoma" w:hAnsi="Tahoma" w:cs="Tahoma"/>
      <w:sz w:val="28"/>
      <w:lang w:val="en-AU"/>
    </w:rPr>
  </w:style>
  <w:style w:type="paragraph" w:customStyle="1" w:styleId="Contents">
    <w:name w:val="Contents"/>
    <w:qFormat/>
    <w:rsid w:val="00125009"/>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125009"/>
    <w:pPr>
      <w:spacing w:before="360"/>
    </w:pPr>
    <w:rPr>
      <w:rFonts w:ascii="Tahoma" w:hAnsi="Tahoma" w:cs="Tahoma"/>
      <w:i/>
      <w:sz w:val="28"/>
      <w:lang w:val="en-AU"/>
    </w:rPr>
  </w:style>
  <w:style w:type="paragraph" w:customStyle="1" w:styleId="Abouttheresearch">
    <w:name w:val="About the research"/>
    <w:uiPriority w:val="1"/>
    <w:qFormat/>
    <w:rsid w:val="00125009"/>
    <w:rPr>
      <w:rFonts w:ascii="Tahoma" w:hAnsi="Tahoma" w:cs="Tahoma"/>
      <w:color w:val="000000"/>
      <w:kern w:val="28"/>
      <w:sz w:val="56"/>
      <w:szCs w:val="56"/>
      <w:lang w:val="en-AU"/>
    </w:rPr>
  </w:style>
  <w:style w:type="paragraph" w:customStyle="1" w:styleId="Keymessages">
    <w:name w:val="Key messages"/>
    <w:uiPriority w:val="1"/>
    <w:qFormat/>
    <w:rsid w:val="00125009"/>
    <w:pPr>
      <w:spacing w:before="360"/>
    </w:pPr>
    <w:rPr>
      <w:rFonts w:ascii="Tahoma" w:hAnsi="Tahoma" w:cs="Tahoma"/>
      <w:sz w:val="28"/>
      <w:lang w:val="en-AU"/>
    </w:rPr>
  </w:style>
  <w:style w:type="paragraph" w:customStyle="1" w:styleId="Organisation">
    <w:name w:val="Organisation"/>
    <w:basedOn w:val="Authors"/>
    <w:uiPriority w:val="1"/>
    <w:qFormat/>
    <w:rsid w:val="00125009"/>
    <w:pPr>
      <w:spacing w:before="120"/>
      <w:ind w:right="0"/>
    </w:pPr>
    <w:rPr>
      <w:sz w:val="24"/>
    </w:rPr>
  </w:style>
  <w:style w:type="character" w:styleId="FollowedHyperlink">
    <w:name w:val="FollowedHyperlink"/>
    <w:basedOn w:val="DefaultParagraphFont"/>
    <w:uiPriority w:val="99"/>
    <w:semiHidden/>
    <w:rsid w:val="00125009"/>
    <w:rPr>
      <w:color w:val="800080" w:themeColor="followedHyperlink"/>
      <w:u w:val="single"/>
    </w:rPr>
  </w:style>
  <w:style w:type="paragraph" w:customStyle="1" w:styleId="NumberedAlphaLevel2">
    <w:name w:val="NumberedAlphaLevel2"/>
    <w:basedOn w:val="NumberedListContinuing"/>
    <w:uiPriority w:val="1"/>
    <w:qFormat/>
    <w:rsid w:val="00125009"/>
    <w:pPr>
      <w:numPr>
        <w:ilvl w:val="1"/>
      </w:numPr>
    </w:pPr>
  </w:style>
  <w:style w:type="character" w:styleId="FootnoteReference">
    <w:name w:val="footnote reference"/>
    <w:basedOn w:val="DefaultParagraphFont"/>
    <w:uiPriority w:val="99"/>
    <w:semiHidden/>
    <w:rsid w:val="0053460D"/>
    <w:rPr>
      <w:vertAlign w:val="superscript"/>
    </w:rPr>
  </w:style>
  <w:style w:type="character" w:styleId="PlaceholderText">
    <w:name w:val="Placeholder Text"/>
    <w:basedOn w:val="DefaultParagraphFont"/>
    <w:uiPriority w:val="99"/>
    <w:semiHidden/>
    <w:rsid w:val="00B000C0"/>
    <w:rPr>
      <w:color w:val="808080"/>
    </w:rPr>
  </w:style>
  <w:style w:type="character" w:customStyle="1" w:styleId="FootnoteTextChar">
    <w:name w:val="Footnote Text Char"/>
    <w:basedOn w:val="DefaultParagraphFont"/>
    <w:link w:val="FootnoteText"/>
    <w:rsid w:val="008B5DAE"/>
    <w:rPr>
      <w:rFonts w:ascii="Trebuchet MS" w:hAnsi="Trebuchet MS"/>
      <w:sz w:val="16"/>
      <w:lang w:val="en-AU"/>
    </w:rPr>
  </w:style>
  <w:style w:type="character" w:styleId="CommentReference">
    <w:name w:val="annotation reference"/>
    <w:basedOn w:val="DefaultParagraphFont"/>
    <w:uiPriority w:val="99"/>
    <w:semiHidden/>
    <w:rsid w:val="00367546"/>
    <w:rPr>
      <w:sz w:val="16"/>
      <w:szCs w:val="16"/>
    </w:rPr>
  </w:style>
  <w:style w:type="paragraph" w:styleId="CommentText">
    <w:name w:val="annotation text"/>
    <w:basedOn w:val="Normal"/>
    <w:link w:val="CommentTextChar"/>
    <w:uiPriority w:val="99"/>
    <w:semiHidden/>
    <w:rsid w:val="00367546"/>
    <w:pPr>
      <w:spacing w:line="240" w:lineRule="auto"/>
    </w:pPr>
    <w:rPr>
      <w:sz w:val="20"/>
    </w:rPr>
  </w:style>
  <w:style w:type="character" w:customStyle="1" w:styleId="CommentTextChar">
    <w:name w:val="Comment Text Char"/>
    <w:basedOn w:val="DefaultParagraphFont"/>
    <w:link w:val="CommentText"/>
    <w:uiPriority w:val="99"/>
    <w:semiHidden/>
    <w:rsid w:val="00367546"/>
    <w:rPr>
      <w:rFonts w:ascii="Trebuchet MS" w:hAnsi="Trebuchet MS"/>
      <w:lang w:val="en-AU"/>
    </w:rPr>
  </w:style>
  <w:style w:type="character" w:styleId="LineNumber">
    <w:name w:val="line number"/>
    <w:basedOn w:val="DefaultParagraphFont"/>
    <w:uiPriority w:val="99"/>
    <w:semiHidden/>
    <w:rsid w:val="005A6AB2"/>
  </w:style>
  <w:style w:type="paragraph" w:customStyle="1" w:styleId="EndNoteBibliographyTitle">
    <w:name w:val="EndNote Bibliography Title"/>
    <w:basedOn w:val="Normal"/>
    <w:link w:val="EndNoteBibliographyTitleChar"/>
    <w:rsid w:val="00CA754F"/>
    <w:pPr>
      <w:jc w:val="center"/>
    </w:pPr>
    <w:rPr>
      <w:noProof/>
      <w:sz w:val="18"/>
      <w:lang w:val="en-US"/>
    </w:rPr>
  </w:style>
  <w:style w:type="character" w:customStyle="1" w:styleId="EndNoteBibliographyTitleChar">
    <w:name w:val="EndNote Bibliography Title Char"/>
    <w:basedOn w:val="TextChar"/>
    <w:link w:val="EndNoteBibliographyTitle"/>
    <w:rsid w:val="00CA754F"/>
    <w:rPr>
      <w:rFonts w:ascii="Trebuchet MS" w:hAnsi="Trebuchet MS"/>
      <w:noProof/>
      <w:sz w:val="18"/>
      <w:lang w:val="en-AU"/>
    </w:rPr>
  </w:style>
  <w:style w:type="paragraph" w:customStyle="1" w:styleId="EndNoteBibliography">
    <w:name w:val="EndNote Bibliography"/>
    <w:basedOn w:val="Normal"/>
    <w:link w:val="EndNoteBibliographyChar"/>
    <w:rsid w:val="00CA754F"/>
    <w:pPr>
      <w:spacing w:line="240" w:lineRule="exact"/>
    </w:pPr>
    <w:rPr>
      <w:noProof/>
      <w:sz w:val="18"/>
      <w:lang w:val="en-US"/>
    </w:rPr>
  </w:style>
  <w:style w:type="character" w:customStyle="1" w:styleId="EndNoteBibliographyChar">
    <w:name w:val="EndNote Bibliography Char"/>
    <w:basedOn w:val="TextChar"/>
    <w:link w:val="EndNoteBibliography"/>
    <w:rsid w:val="00CA754F"/>
    <w:rPr>
      <w:rFonts w:ascii="Trebuchet MS" w:hAnsi="Trebuchet MS"/>
      <w:noProof/>
      <w:sz w:val="18"/>
      <w:lang w:val="en-AU"/>
    </w:rPr>
  </w:style>
  <w:style w:type="character" w:customStyle="1" w:styleId="FooterChar">
    <w:name w:val="Footer Char"/>
    <w:basedOn w:val="DefaultParagraphFont"/>
    <w:link w:val="Footer"/>
    <w:rsid w:val="00C20ED6"/>
    <w:rPr>
      <w:rFonts w:ascii="Tahoma" w:hAnsi="Tahoma"/>
      <w:sz w:val="17"/>
      <w:szCs w:val="17"/>
      <w:lang w:val="en-AU"/>
    </w:rPr>
  </w:style>
  <w:style w:type="paragraph" w:styleId="CommentSubject">
    <w:name w:val="annotation subject"/>
    <w:basedOn w:val="CommentText"/>
    <w:next w:val="CommentText"/>
    <w:link w:val="CommentSubjectChar"/>
    <w:uiPriority w:val="99"/>
    <w:semiHidden/>
    <w:unhideWhenUsed/>
    <w:rsid w:val="0076147C"/>
    <w:rPr>
      <w:b/>
      <w:bCs/>
    </w:rPr>
  </w:style>
  <w:style w:type="character" w:customStyle="1" w:styleId="CommentSubjectChar">
    <w:name w:val="Comment Subject Char"/>
    <w:basedOn w:val="CommentTextChar"/>
    <w:link w:val="CommentSubject"/>
    <w:uiPriority w:val="99"/>
    <w:semiHidden/>
    <w:rsid w:val="0076147C"/>
    <w:rPr>
      <w:rFonts w:ascii="Trebuchet MS" w:hAnsi="Trebuchet MS"/>
      <w:b/>
      <w:bCs/>
      <w:lang w:val="en-AU"/>
    </w:rPr>
  </w:style>
  <w:style w:type="paragraph" w:customStyle="1" w:styleId="Textmorebefore">
    <w:name w:val="Text more # before"/>
    <w:basedOn w:val="Text"/>
    <w:uiPriority w:val="1"/>
    <w:qFormat/>
    <w:rsid w:val="00C00BF0"/>
    <w:pPr>
      <w:spacing w:before="360"/>
      <w:ind w:righ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Body Text" w:uiPriority="0"/>
    <w:lsdException w:name="Body Text Indent" w:uiPriority="0"/>
    <w:lsdException w:name="Subtitle" w:uiPriority="11" w:unhideWhenUsed="0" w:qFormat="1"/>
    <w:lsdException w:name="Salutation" w:unhideWhenUsed="0"/>
    <w:lsdException w:name="Date" w:unhideWhenUsed="0"/>
    <w:lsdException w:name="Body Text First Indent" w:unhideWhenUsed="0"/>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semiHidden/>
    <w:qFormat/>
    <w:rsid w:val="003B04AC"/>
    <w:pPr>
      <w:spacing w:before="160" w:line="260" w:lineRule="exact"/>
    </w:pPr>
    <w:rPr>
      <w:rFonts w:ascii="Trebuchet MS" w:hAnsi="Trebuchet MS"/>
      <w:sz w:val="19"/>
      <w:lang w:val="en-AU"/>
    </w:rPr>
  </w:style>
  <w:style w:type="paragraph" w:styleId="Heading1">
    <w:name w:val="heading 1"/>
    <w:next w:val="Text"/>
    <w:qFormat/>
    <w:rsid w:val="00125009"/>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125009"/>
    <w:pPr>
      <w:keepNext/>
      <w:spacing w:before="360"/>
      <w:ind w:right="-369"/>
      <w:outlineLvl w:val="1"/>
    </w:pPr>
    <w:rPr>
      <w:rFonts w:ascii="Tahoma" w:hAnsi="Tahoma" w:cs="Tahoma"/>
      <w:sz w:val="28"/>
      <w:lang w:val="en-AU"/>
    </w:rPr>
  </w:style>
  <w:style w:type="paragraph" w:styleId="Heading3">
    <w:name w:val="heading 3"/>
    <w:next w:val="Text"/>
    <w:link w:val="Heading3Char"/>
    <w:qFormat/>
    <w:rsid w:val="00125009"/>
    <w:pPr>
      <w:spacing w:before="280" w:line="320" w:lineRule="exact"/>
      <w:outlineLvl w:val="2"/>
    </w:pPr>
    <w:rPr>
      <w:rFonts w:ascii="Tahoma" w:hAnsi="Tahoma" w:cs="Tahoma"/>
      <w:color w:val="000000"/>
      <w:sz w:val="24"/>
      <w:lang w:val="en-AU"/>
    </w:rPr>
  </w:style>
  <w:style w:type="paragraph" w:styleId="Heading4">
    <w:name w:val="heading 4"/>
    <w:next w:val="Text"/>
    <w:qFormat/>
    <w:rsid w:val="00125009"/>
    <w:pPr>
      <w:spacing w:before="240"/>
      <w:outlineLvl w:val="3"/>
    </w:pPr>
    <w:rPr>
      <w:rFonts w:ascii="Tahoma" w:hAnsi="Tahoma"/>
      <w:i/>
      <w:sz w:val="22"/>
      <w:lang w:val="en-AU"/>
    </w:rPr>
  </w:style>
  <w:style w:type="paragraph" w:styleId="Heading5">
    <w:name w:val="heading 5"/>
    <w:basedOn w:val="Normal"/>
    <w:next w:val="Normal"/>
    <w:qFormat/>
    <w:rsid w:val="00125009"/>
    <w:pPr>
      <w:keepNext/>
      <w:outlineLvl w:val="4"/>
    </w:pPr>
    <w:rPr>
      <w:rFonts w:ascii="Tahoma" w:hAnsi="Tahoma"/>
      <w:b/>
    </w:rPr>
  </w:style>
  <w:style w:type="paragraph" w:styleId="Heading6">
    <w:name w:val="heading 6"/>
    <w:basedOn w:val="Normal"/>
    <w:next w:val="Normal"/>
    <w:qFormat/>
    <w:rsid w:val="00125009"/>
    <w:pPr>
      <w:keepNext/>
      <w:ind w:left="2977"/>
      <w:outlineLvl w:val="5"/>
    </w:pPr>
    <w:rPr>
      <w:rFonts w:ascii="Tahoma" w:hAnsi="Tahoma"/>
      <w:sz w:val="20"/>
    </w:rPr>
  </w:style>
  <w:style w:type="paragraph" w:styleId="Heading7">
    <w:name w:val="heading 7"/>
    <w:basedOn w:val="Normal"/>
    <w:next w:val="Normal"/>
    <w:qFormat/>
    <w:rsid w:val="00125009"/>
    <w:pPr>
      <w:keepNext/>
      <w:jc w:val="center"/>
      <w:outlineLvl w:val="6"/>
    </w:pPr>
    <w:rPr>
      <w:rFonts w:ascii="Tahoma" w:hAnsi="Tahoma"/>
      <w:spacing w:val="20"/>
      <w:sz w:val="20"/>
    </w:rPr>
  </w:style>
  <w:style w:type="paragraph" w:styleId="Heading8">
    <w:name w:val="heading 8"/>
    <w:basedOn w:val="Normal"/>
    <w:next w:val="Normal"/>
    <w:qFormat/>
    <w:rsid w:val="00125009"/>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125009"/>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125009"/>
    <w:rPr>
      <w:rFonts w:ascii="Trebuchet MS" w:hAnsi="Trebuchet MS"/>
      <w:sz w:val="19"/>
      <w:lang w:val="en-AU"/>
    </w:rPr>
  </w:style>
  <w:style w:type="character" w:styleId="PageNumber">
    <w:name w:val="page number"/>
    <w:basedOn w:val="DefaultParagraphFont"/>
    <w:rsid w:val="00125009"/>
    <w:rPr>
      <w:rFonts w:ascii="Tahoma" w:hAnsi="Tahoma"/>
      <w:sz w:val="18"/>
    </w:rPr>
  </w:style>
  <w:style w:type="paragraph" w:styleId="Footer">
    <w:name w:val="footer"/>
    <w:basedOn w:val="Normal"/>
    <w:link w:val="FooterChar"/>
    <w:rsid w:val="00125009"/>
    <w:pPr>
      <w:tabs>
        <w:tab w:val="right" w:pos="8505"/>
      </w:tabs>
      <w:spacing w:before="0"/>
    </w:pPr>
    <w:rPr>
      <w:rFonts w:ascii="Tahoma" w:hAnsi="Tahoma"/>
      <w:sz w:val="17"/>
      <w:szCs w:val="17"/>
    </w:rPr>
  </w:style>
  <w:style w:type="paragraph" w:styleId="TOC1">
    <w:name w:val="toc 1"/>
    <w:uiPriority w:val="39"/>
    <w:rsid w:val="00125009"/>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125009"/>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25009"/>
    <w:pPr>
      <w:spacing w:before="360" w:after="80"/>
      <w:ind w:left="851" w:hanging="851"/>
    </w:pPr>
    <w:rPr>
      <w:rFonts w:ascii="Tahoma" w:hAnsi="Tahoma"/>
      <w:b/>
      <w:sz w:val="17"/>
      <w:lang w:val="en-AU"/>
    </w:rPr>
  </w:style>
  <w:style w:type="paragraph" w:customStyle="1" w:styleId="Tabletext">
    <w:name w:val="Table text"/>
    <w:next w:val="Text"/>
    <w:rsid w:val="00125009"/>
    <w:pPr>
      <w:spacing w:before="40" w:after="40"/>
    </w:pPr>
    <w:rPr>
      <w:rFonts w:ascii="Arial" w:hAnsi="Arial"/>
      <w:sz w:val="16"/>
      <w:lang w:val="en-AU"/>
    </w:rPr>
  </w:style>
  <w:style w:type="paragraph" w:customStyle="1" w:styleId="Tablehead1">
    <w:name w:val="Tablehead1"/>
    <w:rsid w:val="00125009"/>
    <w:pPr>
      <w:spacing w:before="80" w:after="80"/>
    </w:pPr>
    <w:rPr>
      <w:rFonts w:ascii="Arial" w:hAnsi="Arial"/>
      <w:b/>
      <w:sz w:val="17"/>
      <w:lang w:val="en-AU"/>
    </w:rPr>
  </w:style>
  <w:style w:type="paragraph" w:styleId="Quote">
    <w:name w:val="Quote"/>
    <w:basedOn w:val="Text"/>
    <w:qFormat/>
    <w:rsid w:val="00125009"/>
    <w:pPr>
      <w:tabs>
        <w:tab w:val="right" w:pos="7853"/>
      </w:tabs>
      <w:spacing w:before="80"/>
      <w:ind w:left="567" w:right="652"/>
    </w:pPr>
    <w:rPr>
      <w:sz w:val="17"/>
    </w:rPr>
  </w:style>
  <w:style w:type="paragraph" w:customStyle="1" w:styleId="References">
    <w:name w:val="References"/>
    <w:rsid w:val="00F35482"/>
    <w:pPr>
      <w:spacing w:before="80"/>
      <w:ind w:left="284" w:hanging="284"/>
    </w:pPr>
    <w:rPr>
      <w:rFonts w:ascii="Trebuchet MS" w:hAnsi="Trebuchet MS"/>
      <w:sz w:val="18"/>
      <w:lang w:val="en-AU"/>
    </w:rPr>
  </w:style>
  <w:style w:type="paragraph" w:customStyle="1" w:styleId="Tablehead2">
    <w:name w:val="Tablehead2"/>
    <w:basedOn w:val="Tablehead1"/>
    <w:rsid w:val="00125009"/>
    <w:pPr>
      <w:tabs>
        <w:tab w:val="left" w:pos="992"/>
      </w:tabs>
      <w:spacing w:before="20" w:after="20"/>
    </w:pPr>
    <w:rPr>
      <w:b w:val="0"/>
    </w:rPr>
  </w:style>
  <w:style w:type="paragraph" w:customStyle="1" w:styleId="Tablehead3">
    <w:name w:val="Tablehead3"/>
    <w:basedOn w:val="Tablehead2"/>
    <w:rsid w:val="00125009"/>
    <w:rPr>
      <w:i/>
    </w:rPr>
  </w:style>
  <w:style w:type="paragraph" w:styleId="TableofFigures">
    <w:name w:val="table of figures"/>
    <w:basedOn w:val="TOC1"/>
    <w:next w:val="Normal"/>
    <w:uiPriority w:val="99"/>
    <w:rsid w:val="0098787D"/>
    <w:pPr>
      <w:spacing w:before="80"/>
      <w:ind w:left="425" w:right="1985" w:hanging="425"/>
    </w:pPr>
  </w:style>
  <w:style w:type="paragraph" w:customStyle="1" w:styleId="Imprint">
    <w:name w:val="Imprint"/>
    <w:basedOn w:val="Normal"/>
    <w:rsid w:val="00125009"/>
    <w:pPr>
      <w:spacing w:line="260" w:lineRule="atLeast"/>
    </w:pPr>
    <w:rPr>
      <w:sz w:val="16"/>
    </w:rPr>
  </w:style>
  <w:style w:type="paragraph" w:customStyle="1" w:styleId="Figuretitle">
    <w:name w:val="Figuretitle"/>
    <w:basedOn w:val="tabletitle"/>
    <w:rsid w:val="00125009"/>
  </w:style>
  <w:style w:type="paragraph" w:customStyle="1" w:styleId="Dotpoint1">
    <w:name w:val="Dotpoint1"/>
    <w:rsid w:val="00C066AD"/>
    <w:pPr>
      <w:numPr>
        <w:numId w:val="39"/>
      </w:numPr>
      <w:tabs>
        <w:tab w:val="left" w:pos="284"/>
      </w:tabs>
      <w:spacing w:before="80" w:line="300" w:lineRule="exact"/>
      <w:ind w:left="284" w:hanging="284"/>
    </w:pPr>
    <w:rPr>
      <w:rFonts w:ascii="Trebuchet MS" w:hAnsi="Trebuchet MS"/>
      <w:color w:val="000000"/>
      <w:sz w:val="19"/>
      <w:lang w:val="en-AU"/>
    </w:rPr>
  </w:style>
  <w:style w:type="paragraph" w:customStyle="1" w:styleId="Dotpoint2">
    <w:name w:val="Dotpoint2"/>
    <w:basedOn w:val="Dotpoint1"/>
    <w:rsid w:val="00C066AD"/>
    <w:pPr>
      <w:numPr>
        <w:numId w:val="40"/>
      </w:numPr>
      <w:tabs>
        <w:tab w:val="clear" w:pos="284"/>
        <w:tab w:val="left" w:pos="567"/>
      </w:tabs>
      <w:ind w:left="568" w:hanging="284"/>
    </w:pPr>
  </w:style>
  <w:style w:type="paragraph" w:customStyle="1" w:styleId="NumberedListContinuing">
    <w:name w:val="NumberedListContinuing"/>
    <w:rsid w:val="00125009"/>
    <w:pPr>
      <w:numPr>
        <w:numId w:val="42"/>
      </w:numPr>
      <w:spacing w:before="80" w:line="300" w:lineRule="exact"/>
    </w:pPr>
    <w:rPr>
      <w:rFonts w:ascii="Trebuchet MS" w:hAnsi="Trebuchet MS"/>
      <w:sz w:val="19"/>
      <w:lang w:val="en-AU" w:eastAsia="en-AU"/>
    </w:rPr>
  </w:style>
  <w:style w:type="paragraph" w:customStyle="1" w:styleId="Source">
    <w:name w:val="Source"/>
    <w:rsid w:val="00125009"/>
    <w:pPr>
      <w:spacing w:before="40"/>
      <w:ind w:left="567" w:hanging="567"/>
    </w:pPr>
    <w:rPr>
      <w:rFonts w:ascii="Arial" w:hAnsi="Arial"/>
      <w:sz w:val="15"/>
      <w:lang w:val="en-AU"/>
    </w:rPr>
  </w:style>
  <w:style w:type="paragraph" w:styleId="FootnoteText">
    <w:name w:val="footnote text"/>
    <w:basedOn w:val="Text"/>
    <w:link w:val="FootnoteTextChar"/>
    <w:rsid w:val="00125009"/>
    <w:pPr>
      <w:tabs>
        <w:tab w:val="left" w:pos="170"/>
      </w:tabs>
      <w:spacing w:before="0" w:line="220" w:lineRule="exact"/>
      <w:ind w:left="170" w:right="0" w:hanging="170"/>
    </w:pPr>
    <w:rPr>
      <w:sz w:val="16"/>
    </w:rPr>
  </w:style>
  <w:style w:type="paragraph" w:styleId="NormalWeb">
    <w:name w:val="Normal (Web)"/>
    <w:basedOn w:val="Normal"/>
    <w:uiPriority w:val="1"/>
    <w:semiHidden/>
    <w:rsid w:val="00125009"/>
    <w:pPr>
      <w:spacing w:before="100" w:beforeAutospacing="1" w:after="240"/>
    </w:pPr>
    <w:rPr>
      <w:sz w:val="18"/>
      <w:szCs w:val="18"/>
    </w:rPr>
  </w:style>
  <w:style w:type="paragraph" w:customStyle="1" w:styleId="PublicationTitle">
    <w:name w:val="Publication Title"/>
    <w:qFormat/>
    <w:rsid w:val="00125009"/>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12500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009"/>
    <w:rPr>
      <w:rFonts w:ascii="Tahoma" w:hAnsi="Tahoma" w:cs="Tahoma"/>
      <w:sz w:val="16"/>
      <w:szCs w:val="16"/>
      <w:lang w:val="en-AU"/>
    </w:rPr>
  </w:style>
  <w:style w:type="table" w:styleId="TableGrid">
    <w:name w:val="Table Grid"/>
    <w:basedOn w:val="TableNormal"/>
    <w:uiPriority w:val="59"/>
    <w:rsid w:val="0012500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125009"/>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125009"/>
    <w:rPr>
      <w:rFonts w:ascii="Trebuchet MS" w:hAnsi="Trebuchet MS"/>
      <w:sz w:val="19"/>
      <w:lang w:val="en-AU"/>
    </w:rPr>
  </w:style>
  <w:style w:type="character" w:customStyle="1" w:styleId="Heading3Char">
    <w:name w:val="Heading 3 Char"/>
    <w:basedOn w:val="DefaultParagraphFont"/>
    <w:link w:val="Heading3"/>
    <w:rsid w:val="00125009"/>
    <w:rPr>
      <w:rFonts w:ascii="Tahoma" w:hAnsi="Tahoma" w:cs="Tahoma"/>
      <w:color w:val="000000"/>
      <w:sz w:val="24"/>
      <w:lang w:val="en-AU"/>
    </w:rPr>
  </w:style>
  <w:style w:type="character" w:styleId="Hyperlink">
    <w:name w:val="Hyperlink"/>
    <w:basedOn w:val="DefaultParagraphFont"/>
    <w:unhideWhenUsed/>
    <w:rsid w:val="00125009"/>
    <w:rPr>
      <w:rFonts w:ascii="Trebuchet MS" w:hAnsi="Trebuchet MS"/>
      <w:color w:val="auto"/>
      <w:sz w:val="19"/>
      <w:u w:val="none"/>
    </w:rPr>
  </w:style>
  <w:style w:type="paragraph" w:styleId="ListParagraph">
    <w:name w:val="List Paragraph"/>
    <w:basedOn w:val="Normal"/>
    <w:uiPriority w:val="34"/>
    <w:semiHidden/>
    <w:qFormat/>
    <w:rsid w:val="00125009"/>
    <w:pPr>
      <w:ind w:left="720"/>
      <w:contextualSpacing/>
    </w:pPr>
  </w:style>
  <w:style w:type="paragraph" w:styleId="BodyText">
    <w:name w:val="Body Text"/>
    <w:basedOn w:val="Normal"/>
    <w:link w:val="BodyTextChar"/>
    <w:rsid w:val="00125009"/>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125009"/>
    <w:rPr>
      <w:b/>
      <w:lang w:eastAsia="ko-KR"/>
    </w:rPr>
  </w:style>
  <w:style w:type="paragraph" w:styleId="BodyText2">
    <w:name w:val="Body Text 2"/>
    <w:basedOn w:val="Normal"/>
    <w:link w:val="BodyText2Char"/>
    <w:rsid w:val="00125009"/>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125009"/>
    <w:rPr>
      <w:sz w:val="22"/>
      <w:lang w:eastAsia="ko-KR"/>
    </w:rPr>
  </w:style>
  <w:style w:type="paragraph" w:styleId="BodyTextIndent">
    <w:name w:val="Body Text Indent"/>
    <w:basedOn w:val="Normal"/>
    <w:link w:val="BodyTextIndentChar"/>
    <w:rsid w:val="00125009"/>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125009"/>
    <w:rPr>
      <w:sz w:val="22"/>
      <w:lang w:val="en-AU" w:eastAsia="en-AU"/>
    </w:rPr>
  </w:style>
  <w:style w:type="paragraph" w:customStyle="1" w:styleId="Authors">
    <w:name w:val="Authors"/>
    <w:qFormat/>
    <w:rsid w:val="00125009"/>
    <w:pPr>
      <w:ind w:left="1701" w:right="-1"/>
    </w:pPr>
    <w:rPr>
      <w:rFonts w:ascii="Tahoma" w:hAnsi="Tahoma" w:cs="Tahoma"/>
      <w:sz w:val="28"/>
      <w:lang w:val="en-AU"/>
    </w:rPr>
  </w:style>
  <w:style w:type="paragraph" w:customStyle="1" w:styleId="Contents">
    <w:name w:val="Contents"/>
    <w:qFormat/>
    <w:rsid w:val="00125009"/>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125009"/>
    <w:pPr>
      <w:spacing w:before="360"/>
    </w:pPr>
    <w:rPr>
      <w:rFonts w:ascii="Tahoma" w:hAnsi="Tahoma" w:cs="Tahoma"/>
      <w:i/>
      <w:sz w:val="28"/>
      <w:lang w:val="en-AU"/>
    </w:rPr>
  </w:style>
  <w:style w:type="paragraph" w:customStyle="1" w:styleId="Abouttheresearch">
    <w:name w:val="About the research"/>
    <w:uiPriority w:val="1"/>
    <w:qFormat/>
    <w:rsid w:val="00125009"/>
    <w:rPr>
      <w:rFonts w:ascii="Tahoma" w:hAnsi="Tahoma" w:cs="Tahoma"/>
      <w:color w:val="000000"/>
      <w:kern w:val="28"/>
      <w:sz w:val="56"/>
      <w:szCs w:val="56"/>
      <w:lang w:val="en-AU"/>
    </w:rPr>
  </w:style>
  <w:style w:type="paragraph" w:customStyle="1" w:styleId="Keymessages">
    <w:name w:val="Key messages"/>
    <w:uiPriority w:val="1"/>
    <w:qFormat/>
    <w:rsid w:val="00125009"/>
    <w:pPr>
      <w:spacing w:before="360"/>
    </w:pPr>
    <w:rPr>
      <w:rFonts w:ascii="Tahoma" w:hAnsi="Tahoma" w:cs="Tahoma"/>
      <w:sz w:val="28"/>
      <w:lang w:val="en-AU"/>
    </w:rPr>
  </w:style>
  <w:style w:type="paragraph" w:customStyle="1" w:styleId="Organisation">
    <w:name w:val="Organisation"/>
    <w:basedOn w:val="Authors"/>
    <w:uiPriority w:val="1"/>
    <w:qFormat/>
    <w:rsid w:val="00125009"/>
    <w:pPr>
      <w:spacing w:before="120"/>
      <w:ind w:right="0"/>
    </w:pPr>
    <w:rPr>
      <w:sz w:val="24"/>
    </w:rPr>
  </w:style>
  <w:style w:type="character" w:styleId="FollowedHyperlink">
    <w:name w:val="FollowedHyperlink"/>
    <w:basedOn w:val="DefaultParagraphFont"/>
    <w:uiPriority w:val="99"/>
    <w:semiHidden/>
    <w:rsid w:val="00125009"/>
    <w:rPr>
      <w:color w:val="800080" w:themeColor="followedHyperlink"/>
      <w:u w:val="single"/>
    </w:rPr>
  </w:style>
  <w:style w:type="paragraph" w:customStyle="1" w:styleId="NumberedAlphaLevel2">
    <w:name w:val="NumberedAlphaLevel2"/>
    <w:basedOn w:val="NumberedListContinuing"/>
    <w:uiPriority w:val="1"/>
    <w:qFormat/>
    <w:rsid w:val="00125009"/>
    <w:pPr>
      <w:numPr>
        <w:ilvl w:val="1"/>
      </w:numPr>
    </w:pPr>
  </w:style>
  <w:style w:type="character" w:styleId="FootnoteReference">
    <w:name w:val="footnote reference"/>
    <w:basedOn w:val="DefaultParagraphFont"/>
    <w:uiPriority w:val="99"/>
    <w:semiHidden/>
    <w:rsid w:val="0053460D"/>
    <w:rPr>
      <w:vertAlign w:val="superscript"/>
    </w:rPr>
  </w:style>
  <w:style w:type="character" w:styleId="PlaceholderText">
    <w:name w:val="Placeholder Text"/>
    <w:basedOn w:val="DefaultParagraphFont"/>
    <w:uiPriority w:val="99"/>
    <w:semiHidden/>
    <w:rsid w:val="00B000C0"/>
    <w:rPr>
      <w:color w:val="808080"/>
    </w:rPr>
  </w:style>
  <w:style w:type="character" w:customStyle="1" w:styleId="FootnoteTextChar">
    <w:name w:val="Footnote Text Char"/>
    <w:basedOn w:val="DefaultParagraphFont"/>
    <w:link w:val="FootnoteText"/>
    <w:rsid w:val="008B5DAE"/>
    <w:rPr>
      <w:rFonts w:ascii="Trebuchet MS" w:hAnsi="Trebuchet MS"/>
      <w:sz w:val="16"/>
      <w:lang w:val="en-AU"/>
    </w:rPr>
  </w:style>
  <w:style w:type="character" w:styleId="CommentReference">
    <w:name w:val="annotation reference"/>
    <w:basedOn w:val="DefaultParagraphFont"/>
    <w:uiPriority w:val="99"/>
    <w:semiHidden/>
    <w:rsid w:val="00367546"/>
    <w:rPr>
      <w:sz w:val="16"/>
      <w:szCs w:val="16"/>
    </w:rPr>
  </w:style>
  <w:style w:type="paragraph" w:styleId="CommentText">
    <w:name w:val="annotation text"/>
    <w:basedOn w:val="Normal"/>
    <w:link w:val="CommentTextChar"/>
    <w:uiPriority w:val="99"/>
    <w:semiHidden/>
    <w:rsid w:val="00367546"/>
    <w:pPr>
      <w:spacing w:line="240" w:lineRule="auto"/>
    </w:pPr>
    <w:rPr>
      <w:sz w:val="20"/>
    </w:rPr>
  </w:style>
  <w:style w:type="character" w:customStyle="1" w:styleId="CommentTextChar">
    <w:name w:val="Comment Text Char"/>
    <w:basedOn w:val="DefaultParagraphFont"/>
    <w:link w:val="CommentText"/>
    <w:uiPriority w:val="99"/>
    <w:semiHidden/>
    <w:rsid w:val="00367546"/>
    <w:rPr>
      <w:rFonts w:ascii="Trebuchet MS" w:hAnsi="Trebuchet MS"/>
      <w:lang w:val="en-AU"/>
    </w:rPr>
  </w:style>
  <w:style w:type="character" w:styleId="LineNumber">
    <w:name w:val="line number"/>
    <w:basedOn w:val="DefaultParagraphFont"/>
    <w:uiPriority w:val="99"/>
    <w:semiHidden/>
    <w:rsid w:val="005A6AB2"/>
  </w:style>
  <w:style w:type="paragraph" w:customStyle="1" w:styleId="EndNoteBibliographyTitle">
    <w:name w:val="EndNote Bibliography Title"/>
    <w:basedOn w:val="Normal"/>
    <w:link w:val="EndNoteBibliographyTitleChar"/>
    <w:rsid w:val="00CA754F"/>
    <w:pPr>
      <w:jc w:val="center"/>
    </w:pPr>
    <w:rPr>
      <w:noProof/>
      <w:sz w:val="18"/>
      <w:lang w:val="en-US"/>
    </w:rPr>
  </w:style>
  <w:style w:type="character" w:customStyle="1" w:styleId="EndNoteBibliographyTitleChar">
    <w:name w:val="EndNote Bibliography Title Char"/>
    <w:basedOn w:val="TextChar"/>
    <w:link w:val="EndNoteBibliographyTitle"/>
    <w:rsid w:val="00CA754F"/>
    <w:rPr>
      <w:rFonts w:ascii="Trebuchet MS" w:hAnsi="Trebuchet MS"/>
      <w:noProof/>
      <w:sz w:val="18"/>
      <w:lang w:val="en-AU"/>
    </w:rPr>
  </w:style>
  <w:style w:type="paragraph" w:customStyle="1" w:styleId="EndNoteBibliography">
    <w:name w:val="EndNote Bibliography"/>
    <w:basedOn w:val="Normal"/>
    <w:link w:val="EndNoteBibliographyChar"/>
    <w:rsid w:val="00CA754F"/>
    <w:pPr>
      <w:spacing w:line="240" w:lineRule="exact"/>
    </w:pPr>
    <w:rPr>
      <w:noProof/>
      <w:sz w:val="18"/>
      <w:lang w:val="en-US"/>
    </w:rPr>
  </w:style>
  <w:style w:type="character" w:customStyle="1" w:styleId="EndNoteBibliographyChar">
    <w:name w:val="EndNote Bibliography Char"/>
    <w:basedOn w:val="TextChar"/>
    <w:link w:val="EndNoteBibliography"/>
    <w:rsid w:val="00CA754F"/>
    <w:rPr>
      <w:rFonts w:ascii="Trebuchet MS" w:hAnsi="Trebuchet MS"/>
      <w:noProof/>
      <w:sz w:val="18"/>
      <w:lang w:val="en-AU"/>
    </w:rPr>
  </w:style>
  <w:style w:type="character" w:customStyle="1" w:styleId="FooterChar">
    <w:name w:val="Footer Char"/>
    <w:basedOn w:val="DefaultParagraphFont"/>
    <w:link w:val="Footer"/>
    <w:rsid w:val="00C20ED6"/>
    <w:rPr>
      <w:rFonts w:ascii="Tahoma" w:hAnsi="Tahoma"/>
      <w:sz w:val="17"/>
      <w:szCs w:val="17"/>
      <w:lang w:val="en-AU"/>
    </w:rPr>
  </w:style>
  <w:style w:type="paragraph" w:styleId="CommentSubject">
    <w:name w:val="annotation subject"/>
    <w:basedOn w:val="CommentText"/>
    <w:next w:val="CommentText"/>
    <w:link w:val="CommentSubjectChar"/>
    <w:uiPriority w:val="99"/>
    <w:semiHidden/>
    <w:unhideWhenUsed/>
    <w:rsid w:val="0076147C"/>
    <w:rPr>
      <w:b/>
      <w:bCs/>
    </w:rPr>
  </w:style>
  <w:style w:type="character" w:customStyle="1" w:styleId="CommentSubjectChar">
    <w:name w:val="Comment Subject Char"/>
    <w:basedOn w:val="CommentTextChar"/>
    <w:link w:val="CommentSubject"/>
    <w:uiPriority w:val="99"/>
    <w:semiHidden/>
    <w:rsid w:val="0076147C"/>
    <w:rPr>
      <w:rFonts w:ascii="Trebuchet MS" w:hAnsi="Trebuchet MS"/>
      <w:b/>
      <w:bCs/>
      <w:lang w:val="en-AU"/>
    </w:rPr>
  </w:style>
  <w:style w:type="paragraph" w:customStyle="1" w:styleId="Textmorebefore">
    <w:name w:val="Text more # before"/>
    <w:basedOn w:val="Text"/>
    <w:uiPriority w:val="1"/>
    <w:qFormat/>
    <w:rsid w:val="00C00BF0"/>
    <w:pPr>
      <w:spacing w:before="360"/>
      <w:ind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263405">
      <w:bodyDiv w:val="1"/>
      <w:marLeft w:val="0"/>
      <w:marRight w:val="0"/>
      <w:marTop w:val="0"/>
      <w:marBottom w:val="0"/>
      <w:divBdr>
        <w:top w:val="none" w:sz="0" w:space="0" w:color="auto"/>
        <w:left w:val="none" w:sz="0" w:space="0" w:color="auto"/>
        <w:bottom w:val="none" w:sz="0" w:space="0" w:color="auto"/>
        <w:right w:val="none" w:sz="0" w:space="0" w:color="auto"/>
      </w:divBdr>
    </w:div>
    <w:div w:id="928734580">
      <w:bodyDiv w:val="1"/>
      <w:marLeft w:val="0"/>
      <w:marRight w:val="0"/>
      <w:marTop w:val="0"/>
      <w:marBottom w:val="0"/>
      <w:divBdr>
        <w:top w:val="none" w:sz="0" w:space="0" w:color="auto"/>
        <w:left w:val="none" w:sz="0" w:space="0" w:color="auto"/>
        <w:bottom w:val="none" w:sz="0" w:space="0" w:color="auto"/>
        <w:right w:val="none" w:sz="0" w:space="0" w:color="auto"/>
      </w:divBdr>
    </w:div>
    <w:div w:id="1928733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cver@ncver.edu.au" TargetMode="External"/><Relationship Id="rId18" Type="http://schemas.openxmlformats.org/officeDocument/2006/relationships/hyperlink" Target="http://www.lsay.edu.au" TargetMode="External"/><Relationship Id="rId26" Type="http://schemas.openxmlformats.org/officeDocument/2006/relationships/hyperlink" Target="http://www.theaustralian.com.au/business/economics/labour-mobility-is-key-to-the-resources-boom/story-e6frg926-1226133492985%3e" TargetMode="External"/><Relationship Id="rId3" Type="http://schemas.openxmlformats.org/officeDocument/2006/relationships/styles" Target="styles.xml"/><Relationship Id="rId21" Type="http://schemas.openxmlformats.org/officeDocument/2006/relationships/hyperlink" Target="ftp://193.146.129.230/wp/03/0302.pdf%3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mailto:ncver@ncver.edu.au" TargetMode="External"/><Relationship Id="rId25" Type="http://schemas.openxmlformats.org/officeDocument/2006/relationships/hyperlink" Target="http://EconPapers.repec.org/RePEc:wbk:wbpubs:2445%3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interactaust.com.au/skillsEDIT/clientuploads/51/FLOOD%20EXTENDED%20-%20Connecting%20People%20with%20Jobs%20for%20Job%20Seekers%20Fact%20Sheet.pdf%3e"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ced.edu.au/" TargetMode="External"/><Relationship Id="rId24" Type="http://schemas.openxmlformats.org/officeDocument/2006/relationships/hyperlink" Target="http://www.theaustralian.com.au/national-affairs/industrial-relations/paying-people-to-relocate-for-jobs-has-failed/story-fn59noo3-1226480606380%3e"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eurofound.europa.eu/pubdocs/2007/09/en/1/ef0709en.pdf%3e" TargetMode="External"/><Relationship Id="rId28" Type="http://schemas.openxmlformats.org/officeDocument/2006/relationships/hyperlink" Target="http://www.who.int/hrh/resources/DCE_UserGuide_WEB.pdf%3e" TargetMode="External"/><Relationship Id="rId10" Type="http://schemas.openxmlformats.org/officeDocument/2006/relationships/image" Target="media/image2.jpeg"/><Relationship Id="rId19" Type="http://schemas.openxmlformats.org/officeDocument/2006/relationships/image" Target="media/image6.e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lsay.edu.au" TargetMode="External"/><Relationship Id="rId22" Type="http://schemas.openxmlformats.org/officeDocument/2006/relationships/hyperlink" Target="http://www.iza.org/en/webcontent/publications/reports/report_pdfs/iza_report_19.pdf%3e" TargetMode="External"/><Relationship Id="rId27" Type="http://schemas.openxmlformats.org/officeDocument/2006/relationships/hyperlink" Target="http://www2.hn.psu.edu/faculty/jmanis/adam-smith/Wealth-Nations.pdf%3e" TargetMode="External"/><Relationship Id="rId30"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deewr.gov.au/information-job-seekers-about-move-2-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6C76-8B68-494E-AFFF-1132B7CD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4B95E4E4.dotm</Template>
  <TotalTime>0</TotalTime>
  <Pages>48</Pages>
  <Words>34250</Words>
  <Characters>195227</Characters>
  <Application>Microsoft Office Word</Application>
  <DocSecurity>0</DocSecurity>
  <Lines>1626</Lines>
  <Paragraphs>458</Paragraphs>
  <ScaleCrop>false</ScaleCrop>
  <HeadingPairs>
    <vt:vector size="2" baseType="variant">
      <vt:variant>
        <vt:lpstr>Title</vt:lpstr>
      </vt:variant>
      <vt:variant>
        <vt:i4>1</vt:i4>
      </vt:variant>
    </vt:vector>
  </HeadingPairs>
  <TitlesOfParts>
    <vt:vector size="1" baseType="lpstr">
      <vt:lpstr>Incentives-for-relocating</vt:lpstr>
    </vt:vector>
  </TitlesOfParts>
  <Company>UQ</Company>
  <LinksUpToDate>false</LinksUpToDate>
  <CharactersWithSpaces>229019</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Incentives-for-relocating</dc:title>
  <dc:creator>Nicholas, Shah</dc:creator>
  <cp:lastModifiedBy>Kaye McAdam</cp:lastModifiedBy>
  <cp:revision>2</cp:revision>
  <cp:lastPrinted>2014-04-29T01:01:00Z</cp:lastPrinted>
  <dcterms:created xsi:type="dcterms:W3CDTF">2015-01-13T04:46:00Z</dcterms:created>
  <dcterms:modified xsi:type="dcterms:W3CDTF">2015-01-13T04:46:00Z</dcterms:modified>
</cp:coreProperties>
</file>