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27" w:rsidRDefault="000F2B3B" w:rsidP="00177827">
      <w:pPr>
        <w:pStyle w:val="PublicationTitle"/>
        <w:spacing w:before="0"/>
      </w:pPr>
      <w:bookmarkStart w:id="0" w:name="_Toc296423677"/>
      <w:bookmarkStart w:id="1" w:name="_Toc296497508"/>
      <w:r>
        <w:rPr>
          <w:noProof/>
          <w:lang w:eastAsia="en-AU"/>
        </w:rPr>
        <w:drawing>
          <wp:anchor distT="0" distB="0" distL="114300" distR="114300" simplePos="0" relativeHeight="251672576" behindDoc="0" locked="0" layoutInCell="1" allowOverlap="1" wp14:anchorId="50912BE8" wp14:editId="6C4E43A4">
            <wp:simplePos x="0" y="0"/>
            <wp:positionH relativeFrom="column">
              <wp:posOffset>-433705</wp:posOffset>
            </wp:positionH>
            <wp:positionV relativeFrom="paragraph">
              <wp:posOffset>246380</wp:posOffset>
            </wp:positionV>
            <wp:extent cx="2314575" cy="494665"/>
            <wp:effectExtent l="0" t="0" r="9525" b="635"/>
            <wp:wrapSquare wrapText="bothSides"/>
            <wp:docPr id="14" name="Picture 2" descr="P:\PublicationComponents\logos\NCVER LOGOS\Web\NCVER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NCVER LOGOS\Web\NCVER_MON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4575" cy="494665"/>
                    </a:xfrm>
                    <a:prstGeom prst="rect">
                      <a:avLst/>
                    </a:prstGeom>
                    <a:noFill/>
                    <a:ln>
                      <a:noFill/>
                    </a:ln>
                  </pic:spPr>
                </pic:pic>
              </a:graphicData>
            </a:graphic>
            <wp14:sizeRelH relativeFrom="page">
              <wp14:pctWidth>0</wp14:pctWidth>
            </wp14:sizeRelH>
            <wp14:sizeRelV relativeFrom="page">
              <wp14:pctHeight>0</wp14:pctHeight>
            </wp14:sizeRelV>
          </wp:anchor>
        </w:drawing>
      </w:r>
      <w:r w:rsidR="00261E4C">
        <w:rPr>
          <w:noProof/>
          <w:lang w:eastAsia="en-AU"/>
        </w:rPr>
        <w:drawing>
          <wp:anchor distT="0" distB="0" distL="114300" distR="114300" simplePos="0" relativeHeight="251671552" behindDoc="1" locked="0" layoutInCell="1" allowOverlap="1" wp14:anchorId="52AE448D" wp14:editId="0288AE3E">
            <wp:simplePos x="0" y="0"/>
            <wp:positionH relativeFrom="column">
              <wp:posOffset>-676910</wp:posOffset>
            </wp:positionH>
            <wp:positionV relativeFrom="paragraph">
              <wp:posOffset>879475</wp:posOffset>
            </wp:positionV>
            <wp:extent cx="2708910" cy="914400"/>
            <wp:effectExtent l="19050" t="0" r="0" b="0"/>
            <wp:wrapTight wrapText="bothSides">
              <wp:wrapPolygon edited="0">
                <wp:start x="-152" y="0"/>
                <wp:lineTo x="-152" y="21150"/>
                <wp:lineTo x="21570" y="21150"/>
                <wp:lineTo x="21570" y="0"/>
                <wp:lineTo x="-152" y="0"/>
              </wp:wrapPolygon>
            </wp:wrapTight>
            <wp:docPr id="2" name="Picture 2" descr="P:\PublicationComponents\logos\Department of Industry\Dept_Industry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Department of Industry\Dept_Industry_inline.jpg"/>
                    <pic:cNvPicPr>
                      <a:picLocks noChangeAspect="1" noChangeArrowheads="1"/>
                    </pic:cNvPicPr>
                  </pic:nvPicPr>
                  <pic:blipFill>
                    <a:blip r:embed="rId10" cstate="print"/>
                    <a:srcRect/>
                    <a:stretch>
                      <a:fillRect/>
                    </a:stretch>
                  </pic:blipFill>
                  <pic:spPr bwMode="auto">
                    <a:xfrm>
                      <a:off x="0" y="0"/>
                      <a:ext cx="2708910" cy="914400"/>
                    </a:xfrm>
                    <a:prstGeom prst="rect">
                      <a:avLst/>
                    </a:prstGeom>
                    <a:noFill/>
                    <a:ln w="9525">
                      <a:noFill/>
                      <a:miter lim="800000"/>
                      <a:headEnd/>
                      <a:tailEnd/>
                    </a:ln>
                  </pic:spPr>
                </pic:pic>
              </a:graphicData>
            </a:graphic>
          </wp:anchor>
        </w:drawing>
      </w:r>
    </w:p>
    <w:p w:rsidR="00177827" w:rsidRDefault="00177827" w:rsidP="00A56A4A">
      <w:pPr>
        <w:pStyle w:val="PublicationTitle"/>
        <w:spacing w:before="0" w:after="0"/>
      </w:pPr>
    </w:p>
    <w:p w:rsidR="007C75D3" w:rsidRDefault="007C75D3" w:rsidP="00177827">
      <w:pPr>
        <w:pStyle w:val="PublicationTitle"/>
        <w:spacing w:before="0"/>
      </w:pPr>
    </w:p>
    <w:p w:rsidR="009E231A" w:rsidRPr="005C2FCF" w:rsidRDefault="00E32F34" w:rsidP="00177827">
      <w:pPr>
        <w:pStyle w:val="PublicationTitle"/>
        <w:spacing w:before="0"/>
      </w:pPr>
      <w:r w:rsidRPr="00E32F34">
        <w:t xml:space="preserve">A </w:t>
      </w:r>
      <w:r w:rsidR="006B51B1">
        <w:t>differentiated</w:t>
      </w:r>
      <w:r w:rsidR="0026728B">
        <w:t xml:space="preserve"> model for </w:t>
      </w:r>
      <w:r w:rsidRPr="00E32F34">
        <w:t>tertiary education: past ideas</w:t>
      </w:r>
      <w:r w:rsidR="0026728B">
        <w:t>,</w:t>
      </w:r>
      <w:r w:rsidRPr="00E32F34">
        <w:t xml:space="preserve"> contemporary policy</w:t>
      </w:r>
      <w:r>
        <w:t xml:space="preserve"> </w:t>
      </w:r>
      <w:bookmarkEnd w:id="0"/>
      <w:bookmarkEnd w:id="1"/>
      <w:r w:rsidR="0026728B">
        <w:t>and future possibilities</w:t>
      </w:r>
    </w:p>
    <w:p w:rsidR="00177827" w:rsidRDefault="008E50F9" w:rsidP="008E50F9">
      <w:pPr>
        <w:pStyle w:val="Authors"/>
      </w:pPr>
      <w:bookmarkStart w:id="2" w:name="_Toc296423678"/>
      <w:bookmarkStart w:id="3" w:name="_Toc296497509"/>
      <w:r>
        <w:t>Francesca Beddie</w:t>
      </w:r>
    </w:p>
    <w:p w:rsidR="008E50F9" w:rsidRPr="008E50F9" w:rsidRDefault="008E50F9" w:rsidP="008E50F9">
      <w:pPr>
        <w:pStyle w:val="Organisation"/>
      </w:pPr>
      <w:r>
        <w:t>Francesca M Beddie and Associates</w:t>
      </w:r>
    </w:p>
    <w:bookmarkEnd w:id="2"/>
    <w:bookmarkEnd w:id="3"/>
    <w:p w:rsidR="00DB599C" w:rsidRDefault="001015D8" w:rsidP="0006125F">
      <w:pPr>
        <w:pStyle w:val="Heading3"/>
        <w:ind w:right="-1"/>
      </w:pPr>
      <w:r>
        <w:rPr>
          <w:noProof/>
          <w:lang w:eastAsia="en-AU"/>
        </w:rPr>
        <mc:AlternateContent>
          <mc:Choice Requires="wps">
            <w:drawing>
              <wp:anchor distT="0" distB="0" distL="114300" distR="114300" simplePos="0" relativeHeight="251658240" behindDoc="0" locked="0" layoutInCell="1" allowOverlap="1" wp14:anchorId="2D71357F" wp14:editId="6B1E138A">
                <wp:simplePos x="0" y="0"/>
                <wp:positionH relativeFrom="column">
                  <wp:posOffset>928370</wp:posOffset>
                </wp:positionH>
                <wp:positionV relativeFrom="margin">
                  <wp:posOffset>8378190</wp:posOffset>
                </wp:positionV>
                <wp:extent cx="4533900" cy="105410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0E6" w:rsidRDefault="005210E6" w:rsidP="006C5DA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5210E6" w:rsidRDefault="005210E6" w:rsidP="006D643F">
                            <w:pPr>
                              <w:pStyle w:val="Imprint"/>
                              <w:spacing w:before="120"/>
                              <w:ind w:left="142" w:right="10"/>
                            </w:pPr>
                            <w:r w:rsidRPr="005C2FCF">
                              <w:rPr>
                                <w:color w:val="000000"/>
                              </w:rPr>
                              <w:t>Any interpretation of data is the responsibility of the author/project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73.1pt;margin-top:659.7pt;width:357pt;height: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JZtQIAALw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" filled="f" stroked="f">
                <v:textbox>
                  <w:txbxContent>
                    <w:p w:rsidR="005210E6" w:rsidRDefault="005210E6" w:rsidP="006C5DA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5210E6" w:rsidRDefault="005210E6" w:rsidP="006D643F">
                      <w:pPr>
                        <w:pStyle w:val="Imprint"/>
                        <w:spacing w:before="120"/>
                        <w:ind w:left="142" w:right="10"/>
                      </w:pPr>
                      <w:r w:rsidRPr="005C2FCF">
                        <w:rPr>
                          <w:color w:val="000000"/>
                        </w:rPr>
                        <w:t>Any interpretation of data is the responsibility of the author/project team.</w:t>
                      </w:r>
                    </w:p>
                  </w:txbxContent>
                </v:textbox>
                <w10:wrap anchory="margin"/>
              </v:shape>
            </w:pict>
          </mc:Fallback>
        </mc:AlternateContent>
      </w:r>
    </w:p>
    <w:p w:rsidR="008B22E2" w:rsidRDefault="006D643F" w:rsidP="00E57478">
      <w:pPr>
        <w:pStyle w:val="Heading3"/>
        <w:ind w:right="-1"/>
      </w:pPr>
      <w:r>
        <w:rPr>
          <w:noProof/>
          <w:lang w:eastAsia="en-AU"/>
        </w:rPr>
        <mc:AlternateContent>
          <mc:Choice Requires="wps">
            <w:drawing>
              <wp:anchor distT="0" distB="0" distL="114300" distR="114300" simplePos="0" relativeHeight="251660288" behindDoc="0" locked="0" layoutInCell="1" allowOverlap="1" wp14:anchorId="1A02F939" wp14:editId="7F1FBDE5">
                <wp:simplePos x="0" y="0"/>
                <wp:positionH relativeFrom="column">
                  <wp:posOffset>1014095</wp:posOffset>
                </wp:positionH>
                <wp:positionV relativeFrom="margin">
                  <wp:posOffset>7057390</wp:posOffset>
                </wp:positionV>
                <wp:extent cx="2790825" cy="10541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0E6" w:rsidRPr="006D643F" w:rsidRDefault="005210E6" w:rsidP="006D643F">
                            <w:pPr>
                              <w:pStyle w:val="Heading3"/>
                              <w:rPr>
                                <w:rFonts w:ascii="Trebuchet MS" w:hAnsi="Trebuchet MS"/>
                                <w:szCs w:val="24"/>
                              </w:rPr>
                            </w:pPr>
                            <w:r w:rsidRPr="006D643F">
                              <w:rPr>
                                <w:rFonts w:ascii="Trebuchet MS" w:hAnsi="Trebuchet MS"/>
                                <w:szCs w:val="24"/>
                              </w:rPr>
                              <w:t xml:space="preserve">NATIONAL VOCATIONAL EDUCATION AND TRAINING RESEARCH PROGRAM </w:t>
                            </w:r>
                          </w:p>
                          <w:p w:rsidR="005210E6" w:rsidRPr="006D643F" w:rsidRDefault="005210E6" w:rsidP="006D643F">
                            <w:pPr>
                              <w:pStyle w:val="Heading3"/>
                              <w:spacing w:before="80"/>
                              <w:rPr>
                                <w:rFonts w:ascii="Trebuchet MS" w:hAnsi="Trebuchet MS"/>
                                <w:szCs w:val="24"/>
                              </w:rPr>
                            </w:pPr>
                            <w:r w:rsidRPr="006D643F">
                              <w:rPr>
                                <w:rFonts w:ascii="Trebuchet MS" w:hAnsi="Trebuchet MS"/>
                                <w:b/>
                                <w:szCs w:val="24"/>
                              </w:rPr>
                              <w:t>RESEARCH REPORT</w:t>
                            </w:r>
                          </w:p>
                          <w:p w:rsidR="005210E6" w:rsidRDefault="005210E6" w:rsidP="009E2F64">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79.85pt;margin-top:555.7pt;width:219.75pt;height: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ugIAAMM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" filled="f" stroked="f">
                <v:textbox>
                  <w:txbxContent>
                    <w:p w:rsidR="005210E6" w:rsidRPr="006D643F" w:rsidRDefault="005210E6" w:rsidP="006D643F">
                      <w:pPr>
                        <w:pStyle w:val="Heading3"/>
                        <w:rPr>
                          <w:rFonts w:ascii="Trebuchet MS" w:hAnsi="Trebuchet MS"/>
                          <w:szCs w:val="24"/>
                        </w:rPr>
                      </w:pPr>
                      <w:r w:rsidRPr="006D643F">
                        <w:rPr>
                          <w:rFonts w:ascii="Trebuchet MS" w:hAnsi="Trebuchet MS"/>
                          <w:szCs w:val="24"/>
                        </w:rPr>
                        <w:t xml:space="preserve">NATIONAL VOCATIONAL EDUCATION AND TRAINING RESEARCH PROGRAM </w:t>
                      </w:r>
                    </w:p>
                    <w:p w:rsidR="005210E6" w:rsidRPr="006D643F" w:rsidRDefault="005210E6" w:rsidP="006D643F">
                      <w:pPr>
                        <w:pStyle w:val="Heading3"/>
                        <w:spacing w:before="80"/>
                        <w:rPr>
                          <w:rFonts w:ascii="Trebuchet MS" w:hAnsi="Trebuchet MS"/>
                          <w:szCs w:val="24"/>
                        </w:rPr>
                      </w:pPr>
                      <w:r w:rsidRPr="006D643F">
                        <w:rPr>
                          <w:rFonts w:ascii="Trebuchet MS" w:hAnsi="Trebuchet MS"/>
                          <w:b/>
                          <w:szCs w:val="24"/>
                        </w:rPr>
                        <w:t>RESEARCH REPORT</w:t>
                      </w:r>
                    </w:p>
                    <w:p w:rsidR="005210E6" w:rsidRDefault="005210E6" w:rsidP="009E2F64">
                      <w:pPr>
                        <w:pStyle w:val="Heading3"/>
                      </w:pPr>
                    </w:p>
                  </w:txbxContent>
                </v:textbox>
                <w10:wrap anchory="margin"/>
              </v:shape>
            </w:pict>
          </mc:Fallback>
        </mc:AlternateContent>
      </w:r>
      <w:r w:rsidR="00FE4A2D" w:rsidRPr="005C2FCF">
        <w:br w:type="page"/>
      </w:r>
    </w:p>
    <w:p w:rsidR="009E231A" w:rsidRPr="00C77DC6" w:rsidRDefault="001015D8" w:rsidP="0049453B">
      <w:pPr>
        <w:pStyle w:val="Abouttheresearch"/>
      </w:pPr>
      <w:r>
        <w:rPr>
          <w:noProof/>
          <w:lang w:eastAsia="en-AU"/>
        </w:rPr>
        <w:lastRenderedPageBreak/>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3062910</wp:posOffset>
                </wp:positionV>
                <wp:extent cx="4838700" cy="5791200"/>
                <wp:effectExtent l="0" t="0"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579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0E6" w:rsidRPr="00A021FC" w:rsidRDefault="005210E6" w:rsidP="003E1640">
                            <w:pPr>
                              <w:pStyle w:val="Imprint"/>
                              <w:rPr>
                                <w:b/>
                              </w:rPr>
                            </w:pPr>
                            <w:r w:rsidRPr="00A021FC">
                              <w:rPr>
                                <w:b/>
                              </w:rPr>
                              <w:t xml:space="preserve">© Commonwealth of Australia, </w:t>
                            </w:r>
                            <w:r>
                              <w:rPr>
                                <w:b/>
                              </w:rPr>
                              <w:t>2014</w:t>
                            </w:r>
                          </w:p>
                          <w:p w:rsidR="005210E6" w:rsidRDefault="005210E6" w:rsidP="003E1640">
                            <w:pPr>
                              <w:pStyle w:val="Imprint"/>
                              <w:rPr>
                                <w:sz w:val="20"/>
                              </w:rPr>
                            </w:pPr>
                            <w:r w:rsidRPr="00E80270">
                              <w:rPr>
                                <w:noProof/>
                                <w:sz w:val="20"/>
                                <w:lang w:eastAsia="en-AU"/>
                              </w:rPr>
                              <w:drawing>
                                <wp:inline distT="0" distB="0" distL="0" distR="0">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5210E6" w:rsidRPr="00A021FC" w:rsidRDefault="005210E6" w:rsidP="003E1640">
                            <w:pPr>
                              <w:pStyle w:val="Imprint"/>
                            </w:pPr>
                            <w:r w:rsidRPr="00A021FC">
                              <w:t>With the exception of the Commonwealth Coat of Arms, the Department</w:t>
                            </w:r>
                            <w:r>
                              <w:t>’</w:t>
                            </w:r>
                            <w:r w:rsidRPr="00A021FC">
                              <w:t xml:space="preserve">s logo, any material protected by a trade mark and where otherwise noted all material presented in this document is provided under a Creative Commons Attribution 3.0 Australia &lt;http://creativecommons.org/licenses/by/3.0/au&gt; licence. </w:t>
                            </w:r>
                          </w:p>
                          <w:p w:rsidR="005210E6" w:rsidRPr="00A021FC" w:rsidRDefault="005210E6" w:rsidP="006D643F">
                            <w:pPr>
                              <w:pStyle w:val="Imprint"/>
                              <w:spacing w:before="80"/>
                            </w:pPr>
                            <w:r w:rsidRPr="00A021FC">
                              <w:t>The details of the relevant licence conditions are available on the Creat</w:t>
                            </w:r>
                            <w:r>
                              <w:t>ive Commons website (accessible </w:t>
                            </w:r>
                            <w:r w:rsidRPr="00A021FC">
                              <w:t>using the links provided) as is the full legal code for the CC BY 3.0 AU licence &lt;http://creativecommons.org/licenses/by/3.0/legalcode&gt;.</w:t>
                            </w:r>
                          </w:p>
                          <w:p w:rsidR="005210E6" w:rsidRPr="00A021FC" w:rsidRDefault="005210E6" w:rsidP="006D643F">
                            <w:pPr>
                              <w:pStyle w:val="Imprint"/>
                              <w:spacing w:before="80"/>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r>
                              <w:t xml:space="preserve"> </w:t>
                            </w:r>
                          </w:p>
                          <w:p w:rsidR="005210E6" w:rsidRPr="00A021FC" w:rsidRDefault="005210E6" w:rsidP="003E1640">
                            <w:pPr>
                              <w:pStyle w:val="Imprint"/>
                            </w:pPr>
                            <w:r w:rsidRPr="00A021FC">
                              <w:t xml:space="preserve">This document should be attributed as </w:t>
                            </w:r>
                            <w:r>
                              <w:t xml:space="preserve">Beddie, F 2014, </w:t>
                            </w:r>
                            <w:r>
                              <w:rPr>
                                <w:i/>
                              </w:rPr>
                              <w:t>A differentiated model for tertiary education: past ideas, contemporary policy and future possibilities</w:t>
                            </w:r>
                            <w:r w:rsidRPr="00A021FC">
                              <w:rPr>
                                <w:i/>
                              </w:rPr>
                              <w:t>,</w:t>
                            </w:r>
                            <w:r w:rsidRPr="00A021FC">
                              <w:t xml:space="preserve"> NCVER, Adelaide.</w:t>
                            </w:r>
                          </w:p>
                          <w:p w:rsidR="005210E6" w:rsidRPr="00EC29E3" w:rsidRDefault="005210E6" w:rsidP="00541B94">
                            <w:pPr>
                              <w:pStyle w:val="Imprint"/>
                              <w:ind w:right="1700"/>
                              <w:rPr>
                                <w:smallCaps/>
                                <w:color w:val="000000"/>
                              </w:rPr>
                            </w:pPr>
                            <w:r>
                              <w:rPr>
                                <w:smallCaps/>
                                <w:color w:val="000000"/>
                              </w:rPr>
                              <w:t>COVER IMAGE: GETTY IMAGES/THINKSTOCK</w:t>
                            </w:r>
                          </w:p>
                          <w:p w:rsidR="005210E6" w:rsidRPr="005C2FCF" w:rsidRDefault="005210E6" w:rsidP="00A30084">
                            <w:pPr>
                              <w:pStyle w:val="Imprint"/>
                              <w:rPr>
                                <w:color w:val="000000"/>
                              </w:rPr>
                            </w:pPr>
                            <w:r w:rsidRPr="005C2FCF">
                              <w:rPr>
                                <w:color w:val="000000"/>
                              </w:rPr>
                              <w:t>ISBN</w:t>
                            </w:r>
                            <w:r w:rsidRPr="005C2FCF">
                              <w:rPr>
                                <w:color w:val="000000"/>
                              </w:rPr>
                              <w:tab/>
                            </w:r>
                            <w:r w:rsidRPr="00275206">
                              <w:rPr>
                                <w:color w:val="000000"/>
                              </w:rPr>
                              <w:t>978 1 925173 00 0</w:t>
                            </w:r>
                            <w:r>
                              <w:rPr>
                                <w:color w:val="000000"/>
                              </w:rPr>
                              <w:br/>
                            </w:r>
                            <w:r w:rsidRPr="005C2FCF">
                              <w:rPr>
                                <w:color w:val="000000"/>
                              </w:rPr>
                              <w:t>TD/TNC</w:t>
                            </w:r>
                            <w:r w:rsidRPr="005C2FCF">
                              <w:rPr>
                                <w:color w:val="000000"/>
                              </w:rPr>
                              <w:tab/>
                            </w:r>
                            <w:r w:rsidRPr="007C7C32">
                              <w:rPr>
                                <w:color w:val="000000"/>
                              </w:rPr>
                              <w:t>117.05</w:t>
                            </w:r>
                          </w:p>
                          <w:p w:rsidR="005210E6" w:rsidRPr="000F2B3B" w:rsidRDefault="005210E6" w:rsidP="000F2B3B">
                            <w:pPr>
                              <w:pStyle w:val="Imprint"/>
                              <w:ind w:right="1700"/>
                              <w:rPr>
                                <w:color w:val="000000"/>
                              </w:rPr>
                            </w:pPr>
                            <w:r w:rsidRPr="000F2B3B">
                              <w:rPr>
                                <w:color w:val="000000"/>
                              </w:rPr>
                              <w:t>Published by NCVER, ABN 87 007 967 311</w:t>
                            </w:r>
                          </w:p>
                          <w:p w:rsidR="005210E6" w:rsidRPr="000F2B3B" w:rsidRDefault="005210E6" w:rsidP="006D643F">
                            <w:pPr>
                              <w:pStyle w:val="Imprint"/>
                              <w:spacing w:before="80"/>
                              <w:rPr>
                                <w:color w:val="000000"/>
                              </w:rPr>
                            </w:pPr>
                            <w:r w:rsidRPr="000F2B3B">
                              <w:rPr>
                                <w:color w:val="000000"/>
                              </w:rPr>
                              <w:t>Level 11, 33 King William Street, Adelaide SA 5000</w:t>
                            </w:r>
                          </w:p>
                          <w:p w:rsidR="005210E6" w:rsidRPr="000F2B3B" w:rsidRDefault="005210E6" w:rsidP="006D643F">
                            <w:pPr>
                              <w:pStyle w:val="Imprint"/>
                              <w:spacing w:before="80"/>
                              <w:rPr>
                                <w:color w:val="000000"/>
                              </w:rPr>
                            </w:pPr>
                            <w:r w:rsidRPr="000F2B3B">
                              <w:rPr>
                                <w:color w:val="000000"/>
                              </w:rPr>
                              <w:t>PO Box 8288 Station Arcade, Adelaide SA 5000, Australia</w:t>
                            </w:r>
                          </w:p>
                          <w:p w:rsidR="005210E6" w:rsidRPr="000F2B3B" w:rsidRDefault="005210E6" w:rsidP="006D643F">
                            <w:pPr>
                              <w:pStyle w:val="Imprint"/>
                              <w:spacing w:before="80"/>
                              <w:rPr>
                                <w:color w:val="000000"/>
                              </w:rPr>
                            </w:pPr>
                            <w:r w:rsidRPr="000F2B3B">
                              <w:rPr>
                                <w:color w:val="000000"/>
                              </w:rPr>
                              <w:t>Phone +61 8 8230 8400     Fax +61 8 8212 3436</w:t>
                            </w:r>
                          </w:p>
                          <w:p w:rsidR="005210E6" w:rsidRPr="000F2B3B" w:rsidRDefault="005210E6" w:rsidP="006D643F">
                            <w:pPr>
                              <w:pStyle w:val="Imprint"/>
                              <w:spacing w:before="80"/>
                              <w:rPr>
                                <w:color w:val="000000"/>
                              </w:rPr>
                            </w:pPr>
                            <w:r w:rsidRPr="000F2B3B">
                              <w:rPr>
                                <w:color w:val="000000"/>
                              </w:rPr>
                              <w:t xml:space="preserve">Email ncver@ncver.edu.au     Web &lt;http://www.ncver.edu.au&gt;  </w:t>
                            </w:r>
                            <w:r>
                              <w:rPr>
                                <w:color w:val="000000"/>
                              </w:rPr>
                              <w:t xml:space="preserve">  </w:t>
                            </w:r>
                            <w:r w:rsidRPr="000F2B3B">
                              <w:rPr>
                                <w:color w:val="000000"/>
                              </w:rPr>
                              <w:t>&lt;http://www.lsay.edu.au&gt;</w:t>
                            </w:r>
                          </w:p>
                          <w:p w:rsidR="005210E6" w:rsidRPr="00541B94" w:rsidRDefault="005210E6" w:rsidP="006D643F">
                            <w:pPr>
                              <w:pStyle w:val="Imprint"/>
                              <w:tabs>
                                <w:tab w:val="left" w:pos="993"/>
                                <w:tab w:val="left" w:pos="3686"/>
                              </w:tabs>
                              <w:spacing w:before="80"/>
                              <w:rPr>
                                <w:color w:val="000000"/>
                              </w:rPr>
                            </w:pPr>
                            <w:r w:rsidRPr="000F2B3B">
                              <w:rPr>
                                <w:color w:val="000000"/>
                              </w:rPr>
                              <w:t xml:space="preserve">Follow us: </w:t>
                            </w:r>
                            <w:r w:rsidRPr="000F2B3B">
                              <w:rPr>
                                <w:color w:val="000000"/>
                              </w:rPr>
                              <w:tab/>
                            </w:r>
                            <w:r>
                              <w:rPr>
                                <w:noProof/>
                                <w:color w:val="000000"/>
                                <w:lang w:eastAsia="en-AU"/>
                              </w:rPr>
                              <w:drawing>
                                <wp:inline distT="0" distB="0" distL="0" distR="0" wp14:anchorId="5537B172" wp14:editId="549F5607">
                                  <wp:extent cx="123825" cy="142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0F2B3B">
                              <w:rPr>
                                <w:color w:val="000000"/>
                              </w:rPr>
                              <w:t xml:space="preserve"> &lt;http://twitter.com/ncver&gt;</w:t>
                            </w:r>
                            <w:r w:rsidRPr="000F2B3B">
                              <w:rPr>
                                <w:color w:val="000000"/>
                              </w:rPr>
                              <w:tab/>
                            </w:r>
                            <w:r>
                              <w:rPr>
                                <w:noProof/>
                                <w:color w:val="000000"/>
                                <w:lang w:eastAsia="en-AU"/>
                              </w:rPr>
                              <w:drawing>
                                <wp:inline distT="0" distB="0" distL="0" distR="0" wp14:anchorId="7FB42ECB" wp14:editId="3E74234C">
                                  <wp:extent cx="133350" cy="1428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0F2B3B">
                              <w:rPr>
                                <w:color w:val="000000"/>
                              </w:rPr>
                              <w:t>&lt;http://www.linkedin.com/company/ncver&gt;</w:t>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45pt;margin-top:241.15pt;width:381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" filled="f" stroked="f">
                <v:textbox inset="0,,0">
                  <w:txbxContent>
                    <w:p w:rsidR="005210E6" w:rsidRPr="00A021FC" w:rsidRDefault="005210E6" w:rsidP="003E1640">
                      <w:pPr>
                        <w:pStyle w:val="Imprint"/>
                        <w:rPr>
                          <w:b/>
                        </w:rPr>
                      </w:pPr>
                      <w:r w:rsidRPr="00A021FC">
                        <w:rPr>
                          <w:b/>
                        </w:rPr>
                        <w:t xml:space="preserve">© Commonwealth of Australia, </w:t>
                      </w:r>
                      <w:r>
                        <w:rPr>
                          <w:b/>
                        </w:rPr>
                        <w:t>2014</w:t>
                      </w:r>
                    </w:p>
                    <w:p w:rsidR="005210E6" w:rsidRDefault="005210E6" w:rsidP="003E1640">
                      <w:pPr>
                        <w:pStyle w:val="Imprint"/>
                        <w:rPr>
                          <w:sz w:val="20"/>
                        </w:rPr>
                      </w:pPr>
                      <w:r w:rsidRPr="00E80270">
                        <w:rPr>
                          <w:noProof/>
                          <w:sz w:val="20"/>
                          <w:lang w:eastAsia="en-AU"/>
                        </w:rPr>
                        <w:drawing>
                          <wp:inline distT="0" distB="0" distL="0" distR="0">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4"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5210E6" w:rsidRPr="00A021FC" w:rsidRDefault="005210E6" w:rsidP="003E1640">
                      <w:pPr>
                        <w:pStyle w:val="Imprint"/>
                      </w:pPr>
                      <w:r w:rsidRPr="00A021FC">
                        <w:t>With the exception of the Commonwealth Coat of Arms, the Department</w:t>
                      </w:r>
                      <w:r>
                        <w:t>’</w:t>
                      </w:r>
                      <w:r w:rsidRPr="00A021FC">
                        <w:t xml:space="preserve">s logo, any material protected by a trade mark and where otherwise noted all material presented in this document is provided under a Creative Commons Attribution 3.0 Australia &lt;http://creativecommons.org/licenses/by/3.0/au&gt; licence. </w:t>
                      </w:r>
                    </w:p>
                    <w:p w:rsidR="005210E6" w:rsidRPr="00A021FC" w:rsidRDefault="005210E6" w:rsidP="006D643F">
                      <w:pPr>
                        <w:pStyle w:val="Imprint"/>
                        <w:spacing w:before="80"/>
                      </w:pPr>
                      <w:r w:rsidRPr="00A021FC">
                        <w:t>The details of the relevant licence conditions are available on the Creat</w:t>
                      </w:r>
                      <w:r>
                        <w:t>ive Commons website (accessible </w:t>
                      </w:r>
                      <w:r w:rsidRPr="00A021FC">
                        <w:t>using the links provided) as is the full legal code for the CC BY 3.0 AU licence &lt;http://creativecommons.org/licenses/by/3.0/legalcode&gt;.</w:t>
                      </w:r>
                    </w:p>
                    <w:p w:rsidR="005210E6" w:rsidRPr="00A021FC" w:rsidRDefault="005210E6" w:rsidP="006D643F">
                      <w:pPr>
                        <w:pStyle w:val="Imprint"/>
                        <w:spacing w:before="80"/>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r>
                        <w:t xml:space="preserve"> </w:t>
                      </w:r>
                    </w:p>
                    <w:p w:rsidR="005210E6" w:rsidRPr="00A021FC" w:rsidRDefault="005210E6" w:rsidP="003E1640">
                      <w:pPr>
                        <w:pStyle w:val="Imprint"/>
                      </w:pPr>
                      <w:r w:rsidRPr="00A021FC">
                        <w:t xml:space="preserve">This document should be attributed as </w:t>
                      </w:r>
                      <w:r>
                        <w:t xml:space="preserve">Beddie, F 2014, </w:t>
                      </w:r>
                      <w:proofErr w:type="gramStart"/>
                      <w:r>
                        <w:rPr>
                          <w:i/>
                        </w:rPr>
                        <w:t>A</w:t>
                      </w:r>
                      <w:proofErr w:type="gramEnd"/>
                      <w:r>
                        <w:rPr>
                          <w:i/>
                        </w:rPr>
                        <w:t xml:space="preserve"> differentiated model for tertiary education: past ideas, contemporary policy and future possibilities</w:t>
                      </w:r>
                      <w:r w:rsidRPr="00A021FC">
                        <w:rPr>
                          <w:i/>
                        </w:rPr>
                        <w:t>,</w:t>
                      </w:r>
                      <w:r w:rsidRPr="00A021FC">
                        <w:t xml:space="preserve"> NCVER, Adelaide.</w:t>
                      </w:r>
                    </w:p>
                    <w:p w:rsidR="005210E6" w:rsidRPr="00EC29E3" w:rsidRDefault="005210E6" w:rsidP="00541B94">
                      <w:pPr>
                        <w:pStyle w:val="Imprint"/>
                        <w:ind w:right="1700"/>
                        <w:rPr>
                          <w:smallCaps/>
                          <w:color w:val="000000"/>
                        </w:rPr>
                      </w:pPr>
                      <w:r>
                        <w:rPr>
                          <w:smallCaps/>
                          <w:color w:val="000000"/>
                        </w:rPr>
                        <w:t>COVER IMAGE: GETTY IMAGES/THINKSTOCK</w:t>
                      </w:r>
                    </w:p>
                    <w:p w:rsidR="005210E6" w:rsidRPr="005C2FCF" w:rsidRDefault="005210E6" w:rsidP="00A30084">
                      <w:pPr>
                        <w:pStyle w:val="Imprint"/>
                        <w:rPr>
                          <w:color w:val="000000"/>
                        </w:rPr>
                      </w:pPr>
                      <w:r w:rsidRPr="005C2FCF">
                        <w:rPr>
                          <w:color w:val="000000"/>
                        </w:rPr>
                        <w:t>ISBN</w:t>
                      </w:r>
                      <w:r w:rsidRPr="005C2FCF">
                        <w:rPr>
                          <w:color w:val="000000"/>
                        </w:rPr>
                        <w:tab/>
                      </w:r>
                      <w:r w:rsidRPr="00275206">
                        <w:rPr>
                          <w:color w:val="000000"/>
                        </w:rPr>
                        <w:t>978 1 925173 00 0</w:t>
                      </w:r>
                      <w:r>
                        <w:rPr>
                          <w:color w:val="000000"/>
                        </w:rPr>
                        <w:br/>
                      </w:r>
                      <w:r w:rsidRPr="005C2FCF">
                        <w:rPr>
                          <w:color w:val="000000"/>
                        </w:rPr>
                        <w:t>TD/TNC</w:t>
                      </w:r>
                      <w:r w:rsidRPr="005C2FCF">
                        <w:rPr>
                          <w:color w:val="000000"/>
                        </w:rPr>
                        <w:tab/>
                      </w:r>
                      <w:r w:rsidRPr="007C7C32">
                        <w:rPr>
                          <w:color w:val="000000"/>
                        </w:rPr>
                        <w:t>117.05</w:t>
                      </w:r>
                    </w:p>
                    <w:p w:rsidR="005210E6" w:rsidRPr="000F2B3B" w:rsidRDefault="005210E6" w:rsidP="000F2B3B">
                      <w:pPr>
                        <w:pStyle w:val="Imprint"/>
                        <w:ind w:right="1700"/>
                        <w:rPr>
                          <w:color w:val="000000"/>
                        </w:rPr>
                      </w:pPr>
                      <w:r w:rsidRPr="000F2B3B">
                        <w:rPr>
                          <w:color w:val="000000"/>
                        </w:rPr>
                        <w:t>Published by NCVER, ABN 87 007 967 311</w:t>
                      </w:r>
                    </w:p>
                    <w:p w:rsidR="005210E6" w:rsidRPr="000F2B3B" w:rsidRDefault="005210E6" w:rsidP="006D643F">
                      <w:pPr>
                        <w:pStyle w:val="Imprint"/>
                        <w:spacing w:before="80"/>
                        <w:rPr>
                          <w:color w:val="000000"/>
                        </w:rPr>
                      </w:pPr>
                      <w:r w:rsidRPr="000F2B3B">
                        <w:rPr>
                          <w:color w:val="000000"/>
                        </w:rPr>
                        <w:t>Level 11, 33 King William Street, Adelaide SA 5000</w:t>
                      </w:r>
                    </w:p>
                    <w:p w:rsidR="005210E6" w:rsidRPr="000F2B3B" w:rsidRDefault="005210E6" w:rsidP="006D643F">
                      <w:pPr>
                        <w:pStyle w:val="Imprint"/>
                        <w:spacing w:before="80"/>
                        <w:rPr>
                          <w:color w:val="000000"/>
                        </w:rPr>
                      </w:pPr>
                      <w:r w:rsidRPr="000F2B3B">
                        <w:rPr>
                          <w:color w:val="000000"/>
                        </w:rPr>
                        <w:t>PO Box 8288 Station Arcade, Adelaide SA 5000, Australia</w:t>
                      </w:r>
                    </w:p>
                    <w:p w:rsidR="005210E6" w:rsidRPr="000F2B3B" w:rsidRDefault="005210E6" w:rsidP="006D643F">
                      <w:pPr>
                        <w:pStyle w:val="Imprint"/>
                        <w:spacing w:before="80"/>
                        <w:rPr>
                          <w:color w:val="000000"/>
                        </w:rPr>
                      </w:pPr>
                      <w:r w:rsidRPr="000F2B3B">
                        <w:rPr>
                          <w:color w:val="000000"/>
                        </w:rPr>
                        <w:t>Phone +61 8 8230 8400     Fax +61 8 8212 3436</w:t>
                      </w:r>
                    </w:p>
                    <w:p w:rsidR="005210E6" w:rsidRPr="000F2B3B" w:rsidRDefault="005210E6" w:rsidP="006D643F">
                      <w:pPr>
                        <w:pStyle w:val="Imprint"/>
                        <w:spacing w:before="80"/>
                        <w:rPr>
                          <w:color w:val="000000"/>
                        </w:rPr>
                      </w:pPr>
                      <w:r w:rsidRPr="000F2B3B">
                        <w:rPr>
                          <w:color w:val="000000"/>
                        </w:rPr>
                        <w:t xml:space="preserve">Email ncver@ncver.edu.au     Web &lt;http://www.ncver.edu.au&gt;  </w:t>
                      </w:r>
                      <w:r>
                        <w:rPr>
                          <w:color w:val="000000"/>
                        </w:rPr>
                        <w:t xml:space="preserve">  </w:t>
                      </w:r>
                      <w:r w:rsidRPr="000F2B3B">
                        <w:rPr>
                          <w:color w:val="000000"/>
                        </w:rPr>
                        <w:t>&lt;http://www.lsay.edu.au&gt;</w:t>
                      </w:r>
                    </w:p>
                    <w:p w:rsidR="005210E6" w:rsidRPr="00541B94" w:rsidRDefault="005210E6" w:rsidP="006D643F">
                      <w:pPr>
                        <w:pStyle w:val="Imprint"/>
                        <w:tabs>
                          <w:tab w:val="left" w:pos="993"/>
                          <w:tab w:val="left" w:pos="3686"/>
                        </w:tabs>
                        <w:spacing w:before="80"/>
                        <w:rPr>
                          <w:color w:val="000000"/>
                        </w:rPr>
                      </w:pPr>
                      <w:r w:rsidRPr="000F2B3B">
                        <w:rPr>
                          <w:color w:val="000000"/>
                        </w:rPr>
                        <w:t xml:space="preserve">Follow us: </w:t>
                      </w:r>
                      <w:r w:rsidRPr="000F2B3B">
                        <w:rPr>
                          <w:color w:val="000000"/>
                        </w:rPr>
                        <w:tab/>
                      </w:r>
                      <w:r>
                        <w:rPr>
                          <w:noProof/>
                          <w:color w:val="000000"/>
                          <w:lang w:eastAsia="en-AU"/>
                        </w:rPr>
                        <w:drawing>
                          <wp:inline distT="0" distB="0" distL="0" distR="0" wp14:anchorId="5537B172" wp14:editId="549F5607">
                            <wp:extent cx="123825" cy="142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0F2B3B">
                        <w:rPr>
                          <w:color w:val="000000"/>
                        </w:rPr>
                        <w:t xml:space="preserve"> &lt;http://twitter.com/ncver&gt;</w:t>
                      </w:r>
                      <w:r w:rsidRPr="000F2B3B">
                        <w:rPr>
                          <w:color w:val="000000"/>
                        </w:rPr>
                        <w:tab/>
                      </w:r>
                      <w:r>
                        <w:rPr>
                          <w:noProof/>
                          <w:color w:val="000000"/>
                          <w:lang w:eastAsia="en-AU"/>
                        </w:rPr>
                        <w:drawing>
                          <wp:inline distT="0" distB="0" distL="0" distR="0" wp14:anchorId="7FB42ECB" wp14:editId="3E74234C">
                            <wp:extent cx="133350" cy="1428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0F2B3B">
                        <w:rPr>
                          <w:color w:val="000000"/>
                        </w:rPr>
                        <w:t>&lt;http://www.linkedin.com/company/ncver&gt;</w:t>
                      </w:r>
                    </w:p>
                  </w:txbxContent>
                </v:textbox>
              </v:shape>
            </w:pict>
          </mc:Fallback>
        </mc:AlternateContent>
      </w:r>
      <w:r w:rsidR="00FE4A2D" w:rsidRPr="005C2FCF">
        <w:br w:type="page"/>
      </w:r>
      <w:bookmarkStart w:id="4" w:name="_Toc73766312"/>
      <w:bookmarkStart w:id="5" w:name="_Toc77937774"/>
      <w:bookmarkStart w:id="6" w:name="_Toc80174750"/>
      <w:bookmarkStart w:id="7" w:name="_Toc81560506"/>
      <w:bookmarkStart w:id="8" w:name="_Toc82071799"/>
      <w:bookmarkStart w:id="9" w:name="_Toc82151754"/>
      <w:bookmarkStart w:id="10" w:name="_Toc82498260"/>
      <w:bookmarkStart w:id="11" w:name="_Toc86829097"/>
      <w:bookmarkStart w:id="12" w:name="_Toc89226248"/>
      <w:bookmarkStart w:id="13" w:name="_Toc89240893"/>
      <w:bookmarkStart w:id="14" w:name="_Toc98394875"/>
      <w:bookmarkStart w:id="15" w:name="_Toc296423679"/>
      <w:bookmarkStart w:id="16" w:name="_Toc296497510"/>
      <w:r w:rsidR="00FE4A2D" w:rsidRPr="005C2FCF">
        <w:lastRenderedPageBreak/>
        <w:t>About the research</w:t>
      </w:r>
      <w:bookmarkEnd w:id="4"/>
      <w:bookmarkEnd w:id="5"/>
      <w:bookmarkEnd w:id="6"/>
      <w:bookmarkEnd w:id="7"/>
      <w:bookmarkEnd w:id="8"/>
      <w:bookmarkEnd w:id="9"/>
      <w:bookmarkEnd w:id="10"/>
      <w:bookmarkEnd w:id="11"/>
      <w:bookmarkEnd w:id="12"/>
      <w:bookmarkEnd w:id="13"/>
      <w:bookmarkEnd w:id="14"/>
      <w:bookmarkEnd w:id="15"/>
      <w:bookmarkEnd w:id="16"/>
    </w:p>
    <w:p w:rsidR="001B43CF" w:rsidRDefault="008E50F9" w:rsidP="00F93048">
      <w:pPr>
        <w:pStyle w:val="Abouttheresearchpubtitle"/>
      </w:pPr>
      <w:bookmarkStart w:id="17" w:name="_Toc98394877"/>
      <w:r>
        <w:t>A differentiated model for tertiary education: past ideas, contemporary policy and future possibilities</w:t>
      </w:r>
    </w:p>
    <w:p w:rsidR="009E231A" w:rsidRPr="001B43CF" w:rsidRDefault="008E50F9" w:rsidP="00874DA5">
      <w:pPr>
        <w:pStyle w:val="Heading3"/>
      </w:pPr>
      <w:bookmarkStart w:id="18" w:name="_Toc296423681"/>
      <w:bookmarkStart w:id="19" w:name="_Toc296497512"/>
      <w:r>
        <w:t>Francesca Beddie</w:t>
      </w:r>
      <w:r w:rsidR="00FE4A2D" w:rsidRPr="005C2FCF">
        <w:t xml:space="preserve">, </w:t>
      </w:r>
      <w:bookmarkEnd w:id="17"/>
      <w:bookmarkEnd w:id="18"/>
      <w:bookmarkEnd w:id="19"/>
      <w:r>
        <w:t>Francesca M Beddie and Associates</w:t>
      </w:r>
    </w:p>
    <w:p w:rsidR="009C6FA5" w:rsidRPr="007F237B" w:rsidRDefault="009C6FA5" w:rsidP="009C6FA5">
      <w:pPr>
        <w:pStyle w:val="Text"/>
        <w:spacing w:line="290" w:lineRule="exact"/>
      </w:pPr>
      <w:bookmarkStart w:id="20" w:name="_Toc98394878"/>
      <w:bookmarkStart w:id="21" w:name="_Toc296423682"/>
      <w:bookmarkStart w:id="22" w:name="_Toc296497513"/>
      <w:r w:rsidRPr="007F237B">
        <w:t>Australia’s education system has undergone many changes over the past 50 years</w:t>
      </w:r>
      <w:r>
        <w:t xml:space="preserve"> —</w:t>
      </w:r>
      <w:r w:rsidRPr="007F237B">
        <w:t xml:space="preserve"> and it will continue to do so as governments change.</w:t>
      </w:r>
      <w:r>
        <w:t xml:space="preserve"> The </w:t>
      </w:r>
      <w:r w:rsidR="00563E6E">
        <w:t xml:space="preserve">first </w:t>
      </w:r>
      <w:r>
        <w:t>major reform</w:t>
      </w:r>
      <w:r w:rsidRPr="007F237B">
        <w:t xml:space="preserve"> </w:t>
      </w:r>
      <w:r>
        <w:t>over this period was</w:t>
      </w:r>
      <w:r w:rsidRPr="007F237B">
        <w:t xml:space="preserve"> the introduction of a</w:t>
      </w:r>
      <w:r w:rsidR="00F60C97">
        <w:t> </w:t>
      </w:r>
      <w:r w:rsidRPr="007F237B">
        <w:t xml:space="preserve">binary </w:t>
      </w:r>
      <w:r w:rsidR="00563E6E">
        <w:t xml:space="preserve">policy </w:t>
      </w:r>
      <w:r w:rsidRPr="007F237B">
        <w:t xml:space="preserve">of </w:t>
      </w:r>
      <w:r w:rsidR="00563E6E">
        <w:t xml:space="preserve">higher </w:t>
      </w:r>
      <w:r w:rsidRPr="007F237B">
        <w:t xml:space="preserve">education, which was </w:t>
      </w:r>
      <w:r>
        <w:t xml:space="preserve">subsequently </w:t>
      </w:r>
      <w:r w:rsidRPr="007F237B">
        <w:t xml:space="preserve">replaced by a unified system </w:t>
      </w:r>
      <w:r>
        <w:t>with</w:t>
      </w:r>
      <w:r w:rsidRPr="007F237B">
        <w:t xml:space="preserve"> the Dawkins reforms. </w:t>
      </w:r>
      <w:r>
        <w:t>Today</w:t>
      </w:r>
      <w:r w:rsidRPr="007F237B">
        <w:t>, po</w:t>
      </w:r>
      <w:r>
        <w:t>tential</w:t>
      </w:r>
      <w:r w:rsidRPr="007F237B">
        <w:t xml:space="preserve"> changes </w:t>
      </w:r>
      <w:r>
        <w:t>to</w:t>
      </w:r>
      <w:r w:rsidRPr="007F237B">
        <w:t xml:space="preserve"> the system include the deregulation of student fees and the widening of government-supported university places to </w:t>
      </w:r>
      <w:r>
        <w:t>cover</w:t>
      </w:r>
      <w:r w:rsidRPr="007F237B">
        <w:t xml:space="preserve"> provision by private providers. The latter would open up the delivery of </w:t>
      </w:r>
      <w:r w:rsidR="00563E6E">
        <w:t>tertiary</w:t>
      </w:r>
      <w:r w:rsidRPr="007F237B">
        <w:t xml:space="preserve"> education — taken here to mean diploma and above — to</w:t>
      </w:r>
      <w:r w:rsidR="00F60C97">
        <w:t> </w:t>
      </w:r>
      <w:r w:rsidRPr="007F237B">
        <w:t xml:space="preserve">traditional vocational education and training (VET) providers </w:t>
      </w:r>
      <w:r>
        <w:t>to an increased extent</w:t>
      </w:r>
      <w:r w:rsidRPr="007F237B">
        <w:t>.</w:t>
      </w:r>
    </w:p>
    <w:p w:rsidR="009C6FA5" w:rsidRPr="007F237B" w:rsidRDefault="009C6FA5" w:rsidP="009C6FA5">
      <w:pPr>
        <w:pStyle w:val="Text"/>
        <w:spacing w:before="140" w:line="290" w:lineRule="exact"/>
      </w:pPr>
      <w:r w:rsidRPr="007F237B">
        <w:t xml:space="preserve">To enrich the </w:t>
      </w:r>
      <w:r>
        <w:t xml:space="preserve">current </w:t>
      </w:r>
      <w:r w:rsidRPr="007F237B">
        <w:t xml:space="preserve">discussion </w:t>
      </w:r>
      <w:r>
        <w:t>on</w:t>
      </w:r>
      <w:r w:rsidRPr="007F237B">
        <w:t xml:space="preserve"> changes to tertiary education policy, the author has used history as a policy tool </w:t>
      </w:r>
      <w:r>
        <w:t>for</w:t>
      </w:r>
      <w:r w:rsidRPr="007F237B">
        <w:t xml:space="preserve"> uncover</w:t>
      </w:r>
      <w:r>
        <w:t>ing</w:t>
      </w:r>
      <w:r w:rsidRPr="007F237B">
        <w:t xml:space="preserve"> trends, explain</w:t>
      </w:r>
      <w:r>
        <w:t>ing</w:t>
      </w:r>
      <w:r w:rsidRPr="007F237B">
        <w:t xml:space="preserve"> institutional cultures and prevent</w:t>
      </w:r>
      <w:r>
        <w:t>ing</w:t>
      </w:r>
      <w:r w:rsidRPr="007F237B">
        <w:t xml:space="preserve"> the </w:t>
      </w:r>
      <w:r w:rsidR="00F60C97">
        <w:br/>
      </w:r>
      <w:r w:rsidRPr="007F237B">
        <w:t xml:space="preserve">re-application of ideas already tested. While this particular </w:t>
      </w:r>
      <w:r>
        <w:t>report is</w:t>
      </w:r>
      <w:r w:rsidRPr="007F237B">
        <w:t xml:space="preserve"> </w:t>
      </w:r>
      <w:r>
        <w:t>contextualised through a reread</w:t>
      </w:r>
      <w:r w:rsidRPr="007F237B">
        <w:t>ing of the Martin Report (the report of the Co</w:t>
      </w:r>
      <w:r>
        <w:t>mmittee on the Future of Tertia</w:t>
      </w:r>
      <w:r w:rsidRPr="007F237B">
        <w:t>ry Education</w:t>
      </w:r>
      <w:r>
        <w:t xml:space="preserve"> in Australia, published in 1964—65), a companion piece</w:t>
      </w:r>
      <w:r w:rsidRPr="007F237B">
        <w:t xml:space="preserve"> </w:t>
      </w:r>
      <w:r w:rsidRPr="00AC0D51">
        <w:rPr>
          <w:i/>
        </w:rPr>
        <w:t>What next for tertiary education? Some preliminary sketches</w:t>
      </w:r>
      <w:r w:rsidRPr="007F237B">
        <w:t xml:space="preserve"> </w:t>
      </w:r>
      <w:r>
        <w:t>(Beddie 2</w:t>
      </w:r>
      <w:r w:rsidRPr="007F237B">
        <w:t>014)</w:t>
      </w:r>
      <w:r>
        <w:t xml:space="preserve"> makes</w:t>
      </w:r>
      <w:r w:rsidRPr="007F237B">
        <w:t xml:space="preserve"> a number of somewhat radical </w:t>
      </w:r>
      <w:r>
        <w:t>suggestions</w:t>
      </w:r>
      <w:r w:rsidRPr="007F237B">
        <w:t xml:space="preserve"> for future </w:t>
      </w:r>
      <w:r>
        <w:t>directions to tertiary edu</w:t>
      </w:r>
      <w:r w:rsidRPr="007F237B">
        <w:t>cation</w:t>
      </w:r>
      <w:r>
        <w:t>, with the</w:t>
      </w:r>
      <w:r w:rsidRPr="007F237B">
        <w:t xml:space="preserve"> </w:t>
      </w:r>
      <w:r>
        <w:t>aim of stimulating</w:t>
      </w:r>
      <w:r w:rsidRPr="007F237B">
        <w:t xml:space="preserve"> discussion</w:t>
      </w:r>
      <w:r>
        <w:t xml:space="preserve"> in this area</w:t>
      </w:r>
      <w:r w:rsidRPr="007F237B">
        <w:t>.</w:t>
      </w:r>
    </w:p>
    <w:p w:rsidR="009C6FA5" w:rsidRDefault="009C6FA5" w:rsidP="00F60C97">
      <w:pPr>
        <w:pStyle w:val="Text"/>
        <w:spacing w:before="140" w:line="290" w:lineRule="exact"/>
        <w:ind w:right="141"/>
      </w:pPr>
      <w:r>
        <w:t>In t</w:t>
      </w:r>
      <w:r w:rsidRPr="007F237B">
        <w:t xml:space="preserve">he key messages that follow a set of issues for tertiary education </w:t>
      </w:r>
      <w:r>
        <w:t xml:space="preserve">are highlighted, issues that have continued to be problematic </w:t>
      </w:r>
      <w:r w:rsidRPr="007F237B">
        <w:t xml:space="preserve">despite the various changes to the education system over the </w:t>
      </w:r>
      <w:r>
        <w:t>past</w:t>
      </w:r>
      <w:r w:rsidRPr="007F237B">
        <w:t xml:space="preserve"> </w:t>
      </w:r>
      <w:r>
        <w:t>50</w:t>
      </w:r>
      <w:r w:rsidRPr="007F237B">
        <w:t xml:space="preserve"> years. </w:t>
      </w:r>
    </w:p>
    <w:p w:rsidR="009E231A" w:rsidRDefault="00FE4A2D" w:rsidP="009C6FA5">
      <w:pPr>
        <w:pStyle w:val="Keymessages"/>
        <w:spacing w:before="300"/>
      </w:pPr>
      <w:r w:rsidRPr="005C2FCF">
        <w:t>Key messages</w:t>
      </w:r>
      <w:bookmarkEnd w:id="20"/>
      <w:bookmarkEnd w:id="21"/>
      <w:bookmarkEnd w:id="22"/>
    </w:p>
    <w:p w:rsidR="009C6FA5" w:rsidRDefault="009C6FA5" w:rsidP="009C6FA5">
      <w:pPr>
        <w:pStyle w:val="Dotpoint1"/>
        <w:spacing w:before="120" w:line="290" w:lineRule="exact"/>
      </w:pPr>
      <w:r>
        <w:t>Combining general education and technical education effectively and efficiently remains a challenge for the tertiary education system.</w:t>
      </w:r>
    </w:p>
    <w:p w:rsidR="009C6FA5" w:rsidRDefault="009C6FA5" w:rsidP="009C6FA5">
      <w:pPr>
        <w:pStyle w:val="Dotpoint1"/>
        <w:spacing w:before="120" w:line="290" w:lineRule="exact"/>
      </w:pPr>
      <w:r>
        <w:t>Although many different types of educational institution</w:t>
      </w:r>
      <w:r w:rsidR="0055071C">
        <w:t>s</w:t>
      </w:r>
      <w:r>
        <w:t xml:space="preserve"> currently offer tertiary education, including dual-sector, mixed-sector, TAFE (technical and further education) institutes, universities and private providers, the goal of parity remains elusive. Vocational education and training continues to be accorded a lower status, although this is partly attributable to the status of individual occupations.</w:t>
      </w:r>
    </w:p>
    <w:p w:rsidR="009C6FA5" w:rsidRDefault="009C6FA5" w:rsidP="009C6FA5">
      <w:pPr>
        <w:pStyle w:val="Dotpoint1"/>
        <w:spacing w:before="120" w:line="290" w:lineRule="exact"/>
      </w:pPr>
      <w:r>
        <w:t>There needs to be recognition that, while institutions differ between those with a comprehensive research base and those whose primary focus is teaching, research should not be elevated above teaching. Both deserve similar status.</w:t>
      </w:r>
    </w:p>
    <w:p w:rsidR="009C6FA5" w:rsidRDefault="009C6FA5" w:rsidP="009C6FA5">
      <w:pPr>
        <w:pStyle w:val="Dotpoint1"/>
        <w:spacing w:before="120" w:line="290" w:lineRule="exact"/>
        <w:ind w:right="141"/>
      </w:pPr>
      <w:r>
        <w:t>Although educational institutions are subject to government regulation, they need the capacity to find their own niche in the market and have some autonomy in order to achieve diversity and excellence.</w:t>
      </w:r>
    </w:p>
    <w:p w:rsidR="009C6FA5" w:rsidRPr="007F237B" w:rsidRDefault="009C6FA5" w:rsidP="009C6FA5">
      <w:pPr>
        <w:pStyle w:val="Dotpoint1"/>
        <w:spacing w:before="120" w:line="290" w:lineRule="exact"/>
      </w:pPr>
      <w:r>
        <w:t>Incompatibilities in curriculum, the lack of enforceable policies on credit transfer, and suspicion over the standards of TAFE colleges and other non-traditional tertiary education providers remain as persistent barriers to the easy transfer from one sector to another.</w:t>
      </w:r>
    </w:p>
    <w:p w:rsidR="00F60C97" w:rsidRDefault="00F60C97" w:rsidP="00F60C97">
      <w:pPr>
        <w:pStyle w:val="Text"/>
        <w:spacing w:before="80" w:line="290" w:lineRule="exact"/>
        <w:ind w:right="0"/>
      </w:pPr>
    </w:p>
    <w:p w:rsidR="006D643F" w:rsidRDefault="0031787F" w:rsidP="00F60C97">
      <w:pPr>
        <w:pStyle w:val="Text"/>
        <w:spacing w:before="80" w:line="290" w:lineRule="exact"/>
        <w:ind w:right="0"/>
      </w:pPr>
      <w:r>
        <w:t>Rod Camm</w:t>
      </w:r>
      <w:r>
        <w:br/>
      </w:r>
      <w:r w:rsidR="00FE4A2D" w:rsidRPr="005C2FCF">
        <w:t>Managing Director, NCVER</w:t>
      </w:r>
      <w:r w:rsidR="006D643F">
        <w:br w:type="page"/>
      </w:r>
    </w:p>
    <w:p w:rsidR="006D643F" w:rsidRDefault="006D643F">
      <w:pPr>
        <w:spacing w:before="0" w:line="240" w:lineRule="auto"/>
      </w:pPr>
      <w:r>
        <w:lastRenderedPageBreak/>
        <w:br w:type="page"/>
      </w:r>
    </w:p>
    <w:p w:rsidR="00177827" w:rsidRDefault="00177827" w:rsidP="006D643F">
      <w:pPr>
        <w:pStyle w:val="Text"/>
        <w:sectPr w:rsidR="00177827" w:rsidSect="00F60C97">
          <w:pgSz w:w="11907" w:h="16840" w:code="9"/>
          <w:pgMar w:top="1276" w:right="1701" w:bottom="567" w:left="1418" w:header="709" w:footer="556" w:gutter="0"/>
          <w:cols w:space="708"/>
          <w:docGrid w:linePitch="360"/>
        </w:sectPr>
      </w:pPr>
    </w:p>
    <w:p w:rsidR="009E231A" w:rsidRPr="00DC5F5C" w:rsidRDefault="00FE4A2D" w:rsidP="00874DA5">
      <w:pPr>
        <w:pStyle w:val="Contents"/>
      </w:pPr>
      <w:bookmarkStart w:id="23" w:name="_Toc98394880"/>
      <w:bookmarkStart w:id="24" w:name="_Toc296423683"/>
      <w:bookmarkStart w:id="25" w:name="_Toc296497514"/>
      <w:r w:rsidRPr="00DC5F5C">
        <w:lastRenderedPageBreak/>
        <w:t>Contents</w:t>
      </w:r>
      <w:bookmarkEnd w:id="23"/>
      <w:bookmarkEnd w:id="24"/>
      <w:bookmarkEnd w:id="25"/>
    </w:p>
    <w:p w:rsidR="00AC5C2D" w:rsidRDefault="001233AF" w:rsidP="00AC5C2D">
      <w:pPr>
        <w:pStyle w:val="TOC1"/>
        <w:rPr>
          <w:rFonts w:asciiTheme="minorHAnsi" w:eastAsiaTheme="minorEastAsia" w:hAnsiTheme="minorHAnsi" w:cstheme="minorBidi"/>
          <w:color w:val="auto"/>
          <w:sz w:val="22"/>
          <w:szCs w:val="22"/>
          <w:lang w:eastAsia="en-AU"/>
        </w:rPr>
      </w:pPr>
      <w:r w:rsidRPr="009775C7">
        <w:fldChar w:fldCharType="begin"/>
      </w:r>
      <w:r w:rsidR="00FE4A2D" w:rsidRPr="00AC5C2D">
        <w:instrText xml:space="preserve"> TOC \o "1-2" </w:instrText>
      </w:r>
      <w:r w:rsidRPr="009775C7">
        <w:fldChar w:fldCharType="separate"/>
      </w:r>
      <w:r w:rsidR="00AC5C2D" w:rsidRPr="00AC5C2D">
        <w:t>Executive</w:t>
      </w:r>
      <w:r w:rsidR="00AC5C2D">
        <w:t xml:space="preserve"> summary</w:t>
      </w:r>
      <w:r w:rsidR="00AC5C2D">
        <w:tab/>
      </w:r>
      <w:r w:rsidR="00AC5C2D">
        <w:fldChar w:fldCharType="begin"/>
      </w:r>
      <w:r w:rsidR="00AC5C2D">
        <w:instrText xml:space="preserve"> PAGEREF _Toc393293023 \h </w:instrText>
      </w:r>
      <w:r w:rsidR="00AC5C2D">
        <w:fldChar w:fldCharType="separate"/>
      </w:r>
      <w:r w:rsidR="00DC540F">
        <w:t>6</w:t>
      </w:r>
      <w:r w:rsidR="00AC5C2D">
        <w:fldChar w:fldCharType="end"/>
      </w:r>
    </w:p>
    <w:p w:rsidR="00AC5C2D" w:rsidRDefault="00AC5C2D">
      <w:pPr>
        <w:pStyle w:val="TOC1"/>
        <w:rPr>
          <w:rFonts w:asciiTheme="minorHAnsi" w:eastAsiaTheme="minorEastAsia" w:hAnsiTheme="minorHAnsi" w:cstheme="minorBidi"/>
          <w:color w:val="auto"/>
          <w:sz w:val="22"/>
          <w:szCs w:val="22"/>
          <w:lang w:eastAsia="en-AU"/>
        </w:rPr>
      </w:pPr>
      <w:r>
        <w:t>Introduction</w:t>
      </w:r>
      <w:r>
        <w:tab/>
      </w:r>
      <w:r>
        <w:fldChar w:fldCharType="begin"/>
      </w:r>
      <w:r>
        <w:instrText xml:space="preserve"> PAGEREF _Toc393293024 \h </w:instrText>
      </w:r>
      <w:r>
        <w:fldChar w:fldCharType="separate"/>
      </w:r>
      <w:r w:rsidR="00DC540F">
        <w:t>10</w:t>
      </w:r>
      <w:r>
        <w:fldChar w:fldCharType="end"/>
      </w:r>
    </w:p>
    <w:p w:rsidR="00AC5C2D" w:rsidRDefault="00383135">
      <w:pPr>
        <w:pStyle w:val="TOC2"/>
        <w:rPr>
          <w:rFonts w:asciiTheme="minorHAnsi" w:eastAsiaTheme="minorEastAsia" w:hAnsiTheme="minorHAnsi" w:cstheme="minorBidi"/>
          <w:color w:val="auto"/>
          <w:sz w:val="22"/>
          <w:szCs w:val="22"/>
          <w:lang w:eastAsia="en-AU"/>
        </w:rPr>
      </w:pPr>
      <w:r>
        <w:t>The Martin R</w:t>
      </w:r>
      <w:r w:rsidR="00AC5C2D">
        <w:t>eport</w:t>
      </w:r>
      <w:r w:rsidR="00AC5C2D">
        <w:tab/>
      </w:r>
      <w:r w:rsidR="00AC5C2D">
        <w:fldChar w:fldCharType="begin"/>
      </w:r>
      <w:r w:rsidR="00AC5C2D">
        <w:instrText xml:space="preserve"> PAGEREF _Toc393293025 \h </w:instrText>
      </w:r>
      <w:r w:rsidR="00AC5C2D">
        <w:fldChar w:fldCharType="separate"/>
      </w:r>
      <w:r w:rsidR="00DC540F">
        <w:t>11</w:t>
      </w:r>
      <w:r w:rsidR="00AC5C2D">
        <w:fldChar w:fldCharType="end"/>
      </w:r>
    </w:p>
    <w:p w:rsidR="00AC5C2D" w:rsidRDefault="00AC5C2D">
      <w:pPr>
        <w:pStyle w:val="TOC1"/>
        <w:rPr>
          <w:rFonts w:asciiTheme="minorHAnsi" w:eastAsiaTheme="minorEastAsia" w:hAnsiTheme="minorHAnsi" w:cstheme="minorBidi"/>
          <w:color w:val="auto"/>
          <w:sz w:val="22"/>
          <w:szCs w:val="22"/>
          <w:lang w:eastAsia="en-AU"/>
        </w:rPr>
      </w:pPr>
      <w:r>
        <w:t>Approach</w:t>
      </w:r>
      <w:r>
        <w:tab/>
      </w:r>
      <w:r>
        <w:fldChar w:fldCharType="begin"/>
      </w:r>
      <w:r>
        <w:instrText xml:space="preserve"> PAGEREF _Toc393293026 \h </w:instrText>
      </w:r>
      <w:r>
        <w:fldChar w:fldCharType="separate"/>
      </w:r>
      <w:r w:rsidR="00DC540F">
        <w:t>14</w:t>
      </w:r>
      <w:r>
        <w:fldChar w:fldCharType="end"/>
      </w:r>
    </w:p>
    <w:p w:rsidR="00AC5C2D" w:rsidRDefault="00AC5C2D">
      <w:pPr>
        <w:pStyle w:val="TOC1"/>
        <w:rPr>
          <w:rFonts w:asciiTheme="minorHAnsi" w:eastAsiaTheme="minorEastAsia" w:hAnsiTheme="minorHAnsi" w:cstheme="minorBidi"/>
          <w:color w:val="auto"/>
          <w:sz w:val="22"/>
          <w:szCs w:val="22"/>
          <w:lang w:eastAsia="en-AU"/>
        </w:rPr>
      </w:pPr>
      <w:r>
        <w:t>The purpose of education</w:t>
      </w:r>
      <w:r>
        <w:tab/>
      </w:r>
      <w:r>
        <w:fldChar w:fldCharType="begin"/>
      </w:r>
      <w:r>
        <w:instrText xml:space="preserve"> PAGEREF _Toc393293027 \h </w:instrText>
      </w:r>
      <w:r>
        <w:fldChar w:fldCharType="separate"/>
      </w:r>
      <w:r w:rsidR="00DC540F">
        <w:t>16</w:t>
      </w:r>
      <w:r>
        <w:fldChar w:fldCharType="end"/>
      </w:r>
    </w:p>
    <w:p w:rsidR="00AC5C2D" w:rsidRDefault="00AC5C2D">
      <w:pPr>
        <w:pStyle w:val="TOC1"/>
        <w:rPr>
          <w:rFonts w:asciiTheme="minorHAnsi" w:eastAsiaTheme="minorEastAsia" w:hAnsiTheme="minorHAnsi" w:cstheme="minorBidi"/>
          <w:color w:val="auto"/>
          <w:sz w:val="22"/>
          <w:szCs w:val="22"/>
          <w:lang w:eastAsia="en-AU"/>
        </w:rPr>
      </w:pPr>
      <w:r>
        <w:t>Equal but different?</w:t>
      </w:r>
      <w:r>
        <w:tab/>
      </w:r>
      <w:r>
        <w:fldChar w:fldCharType="begin"/>
      </w:r>
      <w:r>
        <w:instrText xml:space="preserve"> PAGEREF _Toc393293028 \h </w:instrText>
      </w:r>
      <w:r>
        <w:fldChar w:fldCharType="separate"/>
      </w:r>
      <w:r w:rsidR="00DC540F">
        <w:t>19</w:t>
      </w:r>
      <w:r>
        <w:fldChar w:fldCharType="end"/>
      </w:r>
    </w:p>
    <w:p w:rsidR="00AC5C2D" w:rsidRDefault="00AC5C2D">
      <w:pPr>
        <w:pStyle w:val="TOC2"/>
        <w:rPr>
          <w:rFonts w:asciiTheme="minorHAnsi" w:eastAsiaTheme="minorEastAsia" w:hAnsiTheme="minorHAnsi" w:cstheme="minorBidi"/>
          <w:color w:val="auto"/>
          <w:sz w:val="22"/>
          <w:szCs w:val="22"/>
          <w:lang w:eastAsia="en-AU"/>
        </w:rPr>
      </w:pPr>
      <w:r>
        <w:t>Professional training</w:t>
      </w:r>
      <w:r>
        <w:tab/>
      </w:r>
      <w:r>
        <w:fldChar w:fldCharType="begin"/>
      </w:r>
      <w:r>
        <w:instrText xml:space="preserve"> PAGEREF _Toc393293029 \h </w:instrText>
      </w:r>
      <w:r>
        <w:fldChar w:fldCharType="separate"/>
      </w:r>
      <w:r w:rsidR="00DC540F">
        <w:t>22</w:t>
      </w:r>
      <w:r>
        <w:fldChar w:fldCharType="end"/>
      </w:r>
    </w:p>
    <w:p w:rsidR="00AC5C2D" w:rsidRDefault="00AC5C2D">
      <w:pPr>
        <w:pStyle w:val="TOC1"/>
        <w:rPr>
          <w:rFonts w:asciiTheme="minorHAnsi" w:eastAsiaTheme="minorEastAsia" w:hAnsiTheme="minorHAnsi" w:cstheme="minorBidi"/>
          <w:color w:val="auto"/>
          <w:sz w:val="22"/>
          <w:szCs w:val="22"/>
          <w:lang w:eastAsia="en-AU"/>
        </w:rPr>
      </w:pPr>
      <w:r>
        <w:t>Research</w:t>
      </w:r>
      <w:r>
        <w:tab/>
      </w:r>
      <w:r>
        <w:fldChar w:fldCharType="begin"/>
      </w:r>
      <w:r>
        <w:instrText xml:space="preserve"> PAGEREF _Toc393293030 \h </w:instrText>
      </w:r>
      <w:r>
        <w:fldChar w:fldCharType="separate"/>
      </w:r>
      <w:r w:rsidR="00DC540F">
        <w:t>24</w:t>
      </w:r>
      <w:r>
        <w:fldChar w:fldCharType="end"/>
      </w:r>
    </w:p>
    <w:p w:rsidR="00AC5C2D" w:rsidRDefault="00AC5C2D">
      <w:pPr>
        <w:pStyle w:val="TOC1"/>
        <w:rPr>
          <w:rFonts w:asciiTheme="minorHAnsi" w:eastAsiaTheme="minorEastAsia" w:hAnsiTheme="minorHAnsi" w:cstheme="minorBidi"/>
          <w:color w:val="auto"/>
          <w:sz w:val="22"/>
          <w:szCs w:val="22"/>
          <w:lang w:eastAsia="en-AU"/>
        </w:rPr>
      </w:pPr>
      <w:r>
        <w:t>Governance</w:t>
      </w:r>
      <w:r>
        <w:tab/>
      </w:r>
      <w:r>
        <w:fldChar w:fldCharType="begin"/>
      </w:r>
      <w:r>
        <w:instrText xml:space="preserve"> PAGEREF _Toc393293031 \h </w:instrText>
      </w:r>
      <w:r>
        <w:fldChar w:fldCharType="separate"/>
      </w:r>
      <w:r w:rsidR="00DC540F">
        <w:t>26</w:t>
      </w:r>
      <w:r>
        <w:fldChar w:fldCharType="end"/>
      </w:r>
    </w:p>
    <w:p w:rsidR="00AC5C2D" w:rsidRDefault="00AC5C2D">
      <w:pPr>
        <w:pStyle w:val="TOC2"/>
        <w:rPr>
          <w:rFonts w:asciiTheme="minorHAnsi" w:eastAsiaTheme="minorEastAsia" w:hAnsiTheme="minorHAnsi" w:cstheme="minorBidi"/>
          <w:color w:val="auto"/>
          <w:sz w:val="22"/>
          <w:szCs w:val="22"/>
          <w:lang w:eastAsia="en-AU"/>
        </w:rPr>
      </w:pPr>
      <w:r>
        <w:t>The influence of employers</w:t>
      </w:r>
      <w:r>
        <w:tab/>
      </w:r>
      <w:r>
        <w:fldChar w:fldCharType="begin"/>
      </w:r>
      <w:r>
        <w:instrText xml:space="preserve"> PAGEREF _Toc393293032 \h </w:instrText>
      </w:r>
      <w:r>
        <w:fldChar w:fldCharType="separate"/>
      </w:r>
      <w:r w:rsidR="00DC540F">
        <w:t>28</w:t>
      </w:r>
      <w:r>
        <w:fldChar w:fldCharType="end"/>
      </w:r>
    </w:p>
    <w:p w:rsidR="00AC5C2D" w:rsidRDefault="00AC5C2D">
      <w:pPr>
        <w:pStyle w:val="TOC1"/>
        <w:rPr>
          <w:rFonts w:asciiTheme="minorHAnsi" w:eastAsiaTheme="minorEastAsia" w:hAnsiTheme="minorHAnsi" w:cstheme="minorBidi"/>
          <w:color w:val="auto"/>
          <w:sz w:val="22"/>
          <w:szCs w:val="22"/>
          <w:lang w:eastAsia="en-AU"/>
        </w:rPr>
      </w:pPr>
      <w:r>
        <w:t>Transfer</w:t>
      </w:r>
      <w:r>
        <w:tab/>
      </w:r>
      <w:r>
        <w:fldChar w:fldCharType="begin"/>
      </w:r>
      <w:r>
        <w:instrText xml:space="preserve"> PAGEREF _Toc393293033 \h </w:instrText>
      </w:r>
      <w:r>
        <w:fldChar w:fldCharType="separate"/>
      </w:r>
      <w:r w:rsidR="00DC540F">
        <w:t>30</w:t>
      </w:r>
      <w:r>
        <w:fldChar w:fldCharType="end"/>
      </w:r>
    </w:p>
    <w:p w:rsidR="00AC5C2D" w:rsidRDefault="00AC5C2D">
      <w:pPr>
        <w:pStyle w:val="TOC1"/>
        <w:rPr>
          <w:rFonts w:asciiTheme="minorHAnsi" w:eastAsiaTheme="minorEastAsia" w:hAnsiTheme="minorHAnsi" w:cstheme="minorBidi"/>
          <w:color w:val="auto"/>
          <w:sz w:val="22"/>
          <w:szCs w:val="22"/>
          <w:lang w:eastAsia="en-AU"/>
        </w:rPr>
      </w:pPr>
      <w:r>
        <w:t>Lessons from the past</w:t>
      </w:r>
      <w:r>
        <w:tab/>
      </w:r>
      <w:r>
        <w:fldChar w:fldCharType="begin"/>
      </w:r>
      <w:r>
        <w:instrText xml:space="preserve"> PAGEREF _Toc393293034 \h </w:instrText>
      </w:r>
      <w:r>
        <w:fldChar w:fldCharType="separate"/>
      </w:r>
      <w:r w:rsidR="00DC540F">
        <w:t>33</w:t>
      </w:r>
      <w:r>
        <w:fldChar w:fldCharType="end"/>
      </w:r>
    </w:p>
    <w:p w:rsidR="00AC5C2D" w:rsidRDefault="00AC5C2D">
      <w:pPr>
        <w:pStyle w:val="TOC1"/>
        <w:rPr>
          <w:rFonts w:asciiTheme="minorHAnsi" w:eastAsiaTheme="minorEastAsia" w:hAnsiTheme="minorHAnsi" w:cstheme="minorBidi"/>
          <w:color w:val="auto"/>
          <w:sz w:val="22"/>
          <w:szCs w:val="22"/>
          <w:lang w:eastAsia="en-AU"/>
        </w:rPr>
      </w:pPr>
      <w:r>
        <w:t>In conclusion: towards a differentiated system</w:t>
      </w:r>
      <w:r>
        <w:tab/>
      </w:r>
      <w:r>
        <w:fldChar w:fldCharType="begin"/>
      </w:r>
      <w:r>
        <w:instrText xml:space="preserve"> PAGEREF _Toc393293035 \h </w:instrText>
      </w:r>
      <w:r>
        <w:fldChar w:fldCharType="separate"/>
      </w:r>
      <w:r w:rsidR="00DC540F">
        <w:t>37</w:t>
      </w:r>
      <w:r>
        <w:fldChar w:fldCharType="end"/>
      </w:r>
    </w:p>
    <w:p w:rsidR="00AC5C2D" w:rsidRDefault="00AC5C2D">
      <w:pPr>
        <w:pStyle w:val="TOC1"/>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_Toc393293036 \h </w:instrText>
      </w:r>
      <w:r>
        <w:fldChar w:fldCharType="separate"/>
      </w:r>
      <w:r w:rsidR="00DC540F">
        <w:t>38</w:t>
      </w:r>
      <w:r>
        <w:fldChar w:fldCharType="end"/>
      </w:r>
    </w:p>
    <w:p w:rsidR="00AC5C2D" w:rsidRDefault="00AC5C2D" w:rsidP="00AC5C2D">
      <w:pPr>
        <w:pStyle w:val="TOC1"/>
        <w:rPr>
          <w:rFonts w:asciiTheme="minorHAnsi" w:eastAsiaTheme="minorEastAsia" w:hAnsiTheme="minorHAnsi" w:cstheme="minorBidi"/>
          <w:color w:val="auto"/>
          <w:sz w:val="22"/>
          <w:szCs w:val="22"/>
          <w:lang w:eastAsia="en-AU"/>
        </w:rPr>
      </w:pPr>
      <w:r>
        <w:t xml:space="preserve">Appendix: Members of the Committee on the Future of </w:t>
      </w:r>
      <w:r>
        <w:br/>
        <w:t>Tertiary Education in Australia</w:t>
      </w:r>
      <w:r>
        <w:tab/>
      </w:r>
      <w:r>
        <w:fldChar w:fldCharType="begin"/>
      </w:r>
      <w:r>
        <w:instrText xml:space="preserve"> PAGEREF _Toc393293038 \h </w:instrText>
      </w:r>
      <w:r>
        <w:fldChar w:fldCharType="separate"/>
      </w:r>
      <w:r w:rsidR="00DC540F">
        <w:t>41</w:t>
      </w:r>
      <w:r>
        <w:fldChar w:fldCharType="end"/>
      </w:r>
    </w:p>
    <w:p w:rsidR="00AC5C2D" w:rsidRDefault="00AC5C2D">
      <w:pPr>
        <w:pStyle w:val="TOC1"/>
        <w:rPr>
          <w:rFonts w:asciiTheme="minorHAnsi" w:eastAsiaTheme="minorEastAsia" w:hAnsiTheme="minorHAnsi" w:cstheme="minorBidi"/>
          <w:color w:val="auto"/>
          <w:sz w:val="22"/>
          <w:szCs w:val="22"/>
          <w:lang w:eastAsia="en-AU"/>
        </w:rPr>
      </w:pPr>
      <w:r>
        <w:t>NVETR Program funding</w:t>
      </w:r>
      <w:r>
        <w:tab/>
      </w:r>
      <w:r>
        <w:fldChar w:fldCharType="begin"/>
      </w:r>
      <w:r>
        <w:instrText xml:space="preserve"> PAGEREF _Toc393293039 \h </w:instrText>
      </w:r>
      <w:r>
        <w:fldChar w:fldCharType="separate"/>
      </w:r>
      <w:r w:rsidR="00DC540F">
        <w:t>42</w:t>
      </w:r>
      <w:r>
        <w:fldChar w:fldCharType="end"/>
      </w:r>
    </w:p>
    <w:p w:rsidR="004E7227" w:rsidRDefault="001233AF"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9E231A" w:rsidRPr="00B86D06" w:rsidRDefault="00FE4A2D" w:rsidP="008C0A74">
      <w:pPr>
        <w:pStyle w:val="Heading1"/>
      </w:pPr>
      <w:bookmarkStart w:id="26" w:name="_Toc393293023"/>
      <w:r w:rsidRPr="00B86D06">
        <w:lastRenderedPageBreak/>
        <w:t>Executive summary</w:t>
      </w:r>
      <w:bookmarkEnd w:id="26"/>
      <w:r w:rsidR="00A50895">
        <w:t xml:space="preserve"> </w:t>
      </w:r>
    </w:p>
    <w:p w:rsidR="0053368A" w:rsidRDefault="00B97A2A" w:rsidP="00ED09E1">
      <w:pPr>
        <w:pStyle w:val="Text"/>
        <w:ind w:right="141"/>
      </w:pPr>
      <w:bookmarkStart w:id="27" w:name="_Toc296423685"/>
      <w:bookmarkStart w:id="28" w:name="_Toc296497519"/>
      <w:bookmarkStart w:id="29" w:name="_Toc298162804"/>
      <w:r>
        <w:t>From the late 1960s</w:t>
      </w:r>
      <w:r w:rsidR="00752613">
        <w:t xml:space="preserve"> to 1988, </w:t>
      </w:r>
      <w:r w:rsidR="0085297E">
        <w:t xml:space="preserve">Australian </w:t>
      </w:r>
      <w:r w:rsidR="00AB306D">
        <w:t>‘</w:t>
      </w:r>
      <w:r w:rsidR="0085297E">
        <w:t>higher</w:t>
      </w:r>
      <w:r w:rsidR="00AB306D">
        <w:t>’</w:t>
      </w:r>
      <w:r w:rsidR="0085297E">
        <w:t xml:space="preserve"> education </w:t>
      </w:r>
      <w:r w:rsidR="009E145D">
        <w:t xml:space="preserve">comprised </w:t>
      </w:r>
      <w:r w:rsidR="0085297E">
        <w:t>universities and colleges of advanced education</w:t>
      </w:r>
      <w:r w:rsidR="00810AB3">
        <w:t xml:space="preserve"> </w:t>
      </w:r>
      <w:r w:rsidR="0085297E">
        <w:t xml:space="preserve">(CAEs). </w:t>
      </w:r>
      <w:r w:rsidR="00810AB3">
        <w:t xml:space="preserve">This binary system arose from the </w:t>
      </w:r>
      <w:r w:rsidR="00D70499">
        <w:t>Menzies G</w:t>
      </w:r>
      <w:r w:rsidR="00810AB3">
        <w:t>overnment</w:t>
      </w:r>
      <w:r w:rsidR="00AB306D">
        <w:t>’</w:t>
      </w:r>
      <w:r w:rsidR="00810AB3">
        <w:t xml:space="preserve">s response to the 1964 Martin </w:t>
      </w:r>
      <w:r w:rsidR="00383135">
        <w:t>R</w:t>
      </w:r>
      <w:r w:rsidR="00810AB3">
        <w:t xml:space="preserve">eport, which </w:t>
      </w:r>
      <w:r w:rsidR="00752613">
        <w:t xml:space="preserve">had </w:t>
      </w:r>
      <w:r w:rsidR="00AB306D">
        <w:t>‘</w:t>
      </w:r>
      <w:r w:rsidR="00810AB3">
        <w:t>framed its recommendations with the object of widening the range of educational opportunities beyond the secondary school,</w:t>
      </w:r>
      <w:r w:rsidR="00FF220B">
        <w:t xml:space="preserve"> </w:t>
      </w:r>
      <w:r w:rsidR="00810AB3">
        <w:t>of providing extensive vocational and speciali</w:t>
      </w:r>
      <w:r w:rsidR="00383135">
        <w:t>s</w:t>
      </w:r>
      <w:r w:rsidR="00810AB3">
        <w:t>ed training and of ensuring that Australia makes a worthwhile contribution to the advancement</w:t>
      </w:r>
      <w:r w:rsidR="00ED09E1">
        <w:t xml:space="preserve"> </w:t>
      </w:r>
      <w:r w:rsidR="00810AB3">
        <w:t>of knowledge and of achievement</w:t>
      </w:r>
      <w:r w:rsidR="00AB306D">
        <w:t>’</w:t>
      </w:r>
      <w:r w:rsidR="00752613">
        <w:t xml:space="preserve"> (</w:t>
      </w:r>
      <w:r w:rsidR="00477346">
        <w:t>Committee on the Future of Tertiary Education in Australia</w:t>
      </w:r>
      <w:r>
        <w:t xml:space="preserve"> 1964</w:t>
      </w:r>
      <w:r w:rsidR="007F20F1">
        <w:t>—65</w:t>
      </w:r>
      <w:r w:rsidR="00477346">
        <w:t>, v</w:t>
      </w:r>
      <w:r w:rsidR="00752613">
        <w:t>ol</w:t>
      </w:r>
      <w:r w:rsidR="00477346">
        <w:t>.</w:t>
      </w:r>
      <w:r w:rsidR="00752613">
        <w:t>1, p.1)</w:t>
      </w:r>
      <w:r w:rsidR="00810AB3">
        <w:t>. The system was built on the premise that higher education</w:t>
      </w:r>
      <w:r w:rsidR="00B64131">
        <w:t xml:space="preserve"> (sometimes interchanged with the term </w:t>
      </w:r>
      <w:r w:rsidR="00AB306D">
        <w:t>‘</w:t>
      </w:r>
      <w:r w:rsidR="00B64131">
        <w:t>tertiary education</w:t>
      </w:r>
      <w:r w:rsidR="00AB306D">
        <w:t>’</w:t>
      </w:r>
      <w:r w:rsidR="00B64131">
        <w:t xml:space="preserve"> and meaning diploma and above)</w:t>
      </w:r>
      <w:r w:rsidR="00810AB3">
        <w:t xml:space="preserve"> should be available to all citizens according to</w:t>
      </w:r>
      <w:r w:rsidR="006072F1">
        <w:t xml:space="preserve"> their inclination and capacity and</w:t>
      </w:r>
      <w:r w:rsidR="0053368A">
        <w:t xml:space="preserve"> taking into account the need to find affordable ways to </w:t>
      </w:r>
      <w:r>
        <w:t xml:space="preserve">meet </w:t>
      </w:r>
      <w:r w:rsidR="0053368A">
        <w:t xml:space="preserve">expanded demand. </w:t>
      </w:r>
      <w:r w:rsidR="0085297E">
        <w:t xml:space="preserve">Universities </w:t>
      </w:r>
      <w:r w:rsidR="0053368A">
        <w:t xml:space="preserve">were deemed to have </w:t>
      </w:r>
      <w:r w:rsidR="0085297E">
        <w:t>responsibilit</w:t>
      </w:r>
      <w:r w:rsidR="0053368A">
        <w:t xml:space="preserve">ies for higher learning and research, for which they received specific funding, while the colleges </w:t>
      </w:r>
      <w:r w:rsidR="00383135">
        <w:t xml:space="preserve">of advanced education </w:t>
      </w:r>
      <w:r w:rsidR="0053368A">
        <w:t>were primarily to offer v</w:t>
      </w:r>
      <w:r w:rsidR="0085297E">
        <w:t xml:space="preserve">ocationally oriented </w:t>
      </w:r>
      <w:r w:rsidR="0053368A">
        <w:t xml:space="preserve">programs </w:t>
      </w:r>
      <w:r w:rsidR="0085297E">
        <w:t xml:space="preserve">and </w:t>
      </w:r>
      <w:r w:rsidR="0053368A">
        <w:t xml:space="preserve">to </w:t>
      </w:r>
      <w:r w:rsidR="0085297E">
        <w:t>serve the community</w:t>
      </w:r>
      <w:r w:rsidR="00AB306D">
        <w:t>’</w:t>
      </w:r>
      <w:r w:rsidR="0085297E">
        <w:t>s social and</w:t>
      </w:r>
      <w:r w:rsidR="0053368A">
        <w:t xml:space="preserve"> </w:t>
      </w:r>
      <w:r w:rsidR="0085297E">
        <w:t>economic needs.</w:t>
      </w:r>
      <w:r w:rsidR="0053368A">
        <w:t xml:space="preserve"> </w:t>
      </w:r>
    </w:p>
    <w:p w:rsidR="0039795E" w:rsidRDefault="0085297E" w:rsidP="0085297E">
      <w:pPr>
        <w:pStyle w:val="Text"/>
      </w:pPr>
      <w:r>
        <w:t xml:space="preserve">By the 1980s </w:t>
      </w:r>
      <w:r w:rsidR="0039795E">
        <w:t>the</w:t>
      </w:r>
      <w:r w:rsidR="0053368A">
        <w:t xml:space="preserve"> aspiration for</w:t>
      </w:r>
      <w:r w:rsidR="00B64131">
        <w:t xml:space="preserve"> a set of institutions that w</w:t>
      </w:r>
      <w:r w:rsidR="00921939">
        <w:t>ere</w:t>
      </w:r>
      <w:r w:rsidR="0053368A">
        <w:t xml:space="preserve"> equal but different </w:t>
      </w:r>
      <w:r w:rsidR="00383135">
        <w:t>was no longer able</w:t>
      </w:r>
      <w:r w:rsidR="0053368A">
        <w:t xml:space="preserve"> to withstand the funding squeeze and an engrained hierarchy of prestige. </w:t>
      </w:r>
      <w:r w:rsidR="0039795E">
        <w:t>In 1988 the binary system</w:t>
      </w:r>
      <w:r w:rsidR="00477346">
        <w:t xml:space="preserve"> was swept away by the Dawkins</w:t>
      </w:r>
      <w:r>
        <w:t xml:space="preserve"> </w:t>
      </w:r>
      <w:r w:rsidR="0039795E">
        <w:t xml:space="preserve">reforms, which ushered in a </w:t>
      </w:r>
      <w:r>
        <w:t xml:space="preserve">unified national system </w:t>
      </w:r>
      <w:r w:rsidR="0039795E">
        <w:t>(UNS) of higher education</w:t>
      </w:r>
      <w:r>
        <w:t xml:space="preserve">. </w:t>
      </w:r>
      <w:r w:rsidR="0039795E">
        <w:t>In the decades since</w:t>
      </w:r>
      <w:r w:rsidR="00752613">
        <w:t>,</w:t>
      </w:r>
      <w:r w:rsidR="0039795E">
        <w:t xml:space="preserve"> </w:t>
      </w:r>
      <w:r w:rsidR="00477346">
        <w:t>this unified system</w:t>
      </w:r>
      <w:r>
        <w:t xml:space="preserve"> has </w:t>
      </w:r>
      <w:r w:rsidR="00752613">
        <w:t xml:space="preserve">started to </w:t>
      </w:r>
      <w:r w:rsidR="00477346">
        <w:t>disintegrate</w:t>
      </w:r>
      <w:r w:rsidR="006072F1">
        <w:t>,</w:t>
      </w:r>
      <w:r w:rsidR="00752613">
        <w:t xml:space="preserve"> and at</w:t>
      </w:r>
      <w:r w:rsidR="0039795E">
        <w:t xml:space="preserve"> the </w:t>
      </w:r>
      <w:r w:rsidR="00752613">
        <w:t xml:space="preserve">beginning of the </w:t>
      </w:r>
      <w:r w:rsidR="00477346">
        <w:t>twenty-first</w:t>
      </w:r>
      <w:r w:rsidR="00752613">
        <w:t xml:space="preserve"> century </w:t>
      </w:r>
      <w:r w:rsidR="0039795E">
        <w:t xml:space="preserve">a new </w:t>
      </w:r>
      <w:r w:rsidR="00FF220B">
        <w:t>bin</w:t>
      </w:r>
      <w:r w:rsidR="00B64131">
        <w:t xml:space="preserve">ary </w:t>
      </w:r>
      <w:r w:rsidR="006072F1">
        <w:t xml:space="preserve">model </w:t>
      </w:r>
      <w:r w:rsidR="00B64131">
        <w:t>i</w:t>
      </w:r>
      <w:r w:rsidR="00FF220B">
        <w:t>s</w:t>
      </w:r>
      <w:r w:rsidR="00B64131">
        <w:t xml:space="preserve"> emerging: between </w:t>
      </w:r>
      <w:r w:rsidR="0039795E">
        <w:t>universities and other institutions offering higher education</w:t>
      </w:r>
      <w:r w:rsidR="00FF220B">
        <w:t xml:space="preserve"> and higher</w:t>
      </w:r>
      <w:r w:rsidR="00B97A2A">
        <w:t>-</w:t>
      </w:r>
      <w:r w:rsidR="00FF220B">
        <w:t>level vocational education qualifications</w:t>
      </w:r>
      <w:r w:rsidR="0039795E">
        <w:t xml:space="preserve">. </w:t>
      </w:r>
    </w:p>
    <w:p w:rsidR="000B0E64" w:rsidRPr="00ED09E1" w:rsidRDefault="00230E21" w:rsidP="008A03D5">
      <w:pPr>
        <w:pStyle w:val="Text"/>
        <w:ind w:right="-143"/>
      </w:pPr>
      <w:r w:rsidRPr="009B0CEC">
        <w:t xml:space="preserve">The </w:t>
      </w:r>
      <w:r w:rsidR="0049505D">
        <w:t>current</w:t>
      </w:r>
      <w:r w:rsidR="00F77D76">
        <w:t xml:space="preserve"> model</w:t>
      </w:r>
      <w:r w:rsidRPr="009B0CEC">
        <w:t xml:space="preserve"> of Australian higher education</w:t>
      </w:r>
      <w:r w:rsidR="00F77D76">
        <w:t xml:space="preserve"> —</w:t>
      </w:r>
      <w:r w:rsidR="009E145D">
        <w:t xml:space="preserve"> </w:t>
      </w:r>
      <w:r w:rsidR="00F77D76">
        <w:t>basically</w:t>
      </w:r>
      <w:r w:rsidR="009E145D">
        <w:t xml:space="preserve"> 39</w:t>
      </w:r>
      <w:r w:rsidR="00F77D76">
        <w:t xml:space="preserve"> public universities —</w:t>
      </w:r>
      <w:r w:rsidRPr="009B0CEC">
        <w:t xml:space="preserve"> is dissolving as it</w:t>
      </w:r>
      <w:r w:rsidR="008A03D5">
        <w:t> </w:t>
      </w:r>
      <w:r w:rsidRPr="009B0CEC">
        <w:t>faces the unrelenting</w:t>
      </w:r>
      <w:r w:rsidR="000B0E64" w:rsidRPr="009B0CEC">
        <w:t xml:space="preserve"> push for greater productivity</w:t>
      </w:r>
      <w:r w:rsidRPr="009B0CEC">
        <w:t xml:space="preserve">, </w:t>
      </w:r>
      <w:r w:rsidR="00B64131" w:rsidRPr="009B0CEC">
        <w:t>the introduction o</w:t>
      </w:r>
      <w:r w:rsidR="006072F1">
        <w:t>f a demand-driven funding model and</w:t>
      </w:r>
      <w:r w:rsidR="00B64131" w:rsidRPr="009B0CEC">
        <w:t xml:space="preserve"> </w:t>
      </w:r>
      <w:r w:rsidR="006D3DDC" w:rsidRPr="006D3DDC">
        <w:t>the emergence of new providers, both private and TAFE</w:t>
      </w:r>
      <w:r w:rsidR="00F77D76">
        <w:t xml:space="preserve"> (technical and further education) institute</w:t>
      </w:r>
      <w:r w:rsidR="006D3DDC" w:rsidRPr="006D3DDC">
        <w:t>s</w:t>
      </w:r>
      <w:r w:rsidR="006D3DDC">
        <w:t>,</w:t>
      </w:r>
      <w:r w:rsidR="006D3DDC" w:rsidRPr="006D3DDC">
        <w:t xml:space="preserve"> </w:t>
      </w:r>
      <w:r w:rsidR="00B64131" w:rsidRPr="009B0CEC">
        <w:t>as well as heightened discussion about contemporary occupational requirements and persistent concerns about the system</w:t>
      </w:r>
      <w:r w:rsidR="00AB306D">
        <w:t>’</w:t>
      </w:r>
      <w:r w:rsidR="00B64131" w:rsidRPr="009B0CEC">
        <w:t>s quality</w:t>
      </w:r>
      <w:r w:rsidRPr="009B0CEC">
        <w:t xml:space="preserve">. </w:t>
      </w:r>
      <w:r w:rsidR="000B0E64" w:rsidRPr="009B0CEC">
        <w:t xml:space="preserve">As the system evolves, we are seeing </w:t>
      </w:r>
      <w:r w:rsidR="00B64131" w:rsidRPr="009B0CEC">
        <w:t>experimentation</w:t>
      </w:r>
      <w:r w:rsidR="00383135">
        <w:t>,</w:t>
      </w:r>
      <w:r w:rsidR="00B64131" w:rsidRPr="009B0CEC">
        <w:t xml:space="preserve"> with new approaches to undergraduate programs such as the Melbourne </w:t>
      </w:r>
      <w:r w:rsidR="00AB0E64">
        <w:t>Curriculum</w:t>
      </w:r>
      <w:r w:rsidR="00383135">
        <w:t>,</w:t>
      </w:r>
      <w:r w:rsidR="00AB0E64">
        <w:rPr>
          <w:rStyle w:val="FootnoteReference"/>
        </w:rPr>
        <w:footnoteReference w:id="1"/>
      </w:r>
      <w:r w:rsidR="00B64131" w:rsidRPr="009B0CEC">
        <w:t xml:space="preserve"> and </w:t>
      </w:r>
      <w:r w:rsidR="000B0E64" w:rsidRPr="009B0CEC">
        <w:t>new institutional arrangeme</w:t>
      </w:r>
      <w:r w:rsidR="007F20F1">
        <w:t>nts across the higher education—</w:t>
      </w:r>
      <w:r w:rsidR="000B0E64" w:rsidRPr="009B0CEC">
        <w:t xml:space="preserve">vocational </w:t>
      </w:r>
      <w:r w:rsidR="007F20F1">
        <w:t xml:space="preserve">education </w:t>
      </w:r>
      <w:r w:rsidR="000B0E64" w:rsidRPr="009B0CEC">
        <w:t>divide.</w:t>
      </w:r>
      <w:r w:rsidR="000B0E64">
        <w:t xml:space="preserve"> </w:t>
      </w:r>
    </w:p>
    <w:p w:rsidR="007B0E44" w:rsidRDefault="000B0E64" w:rsidP="00FF220B">
      <w:pPr>
        <w:pStyle w:val="Text"/>
      </w:pPr>
      <w:r>
        <w:t xml:space="preserve">In the light of these developments it </w:t>
      </w:r>
      <w:r w:rsidR="00B91886">
        <w:t xml:space="preserve">is </w:t>
      </w:r>
      <w:r w:rsidR="00207FA8">
        <w:t xml:space="preserve">timely to take </w:t>
      </w:r>
      <w:r w:rsidR="00FF220B" w:rsidRPr="00FF220B">
        <w:t xml:space="preserve">a new look at the </w:t>
      </w:r>
      <w:r w:rsidR="00207FA8">
        <w:t>binary system</w:t>
      </w:r>
      <w:r w:rsidR="006014C8">
        <w:t xml:space="preserve"> and the lessons it might offer</w:t>
      </w:r>
      <w:r w:rsidR="00F77D76">
        <w:t xml:space="preserve"> contemporary policy-</w:t>
      </w:r>
      <w:r w:rsidR="006014C8">
        <w:t>makers</w:t>
      </w:r>
      <w:r w:rsidR="00207FA8">
        <w:t xml:space="preserve">. </w:t>
      </w:r>
      <w:r w:rsidR="00B97A2A">
        <w:t>In so doing</w:t>
      </w:r>
      <w:r w:rsidR="00FF220B" w:rsidRPr="00FF220B">
        <w:t xml:space="preserve">, </w:t>
      </w:r>
      <w:r w:rsidR="007B0E44">
        <w:t xml:space="preserve">we need to be mindful </w:t>
      </w:r>
      <w:r w:rsidR="00FF220B" w:rsidRPr="00FF220B">
        <w:t xml:space="preserve">that </w:t>
      </w:r>
      <w:r w:rsidR="00F77D76">
        <w:t>twenty-first-</w:t>
      </w:r>
      <w:r w:rsidR="00FF220B" w:rsidRPr="00FF220B">
        <w:t xml:space="preserve">century demands for skills and knowledge are </w:t>
      </w:r>
      <w:r w:rsidR="00383135">
        <w:t>different from those</w:t>
      </w:r>
      <w:r w:rsidR="00FF220B" w:rsidRPr="00FF220B">
        <w:t xml:space="preserve"> of the 1960s. </w:t>
      </w:r>
      <w:r w:rsidR="00383135">
        <w:t>Our deliberations</w:t>
      </w:r>
      <w:r w:rsidR="00916A3E">
        <w:t xml:space="preserve"> </w:t>
      </w:r>
      <w:r w:rsidR="00F77D76">
        <w:t>offer</w:t>
      </w:r>
      <w:r w:rsidR="00916A3E">
        <w:t xml:space="preserve"> </w:t>
      </w:r>
      <w:r w:rsidR="00752613">
        <w:t>no</w:t>
      </w:r>
      <w:r w:rsidR="00FF220B" w:rsidRPr="00FF220B">
        <w:t xml:space="preserve"> blueprint for further reform but </w:t>
      </w:r>
      <w:r w:rsidR="00752613">
        <w:t xml:space="preserve">do </w:t>
      </w:r>
      <w:r w:rsidR="00207FA8">
        <w:t>illuminate some of the persistent difficulties that confront any mass tertiary education system</w:t>
      </w:r>
      <w:r w:rsidR="00FF220B" w:rsidRPr="00FF220B">
        <w:t>.</w:t>
      </w:r>
      <w:r w:rsidR="00FF220B">
        <w:t xml:space="preserve"> </w:t>
      </w:r>
    </w:p>
    <w:p w:rsidR="007B0E44" w:rsidRDefault="007B0E44" w:rsidP="007B0E44">
      <w:pPr>
        <w:pStyle w:val="Text"/>
      </w:pPr>
      <w:r>
        <w:t xml:space="preserve">In his contribution to a recent commemoration of the Dawkins reforms, Greg Craven </w:t>
      </w:r>
      <w:r w:rsidR="00FE634F">
        <w:t>(</w:t>
      </w:r>
      <w:r w:rsidR="00FD3388">
        <w:t>in Croucher et</w:t>
      </w:r>
      <w:r w:rsidR="00ED09E1">
        <w:t> </w:t>
      </w:r>
      <w:r w:rsidR="00FD3388">
        <w:t xml:space="preserve">al. 2013, pp.316—7) </w:t>
      </w:r>
      <w:r w:rsidR="00916A3E">
        <w:t xml:space="preserve">was </w:t>
      </w:r>
      <w:r>
        <w:t xml:space="preserve">adamant there is no going back to the pre-Dawkins era: </w:t>
      </w:r>
    </w:p>
    <w:p w:rsidR="007B0E44" w:rsidRDefault="007B0E44" w:rsidP="007B0E44">
      <w:pPr>
        <w:pStyle w:val="Quote"/>
      </w:pPr>
      <w:r>
        <w:t>Given that Australians as a whole never will separate the twin roles of universities in the preparation of professionals and the pursuit of higher learning for its own sake</w:t>
      </w:r>
      <w:r w:rsidR="00FD3388">
        <w:t xml:space="preserve"> </w:t>
      </w:r>
      <w:r>
        <w:t>—</w:t>
      </w:r>
      <w:r w:rsidR="00FD3388">
        <w:t xml:space="preserve"> </w:t>
      </w:r>
      <w:r>
        <w:t>and that our universities never have been able to do so themselves</w:t>
      </w:r>
      <w:r w:rsidR="00FD3388">
        <w:t xml:space="preserve"> </w:t>
      </w:r>
      <w:r>
        <w:t>—</w:t>
      </w:r>
      <w:r w:rsidR="00FD3388">
        <w:t xml:space="preserve"> </w:t>
      </w:r>
      <w:r>
        <w:t>sighing for the repeal of Dawkins and the reinstatement of some pure binary system is like trying to sort new from old money in Toorak or distinguish between art and ero</w:t>
      </w:r>
      <w:r w:rsidR="00752613">
        <w:t>tica in the work of Bill Henson</w:t>
      </w:r>
      <w:r w:rsidR="00FD3388">
        <w:t>.</w:t>
      </w:r>
    </w:p>
    <w:p w:rsidR="00E945E2" w:rsidRDefault="00515188" w:rsidP="00E945E2">
      <w:pPr>
        <w:pStyle w:val="Text"/>
      </w:pPr>
      <w:r>
        <w:lastRenderedPageBreak/>
        <w:t>This</w:t>
      </w:r>
      <w:r w:rsidR="00E93E5F">
        <w:t xml:space="preserve"> should not preclude delving further into fundamental questions about </w:t>
      </w:r>
      <w:r w:rsidR="00FD3388">
        <w:t>the role of</w:t>
      </w:r>
      <w:r w:rsidR="00E93E5F">
        <w:t xml:space="preserve"> a university and what </w:t>
      </w:r>
      <w:r w:rsidR="00FD3388">
        <w:t>is affordable</w:t>
      </w:r>
      <w:r w:rsidR="00E93E5F">
        <w:t xml:space="preserve">. </w:t>
      </w:r>
      <w:r>
        <w:t>The a</w:t>
      </w:r>
      <w:r w:rsidR="00E93E5F">
        <w:t xml:space="preserve">nswers might </w:t>
      </w:r>
      <w:r w:rsidR="007F20F1">
        <w:t>prompt</w:t>
      </w:r>
      <w:r w:rsidR="00E93E5F">
        <w:t xml:space="preserve"> renewed attempts to encourage the diversity</w:t>
      </w:r>
      <w:r w:rsidR="00FD3388">
        <w:t xml:space="preserve"> to which</w:t>
      </w:r>
      <w:r w:rsidR="00E93E5F">
        <w:t xml:space="preserve"> </w:t>
      </w:r>
      <w:r w:rsidR="00207FA8">
        <w:t>the Australian system has aspired since the 1960s.</w:t>
      </w:r>
      <w:r w:rsidR="00E945E2">
        <w:t xml:space="preserve"> As Peter</w:t>
      </w:r>
      <w:r w:rsidR="00E945E2" w:rsidRPr="00E945E2">
        <w:t xml:space="preserve"> </w:t>
      </w:r>
      <w:r w:rsidR="00E945E2">
        <w:t>Karmel, a significant figure throughout this story, reflected in 1989</w:t>
      </w:r>
      <w:r w:rsidR="00FD3388">
        <w:t xml:space="preserve"> (p.1)</w:t>
      </w:r>
      <w:r w:rsidR="00E945E2">
        <w:t>:</w:t>
      </w:r>
    </w:p>
    <w:p w:rsidR="00E93E5F" w:rsidRDefault="00E945E2" w:rsidP="00E945E2">
      <w:pPr>
        <w:pStyle w:val="Quote"/>
      </w:pPr>
      <w:r>
        <w:t>The current reforms of higher education, their impact on the institutions and their consequences for Australia cannot be ap</w:t>
      </w:r>
      <w:r w:rsidR="00B97A2A">
        <w:t>preciated properly without placing</w:t>
      </w:r>
      <w:r>
        <w:t xml:space="preserve"> them in thei</w:t>
      </w:r>
      <w:r w:rsidR="00B97A2A">
        <w:t>r historical and social context …</w:t>
      </w:r>
      <w:r w:rsidR="00FD3388">
        <w:t xml:space="preserve"> </w:t>
      </w:r>
      <w:r>
        <w:t>The institutions have a past too often forgotten, as well as a present to be criticised and a future to b</w:t>
      </w:r>
      <w:r w:rsidR="00FD3388">
        <w:t>e remodelled</w:t>
      </w:r>
      <w:r w:rsidR="00B97A2A">
        <w:t>.</w:t>
      </w:r>
    </w:p>
    <w:bookmarkEnd w:id="27"/>
    <w:bookmarkEnd w:id="28"/>
    <w:bookmarkEnd w:id="29"/>
    <w:p w:rsidR="00A37158" w:rsidRPr="00515188" w:rsidRDefault="007B0E44" w:rsidP="00515188">
      <w:pPr>
        <w:pStyle w:val="Text"/>
      </w:pPr>
      <w:r>
        <w:t>Th</w:t>
      </w:r>
      <w:r w:rsidR="00207FA8">
        <w:t>is</w:t>
      </w:r>
      <w:r w:rsidR="006014C8">
        <w:t xml:space="preserve"> project </w:t>
      </w:r>
      <w:r w:rsidR="00450115">
        <w:t>i</w:t>
      </w:r>
      <w:r w:rsidR="00207FA8">
        <w:t>s</w:t>
      </w:r>
      <w:r w:rsidR="00450115">
        <w:t xml:space="preserve"> </w:t>
      </w:r>
      <w:r w:rsidR="00207FA8">
        <w:t>framed by the recurring issues in today</w:t>
      </w:r>
      <w:r w:rsidR="00AB306D">
        <w:t>’</w:t>
      </w:r>
      <w:r w:rsidR="00207FA8">
        <w:t xml:space="preserve">s education debate. </w:t>
      </w:r>
      <w:r w:rsidR="007F20F1">
        <w:t>A</w:t>
      </w:r>
      <w:r w:rsidR="00383135">
        <w:t xml:space="preserve"> re</w:t>
      </w:r>
      <w:r w:rsidR="006014C8">
        <w:t xml:space="preserve">reading of the Martin </w:t>
      </w:r>
      <w:r w:rsidR="00383135" w:rsidRPr="00651D01">
        <w:t>R</w:t>
      </w:r>
      <w:r w:rsidR="006014C8" w:rsidRPr="00651D01">
        <w:t>eport</w:t>
      </w:r>
      <w:r w:rsidR="00383135" w:rsidRPr="00651D01">
        <w:t xml:space="preserve"> (Committee on the Future of Tertiary E</w:t>
      </w:r>
      <w:r w:rsidR="00651D01" w:rsidRPr="00651D01">
        <w:t>ducation in Australia</w:t>
      </w:r>
      <w:r w:rsidR="00383135" w:rsidRPr="00651D01">
        <w:t xml:space="preserve"> 1964</w:t>
      </w:r>
      <w:r w:rsidR="008A03D5" w:rsidRPr="00651D01">
        <w:t>—</w:t>
      </w:r>
      <w:r w:rsidR="00383135" w:rsidRPr="00651D01">
        <w:t>65)</w:t>
      </w:r>
      <w:r w:rsidR="00207FA8">
        <w:t xml:space="preserve"> </w:t>
      </w:r>
      <w:r w:rsidR="007F20F1">
        <w:t>has elicited the following themes</w:t>
      </w:r>
      <w:r w:rsidR="00A37158">
        <w:t xml:space="preserve">: the purpose of education; the elusive goal of parity; the status and funding of research; the quest for autonomy in a publicly funded </w:t>
      </w:r>
      <w:r w:rsidR="00B97A2A">
        <w:t xml:space="preserve">and regulated </w:t>
      </w:r>
      <w:r w:rsidR="00A37158">
        <w:t xml:space="preserve">system; </w:t>
      </w:r>
      <w:r w:rsidR="00B97A2A">
        <w:t xml:space="preserve">and </w:t>
      </w:r>
      <w:r w:rsidR="00A37158">
        <w:t>the role of transfer from one kind of learning to another</w:t>
      </w:r>
      <w:r w:rsidR="00916A3E">
        <w:t>.</w:t>
      </w:r>
      <w:r w:rsidR="00450115">
        <w:t xml:space="preserve"> </w:t>
      </w:r>
      <w:r w:rsidR="007F20F1">
        <w:t>This essay</w:t>
      </w:r>
      <w:r w:rsidR="00450115">
        <w:t xml:space="preserve"> takes as its premise, as did Martin, that the success of a mass higher education system depends on sound secondary education. It also acknowledges that the question</w:t>
      </w:r>
      <w:r w:rsidR="007F20F1">
        <w:t>s</w:t>
      </w:r>
      <w:r w:rsidR="00450115">
        <w:t xml:space="preserve"> of who pays for tertiary education and how </w:t>
      </w:r>
      <w:r w:rsidR="00383135">
        <w:t>this is achieved are pivotal. H</w:t>
      </w:r>
      <w:r w:rsidR="00450115">
        <w:t xml:space="preserve">owever, examination of specific funding models is beyond the scope of the project. </w:t>
      </w:r>
    </w:p>
    <w:p w:rsidR="00174721" w:rsidRDefault="007B0E44" w:rsidP="00515188">
      <w:pPr>
        <w:pStyle w:val="Text"/>
      </w:pPr>
      <w:r w:rsidRPr="00515188">
        <w:t xml:space="preserve">The </w:t>
      </w:r>
      <w:r w:rsidR="00AB4A75">
        <w:t>first</w:t>
      </w:r>
      <w:r w:rsidR="00AB4A75" w:rsidRPr="00515188">
        <w:t xml:space="preserve"> </w:t>
      </w:r>
      <w:r w:rsidRPr="00515188">
        <w:t>part of the exercise was to revisit documents from the binary era</w:t>
      </w:r>
      <w:r w:rsidR="00AA7220">
        <w:t>,</w:t>
      </w:r>
      <w:r w:rsidRPr="00515188">
        <w:t xml:space="preserve"> such as Hansard and </w:t>
      </w:r>
      <w:r w:rsidR="00752613">
        <w:t xml:space="preserve">formal </w:t>
      </w:r>
      <w:r w:rsidRPr="00515188">
        <w:t>inquiries, conference</w:t>
      </w:r>
      <w:r w:rsidR="00A37158" w:rsidRPr="00515188">
        <w:t xml:space="preserve"> paper</w:t>
      </w:r>
      <w:r w:rsidRPr="00515188">
        <w:t xml:space="preserve">s, </w:t>
      </w:r>
      <w:r w:rsidR="00A37158" w:rsidRPr="00515188">
        <w:t xml:space="preserve">newspaper articles and speeches, </w:t>
      </w:r>
      <w:r w:rsidRPr="00515188">
        <w:t>as well as oral and other</w:t>
      </w:r>
      <w:r w:rsidR="00A37158" w:rsidRPr="00515188">
        <w:t xml:space="preserve"> histories. </w:t>
      </w:r>
      <w:r w:rsidR="00916A3E">
        <w:t xml:space="preserve">It </w:t>
      </w:r>
      <w:r w:rsidR="00752613">
        <w:t xml:space="preserve">also </w:t>
      </w:r>
      <w:r w:rsidR="00916A3E">
        <w:t xml:space="preserve">draws on </w:t>
      </w:r>
      <w:r w:rsidR="00752613">
        <w:t>earlier</w:t>
      </w:r>
      <w:r w:rsidR="00916A3E">
        <w:t xml:space="preserve"> assessments</w:t>
      </w:r>
      <w:r w:rsidR="00A37158" w:rsidRPr="00515188">
        <w:t xml:space="preserve"> of the binary </w:t>
      </w:r>
      <w:r w:rsidR="00916A3E">
        <w:t>approach</w:t>
      </w:r>
      <w:r w:rsidR="00A37158" w:rsidRPr="00515188">
        <w:t>.</w:t>
      </w:r>
      <w:r w:rsidRPr="00515188">
        <w:t xml:space="preserve"> </w:t>
      </w:r>
      <w:r w:rsidR="007F3936" w:rsidRPr="007F3936">
        <w:t xml:space="preserve">The second element of the project involved </w:t>
      </w:r>
      <w:r w:rsidR="009B0CEC">
        <w:t xml:space="preserve">a roundtable </w:t>
      </w:r>
      <w:r w:rsidR="007F3936" w:rsidRPr="007F3936">
        <w:t xml:space="preserve">at which </w:t>
      </w:r>
      <w:r w:rsidR="00FF05C6">
        <w:t>senior figures in the tertiary education sector</w:t>
      </w:r>
      <w:r w:rsidR="007F3936" w:rsidRPr="007F3936">
        <w:t xml:space="preserve"> </w:t>
      </w:r>
      <w:r w:rsidR="009B0CEC">
        <w:t>discussed</w:t>
      </w:r>
      <w:r w:rsidR="00AB4A75">
        <w:t>, under Chatham House rules,</w:t>
      </w:r>
      <w:r w:rsidR="009B0CEC">
        <w:t xml:space="preserve"> the </w:t>
      </w:r>
      <w:r w:rsidR="007F3936" w:rsidRPr="007F3936">
        <w:t xml:space="preserve">themes </w:t>
      </w:r>
      <w:r w:rsidR="009B0CEC">
        <w:t xml:space="preserve">identified </w:t>
      </w:r>
      <w:r w:rsidR="00174721">
        <w:t xml:space="preserve">in this essay. The aim of the day was </w:t>
      </w:r>
      <w:r w:rsidR="006014C8">
        <w:t xml:space="preserve">to </w:t>
      </w:r>
      <w:r w:rsidR="00174721">
        <w:t>canvas ideas about how to overcome some of the persistent problems encountered in mass education systems.</w:t>
      </w:r>
      <w:r w:rsidR="009B0CEC">
        <w:t xml:space="preserve"> </w:t>
      </w:r>
      <w:r w:rsidR="00AB4A75">
        <w:t>Th</w:t>
      </w:r>
      <w:r w:rsidR="00174721">
        <w:t>e</w:t>
      </w:r>
      <w:r w:rsidR="00AB4A75">
        <w:t xml:space="preserve"> discussion </w:t>
      </w:r>
      <w:r w:rsidR="00174721">
        <w:t>prompted the author to ske</w:t>
      </w:r>
      <w:r w:rsidR="00AB4A75">
        <w:t>t</w:t>
      </w:r>
      <w:r w:rsidR="00174721">
        <w:t>ch</w:t>
      </w:r>
      <w:r w:rsidR="00AB4A75">
        <w:t xml:space="preserve"> some future possibilities for the structure of </w:t>
      </w:r>
      <w:r w:rsidR="00033CCA">
        <w:t xml:space="preserve">pathways from secondary </w:t>
      </w:r>
      <w:r w:rsidR="00AB4A75">
        <w:t>school</w:t>
      </w:r>
      <w:r w:rsidR="00033CCA">
        <w:t xml:space="preserve"> into various strands of tertiary</w:t>
      </w:r>
      <w:r w:rsidR="00AB4A75">
        <w:t xml:space="preserve"> education</w:t>
      </w:r>
      <w:r w:rsidR="00DD073F">
        <w:t xml:space="preserve"> (see </w:t>
      </w:r>
      <w:r w:rsidR="003A208E">
        <w:t xml:space="preserve">the </w:t>
      </w:r>
      <w:r w:rsidR="007F20F1">
        <w:t>companion paper</w:t>
      </w:r>
      <w:r w:rsidR="003A208E">
        <w:t xml:space="preserve">, </w:t>
      </w:r>
      <w:r w:rsidR="00DD073F" w:rsidRPr="00DD073F">
        <w:rPr>
          <w:i/>
        </w:rPr>
        <w:t>Wh</w:t>
      </w:r>
      <w:r w:rsidR="005E12AD">
        <w:rPr>
          <w:i/>
        </w:rPr>
        <w:t>at next for tertiary education? S</w:t>
      </w:r>
      <w:r w:rsidR="00DD073F" w:rsidRPr="00DD073F">
        <w:rPr>
          <w:i/>
        </w:rPr>
        <w:t>ome preliminary sketches</w:t>
      </w:r>
      <w:r w:rsidR="00DD073F">
        <w:t>)</w:t>
      </w:r>
      <w:r w:rsidR="00AB4A75">
        <w:t>.</w:t>
      </w:r>
      <w:r w:rsidR="00174721">
        <w:t xml:space="preserve"> The intention is t</w:t>
      </w:r>
      <w:r w:rsidR="00DD073F">
        <w:t>o stimulate debate.</w:t>
      </w:r>
    </w:p>
    <w:p w:rsidR="00A37158" w:rsidRPr="00515188" w:rsidRDefault="007F20F1" w:rsidP="00515188">
      <w:pPr>
        <w:pStyle w:val="Text"/>
      </w:pPr>
      <w:r>
        <w:t>This</w:t>
      </w:r>
      <w:r w:rsidR="00A37158" w:rsidRPr="00515188">
        <w:t xml:space="preserve"> essay reproduces, within the constraints of space, voices from</w:t>
      </w:r>
      <w:r w:rsidR="00DA4FC9" w:rsidRPr="00515188">
        <w:t xml:space="preserve"> the past </w:t>
      </w:r>
      <w:r w:rsidR="00A37158" w:rsidRPr="00515188">
        <w:t>to illustrate the importance of language</w:t>
      </w:r>
      <w:r w:rsidR="00DA4FC9" w:rsidRPr="00515188">
        <w:t xml:space="preserve"> </w:t>
      </w:r>
      <w:r w:rsidR="00A37158" w:rsidRPr="00515188">
        <w:t>in the implementation of po</w:t>
      </w:r>
      <w:r w:rsidR="003C7624">
        <w:t xml:space="preserve">licy. References in the Martin </w:t>
      </w:r>
      <w:r w:rsidR="00383135">
        <w:t>R</w:t>
      </w:r>
      <w:r w:rsidR="00A37158" w:rsidRPr="00515188">
        <w:t xml:space="preserve">eport to lower academic capacity have led to critiques that the </w:t>
      </w:r>
      <w:r w:rsidR="005E12AD">
        <w:t>colleges of advanced education</w:t>
      </w:r>
      <w:r w:rsidR="00A37158" w:rsidRPr="00515188">
        <w:t xml:space="preserve"> were</w:t>
      </w:r>
      <w:r w:rsidR="00916A3E">
        <w:t xml:space="preserve"> </w:t>
      </w:r>
      <w:r w:rsidR="005E12AD">
        <w:t xml:space="preserve">intended as </w:t>
      </w:r>
      <w:r w:rsidR="00A37158" w:rsidRPr="00515188">
        <w:t>second-</w:t>
      </w:r>
      <w:r w:rsidR="00A16758" w:rsidRPr="00515188">
        <w:t>rate</w:t>
      </w:r>
      <w:r w:rsidR="00A37158" w:rsidRPr="00515188">
        <w:t xml:space="preserve"> institutions </w:t>
      </w:r>
      <w:r w:rsidR="005E12AD">
        <w:t xml:space="preserve">designed </w:t>
      </w:r>
      <w:r w:rsidR="00A37158" w:rsidRPr="00515188">
        <w:t xml:space="preserve">to preserve the sanctity of the university as the place for pure learning and research. This </w:t>
      </w:r>
      <w:r w:rsidR="007B6687">
        <w:t>project</w:t>
      </w:r>
      <w:r w:rsidR="00A37158" w:rsidRPr="00515188">
        <w:t xml:space="preserve"> does not reach </w:t>
      </w:r>
      <w:r>
        <w:t>a similar</w:t>
      </w:r>
      <w:r w:rsidR="00A37158" w:rsidRPr="00515188">
        <w:t xml:space="preserve"> concl</w:t>
      </w:r>
      <w:r w:rsidR="007B6687">
        <w:t>usion</w:t>
      </w:r>
      <w:r w:rsidR="006014C8">
        <w:t xml:space="preserve"> about the report</w:t>
      </w:r>
      <w:r w:rsidR="00AB306D">
        <w:t>’</w:t>
      </w:r>
      <w:r w:rsidR="006014C8">
        <w:t>s motivation</w:t>
      </w:r>
      <w:r w:rsidR="00893267">
        <w:t xml:space="preserve">: </w:t>
      </w:r>
      <w:r>
        <w:t>its</w:t>
      </w:r>
      <w:r w:rsidR="00893267">
        <w:t xml:space="preserve"> aim</w:t>
      </w:r>
      <w:r w:rsidR="007B6687">
        <w:t xml:space="preserve"> </w:t>
      </w:r>
      <w:r w:rsidR="00A37158" w:rsidRPr="00515188">
        <w:t xml:space="preserve">was to create a new set of institutions to cater to </w:t>
      </w:r>
      <w:r w:rsidR="00893267">
        <w:t xml:space="preserve">a majority wanting vocationally </w:t>
      </w:r>
      <w:r w:rsidR="00A37158" w:rsidRPr="00515188">
        <w:t xml:space="preserve">oriented higher education, while </w:t>
      </w:r>
      <w:r w:rsidR="00A16758" w:rsidRPr="00515188">
        <w:t>maintain</w:t>
      </w:r>
      <w:r w:rsidR="00893267">
        <w:t>ing</w:t>
      </w:r>
      <w:r w:rsidR="00A16758" w:rsidRPr="00515188">
        <w:t xml:space="preserve"> a smaller group of universities</w:t>
      </w:r>
      <w:r w:rsidR="00916A3E">
        <w:t xml:space="preserve"> producing excellent research</w:t>
      </w:r>
      <w:r w:rsidR="007B6687">
        <w:t>. This was</w:t>
      </w:r>
      <w:r w:rsidR="00A16758" w:rsidRPr="00515188">
        <w:t xml:space="preserve"> </w:t>
      </w:r>
      <w:r>
        <w:t xml:space="preserve">an </w:t>
      </w:r>
      <w:r w:rsidR="00A16758" w:rsidRPr="00515188">
        <w:t>elitist</w:t>
      </w:r>
      <w:r w:rsidR="00916A3E">
        <w:t xml:space="preserve"> ― </w:t>
      </w:r>
      <w:r w:rsidR="003837EF">
        <w:t>but still a</w:t>
      </w:r>
      <w:r w:rsidR="00A16758" w:rsidRPr="00515188">
        <w:t xml:space="preserve"> necessary part of a system of mass </w:t>
      </w:r>
      <w:r w:rsidR="003837EF">
        <w:t xml:space="preserve">tertiary </w:t>
      </w:r>
      <w:r w:rsidR="00A16758" w:rsidRPr="00515188">
        <w:t>education</w:t>
      </w:r>
      <w:r w:rsidR="003837EF">
        <w:t xml:space="preserve"> ― and something with which the system has </w:t>
      </w:r>
      <w:r>
        <w:t>yet</w:t>
      </w:r>
      <w:r w:rsidR="003837EF">
        <w:t xml:space="preserve"> to come to terms</w:t>
      </w:r>
      <w:r w:rsidR="00A16758" w:rsidRPr="00515188">
        <w:t xml:space="preserve">. </w:t>
      </w:r>
    </w:p>
    <w:p w:rsidR="009E231A" w:rsidRPr="00515188" w:rsidRDefault="00A16758" w:rsidP="00515188">
      <w:pPr>
        <w:pStyle w:val="Text"/>
      </w:pPr>
      <w:r w:rsidRPr="00515188">
        <w:t xml:space="preserve">That the </w:t>
      </w:r>
      <w:r w:rsidR="009457D9">
        <w:t>colleges of advanced education</w:t>
      </w:r>
      <w:r w:rsidR="00DA4FC9" w:rsidRPr="00515188">
        <w:t xml:space="preserve"> </w:t>
      </w:r>
      <w:r w:rsidRPr="00515188">
        <w:t xml:space="preserve">became </w:t>
      </w:r>
      <w:r w:rsidR="00DA4FC9" w:rsidRPr="00515188">
        <w:t>cheap alternatives to universities</w:t>
      </w:r>
      <w:r w:rsidRPr="00515188">
        <w:t xml:space="preserve"> had multiple causes, which </w:t>
      </w:r>
      <w:r w:rsidR="00450115">
        <w:t xml:space="preserve">were not only </w:t>
      </w:r>
      <w:r w:rsidR="00893267">
        <w:t xml:space="preserve">related </w:t>
      </w:r>
      <w:r w:rsidR="00450115">
        <w:t xml:space="preserve">to policy and funding but also </w:t>
      </w:r>
      <w:r w:rsidR="003A208E">
        <w:t>to</w:t>
      </w:r>
      <w:r w:rsidR="00450115">
        <w:t xml:space="preserve"> traits within the sector and broader community, </w:t>
      </w:r>
      <w:r w:rsidR="00916A3E">
        <w:t>including</w:t>
      </w:r>
      <w:r w:rsidR="00DA4FC9" w:rsidRPr="00515188">
        <w:t xml:space="preserve"> </w:t>
      </w:r>
      <w:r w:rsidRPr="00515188">
        <w:t>institutional</w:t>
      </w:r>
      <w:r w:rsidR="00DA4FC9" w:rsidRPr="00515188">
        <w:t xml:space="preserve"> snobbery, professional asp</w:t>
      </w:r>
      <w:r w:rsidR="003A208E">
        <w:t>irations for higher credentials</w:t>
      </w:r>
      <w:r w:rsidR="00DA4FC9" w:rsidRPr="00515188">
        <w:t xml:space="preserve"> and </w:t>
      </w:r>
      <w:r w:rsidR="00916A3E">
        <w:t xml:space="preserve">the </w:t>
      </w:r>
      <w:r w:rsidR="00DA4FC9" w:rsidRPr="00515188">
        <w:t xml:space="preserve">failure to sell the idea of </w:t>
      </w:r>
      <w:r w:rsidR="00AB306D">
        <w:t>‘</w:t>
      </w:r>
      <w:r w:rsidR="00DA4FC9" w:rsidRPr="00515188">
        <w:t>advanced</w:t>
      </w:r>
      <w:r w:rsidR="00AB306D">
        <w:t>’</w:t>
      </w:r>
      <w:r w:rsidR="00DA4FC9" w:rsidRPr="00515188">
        <w:t xml:space="preserve"> education to the public</w:t>
      </w:r>
      <w:r w:rsidR="00916A3E">
        <w:t>.</w:t>
      </w:r>
      <w:r w:rsidR="00DA4FC9" w:rsidRPr="00515188">
        <w:t xml:space="preserve"> </w:t>
      </w:r>
    </w:p>
    <w:p w:rsidR="007D7C4D" w:rsidRPr="00515188" w:rsidRDefault="00A16758" w:rsidP="00515188">
      <w:pPr>
        <w:pStyle w:val="Text"/>
      </w:pPr>
      <w:r w:rsidRPr="00515188">
        <w:t>The observations that emerge from this study</w:t>
      </w:r>
      <w:r w:rsidR="00916A3E">
        <w:t xml:space="preserve"> </w:t>
      </w:r>
      <w:r w:rsidRPr="00515188">
        <w:t>illuminate the complex interplay of institutional structures and behaviour</w:t>
      </w:r>
      <w:r w:rsidR="00916A3E">
        <w:t>s</w:t>
      </w:r>
      <w:r w:rsidR="007F20F1">
        <w:t xml:space="preserve"> i</w:t>
      </w:r>
      <w:r w:rsidRPr="00515188">
        <w:t xml:space="preserve">n the implementation of policy goals. These can be streamlined, to some extent, by clarity of purpose. </w:t>
      </w:r>
      <w:r w:rsidR="007B6687">
        <w:t xml:space="preserve">However, </w:t>
      </w:r>
      <w:r w:rsidRPr="00515188">
        <w:t>a</w:t>
      </w:r>
      <w:r w:rsidR="003837EF">
        <w:t>ny</w:t>
      </w:r>
      <w:r w:rsidRPr="00515188">
        <w:t xml:space="preserve"> </w:t>
      </w:r>
      <w:r w:rsidR="003837EF">
        <w:t>re</w:t>
      </w:r>
      <w:r w:rsidRPr="00515188">
        <w:t>organisation of the tertiary system</w:t>
      </w:r>
      <w:r w:rsidR="003837EF">
        <w:t>, as the current wave of reform has presaged,</w:t>
      </w:r>
      <w:r w:rsidRPr="00515188">
        <w:t xml:space="preserve"> depends on a </w:t>
      </w:r>
      <w:r w:rsidR="003837EF">
        <w:t xml:space="preserve">major </w:t>
      </w:r>
      <w:r w:rsidRPr="00515188">
        <w:t>shift in mindset.</w:t>
      </w:r>
    </w:p>
    <w:p w:rsidR="0029734C" w:rsidRDefault="0029734C">
      <w:pPr>
        <w:spacing w:before="0" w:line="240" w:lineRule="auto"/>
      </w:pPr>
      <w:r>
        <w:br w:type="page"/>
      </w:r>
    </w:p>
    <w:p w:rsidR="007D7C4D" w:rsidRPr="00515188" w:rsidRDefault="00A16758" w:rsidP="008A03D5">
      <w:pPr>
        <w:pStyle w:val="Text"/>
      </w:pPr>
      <w:r w:rsidRPr="00515188">
        <w:lastRenderedPageBreak/>
        <w:t>Governing</w:t>
      </w:r>
      <w:r w:rsidR="007D7C4D" w:rsidRPr="00515188">
        <w:t xml:space="preserve"> education in a </w:t>
      </w:r>
      <w:r w:rsidRPr="00515188">
        <w:t>federation</w:t>
      </w:r>
      <w:r w:rsidR="007D7C4D" w:rsidRPr="00515188">
        <w:t xml:space="preserve"> is complicated. </w:t>
      </w:r>
      <w:r w:rsidRPr="00515188">
        <w:t>I</w:t>
      </w:r>
      <w:r w:rsidR="007F20F1">
        <w:t>t bumps up against politics, which</w:t>
      </w:r>
      <w:r w:rsidRPr="00515188">
        <w:t xml:space="preserve"> </w:t>
      </w:r>
      <w:r w:rsidR="00916A3E">
        <w:t xml:space="preserve">can easily </w:t>
      </w:r>
      <w:r w:rsidR="00383135" w:rsidRPr="00EA35D7">
        <w:t>subvert</w:t>
      </w:r>
      <w:r w:rsidRPr="00EA35D7">
        <w:t xml:space="preserve"> a</w:t>
      </w:r>
      <w:r w:rsidRPr="00515188">
        <w:t xml:space="preserve"> </w:t>
      </w:r>
      <w:r w:rsidR="00515188" w:rsidRPr="00515188">
        <w:t>coherent</w:t>
      </w:r>
      <w:r w:rsidRPr="00515188">
        <w:t xml:space="preserve"> plan. </w:t>
      </w:r>
      <w:r w:rsidR="007D7C4D" w:rsidRPr="00515188">
        <w:t xml:space="preserve">As </w:t>
      </w:r>
      <w:r w:rsidRPr="00515188">
        <w:t>Australia</w:t>
      </w:r>
      <w:r w:rsidR="007D7C4D" w:rsidRPr="00515188">
        <w:t xml:space="preserve"> moves toward </w:t>
      </w:r>
      <w:r w:rsidRPr="00515188">
        <w:t>national</w:t>
      </w:r>
      <w:r w:rsidR="007D7C4D" w:rsidRPr="00515188">
        <w:t xml:space="preserve"> models</w:t>
      </w:r>
      <w:r w:rsidR="00515188" w:rsidRPr="00515188">
        <w:t>,</w:t>
      </w:r>
      <w:r w:rsidR="007D7C4D" w:rsidRPr="00515188">
        <w:t xml:space="preserve"> the binary </w:t>
      </w:r>
      <w:r w:rsidR="00515188" w:rsidRPr="00515188">
        <w:t>experiment</w:t>
      </w:r>
      <w:r w:rsidR="007D7C4D" w:rsidRPr="00515188">
        <w:t xml:space="preserve"> show</w:t>
      </w:r>
      <w:r w:rsidR="00515188" w:rsidRPr="00515188">
        <w:t>s</w:t>
      </w:r>
      <w:r w:rsidR="007D7C4D" w:rsidRPr="00515188">
        <w:t xml:space="preserve"> the </w:t>
      </w:r>
      <w:r w:rsidR="00515188" w:rsidRPr="00515188">
        <w:t>importance</w:t>
      </w:r>
      <w:r w:rsidR="007D7C4D" w:rsidRPr="00515188">
        <w:t xml:space="preserve"> of finding formulae that provide equal money for equal </w:t>
      </w:r>
      <w:r w:rsidR="00916A3E">
        <w:t>―</w:t>
      </w:r>
      <w:r w:rsidR="007D7C4D" w:rsidRPr="00515188">
        <w:t xml:space="preserve"> not the same </w:t>
      </w:r>
      <w:r w:rsidR="00916A3E">
        <w:t>―</w:t>
      </w:r>
      <w:r w:rsidR="007D7C4D" w:rsidRPr="00515188">
        <w:t xml:space="preserve"> work. They must also </w:t>
      </w:r>
      <w:r w:rsidR="00515188" w:rsidRPr="00515188">
        <w:t>preserve</w:t>
      </w:r>
      <w:r w:rsidR="007D7C4D" w:rsidRPr="00515188">
        <w:t xml:space="preserve"> the safety mechanism the </w:t>
      </w:r>
      <w:r w:rsidR="00515188" w:rsidRPr="00515188">
        <w:t>federal</w:t>
      </w:r>
      <w:r w:rsidR="007D7C4D" w:rsidRPr="00515188">
        <w:t xml:space="preserve"> system offers, namely</w:t>
      </w:r>
      <w:r w:rsidR="003A208E">
        <w:t>,</w:t>
      </w:r>
      <w:r w:rsidR="007D7C4D" w:rsidRPr="00515188">
        <w:t xml:space="preserve"> </w:t>
      </w:r>
      <w:r w:rsidR="007F20F1">
        <w:t xml:space="preserve">the </w:t>
      </w:r>
      <w:r w:rsidR="00515188" w:rsidRPr="00515188">
        <w:t>flexibility</w:t>
      </w:r>
      <w:r w:rsidR="007D7C4D" w:rsidRPr="00515188">
        <w:t xml:space="preserve"> to cater </w:t>
      </w:r>
      <w:r w:rsidR="00916A3E">
        <w:t>―</w:t>
      </w:r>
      <w:r w:rsidR="007D7C4D" w:rsidRPr="00515188">
        <w:t xml:space="preserve"> ideally a</w:t>
      </w:r>
      <w:r w:rsidR="007B6687">
        <w:t>t</w:t>
      </w:r>
      <w:r w:rsidR="007D7C4D" w:rsidRPr="00515188">
        <w:t xml:space="preserve"> the institutional level </w:t>
      </w:r>
      <w:r w:rsidR="00916A3E">
        <w:t>―</w:t>
      </w:r>
      <w:r w:rsidR="007D7C4D" w:rsidRPr="00515188">
        <w:t xml:space="preserve"> to local conditions and chosen expertise</w:t>
      </w:r>
      <w:r w:rsidR="00515188" w:rsidRPr="00515188">
        <w:t>. This calls for regulation that coordinates the system rather than manag</w:t>
      </w:r>
      <w:r w:rsidR="009F76EF">
        <w:t>es</w:t>
      </w:r>
      <w:r w:rsidR="00916A3E">
        <w:t xml:space="preserve"> its </w:t>
      </w:r>
      <w:r w:rsidR="00515188" w:rsidRPr="00515188">
        <w:t>institutions.</w:t>
      </w:r>
    </w:p>
    <w:p w:rsidR="008B0D2A" w:rsidRPr="00515188" w:rsidRDefault="007D7C4D" w:rsidP="00515188">
      <w:pPr>
        <w:pStyle w:val="Text"/>
      </w:pPr>
      <w:r w:rsidRPr="00515188">
        <w:t xml:space="preserve">We </w:t>
      </w:r>
      <w:r w:rsidR="009F76EF">
        <w:t xml:space="preserve">must find </w:t>
      </w:r>
      <w:r w:rsidRPr="00515188">
        <w:t>an agreed definition o</w:t>
      </w:r>
      <w:r w:rsidR="008B0D2A" w:rsidRPr="00515188">
        <w:t>f</w:t>
      </w:r>
      <w:r w:rsidRPr="00515188">
        <w:t xml:space="preserve"> </w:t>
      </w:r>
      <w:r w:rsidR="008B0D2A" w:rsidRPr="00515188">
        <w:t>higher education</w:t>
      </w:r>
      <w:r w:rsidR="00515188" w:rsidRPr="00515188">
        <w:t xml:space="preserve"> that</w:t>
      </w:r>
      <w:r w:rsidRPr="00515188">
        <w:t xml:space="preserve"> takes account of the </w:t>
      </w:r>
      <w:r w:rsidR="00916A3E">
        <w:t>advanced</w:t>
      </w:r>
      <w:r w:rsidRPr="00515188">
        <w:t xml:space="preserve"> level of skills and analytical thinking all Australians need and deserve</w:t>
      </w:r>
      <w:r w:rsidR="00916A3E">
        <w:t xml:space="preserve">, whether these are </w:t>
      </w:r>
      <w:r w:rsidR="008B0D2A" w:rsidRPr="00515188">
        <w:t xml:space="preserve">delivered in an applied or </w:t>
      </w:r>
      <w:r w:rsidR="007F20F1">
        <w:t xml:space="preserve">a </w:t>
      </w:r>
      <w:r w:rsidR="008B0D2A" w:rsidRPr="00515188">
        <w:t>more theoretical way</w:t>
      </w:r>
      <w:r w:rsidRPr="00515188">
        <w:t>.</w:t>
      </w:r>
      <w:r w:rsidR="008B0D2A" w:rsidRPr="00515188">
        <w:t xml:space="preserve"> Beyond the definition, the system </w:t>
      </w:r>
      <w:r w:rsidR="007B6687">
        <w:t>must strive</w:t>
      </w:r>
      <w:r w:rsidR="008B0D2A" w:rsidRPr="00515188">
        <w:t xml:space="preserve"> to break away from institutional legacies and rivalry.</w:t>
      </w:r>
      <w:r w:rsidR="006D3A86" w:rsidRPr="00515188">
        <w:t xml:space="preserve"> </w:t>
      </w:r>
      <w:r w:rsidR="006B4289">
        <w:t>This remains difficult while oversight of higher and vocational education rest</w:t>
      </w:r>
      <w:r w:rsidR="00595A63">
        <w:t>s</w:t>
      </w:r>
      <w:r w:rsidR="006B4289">
        <w:t xml:space="preserve"> with Commonwealth and state authorities respectively, especially given that TAFE</w:t>
      </w:r>
      <w:r w:rsidR="00595A63">
        <w:t xml:space="preserve"> institution</w:t>
      </w:r>
      <w:r w:rsidR="006B4289">
        <w:t xml:space="preserve">s now deliver </w:t>
      </w:r>
      <w:r w:rsidR="00FF05C6">
        <w:t>significant numbers of advanced (diploma and above) qualifications.</w:t>
      </w:r>
    </w:p>
    <w:p w:rsidR="007D7C4D" w:rsidRPr="00515188" w:rsidRDefault="00FF05C6" w:rsidP="00515188">
      <w:pPr>
        <w:pStyle w:val="Text"/>
      </w:pPr>
      <w:r>
        <w:t>That said, t</w:t>
      </w:r>
      <w:r w:rsidR="006D3A86" w:rsidRPr="00515188">
        <w:t xml:space="preserve">here will remain a demand for </w:t>
      </w:r>
      <w:r w:rsidR="008B0D2A" w:rsidRPr="00515188">
        <w:t>mid-level trade and other qualifications</w:t>
      </w:r>
      <w:r w:rsidR="006D3A86" w:rsidRPr="00515188">
        <w:t xml:space="preserve">, as well as a vital </w:t>
      </w:r>
      <w:r w:rsidR="00383135">
        <w:t>r</w:t>
      </w:r>
      <w:r w:rsidR="00BE70B9">
        <w:t>e</w:t>
      </w:r>
      <w:r w:rsidR="00383135">
        <w:t>quirement for</w:t>
      </w:r>
      <w:r w:rsidR="008B0D2A" w:rsidRPr="00515188">
        <w:t xml:space="preserve"> remedial adult education and </w:t>
      </w:r>
      <w:r w:rsidR="006D3A86" w:rsidRPr="00515188">
        <w:t>continuing</w:t>
      </w:r>
      <w:r w:rsidR="008B0D2A" w:rsidRPr="00515188">
        <w:t xml:space="preserve"> professional education and </w:t>
      </w:r>
      <w:r w:rsidR="006D3A86" w:rsidRPr="00515188">
        <w:t>development</w:t>
      </w:r>
      <w:r w:rsidR="008B0D2A" w:rsidRPr="00515188">
        <w:t xml:space="preserve">. </w:t>
      </w:r>
      <w:r w:rsidR="00595A63">
        <w:t>T</w:t>
      </w:r>
      <w:r w:rsidR="008B0D2A" w:rsidRPr="00515188">
        <w:t xml:space="preserve">hese offerings would benefit from </w:t>
      </w:r>
      <w:r w:rsidR="00595A63">
        <w:t xml:space="preserve">the </w:t>
      </w:r>
      <w:r w:rsidR="00B93865">
        <w:t>inclu</w:t>
      </w:r>
      <w:r w:rsidR="00595A63">
        <w:t xml:space="preserve">sion of </w:t>
      </w:r>
      <w:r w:rsidR="008B0D2A" w:rsidRPr="00515188">
        <w:t xml:space="preserve">core </w:t>
      </w:r>
      <w:r w:rsidR="006D3A86" w:rsidRPr="00515188">
        <w:t>elements</w:t>
      </w:r>
      <w:r w:rsidR="00AB0E64">
        <w:t xml:space="preserve"> (for example, a solid grounding in mathematics in the engineering occupations)</w:t>
      </w:r>
      <w:r w:rsidR="008B0D2A" w:rsidRPr="00515188">
        <w:t xml:space="preserve"> t</w:t>
      </w:r>
      <w:r w:rsidR="00595A63">
        <w:t>o</w:t>
      </w:r>
      <w:r w:rsidR="008B0D2A" w:rsidRPr="00515188">
        <w:t xml:space="preserve"> facilitate articulation to higher education. </w:t>
      </w:r>
      <w:r w:rsidR="00595A63">
        <w:t>Moreover, t</w:t>
      </w:r>
      <w:r w:rsidR="008B0D2A" w:rsidRPr="00515188">
        <w:t xml:space="preserve">ransfer arrangements </w:t>
      </w:r>
      <w:r w:rsidR="00AB4A75">
        <w:t>will founder without strong trust between institutions. This cannot be solely the responsibility of individuals but must be embedded in each organisation</w:t>
      </w:r>
      <w:r w:rsidR="00AB306D">
        <w:t>’</w:t>
      </w:r>
      <w:r w:rsidR="00AB4A75">
        <w:t>s policy settings</w:t>
      </w:r>
      <w:r w:rsidR="006B51B1">
        <w:t>.</w:t>
      </w:r>
      <w:r w:rsidR="008B0D2A" w:rsidRPr="00515188">
        <w:t xml:space="preserve"> </w:t>
      </w:r>
    </w:p>
    <w:p w:rsidR="00EF64CB" w:rsidRDefault="006D3A86" w:rsidP="00EF64CB">
      <w:pPr>
        <w:pStyle w:val="Text"/>
      </w:pPr>
      <w:r w:rsidRPr="00515188">
        <w:t>Without a funding model that</w:t>
      </w:r>
      <w:r w:rsidR="00515188" w:rsidRPr="00515188">
        <w:t xml:space="preserve"> acknowledges</w:t>
      </w:r>
      <w:r w:rsidRPr="00515188">
        <w:t xml:space="preserve"> the equal importance of </w:t>
      </w:r>
      <w:r w:rsidR="00515188" w:rsidRPr="00515188">
        <w:t>teaching</w:t>
      </w:r>
      <w:r w:rsidRPr="00515188">
        <w:t xml:space="preserve"> </w:t>
      </w:r>
      <w:r w:rsidR="00515188" w:rsidRPr="00515188">
        <w:t>a</w:t>
      </w:r>
      <w:r w:rsidRPr="00515188">
        <w:t>nd</w:t>
      </w:r>
      <w:r w:rsidR="00515188" w:rsidRPr="00515188">
        <w:t xml:space="preserve"> research</w:t>
      </w:r>
      <w:r w:rsidRPr="00515188">
        <w:t xml:space="preserve"> but also the different quantum required of each in a mass </w:t>
      </w:r>
      <w:r w:rsidR="00515188" w:rsidRPr="00515188">
        <w:t>higher</w:t>
      </w:r>
      <w:r w:rsidRPr="00515188">
        <w:t xml:space="preserve"> </w:t>
      </w:r>
      <w:r w:rsidR="00515188" w:rsidRPr="00515188">
        <w:t>education</w:t>
      </w:r>
      <w:r w:rsidRPr="00515188">
        <w:t xml:space="preserve"> system, parity of esteem will</w:t>
      </w:r>
      <w:r w:rsidR="007F3936">
        <w:t xml:space="preserve"> remain elusive. Working either</w:t>
      </w:r>
      <w:r w:rsidR="009F76EF">
        <w:t xml:space="preserve"> </w:t>
      </w:r>
      <w:r w:rsidRPr="00515188">
        <w:t xml:space="preserve">as teachers or researchers at this level demands </w:t>
      </w:r>
      <w:r w:rsidR="00515188" w:rsidRPr="00515188">
        <w:t>scholar</w:t>
      </w:r>
      <w:r w:rsidR="007F3936">
        <w:t>ship</w:t>
      </w:r>
      <w:r w:rsidR="009F76EF">
        <w:t>, which should</w:t>
      </w:r>
      <w:r w:rsidRPr="00515188">
        <w:t xml:space="preserve"> be funded</w:t>
      </w:r>
      <w:r w:rsidR="00515188" w:rsidRPr="00515188">
        <w:t xml:space="preserve"> across the system</w:t>
      </w:r>
      <w:r w:rsidR="007F62E8">
        <w:t>,</w:t>
      </w:r>
      <w:r w:rsidR="00EF64CB">
        <w:t xml:space="preserve"> if, t</w:t>
      </w:r>
      <w:r w:rsidR="00515188">
        <w:t xml:space="preserve">o </w:t>
      </w:r>
      <w:r w:rsidR="00EF64CB">
        <w:t>return to Martin</w:t>
      </w:r>
      <w:r w:rsidR="00AB306D">
        <w:t>’</w:t>
      </w:r>
      <w:r w:rsidR="00EF64CB">
        <w:t>s words:</w:t>
      </w:r>
    </w:p>
    <w:p w:rsidR="006D3A86" w:rsidRPr="00EF64CB" w:rsidRDefault="00EF64CB" w:rsidP="00EF64CB">
      <w:pPr>
        <w:pStyle w:val="Quote"/>
      </w:pPr>
      <w:r w:rsidRPr="00EF64CB">
        <w:t>civilized man is to succeed in his attempt to produce ever larger, more complex,</w:t>
      </w:r>
      <w:r>
        <w:t xml:space="preserve"> </w:t>
      </w:r>
      <w:r w:rsidRPr="00EF64CB">
        <w:t>yet more stable societies, and so make beneficial use of acquired scientific and technological</w:t>
      </w:r>
      <w:r>
        <w:t xml:space="preserve"> </w:t>
      </w:r>
      <w:r w:rsidRPr="00EF64CB">
        <w:t>knowledge, then education must ensure for the members of those societies an increasing</w:t>
      </w:r>
      <w:r>
        <w:t xml:space="preserve"> </w:t>
      </w:r>
      <w:r w:rsidRPr="00EF64CB">
        <w:t>general level of knowledge about their fellow men and an increasing understanding of the</w:t>
      </w:r>
      <w:r>
        <w:t xml:space="preserve"> </w:t>
      </w:r>
      <w:r w:rsidRPr="00EF64CB">
        <w:t>societies themselves.</w:t>
      </w:r>
      <w:r w:rsidR="00ED09E1">
        <w:br/>
      </w:r>
      <w:r w:rsidR="00BE70B9">
        <w:tab/>
        <w:t>(Committee on the Future of Tertiary Education in Australia 1964</w:t>
      </w:r>
      <w:r w:rsidR="00204F8D">
        <w:t>—65</w:t>
      </w:r>
      <w:r w:rsidR="00BE70B9">
        <w:t>, vol.1, p.4)</w:t>
      </w:r>
    </w:p>
    <w:p w:rsidR="00251B85" w:rsidRDefault="00251B85" w:rsidP="00066E89">
      <w:pPr>
        <w:pStyle w:val="Text"/>
      </w:pPr>
      <w:r>
        <w:t xml:space="preserve">Making progress in tackling the </w:t>
      </w:r>
      <w:r w:rsidR="00A06CAA">
        <w:t xml:space="preserve">persistent </w:t>
      </w:r>
      <w:r>
        <w:t>problems of education policy demands a different mindset. To stimulate fresh thinking about the issues, the following suggestions for new directions have</w:t>
      </w:r>
      <w:r w:rsidR="00A06CAA">
        <w:t xml:space="preserve"> been</w:t>
      </w:r>
      <w:r w:rsidR="0057524F">
        <w:t xml:space="preserve"> developed</w:t>
      </w:r>
      <w:r>
        <w:t xml:space="preserve"> from</w:t>
      </w:r>
      <w:r w:rsidR="00AB0E64">
        <w:t xml:space="preserve"> the historical analysis and the discussions it stimulated at the roundtable</w:t>
      </w:r>
      <w:r>
        <w:t xml:space="preserve">:  </w:t>
      </w:r>
    </w:p>
    <w:p w:rsidR="00066E89" w:rsidRDefault="00251B85" w:rsidP="00433C9E">
      <w:pPr>
        <w:pStyle w:val="Dotpoint1"/>
      </w:pPr>
      <w:r w:rsidRPr="00251B85">
        <w:t>Restructure pathways from school</w:t>
      </w:r>
      <w:r>
        <w:t xml:space="preserve"> or other vocational settings</w:t>
      </w:r>
      <w:r w:rsidRPr="00251B85">
        <w:t xml:space="preserve"> into diverse tertiary institutions</w:t>
      </w:r>
      <w:r>
        <w:t xml:space="preserve">: </w:t>
      </w:r>
    </w:p>
    <w:p w:rsidR="00251B85" w:rsidRDefault="00BE70B9" w:rsidP="00433C9E">
      <w:pPr>
        <w:pStyle w:val="Dotpoint2"/>
      </w:pPr>
      <w:r>
        <w:t>An alternative structure for mass tertiary education would see a majority attend establishments devoted to adapting students to learning at the tertiary level, with this occurring</w:t>
      </w:r>
      <w:r w:rsidRPr="00CB70C7">
        <w:t xml:space="preserve"> </w:t>
      </w:r>
      <w:r>
        <w:t>in the first two years (13 and 14) after completion of the traditional 12 years of schooling</w:t>
      </w:r>
      <w:r w:rsidR="001F0442">
        <w:t xml:space="preserve">. </w:t>
      </w:r>
      <w:r w:rsidR="00066E89">
        <w:t xml:space="preserve">Those with a strong </w:t>
      </w:r>
      <w:r w:rsidR="009D6B96">
        <w:t xml:space="preserve">idea of their </w:t>
      </w:r>
      <w:r w:rsidR="00066E89">
        <w:t xml:space="preserve">vocational </w:t>
      </w:r>
      <w:r w:rsidR="009D6B96">
        <w:t>direct</w:t>
      </w:r>
      <w:r w:rsidR="00066E89">
        <w:t>ion would</w:t>
      </w:r>
      <w:r w:rsidR="00251B85" w:rsidRPr="00251B85">
        <w:t xml:space="preserve"> be str</w:t>
      </w:r>
      <w:r w:rsidR="00066E89">
        <w:t>eamed into institutions that v</w:t>
      </w:r>
      <w:r w:rsidR="00251B85" w:rsidRPr="00251B85">
        <w:t>ertically integrate broad occupational training and education</w:t>
      </w:r>
      <w:r w:rsidR="001F0442">
        <w:t>,</w:t>
      </w:r>
      <w:r w:rsidR="00251B85" w:rsidRPr="00251B85">
        <w:t xml:space="preserve"> </w:t>
      </w:r>
      <w:r w:rsidR="00251B85">
        <w:t xml:space="preserve">from </w:t>
      </w:r>
      <w:r w:rsidR="009232A8">
        <w:t>c</w:t>
      </w:r>
      <w:r w:rsidR="00251B85">
        <w:t xml:space="preserve">ertificates to PhDs </w:t>
      </w:r>
      <w:r w:rsidR="00251B85" w:rsidRPr="00251B85">
        <w:t>in a certain field, for example</w:t>
      </w:r>
      <w:r w:rsidR="005039CA">
        <w:t>,</w:t>
      </w:r>
      <w:r w:rsidR="00251B85" w:rsidRPr="00251B85">
        <w:t xml:space="preserve"> in health, teaching or engineering. </w:t>
      </w:r>
      <w:r w:rsidR="005039CA">
        <w:t>Other Y</w:t>
      </w:r>
      <w:r w:rsidR="00066E89" w:rsidRPr="00066E89">
        <w:t xml:space="preserve">ear 13 and 14 students would be prepared for progression into </w:t>
      </w:r>
      <w:r w:rsidR="00073E8F">
        <w:t>a research-intensive university</w:t>
      </w:r>
      <w:r w:rsidR="00066E89" w:rsidRPr="00066E89">
        <w:t xml:space="preserve"> strong in both pure and applied research, or into the later years of professional education. The latter might also be the preserve of niche institutions.</w:t>
      </w:r>
    </w:p>
    <w:p w:rsidR="00251B85" w:rsidRDefault="00251B85" w:rsidP="00433C9E">
      <w:pPr>
        <w:pStyle w:val="Dotpoint1"/>
      </w:pPr>
      <w:r>
        <w:t>Lift the reputation for applied lea</w:t>
      </w:r>
      <w:r w:rsidR="00066E89">
        <w:t xml:space="preserve">rning by </w:t>
      </w:r>
      <w:r w:rsidR="005039CA">
        <w:t>ensuring that</w:t>
      </w:r>
      <w:r w:rsidR="00066E89">
        <w:t xml:space="preserve"> </w:t>
      </w:r>
      <w:r w:rsidR="003155C2">
        <w:t xml:space="preserve">all </w:t>
      </w:r>
      <w:r w:rsidR="00066E89">
        <w:t>competency-</w:t>
      </w:r>
      <w:r>
        <w:t xml:space="preserve">based education embraces conceptual thinking and </w:t>
      </w:r>
      <w:r w:rsidR="003155C2">
        <w:t xml:space="preserve">equips learners to move </w:t>
      </w:r>
      <w:r w:rsidR="00E70F13">
        <w:t>between the different institutions in the system.</w:t>
      </w:r>
    </w:p>
    <w:p w:rsidR="0029734C" w:rsidRDefault="0029734C">
      <w:pPr>
        <w:spacing w:before="0" w:line="240" w:lineRule="auto"/>
        <w:rPr>
          <w:color w:val="000000"/>
        </w:rPr>
      </w:pPr>
      <w:r>
        <w:br w:type="page"/>
      </w:r>
    </w:p>
    <w:p w:rsidR="00FF05C6" w:rsidRDefault="00FF05C6" w:rsidP="00433C9E">
      <w:pPr>
        <w:pStyle w:val="Dotpoint1"/>
      </w:pPr>
      <w:r w:rsidRPr="00FF05C6">
        <w:lastRenderedPageBreak/>
        <w:t>Decouple funding for research and teaching (including scholarly practice) and better concentrate research infrastructure monies.</w:t>
      </w:r>
    </w:p>
    <w:p w:rsidR="001F0442" w:rsidRDefault="003E56B3" w:rsidP="00433C9E">
      <w:pPr>
        <w:pStyle w:val="Dotpoint1"/>
      </w:pPr>
      <w:r w:rsidRPr="00066E89">
        <w:t>Introduce a single governance framework</w:t>
      </w:r>
      <w:r w:rsidR="001F0442">
        <w:t>, one</w:t>
      </w:r>
      <w:r w:rsidRPr="00066E89">
        <w:t xml:space="preserve"> that fosters collaboration among governments, within the system and beyond.</w:t>
      </w:r>
    </w:p>
    <w:p w:rsidR="00066E89" w:rsidRPr="00066E89" w:rsidRDefault="001F0442" w:rsidP="0057524F">
      <w:pPr>
        <w:spacing w:before="0" w:line="240" w:lineRule="auto"/>
      </w:pPr>
      <w:r>
        <w:br w:type="page"/>
      </w:r>
    </w:p>
    <w:p w:rsidR="00B24199" w:rsidRDefault="00B24199" w:rsidP="00B24199">
      <w:pPr>
        <w:pStyle w:val="Heading1"/>
      </w:pPr>
      <w:bookmarkStart w:id="30" w:name="_Toc393293024"/>
      <w:r>
        <w:lastRenderedPageBreak/>
        <w:t>Introduction</w:t>
      </w:r>
      <w:bookmarkEnd w:id="30"/>
    </w:p>
    <w:p w:rsidR="002B1E08" w:rsidRDefault="00A34A04" w:rsidP="00A34A04">
      <w:pPr>
        <w:pStyle w:val="Text"/>
      </w:pPr>
      <w:r w:rsidRPr="00A34A04">
        <w:t xml:space="preserve">At </w:t>
      </w:r>
      <w:r w:rsidR="00C10D89">
        <w:t>a ceremony</w:t>
      </w:r>
      <w:r w:rsidRPr="00A34A04">
        <w:t xml:space="preserve"> to mark the establishment of the Canberra College of Advanced Education in October 1968, Prime Minister Gorton swatted flies as he explained</w:t>
      </w:r>
      <w:r w:rsidR="002B1E08">
        <w:t>:</w:t>
      </w:r>
    </w:p>
    <w:p w:rsidR="000A1D99" w:rsidRDefault="00A34A04" w:rsidP="00041210">
      <w:pPr>
        <w:pStyle w:val="Quote"/>
      </w:pPr>
      <w:r w:rsidRPr="00A34A04">
        <w:t>the colleges were not meant t</w:t>
      </w:r>
      <w:r w:rsidR="005039CA">
        <w:t xml:space="preserve">o be second rate universities … </w:t>
      </w:r>
      <w:r w:rsidRPr="00A34A04">
        <w:t xml:space="preserve">Collectively they will provide an alternative system </w:t>
      </w:r>
      <w:r w:rsidR="005B5730">
        <w:t>―</w:t>
      </w:r>
      <w:r w:rsidRPr="00A34A04">
        <w:t xml:space="preserve"> but not an inferior system </w:t>
      </w:r>
      <w:r w:rsidR="005B5730">
        <w:t>―</w:t>
      </w:r>
      <w:r w:rsidRPr="00A34A04">
        <w:t xml:space="preserve"> to university education. The Colleges will aim to provide scholarship, not only for the sake of scholarship</w:t>
      </w:r>
      <w:r w:rsidR="00073E8F">
        <w:t>,</w:t>
      </w:r>
      <w:r w:rsidRPr="00A34A04">
        <w:t xml:space="preserve"> which was the genesis of university education, but to meet specific needs of industry and of human endeavour in specialised areas</w:t>
      </w:r>
      <w:r w:rsidR="005039CA">
        <w:t>.</w:t>
      </w:r>
      <w:r w:rsidR="00ED09E1">
        <w:br/>
      </w:r>
      <w:r w:rsidR="005039CA">
        <w:tab/>
      </w:r>
      <w:r w:rsidR="005B5730">
        <w:t>(</w:t>
      </w:r>
      <w:r w:rsidR="00FE634F">
        <w:t>c</w:t>
      </w:r>
      <w:r w:rsidR="005039CA">
        <w:t xml:space="preserve">ited in </w:t>
      </w:r>
      <w:r w:rsidR="005B5730">
        <w:t>Ric</w:t>
      </w:r>
      <w:r w:rsidRPr="00A34A04">
        <w:t xml:space="preserve">hardson </w:t>
      </w:r>
      <w:r w:rsidR="00041210">
        <w:t>1979</w:t>
      </w:r>
      <w:r w:rsidR="002B1E08">
        <w:t xml:space="preserve">, </w:t>
      </w:r>
      <w:r w:rsidRPr="00A34A04">
        <w:t>p</w:t>
      </w:r>
      <w:r w:rsidR="005B5730">
        <w:t>p</w:t>
      </w:r>
      <w:r w:rsidR="005039CA">
        <w:t>.51—</w:t>
      </w:r>
      <w:r w:rsidRPr="00A34A04">
        <w:t>2</w:t>
      </w:r>
      <w:r w:rsidR="005B5730">
        <w:t>)</w:t>
      </w:r>
    </w:p>
    <w:p w:rsidR="00A34A04" w:rsidRPr="00A34A04" w:rsidRDefault="00A34A04" w:rsidP="00A34A04">
      <w:pPr>
        <w:pStyle w:val="Text"/>
      </w:pPr>
      <w:r w:rsidRPr="00A34A04">
        <w:t>The year before</w:t>
      </w:r>
      <w:r w:rsidR="001F0442">
        <w:t>,</w:t>
      </w:r>
      <w:r w:rsidRPr="00A34A04">
        <w:t xml:space="preserve"> as Education Minister, Gorton had marked the beginning of the </w:t>
      </w:r>
      <w:r w:rsidR="005039CA">
        <w:t>c</w:t>
      </w:r>
      <w:r>
        <w:t>ollege</w:t>
      </w:r>
      <w:r w:rsidR="00AB306D">
        <w:t>’</w:t>
      </w:r>
      <w:r>
        <w:t>s construction</w:t>
      </w:r>
      <w:r w:rsidRPr="00A34A04">
        <w:t xml:space="preserve"> by driving a large </w:t>
      </w:r>
      <w:r w:rsidR="00120B70" w:rsidRPr="00A34A04">
        <w:t>earth</w:t>
      </w:r>
      <w:r w:rsidR="00120B70">
        <w:t>mover</w:t>
      </w:r>
      <w:r w:rsidRPr="00A34A04">
        <w:t xml:space="preserve"> along the exposed,</w:t>
      </w:r>
      <w:r w:rsidR="00C10D89">
        <w:t xml:space="preserve"> </w:t>
      </w:r>
      <w:r w:rsidR="00C10D89" w:rsidRPr="00AB0E64">
        <w:t>same</w:t>
      </w:r>
      <w:r w:rsidRPr="00AB0E64">
        <w:t xml:space="preserve"> fly-ridden</w:t>
      </w:r>
      <w:r w:rsidRPr="00A34A04">
        <w:t xml:space="preserve">, </w:t>
      </w:r>
      <w:r w:rsidR="00C10D89">
        <w:t>ridge in Bruce</w:t>
      </w:r>
      <w:r w:rsidRPr="00A34A04">
        <w:t xml:space="preserve"> (</w:t>
      </w:r>
      <w:r w:rsidR="009F76EF">
        <w:t>Richardson 1979,</w:t>
      </w:r>
      <w:r w:rsidR="0040647C">
        <w:t xml:space="preserve"> </w:t>
      </w:r>
      <w:r w:rsidR="005039CA">
        <w:t>p.</w:t>
      </w:r>
      <w:r w:rsidRPr="00A34A04">
        <w:t>35)</w:t>
      </w:r>
      <w:r w:rsidR="006E0440">
        <w:t>.</w:t>
      </w:r>
      <w:r>
        <w:t xml:space="preserve"> </w:t>
      </w:r>
      <w:r w:rsidRPr="00A34A04">
        <w:t xml:space="preserve">Gorton later reflected that the introduction of the colleges of advanced education </w:t>
      </w:r>
      <w:r w:rsidR="00BD2396">
        <w:t>had been</w:t>
      </w:r>
      <w:r w:rsidRPr="00A34A04">
        <w:t xml:space="preserve"> a particularly satisfying element of his career</w:t>
      </w:r>
      <w:r>
        <w:t xml:space="preserve">. </w:t>
      </w:r>
      <w:r w:rsidR="00BD2396">
        <w:t xml:space="preserve">In </w:t>
      </w:r>
      <w:r w:rsidRPr="00A34A04">
        <w:t xml:space="preserve">1964 </w:t>
      </w:r>
      <w:r>
        <w:t xml:space="preserve">Prime Minister </w:t>
      </w:r>
      <w:r w:rsidRPr="00A34A04">
        <w:t xml:space="preserve">Menzies </w:t>
      </w:r>
      <w:r w:rsidR="001D4D66">
        <w:t xml:space="preserve">had </w:t>
      </w:r>
      <w:r w:rsidRPr="00A34A04">
        <w:t>g</w:t>
      </w:r>
      <w:r w:rsidR="001D4D66">
        <w:t xml:space="preserve">iven </w:t>
      </w:r>
      <w:r w:rsidRPr="00A34A04">
        <w:t xml:space="preserve">him the task of implementing </w:t>
      </w:r>
      <w:r w:rsidR="00195DE2">
        <w:t xml:space="preserve">the </w:t>
      </w:r>
      <w:r w:rsidRPr="00A34A04">
        <w:t>government</w:t>
      </w:r>
      <w:r w:rsidR="00AB306D">
        <w:t>’</w:t>
      </w:r>
      <w:r w:rsidRPr="00A34A04">
        <w:t xml:space="preserve">s response to the Martin </w:t>
      </w:r>
      <w:r w:rsidR="00073E8F">
        <w:t>R</w:t>
      </w:r>
      <w:r w:rsidR="001D4D66" w:rsidRPr="00A34A04">
        <w:t xml:space="preserve">eport on tertiary education </w:t>
      </w:r>
      <w:r w:rsidRPr="00A34A04">
        <w:t>in Australia</w:t>
      </w:r>
      <w:r w:rsidR="00041210">
        <w:t xml:space="preserve"> </w:t>
      </w:r>
      <w:r w:rsidR="005B5730">
        <w:t>because he was a man who got things done (Gorton 1985)</w:t>
      </w:r>
      <w:r w:rsidRPr="00A34A04">
        <w:t>.</w:t>
      </w:r>
      <w:r w:rsidRPr="007D36B5">
        <w:rPr>
          <w:vertAlign w:val="superscript"/>
        </w:rPr>
        <w:t xml:space="preserve"> </w:t>
      </w:r>
    </w:p>
    <w:p w:rsidR="009F76EF" w:rsidRDefault="000E5AB6" w:rsidP="00D03C3E">
      <w:pPr>
        <w:pStyle w:val="Text"/>
      </w:pPr>
      <w:r w:rsidRPr="000E5AB6">
        <w:t>That report was</w:t>
      </w:r>
      <w:r w:rsidR="001D4D66">
        <w:t xml:space="preserve"> the culmination of three years</w:t>
      </w:r>
      <w:r w:rsidRPr="000E5AB6">
        <w:t xml:space="preserve"> work by the Committee on the Future of Tertiary Education in Australia</w:t>
      </w:r>
      <w:r w:rsidR="001D4D66">
        <w:t>,</w:t>
      </w:r>
      <w:r w:rsidRPr="000E5AB6">
        <w:t xml:space="preserve"> </w:t>
      </w:r>
      <w:r w:rsidR="001D4D66" w:rsidRPr="000E5AB6">
        <w:t xml:space="preserve">appointed </w:t>
      </w:r>
      <w:r w:rsidR="001D4D66">
        <w:t xml:space="preserve">by </w:t>
      </w:r>
      <w:r w:rsidRPr="000E5AB6">
        <w:t xml:space="preserve">Menzies in August 1961. Its terms of reference were </w:t>
      </w:r>
      <w:r w:rsidR="00AB306D">
        <w:t>‘</w:t>
      </w:r>
      <w:r w:rsidRPr="000E5AB6">
        <w:t>to consider the pattern of tertiary education in relation to the needs and resources of Australia and to make recommendations to the Australian Universities Commission on the future development of tertiary education</w:t>
      </w:r>
      <w:r w:rsidR="00AB306D">
        <w:t>’</w:t>
      </w:r>
      <w:r>
        <w:t xml:space="preserve"> (</w:t>
      </w:r>
      <w:r w:rsidR="001D4D66">
        <w:t xml:space="preserve">Committee on the Future of Tertiary Education in Australia </w:t>
      </w:r>
      <w:r w:rsidR="00897F97">
        <w:t>1964</w:t>
      </w:r>
      <w:r w:rsidR="00204F8D">
        <w:t>—65</w:t>
      </w:r>
      <w:r w:rsidR="00897F97">
        <w:t xml:space="preserve">, </w:t>
      </w:r>
      <w:r w:rsidR="001D4D66">
        <w:t>vol.I, p.</w:t>
      </w:r>
      <w:r w:rsidR="00897F97">
        <w:t>i)</w:t>
      </w:r>
      <w:r w:rsidRPr="000E5AB6">
        <w:t xml:space="preserve">. </w:t>
      </w:r>
    </w:p>
    <w:p w:rsidR="00D03C3E" w:rsidRDefault="00051FA6" w:rsidP="00ED09E1">
      <w:pPr>
        <w:pStyle w:val="Text"/>
        <w:ind w:right="-143"/>
      </w:pPr>
      <w:r>
        <w:t>The</w:t>
      </w:r>
      <w:r w:rsidR="006E0440">
        <w:t xml:space="preserve"> word </w:t>
      </w:r>
      <w:r w:rsidR="00AB306D">
        <w:t>‘</w:t>
      </w:r>
      <w:r w:rsidR="006E0440">
        <w:t>tertiary</w:t>
      </w:r>
      <w:r w:rsidR="00AB306D">
        <w:t>’</w:t>
      </w:r>
      <w:r w:rsidR="006E0440">
        <w:t xml:space="preserve"> </w:t>
      </w:r>
      <w:r>
        <w:t>has imprecise usage in Australia</w:t>
      </w:r>
      <w:r w:rsidR="00D03C3E">
        <w:t>:</w:t>
      </w:r>
      <w:r>
        <w:t xml:space="preserve"> sometimes it is used interchangeably with </w:t>
      </w:r>
      <w:r w:rsidR="00AB306D">
        <w:t>‘</w:t>
      </w:r>
      <w:r>
        <w:t>higher</w:t>
      </w:r>
      <w:r w:rsidR="00AB306D">
        <w:t>’</w:t>
      </w:r>
      <w:r>
        <w:t xml:space="preserve"> education; at other times, it refers to all non-school qualifications. UNESCO</w:t>
      </w:r>
      <w:r w:rsidR="00AB306D">
        <w:t>’</w:t>
      </w:r>
      <w:r>
        <w:t xml:space="preserve">s </w:t>
      </w:r>
      <w:r w:rsidR="004B7680">
        <w:t xml:space="preserve">2011 </w:t>
      </w:r>
      <w:r w:rsidR="00D03C3E">
        <w:t xml:space="preserve">International Standard Classification of </w:t>
      </w:r>
      <w:r w:rsidR="00D03C3E" w:rsidRPr="000465B1">
        <w:rPr>
          <w:szCs w:val="19"/>
        </w:rPr>
        <w:t>Education (IS</w:t>
      </w:r>
      <w:r w:rsidR="004B7680">
        <w:rPr>
          <w:szCs w:val="19"/>
        </w:rPr>
        <w:t>CED</w:t>
      </w:r>
      <w:r w:rsidR="004E300B" w:rsidRPr="000465B1">
        <w:rPr>
          <w:szCs w:val="19"/>
        </w:rPr>
        <w:t>)</w:t>
      </w:r>
      <w:r w:rsidR="00D03C3E" w:rsidRPr="000465B1">
        <w:rPr>
          <w:szCs w:val="19"/>
        </w:rPr>
        <w:t xml:space="preserve"> </w:t>
      </w:r>
      <w:r w:rsidRPr="000465B1">
        <w:rPr>
          <w:szCs w:val="19"/>
        </w:rPr>
        <w:t>distinguishes between post-secondary</w:t>
      </w:r>
      <w:r w:rsidR="00D03C3E" w:rsidRPr="000465B1">
        <w:rPr>
          <w:szCs w:val="19"/>
        </w:rPr>
        <w:t xml:space="preserve"> non-tertiary education up to level 4, with level 5 being the first stage of </w:t>
      </w:r>
      <w:r w:rsidR="00747862">
        <w:rPr>
          <w:szCs w:val="19"/>
        </w:rPr>
        <w:t xml:space="preserve">four tiers of </w:t>
      </w:r>
      <w:r w:rsidR="00D03C3E" w:rsidRPr="000465B1">
        <w:rPr>
          <w:szCs w:val="19"/>
        </w:rPr>
        <w:t>tertiary education</w:t>
      </w:r>
      <w:r w:rsidR="004E300B" w:rsidRPr="000465B1">
        <w:rPr>
          <w:szCs w:val="19"/>
        </w:rPr>
        <w:t>.</w:t>
      </w:r>
      <w:r w:rsidR="004B7680">
        <w:rPr>
          <w:szCs w:val="19"/>
        </w:rPr>
        <w:t xml:space="preserve"> This definition sees tertiary education building</w:t>
      </w:r>
      <w:r w:rsidR="004B7680" w:rsidRPr="004B7680">
        <w:rPr>
          <w:szCs w:val="19"/>
        </w:rPr>
        <w:t xml:space="preserve"> on secondary education, in </w:t>
      </w:r>
      <w:r w:rsidR="004B7680">
        <w:rPr>
          <w:szCs w:val="19"/>
        </w:rPr>
        <w:t xml:space="preserve">more </w:t>
      </w:r>
      <w:r w:rsidR="004B7680" w:rsidRPr="004B7680">
        <w:rPr>
          <w:szCs w:val="19"/>
        </w:rPr>
        <w:t>specialised fields.</w:t>
      </w:r>
      <w:r w:rsidR="004B7680">
        <w:rPr>
          <w:szCs w:val="19"/>
        </w:rPr>
        <w:t xml:space="preserve"> The l</w:t>
      </w:r>
      <w:r w:rsidR="004B7680" w:rsidRPr="004B7680">
        <w:rPr>
          <w:szCs w:val="19"/>
        </w:rPr>
        <w:t xml:space="preserve">earning </w:t>
      </w:r>
      <w:r w:rsidR="004B7680">
        <w:rPr>
          <w:szCs w:val="19"/>
        </w:rPr>
        <w:t xml:space="preserve">is </w:t>
      </w:r>
      <w:r w:rsidR="004B7680" w:rsidRPr="004B7680">
        <w:rPr>
          <w:szCs w:val="19"/>
        </w:rPr>
        <w:t>at a high level of complexity</w:t>
      </w:r>
      <w:r w:rsidR="004B7680">
        <w:rPr>
          <w:szCs w:val="19"/>
        </w:rPr>
        <w:t xml:space="preserve"> and includes </w:t>
      </w:r>
      <w:r w:rsidR="004B7680" w:rsidRPr="004B7680">
        <w:rPr>
          <w:szCs w:val="19"/>
        </w:rPr>
        <w:t>academic as well as advanced</w:t>
      </w:r>
      <w:r w:rsidR="004B7680">
        <w:rPr>
          <w:szCs w:val="19"/>
        </w:rPr>
        <w:t xml:space="preserve"> </w:t>
      </w:r>
      <w:r w:rsidR="004B7680" w:rsidRPr="004B7680">
        <w:rPr>
          <w:szCs w:val="19"/>
        </w:rPr>
        <w:t>vocational or professional education</w:t>
      </w:r>
      <w:r w:rsidR="004B7680">
        <w:rPr>
          <w:szCs w:val="19"/>
        </w:rPr>
        <w:t>.</w:t>
      </w:r>
      <w:r w:rsidR="00747862">
        <w:rPr>
          <w:szCs w:val="19"/>
        </w:rPr>
        <w:t xml:space="preserve"> </w:t>
      </w:r>
      <w:r w:rsidR="001D4D66">
        <w:rPr>
          <w:szCs w:val="19"/>
        </w:rPr>
        <w:t>Short-</w:t>
      </w:r>
      <w:r w:rsidR="004B7680" w:rsidRPr="004B7680">
        <w:rPr>
          <w:szCs w:val="19"/>
        </w:rPr>
        <w:t>cycle tertiary education</w:t>
      </w:r>
      <w:r w:rsidR="00073E8F">
        <w:rPr>
          <w:szCs w:val="19"/>
        </w:rPr>
        <w:t xml:space="preserve"> (level 5</w:t>
      </w:r>
      <w:r w:rsidR="00747862">
        <w:rPr>
          <w:szCs w:val="19"/>
        </w:rPr>
        <w:t>) is a minimum of two</w:t>
      </w:r>
      <w:r w:rsidR="004B7680" w:rsidRPr="004B7680">
        <w:rPr>
          <w:szCs w:val="19"/>
        </w:rPr>
        <w:t xml:space="preserve"> years full-time equivalent duration</w:t>
      </w:r>
      <w:r w:rsidR="00747862">
        <w:rPr>
          <w:szCs w:val="19"/>
        </w:rPr>
        <w:t xml:space="preserve"> and </w:t>
      </w:r>
      <w:r w:rsidR="001D4D66">
        <w:rPr>
          <w:szCs w:val="19"/>
        </w:rPr>
        <w:t xml:space="preserve">is </w:t>
      </w:r>
      <w:r w:rsidR="004B7680" w:rsidRPr="004B7680">
        <w:rPr>
          <w:szCs w:val="19"/>
        </w:rPr>
        <w:t>designed to provide participants with</w:t>
      </w:r>
      <w:r w:rsidR="00747862">
        <w:rPr>
          <w:szCs w:val="19"/>
        </w:rPr>
        <w:t xml:space="preserve"> </w:t>
      </w:r>
      <w:r w:rsidR="007A3B3B">
        <w:rPr>
          <w:szCs w:val="19"/>
        </w:rPr>
        <w:t xml:space="preserve">the </w:t>
      </w:r>
      <w:r w:rsidR="004B7680" w:rsidRPr="004B7680">
        <w:rPr>
          <w:szCs w:val="19"/>
        </w:rPr>
        <w:t>professional knowledge, skills and competencies</w:t>
      </w:r>
      <w:r w:rsidR="00747862">
        <w:rPr>
          <w:szCs w:val="19"/>
        </w:rPr>
        <w:t xml:space="preserve"> </w:t>
      </w:r>
      <w:r w:rsidR="0029734C">
        <w:rPr>
          <w:szCs w:val="19"/>
        </w:rPr>
        <w:t>necessary for their entry to</w:t>
      </w:r>
      <w:r w:rsidR="004B7680" w:rsidRPr="004B7680">
        <w:rPr>
          <w:szCs w:val="19"/>
        </w:rPr>
        <w:t xml:space="preserve"> the labour</w:t>
      </w:r>
      <w:r w:rsidR="00747862">
        <w:rPr>
          <w:szCs w:val="19"/>
        </w:rPr>
        <w:t xml:space="preserve"> </w:t>
      </w:r>
      <w:r w:rsidR="004B7680" w:rsidRPr="004B7680">
        <w:rPr>
          <w:szCs w:val="19"/>
        </w:rPr>
        <w:t>market</w:t>
      </w:r>
      <w:r w:rsidR="00747862">
        <w:rPr>
          <w:szCs w:val="19"/>
        </w:rPr>
        <w:t xml:space="preserve"> or </w:t>
      </w:r>
      <w:r w:rsidR="004B7680" w:rsidRPr="004B7680">
        <w:rPr>
          <w:szCs w:val="19"/>
        </w:rPr>
        <w:t>path</w:t>
      </w:r>
      <w:r w:rsidR="00747862">
        <w:rPr>
          <w:szCs w:val="19"/>
        </w:rPr>
        <w:t>ways to higher learning at bachelor</w:t>
      </w:r>
      <w:r w:rsidR="00AB306D">
        <w:rPr>
          <w:szCs w:val="19"/>
        </w:rPr>
        <w:t>’</w:t>
      </w:r>
      <w:r w:rsidR="00747862">
        <w:rPr>
          <w:szCs w:val="19"/>
        </w:rPr>
        <w:t xml:space="preserve">s level (ISCED 7) and beyond. </w:t>
      </w:r>
      <w:r w:rsidR="00747862">
        <w:t>The ISCED classification</w:t>
      </w:r>
      <w:r w:rsidR="004E300B">
        <w:t xml:space="preserve"> mirrors the binary system of </w:t>
      </w:r>
      <w:r w:rsidR="00041210">
        <w:t xml:space="preserve">universities </w:t>
      </w:r>
      <w:r w:rsidR="004E300B">
        <w:t xml:space="preserve">and colleges of advanced education. </w:t>
      </w:r>
      <w:r w:rsidR="00041210">
        <w:t>Unless otherwise mentioned, this essay employs this definition</w:t>
      </w:r>
      <w:r w:rsidR="00196A58">
        <w:t xml:space="preserve">. </w:t>
      </w:r>
    </w:p>
    <w:p w:rsidR="00AB4E18" w:rsidRDefault="00AB4E18" w:rsidP="00A34A04">
      <w:pPr>
        <w:pStyle w:val="Text"/>
      </w:pPr>
      <w:r>
        <w:t xml:space="preserve">Leslie Martin, a physicist by training, and from 1959 the first chair of the Australian Universities Commission, </w:t>
      </w:r>
      <w:r w:rsidR="00195DE2">
        <w:t>led</w:t>
      </w:r>
      <w:r>
        <w:t xml:space="preserve"> </w:t>
      </w:r>
      <w:r w:rsidR="007A3B3B">
        <w:t>the c</w:t>
      </w:r>
      <w:r>
        <w:t xml:space="preserve">ommittee. </w:t>
      </w:r>
      <w:r w:rsidR="00897F97">
        <w:t>In 1972</w:t>
      </w:r>
      <w:r w:rsidR="00195DE2">
        <w:t xml:space="preserve"> h</w:t>
      </w:r>
      <w:r>
        <w:t xml:space="preserve">e </w:t>
      </w:r>
      <w:r w:rsidR="00C10D89">
        <w:t xml:space="preserve">recalled his </w:t>
      </w:r>
      <w:r>
        <w:t xml:space="preserve">task: </w:t>
      </w:r>
    </w:p>
    <w:p w:rsidR="00A34A04" w:rsidRDefault="00A34A04" w:rsidP="007D36B5">
      <w:pPr>
        <w:pStyle w:val="Quote"/>
      </w:pPr>
      <w:r>
        <w:t>uni</w:t>
      </w:r>
      <w:r w:rsidR="00AB4E18">
        <w:t>versities</w:t>
      </w:r>
      <w:r>
        <w:t xml:space="preserve"> had to be provide</w:t>
      </w:r>
      <w:r w:rsidR="00AB4E18">
        <w:t>d</w:t>
      </w:r>
      <w:r>
        <w:t xml:space="preserve"> with</w:t>
      </w:r>
      <w:r w:rsidR="00AB4E18">
        <w:t xml:space="preserve"> the</w:t>
      </w:r>
      <w:r>
        <w:t xml:space="preserve"> means to deal with rapidly increasing numbers and with the world being enriched each year with new technical </w:t>
      </w:r>
      <w:r w:rsidR="00AB4E18">
        <w:t>and technological developments</w:t>
      </w:r>
      <w:r w:rsidR="00195DE2">
        <w:t xml:space="preserve"> </w:t>
      </w:r>
      <w:r w:rsidR="00AB4E18">
        <w:t>…</w:t>
      </w:r>
      <w:r w:rsidR="007A3B3B">
        <w:t xml:space="preserve"> </w:t>
      </w:r>
      <w:r>
        <w:t>youngsters had to be trained, at least a certain proportion of them, perhaps half of them, had to be trained in technologies and this kind of training is very expen</w:t>
      </w:r>
      <w:r w:rsidR="00AB4E18">
        <w:t>sive, so money had to be found</w:t>
      </w:r>
      <w:r w:rsidR="007A3B3B">
        <w:t>.</w:t>
      </w:r>
      <w:r w:rsidR="00ED09E1">
        <w:br/>
      </w:r>
      <w:r w:rsidR="007A3B3B">
        <w:tab/>
      </w:r>
      <w:r w:rsidR="005B5730">
        <w:t>(de Berg</w:t>
      </w:r>
      <w:r w:rsidR="00041210">
        <w:t xml:space="preserve"> 1972</w:t>
      </w:r>
      <w:r w:rsidR="005B5730">
        <w:t>)</w:t>
      </w:r>
    </w:p>
    <w:p w:rsidR="00897F97" w:rsidRDefault="00C10D89" w:rsidP="0085297E">
      <w:pPr>
        <w:pStyle w:val="Text"/>
      </w:pPr>
      <w:r>
        <w:t>A</w:t>
      </w:r>
      <w:r w:rsidR="00AB4E18">
        <w:t xml:space="preserve"> great deal of money was found. Menzies </w:t>
      </w:r>
      <w:r w:rsidR="00120B70">
        <w:t>(1970</w:t>
      </w:r>
      <w:r w:rsidR="009F76EF">
        <w:t>,</w:t>
      </w:r>
      <w:r w:rsidR="00120B70">
        <w:t xml:space="preserve"> p.84) </w:t>
      </w:r>
      <w:r w:rsidR="00AB4E18">
        <w:t xml:space="preserve">knew </w:t>
      </w:r>
      <w:r w:rsidR="00AB306D">
        <w:t>‘</w:t>
      </w:r>
      <w:r w:rsidR="00AB4E18">
        <w:t>his university enterprise [which started with the Murray inquiry into universities</w:t>
      </w:r>
      <w:r w:rsidR="00AB306D">
        <w:t>’</w:t>
      </w:r>
      <w:r w:rsidR="00AB4E18">
        <w:t xml:space="preserve"> roles and their funding] could not fail</w:t>
      </w:r>
      <w:r w:rsidR="007A3B3B">
        <w:t xml:space="preserve"> </w:t>
      </w:r>
      <w:r w:rsidR="00AB4E18">
        <w:t>…</w:t>
      </w:r>
      <w:r w:rsidR="007A3B3B">
        <w:t xml:space="preserve"> </w:t>
      </w:r>
      <w:r w:rsidR="00AB4E18">
        <w:t>to be vastly expensive</w:t>
      </w:r>
      <w:r w:rsidR="00AB306D">
        <w:t>’</w:t>
      </w:r>
      <w:r w:rsidR="00195DE2">
        <w:t>.</w:t>
      </w:r>
      <w:r w:rsidR="00AB4E18">
        <w:t xml:space="preserve"> By the time he resigned as </w:t>
      </w:r>
      <w:r w:rsidR="007A3B3B">
        <w:t xml:space="preserve">prime minister </w:t>
      </w:r>
      <w:r w:rsidR="00AB4E18">
        <w:t xml:space="preserve">in 1966, </w:t>
      </w:r>
      <w:r w:rsidR="00AB306D">
        <w:t>‘</w:t>
      </w:r>
      <w:r w:rsidR="00AB4E18">
        <w:t xml:space="preserve">Commonwealth provision for </w:t>
      </w:r>
      <w:r w:rsidR="00AB4E18">
        <w:lastRenderedPageBreak/>
        <w:t>university education, historically novel in 1950</w:t>
      </w:r>
      <w:r w:rsidR="007A3B3B">
        <w:t xml:space="preserve"> </w:t>
      </w:r>
      <w:r w:rsidR="00AB4E18">
        <w:t>…</w:t>
      </w:r>
      <w:r w:rsidR="007A3B3B">
        <w:t xml:space="preserve"> </w:t>
      </w:r>
      <w:r w:rsidR="00AB4E18">
        <w:t>had amounted …</w:t>
      </w:r>
      <w:r w:rsidR="007A3B3B">
        <w:t xml:space="preserve"> </w:t>
      </w:r>
      <w:r w:rsidR="00AB4E18">
        <w:t>t</w:t>
      </w:r>
      <w:r w:rsidR="007A3B3B">
        <w:t>o a grand total of roughly $270 000 </w:t>
      </w:r>
      <w:r w:rsidR="00AB4E18">
        <w:t>000</w:t>
      </w:r>
      <w:r w:rsidR="00AB306D">
        <w:t>’</w:t>
      </w:r>
      <w:r w:rsidR="009F76EF">
        <w:t xml:space="preserve"> </w:t>
      </w:r>
      <w:r w:rsidR="00897F97">
        <w:t>(</w:t>
      </w:r>
      <w:r w:rsidR="009F76EF">
        <w:t xml:space="preserve">Menzies 1970, </w:t>
      </w:r>
      <w:r w:rsidR="00897F97">
        <w:t>p</w:t>
      </w:r>
      <w:r w:rsidR="007A3B3B">
        <w:t>.</w:t>
      </w:r>
      <w:r w:rsidR="00897F97">
        <w:t>9</w:t>
      </w:r>
      <w:r w:rsidR="00AB4E18">
        <w:t>1</w:t>
      </w:r>
      <w:r w:rsidR="00897F97">
        <w:t>).</w:t>
      </w:r>
      <w:r w:rsidR="00195DE2">
        <w:t xml:space="preserve"> Of this he was greatly proud. </w:t>
      </w:r>
    </w:p>
    <w:p w:rsidR="00DD073F" w:rsidRDefault="00E6435D" w:rsidP="0085297E">
      <w:pPr>
        <w:pStyle w:val="Text"/>
      </w:pPr>
      <w:r>
        <w:t xml:space="preserve">This essay is </w:t>
      </w:r>
      <w:r w:rsidR="007A3B3B">
        <w:t xml:space="preserve">a </w:t>
      </w:r>
      <w:r w:rsidR="00073E8F">
        <w:t>re</w:t>
      </w:r>
      <w:r>
        <w:t xml:space="preserve">reading of the Martin </w:t>
      </w:r>
      <w:r w:rsidR="00073E8F">
        <w:t>R</w:t>
      </w:r>
      <w:r>
        <w:t xml:space="preserve">eport and an examination of its </w:t>
      </w:r>
      <w:r w:rsidR="005107B1">
        <w:t xml:space="preserve">implementation. Its aim is to tease out </w:t>
      </w:r>
      <w:r w:rsidR="007A3B3B">
        <w:t xml:space="preserve">the </w:t>
      </w:r>
      <w:r w:rsidR="005107B1">
        <w:t>enduring issues affecting the structure of mass tertiary education and thereby inform contemporary policy development</w:t>
      </w:r>
      <w:r w:rsidR="00FA2D33">
        <w:t xml:space="preserve"> and stimulate fresh thinking</w:t>
      </w:r>
      <w:r w:rsidR="005107B1">
        <w:t xml:space="preserve">. </w:t>
      </w:r>
      <w:r w:rsidR="00DD073F" w:rsidRPr="00DD073F">
        <w:t xml:space="preserve"> </w:t>
      </w:r>
    </w:p>
    <w:p w:rsidR="000A1D99" w:rsidRDefault="00E777D4" w:rsidP="008D5E46">
      <w:pPr>
        <w:pStyle w:val="Heading2"/>
      </w:pPr>
      <w:bookmarkStart w:id="31" w:name="_Toc393293025"/>
      <w:r w:rsidRPr="00193B81">
        <w:t xml:space="preserve">The Martin </w:t>
      </w:r>
      <w:r w:rsidR="00073E8F">
        <w:t>R</w:t>
      </w:r>
      <w:r w:rsidRPr="00193B81">
        <w:t>eport</w:t>
      </w:r>
      <w:bookmarkEnd w:id="31"/>
      <w:r w:rsidR="008C02D4" w:rsidRPr="00193B81">
        <w:t xml:space="preserve"> </w:t>
      </w:r>
    </w:p>
    <w:p w:rsidR="00AF5463" w:rsidRDefault="008C02D4" w:rsidP="00960756">
      <w:pPr>
        <w:pStyle w:val="Text"/>
        <w:rPr>
          <w:lang w:val="en-US"/>
        </w:rPr>
      </w:pPr>
      <w:r>
        <w:rPr>
          <w:lang w:val="en-US"/>
        </w:rPr>
        <w:t xml:space="preserve">The </w:t>
      </w:r>
      <w:r w:rsidR="0040647C">
        <w:rPr>
          <w:lang w:val="en-US"/>
        </w:rPr>
        <w:t xml:space="preserve">members of the </w:t>
      </w:r>
      <w:r>
        <w:rPr>
          <w:lang w:val="en-US"/>
        </w:rPr>
        <w:t>Committee on the Future of Tertiary Education</w:t>
      </w:r>
      <w:r w:rsidR="00AF5463">
        <w:rPr>
          <w:lang w:val="en-US"/>
        </w:rPr>
        <w:t xml:space="preserve"> in Australia</w:t>
      </w:r>
      <w:r w:rsidR="00C476A7">
        <w:rPr>
          <w:rStyle w:val="FootnoteReference"/>
          <w:lang w:val="en-US"/>
        </w:rPr>
        <w:footnoteReference w:id="2"/>
      </w:r>
      <w:r w:rsidR="00AF5463">
        <w:rPr>
          <w:lang w:val="en-US"/>
        </w:rPr>
        <w:t xml:space="preserve"> were in</w:t>
      </w:r>
      <w:r w:rsidR="007A3B3B">
        <w:rPr>
          <w:lang w:val="en-US"/>
        </w:rPr>
        <w:t>itially chosen by the c</w:t>
      </w:r>
      <w:r w:rsidR="00693348">
        <w:rPr>
          <w:lang w:val="en-US"/>
        </w:rPr>
        <w:t xml:space="preserve">hairman </w:t>
      </w:r>
      <w:r w:rsidR="00AF5463">
        <w:rPr>
          <w:lang w:val="en-US"/>
        </w:rPr>
        <w:t>but</w:t>
      </w:r>
      <w:r w:rsidR="00693348">
        <w:rPr>
          <w:lang w:val="en-US"/>
        </w:rPr>
        <w:t>, as Davies has detai</w:t>
      </w:r>
      <w:r w:rsidR="007A3B3B">
        <w:rPr>
          <w:lang w:val="en-US"/>
        </w:rPr>
        <w:t>led (1989, pp.35—</w:t>
      </w:r>
      <w:r w:rsidR="00693348">
        <w:rPr>
          <w:lang w:val="en-US"/>
        </w:rPr>
        <w:t>7),</w:t>
      </w:r>
      <w:r w:rsidR="00AF5463">
        <w:rPr>
          <w:lang w:val="en-US"/>
        </w:rPr>
        <w:t xml:space="preserve"> </w:t>
      </w:r>
      <w:r w:rsidR="007A3B3B">
        <w:rPr>
          <w:lang w:val="en-US"/>
        </w:rPr>
        <w:t>the committee was</w:t>
      </w:r>
      <w:r w:rsidR="00AF5463">
        <w:rPr>
          <w:lang w:val="en-US"/>
        </w:rPr>
        <w:t xml:space="preserve"> </w:t>
      </w:r>
      <w:r w:rsidR="001F0442">
        <w:rPr>
          <w:lang w:val="en-US"/>
        </w:rPr>
        <w:t xml:space="preserve">later </w:t>
      </w:r>
      <w:r w:rsidR="00AF5463">
        <w:rPr>
          <w:lang w:val="en-US"/>
        </w:rPr>
        <w:t xml:space="preserve">supplemented with men representing industry </w:t>
      </w:r>
      <w:r w:rsidR="00693348">
        <w:rPr>
          <w:lang w:val="en-US"/>
        </w:rPr>
        <w:t>(agricultu</w:t>
      </w:r>
      <w:r w:rsidR="00C476A7">
        <w:rPr>
          <w:lang w:val="en-US"/>
        </w:rPr>
        <w:t>re,</w:t>
      </w:r>
      <w:r w:rsidR="00693348">
        <w:rPr>
          <w:lang w:val="en-US"/>
        </w:rPr>
        <w:t xml:space="preserve"> mining</w:t>
      </w:r>
      <w:r w:rsidR="00C476A7">
        <w:rPr>
          <w:lang w:val="en-US"/>
        </w:rPr>
        <w:t xml:space="preserve"> and chemicals</w:t>
      </w:r>
      <w:r w:rsidR="00693348">
        <w:rPr>
          <w:lang w:val="en-US"/>
        </w:rPr>
        <w:t>)</w:t>
      </w:r>
      <w:r w:rsidR="000465B1">
        <w:rPr>
          <w:lang w:val="en-US"/>
        </w:rPr>
        <w:t>. Th</w:t>
      </w:r>
      <w:r w:rsidR="00AF5463">
        <w:rPr>
          <w:lang w:val="en-US"/>
        </w:rPr>
        <w:t>en, at the insistence of the Prime Minister</w:t>
      </w:r>
      <w:r w:rsidR="00AB306D">
        <w:rPr>
          <w:lang w:val="en-US"/>
        </w:rPr>
        <w:t>’</w:t>
      </w:r>
      <w:r w:rsidR="00AF5463">
        <w:rPr>
          <w:lang w:val="en-US"/>
        </w:rPr>
        <w:t xml:space="preserve">s Department, </w:t>
      </w:r>
      <w:r w:rsidR="007B100A">
        <w:rPr>
          <w:lang w:val="en-US"/>
        </w:rPr>
        <w:t xml:space="preserve">two </w:t>
      </w:r>
      <w:r w:rsidR="00AF5463">
        <w:rPr>
          <w:lang w:val="en-US"/>
        </w:rPr>
        <w:t xml:space="preserve">representatives of technical </w:t>
      </w:r>
      <w:r w:rsidR="003978E4">
        <w:rPr>
          <w:lang w:val="en-US"/>
        </w:rPr>
        <w:t xml:space="preserve">and secondary </w:t>
      </w:r>
      <w:r w:rsidR="00AF5463">
        <w:rPr>
          <w:lang w:val="en-US"/>
        </w:rPr>
        <w:t>education</w:t>
      </w:r>
      <w:r w:rsidR="003978E4">
        <w:rPr>
          <w:lang w:val="en-US"/>
        </w:rPr>
        <w:t xml:space="preserve">, Ronald Mackay from the Royal Melbourne Institute of Technology (who died in 1963 and was not replaced) </w:t>
      </w:r>
      <w:r w:rsidR="00C476A7">
        <w:rPr>
          <w:lang w:val="en-US"/>
        </w:rPr>
        <w:t xml:space="preserve">and </w:t>
      </w:r>
      <w:r w:rsidR="003978E4">
        <w:rPr>
          <w:lang w:val="en-US"/>
        </w:rPr>
        <w:t xml:space="preserve">Harold Wyndham, Director General of Education in </w:t>
      </w:r>
      <w:r w:rsidR="00C476A7">
        <w:rPr>
          <w:lang w:val="en-US"/>
        </w:rPr>
        <w:t>New South Wales</w:t>
      </w:r>
      <w:r w:rsidR="007B100A">
        <w:rPr>
          <w:lang w:val="en-US"/>
        </w:rPr>
        <w:t>,</w:t>
      </w:r>
      <w:r w:rsidR="003978E4">
        <w:rPr>
          <w:lang w:val="en-US"/>
        </w:rPr>
        <w:t xml:space="preserve"> respectively</w:t>
      </w:r>
      <w:r w:rsidR="007B100A">
        <w:rPr>
          <w:lang w:val="en-US"/>
        </w:rPr>
        <w:t>, were appointed</w:t>
      </w:r>
      <w:r w:rsidR="00AF5463">
        <w:rPr>
          <w:lang w:val="en-US"/>
        </w:rPr>
        <w:t>. Professor Karmel was a last-minute appointment, invited because of hi</w:t>
      </w:r>
      <w:r w:rsidR="00073E8F">
        <w:rPr>
          <w:lang w:val="en-US"/>
        </w:rPr>
        <w:t>s economic and statistical expertise</w:t>
      </w:r>
      <w:r w:rsidR="00AF5463">
        <w:rPr>
          <w:lang w:val="en-US"/>
        </w:rPr>
        <w:t xml:space="preserve">. </w:t>
      </w:r>
    </w:p>
    <w:p w:rsidR="009B0CEC" w:rsidRDefault="007B100A" w:rsidP="00AF5463">
      <w:pPr>
        <w:pStyle w:val="Text"/>
        <w:rPr>
          <w:lang w:val="en-US"/>
        </w:rPr>
      </w:pPr>
      <w:r>
        <w:rPr>
          <w:lang w:val="en-US"/>
        </w:rPr>
        <w:t>The committee</w:t>
      </w:r>
      <w:r w:rsidR="0040647C">
        <w:rPr>
          <w:lang w:val="en-US"/>
        </w:rPr>
        <w:t xml:space="preserve"> produced a comprehensive study of </w:t>
      </w:r>
      <w:r w:rsidR="00073E8F">
        <w:rPr>
          <w:lang w:val="en-US"/>
        </w:rPr>
        <w:t>the</w:t>
      </w:r>
      <w:r w:rsidR="0040647C">
        <w:rPr>
          <w:lang w:val="en-US"/>
        </w:rPr>
        <w:t xml:space="preserve"> tertiary provision</w:t>
      </w:r>
      <w:r w:rsidR="00073E8F">
        <w:rPr>
          <w:lang w:val="en-US"/>
        </w:rPr>
        <w:t xml:space="preserve"> of the day,</w:t>
      </w:r>
      <w:r w:rsidR="0040647C">
        <w:rPr>
          <w:lang w:val="en-US"/>
        </w:rPr>
        <w:t xml:space="preserve"> amounting to 592 pages</w:t>
      </w:r>
      <w:r w:rsidR="003A171E">
        <w:rPr>
          <w:lang w:val="en-US"/>
        </w:rPr>
        <w:t xml:space="preserve"> (excluding the 500 submissions received)</w:t>
      </w:r>
      <w:r w:rsidR="0040647C">
        <w:rPr>
          <w:lang w:val="en-US"/>
        </w:rPr>
        <w:t>. The first t</w:t>
      </w:r>
      <w:r w:rsidR="00AF5463">
        <w:rPr>
          <w:lang w:val="en-US"/>
        </w:rPr>
        <w:t xml:space="preserve">wo volumes </w:t>
      </w:r>
      <w:r w:rsidR="005F76BD">
        <w:rPr>
          <w:lang w:val="en-US"/>
        </w:rPr>
        <w:t xml:space="preserve">were handed to the </w:t>
      </w:r>
      <w:r>
        <w:rPr>
          <w:lang w:val="en-US"/>
        </w:rPr>
        <w:t xml:space="preserve">federal </w:t>
      </w:r>
      <w:r w:rsidR="009F76EF">
        <w:rPr>
          <w:lang w:val="en-US"/>
        </w:rPr>
        <w:t>g</w:t>
      </w:r>
      <w:r>
        <w:rPr>
          <w:lang w:val="en-US"/>
        </w:rPr>
        <w:t>overnment in August—</w:t>
      </w:r>
      <w:r w:rsidR="00AF5463">
        <w:rPr>
          <w:lang w:val="en-US"/>
        </w:rPr>
        <w:t xml:space="preserve">September 1964; the final </w:t>
      </w:r>
      <w:r w:rsidR="009F76EF">
        <w:rPr>
          <w:lang w:val="en-US"/>
        </w:rPr>
        <w:t xml:space="preserve">one not until August 1965. </w:t>
      </w:r>
      <w:r w:rsidR="009B0CEC" w:rsidRPr="009B0CEC">
        <w:rPr>
          <w:lang w:val="en-US"/>
        </w:rPr>
        <w:t>Th</w:t>
      </w:r>
      <w:r>
        <w:rPr>
          <w:lang w:val="en-US"/>
        </w:rPr>
        <w:t xml:space="preserve">e Martin </w:t>
      </w:r>
      <w:r w:rsidR="00073E8F">
        <w:rPr>
          <w:lang w:val="en-US"/>
        </w:rPr>
        <w:t>R</w:t>
      </w:r>
      <w:r>
        <w:rPr>
          <w:lang w:val="en-US"/>
        </w:rPr>
        <w:t>eport was aptly named, since t</w:t>
      </w:r>
      <w:r w:rsidR="009B0CEC" w:rsidRPr="009B0CEC">
        <w:rPr>
          <w:lang w:val="en-US"/>
        </w:rPr>
        <w:t>he chairman had a strong influence over its formulation. Nevertheless, like many such documents</w:t>
      </w:r>
      <w:r w:rsidR="001F0442">
        <w:rPr>
          <w:lang w:val="en-US"/>
        </w:rPr>
        <w:t xml:space="preserve"> it was the work of a committee</w:t>
      </w:r>
      <w:r w:rsidR="00073E8F">
        <w:rPr>
          <w:lang w:val="en-US"/>
        </w:rPr>
        <w:t>,</w:t>
      </w:r>
      <w:r w:rsidR="009B0CEC" w:rsidRPr="009B0CEC">
        <w:rPr>
          <w:lang w:val="en-US"/>
        </w:rPr>
        <w:t xml:space="preserve"> wh</w:t>
      </w:r>
      <w:r w:rsidR="000465B1">
        <w:rPr>
          <w:lang w:val="en-US"/>
        </w:rPr>
        <w:t>ose members</w:t>
      </w:r>
      <w:r w:rsidR="009B0CEC" w:rsidRPr="009B0CEC">
        <w:rPr>
          <w:lang w:val="en-US"/>
        </w:rPr>
        <w:t xml:space="preserve"> were not always in complete agreement. Moreover</w:t>
      </w:r>
      <w:r>
        <w:rPr>
          <w:lang w:val="en-US"/>
        </w:rPr>
        <w:t>,</w:t>
      </w:r>
      <w:r w:rsidR="009B0CEC" w:rsidRPr="009B0CEC">
        <w:rPr>
          <w:lang w:val="en-US"/>
        </w:rPr>
        <w:t xml:space="preserve"> it was produced over several yea</w:t>
      </w:r>
      <w:r>
        <w:rPr>
          <w:lang w:val="en-US"/>
        </w:rPr>
        <w:t>rs, which</w:t>
      </w:r>
      <w:r w:rsidR="009B0CEC" w:rsidRPr="009B0CEC">
        <w:rPr>
          <w:lang w:val="en-US"/>
        </w:rPr>
        <w:t xml:space="preserve"> led to inconsistencies in the report and imprecision in the ensuing policy.</w:t>
      </w:r>
    </w:p>
    <w:p w:rsidR="00AF5463" w:rsidRPr="00960756" w:rsidRDefault="009F76EF" w:rsidP="00AF5463">
      <w:pPr>
        <w:pStyle w:val="Text"/>
        <w:rPr>
          <w:lang w:val="en-US"/>
        </w:rPr>
      </w:pPr>
      <w:r>
        <w:rPr>
          <w:lang w:val="en-US"/>
        </w:rPr>
        <w:t>The g</w:t>
      </w:r>
      <w:r w:rsidR="00AF5463">
        <w:rPr>
          <w:lang w:val="en-US"/>
        </w:rPr>
        <w:t>overnment responded to the committee</w:t>
      </w:r>
      <w:r w:rsidR="00AB306D">
        <w:rPr>
          <w:lang w:val="en-US"/>
        </w:rPr>
        <w:t>’</w:t>
      </w:r>
      <w:r w:rsidR="00543D45">
        <w:rPr>
          <w:lang w:val="en-US"/>
        </w:rPr>
        <w:t>s recommendation</w:t>
      </w:r>
      <w:r w:rsidR="00AF5463">
        <w:rPr>
          <w:lang w:val="en-US"/>
        </w:rPr>
        <w:t xml:space="preserve">s on </w:t>
      </w:r>
      <w:r w:rsidR="0089579A">
        <w:rPr>
          <w:lang w:val="en-US"/>
        </w:rPr>
        <w:t>24 March 1965</w:t>
      </w:r>
      <w:r w:rsidR="0040647C">
        <w:rPr>
          <w:lang w:val="en-US"/>
        </w:rPr>
        <w:t>,</w:t>
      </w:r>
      <w:r w:rsidR="0089579A">
        <w:rPr>
          <w:lang w:val="en-US"/>
        </w:rPr>
        <w:t xml:space="preserve"> with simultaneous speeches by</w:t>
      </w:r>
      <w:r w:rsidR="00AF5463">
        <w:rPr>
          <w:lang w:val="en-US"/>
        </w:rPr>
        <w:t xml:space="preserve"> Prime</w:t>
      </w:r>
      <w:r w:rsidR="0089579A">
        <w:rPr>
          <w:lang w:val="en-US"/>
        </w:rPr>
        <w:t xml:space="preserve"> Minister Menzies in the House of Representatives and </w:t>
      </w:r>
      <w:r w:rsidR="00AF5463">
        <w:rPr>
          <w:lang w:val="en-US"/>
        </w:rPr>
        <w:t xml:space="preserve">Senator Gorton, </w:t>
      </w:r>
      <w:r w:rsidR="00AF5463" w:rsidRPr="00AF5463">
        <w:rPr>
          <w:lang w:val="en-US"/>
        </w:rPr>
        <w:t>Minister for Works and Minister-in-Charge of Commonwealth Activities in Education and Research</w:t>
      </w:r>
      <w:r w:rsidR="00AF5463">
        <w:rPr>
          <w:lang w:val="en-US"/>
        </w:rPr>
        <w:t xml:space="preserve"> (who prepared the response) in the Senate. As Gorton explained:</w:t>
      </w:r>
    </w:p>
    <w:p w:rsidR="00960756" w:rsidRPr="00960756" w:rsidRDefault="00960756" w:rsidP="00543D45">
      <w:pPr>
        <w:pStyle w:val="Quote"/>
        <w:rPr>
          <w:lang w:val="en-US"/>
        </w:rPr>
      </w:pPr>
      <w:r w:rsidRPr="00960756">
        <w:rPr>
          <w:lang w:val="en-US"/>
        </w:rPr>
        <w:t>Volume I sets out the Committee</w:t>
      </w:r>
      <w:r w:rsidR="00AB306D">
        <w:rPr>
          <w:lang w:val="en-US"/>
        </w:rPr>
        <w:t>’</w:t>
      </w:r>
      <w:r w:rsidRPr="00960756">
        <w:rPr>
          <w:lang w:val="en-US"/>
        </w:rPr>
        <w:t xml:space="preserve">s central argument and its proposals for the future pattern of Australian </w:t>
      </w:r>
      <w:bookmarkStart w:id="32" w:name="HIT9"/>
      <w:bookmarkEnd w:id="32"/>
      <w:r w:rsidRPr="00AF5463">
        <w:rPr>
          <w:lang w:val="en-US"/>
        </w:rPr>
        <w:t>tertiary</w:t>
      </w:r>
      <w:bookmarkStart w:id="33" w:name="HIT10"/>
      <w:bookmarkEnd w:id="33"/>
      <w:r w:rsidR="00AF5463">
        <w:rPr>
          <w:lang w:val="en-US"/>
        </w:rPr>
        <w:t xml:space="preserve"> </w:t>
      </w:r>
      <w:r w:rsidRPr="00AF5463">
        <w:rPr>
          <w:lang w:val="en-US"/>
        </w:rPr>
        <w:t>education</w:t>
      </w:r>
      <w:r w:rsidRPr="00960756">
        <w:rPr>
          <w:lang w:val="en-US"/>
        </w:rPr>
        <w:t xml:space="preserve">. Volume II begins a survey of academic disciplines, particularly those with an important professional content. Volume III, which is not yet available, will conclude this survey and deal with certain other aspects of </w:t>
      </w:r>
      <w:bookmarkStart w:id="34" w:name="HIT11"/>
      <w:bookmarkEnd w:id="34"/>
      <w:r w:rsidRPr="00543D45">
        <w:rPr>
          <w:bCs/>
          <w:lang w:val="en-US"/>
        </w:rPr>
        <w:t>tertiary</w:t>
      </w:r>
      <w:hyperlink r:id="rId17" w:anchor="HIT12" w:history="1"/>
      <w:bookmarkStart w:id="35" w:name="HIT12"/>
      <w:bookmarkEnd w:id="35"/>
      <w:r w:rsidR="00543D45">
        <w:t xml:space="preserve"> </w:t>
      </w:r>
      <w:r w:rsidRPr="00543D45">
        <w:rPr>
          <w:bCs/>
          <w:lang w:val="en-US"/>
        </w:rPr>
        <w:t>education</w:t>
      </w:r>
      <w:r w:rsidRPr="00960756">
        <w:rPr>
          <w:lang w:val="en-US"/>
        </w:rPr>
        <w:t xml:space="preserve"> but, we are assured, will not affect the recommendations contained in the first two volumes</w:t>
      </w:r>
      <w:r w:rsidR="009F482F">
        <w:rPr>
          <w:lang w:val="en-US"/>
        </w:rPr>
        <w:t>.</w:t>
      </w:r>
      <w:r w:rsidR="00ED09E1">
        <w:rPr>
          <w:lang w:val="en-US"/>
        </w:rPr>
        <w:br/>
      </w:r>
      <w:r w:rsidR="009F482F">
        <w:rPr>
          <w:lang w:val="en-US"/>
        </w:rPr>
        <w:tab/>
      </w:r>
      <w:r w:rsidR="00193B81">
        <w:rPr>
          <w:lang w:val="en-US"/>
        </w:rPr>
        <w:t>(</w:t>
      </w:r>
      <w:r w:rsidR="00995A13">
        <w:rPr>
          <w:lang w:val="en-US"/>
        </w:rPr>
        <w:t xml:space="preserve">Australia. Senate, </w:t>
      </w:r>
      <w:r w:rsidR="00995A13" w:rsidRPr="00995A13">
        <w:rPr>
          <w:i/>
          <w:lang w:val="en-US"/>
        </w:rPr>
        <w:t>Debates</w:t>
      </w:r>
      <w:r w:rsidR="00FC7B3B">
        <w:rPr>
          <w:lang w:val="en-US"/>
        </w:rPr>
        <w:t>,</w:t>
      </w:r>
      <w:r w:rsidR="00995A13">
        <w:rPr>
          <w:lang w:val="en-US"/>
        </w:rPr>
        <w:t xml:space="preserve"> 24 March</w:t>
      </w:r>
      <w:r w:rsidR="00FC7B3B">
        <w:rPr>
          <w:lang w:val="en-US"/>
        </w:rPr>
        <w:t xml:space="preserve"> 1965</w:t>
      </w:r>
      <w:r w:rsidR="00B16FEC">
        <w:rPr>
          <w:lang w:val="en-US"/>
        </w:rPr>
        <w:t>)</w:t>
      </w:r>
      <w:r w:rsidRPr="00960756">
        <w:rPr>
          <w:lang w:val="en-US"/>
        </w:rPr>
        <w:t xml:space="preserve"> </w:t>
      </w:r>
    </w:p>
    <w:p w:rsidR="008817EB" w:rsidRDefault="0040647C" w:rsidP="008C02D4">
      <w:pPr>
        <w:pStyle w:val="Text"/>
        <w:rPr>
          <w:lang w:val="en-US"/>
        </w:rPr>
      </w:pPr>
      <w:r>
        <w:rPr>
          <w:lang w:val="en-US"/>
        </w:rPr>
        <w:t>The</w:t>
      </w:r>
      <w:r w:rsidR="008817EB">
        <w:rPr>
          <w:lang w:val="en-US"/>
        </w:rPr>
        <w:t xml:space="preserve"> response, in both hou</w:t>
      </w:r>
      <w:r w:rsidR="00995A13">
        <w:rPr>
          <w:lang w:val="en-US"/>
        </w:rPr>
        <w:t>ses, started with an acknowledg</w:t>
      </w:r>
      <w:r w:rsidR="008817EB">
        <w:rPr>
          <w:lang w:val="en-US"/>
        </w:rPr>
        <w:t xml:space="preserve">ment </w:t>
      </w:r>
      <w:r w:rsidR="001F0442">
        <w:rPr>
          <w:lang w:val="en-US"/>
        </w:rPr>
        <w:t>of states</w:t>
      </w:r>
      <w:r w:rsidR="00AB306D">
        <w:rPr>
          <w:lang w:val="en-US"/>
        </w:rPr>
        <w:t>’</w:t>
      </w:r>
      <w:r w:rsidR="001F0442">
        <w:rPr>
          <w:lang w:val="en-US"/>
        </w:rPr>
        <w:t xml:space="preserve"> r</w:t>
      </w:r>
      <w:r w:rsidR="00995A13">
        <w:rPr>
          <w:lang w:val="en-US"/>
        </w:rPr>
        <w:t>ights</w:t>
      </w:r>
      <w:r w:rsidR="008817EB">
        <w:rPr>
          <w:lang w:val="en-US"/>
        </w:rPr>
        <w:t xml:space="preserve">. Federalism, then as now, influenced the structure of tertiary education. </w:t>
      </w:r>
      <w:r w:rsidR="001F0442">
        <w:rPr>
          <w:lang w:val="en-US"/>
        </w:rPr>
        <w:t>At the time</w:t>
      </w:r>
      <w:r w:rsidR="008817EB">
        <w:rPr>
          <w:lang w:val="en-US"/>
        </w:rPr>
        <w:t>, while the Commonwealth was prepared to increase its role as a funding body, it drew the line at entering the</w:t>
      </w:r>
      <w:r w:rsidR="008817EB" w:rsidRPr="008817EB">
        <w:rPr>
          <w:lang w:val="en-US"/>
        </w:rPr>
        <w:t xml:space="preserve"> field of teacher training</w:t>
      </w:r>
      <w:r w:rsidR="008817EB">
        <w:rPr>
          <w:lang w:val="en-US"/>
        </w:rPr>
        <w:t>, thus rejecting the recommendation to introduce a new tier of autonomous teachers colleges</w:t>
      </w:r>
      <w:r w:rsidR="00995A13">
        <w:rPr>
          <w:lang w:val="en-US"/>
        </w:rPr>
        <w:t>.</w:t>
      </w:r>
      <w:r w:rsidR="00262F6A">
        <w:rPr>
          <w:rStyle w:val="FootnoteReference"/>
          <w:lang w:val="en-US"/>
        </w:rPr>
        <w:footnoteReference w:id="3"/>
      </w:r>
      <w:r w:rsidR="008817EB">
        <w:rPr>
          <w:lang w:val="en-US"/>
        </w:rPr>
        <w:t xml:space="preserve"> Instead it focused, in Gorton</w:t>
      </w:r>
      <w:r w:rsidR="00AB306D">
        <w:rPr>
          <w:lang w:val="en-US"/>
        </w:rPr>
        <w:t>’</w:t>
      </w:r>
      <w:r w:rsidR="008817EB">
        <w:rPr>
          <w:lang w:val="en-US"/>
        </w:rPr>
        <w:t>s words</w:t>
      </w:r>
      <w:r w:rsidR="005F76BD">
        <w:rPr>
          <w:lang w:val="en-US"/>
        </w:rPr>
        <w:t>,</w:t>
      </w:r>
      <w:r w:rsidR="008817EB">
        <w:rPr>
          <w:lang w:val="en-US"/>
        </w:rPr>
        <w:t xml:space="preserve"> on</w:t>
      </w:r>
      <w:r w:rsidR="005F76BD">
        <w:rPr>
          <w:lang w:val="en-US"/>
        </w:rPr>
        <w:t>:</w:t>
      </w:r>
    </w:p>
    <w:p w:rsidR="00DB315D" w:rsidRDefault="008C02D4" w:rsidP="00576342">
      <w:pPr>
        <w:pStyle w:val="Quote"/>
        <w:rPr>
          <w:lang w:val="en-US"/>
        </w:rPr>
      </w:pPr>
      <w:r w:rsidRPr="008C02D4">
        <w:rPr>
          <w:lang w:val="en-US"/>
        </w:rPr>
        <w:t xml:space="preserve">the new concept which is the heart of this report. It is that Australia, during the next decade, should develop </w:t>
      </w:r>
      <w:r w:rsidRPr="00C17975">
        <w:rPr>
          <w:lang w:val="en-US"/>
        </w:rPr>
        <w:t>advanced education</w:t>
      </w:r>
      <w:r w:rsidRPr="008C02D4">
        <w:rPr>
          <w:lang w:val="en-US"/>
        </w:rPr>
        <w:t xml:space="preserve"> in virtually new types of colleges. </w:t>
      </w:r>
      <w:r w:rsidR="00ED09E1">
        <w:rPr>
          <w:lang w:val="en-US"/>
        </w:rPr>
        <w:br/>
      </w:r>
      <w:r w:rsidR="0057524F">
        <w:rPr>
          <w:lang w:val="en-US"/>
        </w:rPr>
        <w:tab/>
      </w:r>
      <w:r w:rsidR="0057524F" w:rsidRPr="0057524F">
        <w:rPr>
          <w:lang w:val="en-US"/>
        </w:rPr>
        <w:t xml:space="preserve">(Australia. Senate, </w:t>
      </w:r>
      <w:r w:rsidR="0057524F" w:rsidRPr="00083479">
        <w:rPr>
          <w:i/>
          <w:lang w:val="en-US"/>
        </w:rPr>
        <w:t>Debates</w:t>
      </w:r>
      <w:r w:rsidR="0057524F" w:rsidRPr="0057524F">
        <w:rPr>
          <w:lang w:val="en-US"/>
        </w:rPr>
        <w:t>, 24 March 1965)</w:t>
      </w:r>
    </w:p>
    <w:p w:rsidR="00C239C9" w:rsidRDefault="00995A13" w:rsidP="00DB315D">
      <w:pPr>
        <w:pStyle w:val="Text"/>
        <w:rPr>
          <w:lang w:val="en-US"/>
        </w:rPr>
      </w:pPr>
      <w:r>
        <w:rPr>
          <w:lang w:val="en-US"/>
        </w:rPr>
        <w:lastRenderedPageBreak/>
        <w:t xml:space="preserve">Ken </w:t>
      </w:r>
      <w:r w:rsidR="00C239C9">
        <w:rPr>
          <w:lang w:val="en-US"/>
        </w:rPr>
        <w:t>Jones</w:t>
      </w:r>
      <w:r w:rsidR="0080440B">
        <w:rPr>
          <w:lang w:val="en-US"/>
        </w:rPr>
        <w:t>, the senior public servant who worked with Gorton on the policy and subsequently became head of the Department of Education, adds</w:t>
      </w:r>
      <w:r w:rsidR="00C239C9">
        <w:rPr>
          <w:lang w:val="en-US"/>
        </w:rPr>
        <w:t xml:space="preserve"> (</w:t>
      </w:r>
      <w:r>
        <w:rPr>
          <w:lang w:val="en-US"/>
        </w:rPr>
        <w:t xml:space="preserve">Henderson </w:t>
      </w:r>
      <w:r w:rsidR="00C239C9">
        <w:rPr>
          <w:lang w:val="en-US"/>
        </w:rPr>
        <w:t xml:space="preserve">1985) that the Commonwealth did not want to get involved with the </w:t>
      </w:r>
      <w:r w:rsidR="00C239C9" w:rsidRPr="003978E4">
        <w:rPr>
          <w:lang w:val="en-US"/>
        </w:rPr>
        <w:t>Teachers</w:t>
      </w:r>
      <w:r w:rsidR="00AB306D">
        <w:rPr>
          <w:lang w:val="en-US"/>
        </w:rPr>
        <w:t>’</w:t>
      </w:r>
      <w:r w:rsidR="00C239C9" w:rsidRPr="003978E4">
        <w:rPr>
          <w:lang w:val="en-US"/>
        </w:rPr>
        <w:t xml:space="preserve"> Federation</w:t>
      </w:r>
      <w:r w:rsidR="00C239C9">
        <w:rPr>
          <w:lang w:val="en-US"/>
        </w:rPr>
        <w:t>.</w:t>
      </w:r>
    </w:p>
    <w:p w:rsidR="008C02D4" w:rsidRPr="008C02D4" w:rsidRDefault="00C17975" w:rsidP="00DB315D">
      <w:pPr>
        <w:pStyle w:val="Text"/>
        <w:rPr>
          <w:lang w:val="en-US"/>
        </w:rPr>
      </w:pPr>
      <w:r w:rsidRPr="00C17975">
        <w:rPr>
          <w:lang w:val="en-US"/>
        </w:rPr>
        <w:t>What was on offer w</w:t>
      </w:r>
      <w:r>
        <w:rPr>
          <w:lang w:val="en-US"/>
        </w:rPr>
        <w:t xml:space="preserve">as </w:t>
      </w:r>
      <w:r w:rsidR="00AB306D">
        <w:rPr>
          <w:lang w:val="en-US"/>
        </w:rPr>
        <w:t>‘</w:t>
      </w:r>
      <w:r>
        <w:rPr>
          <w:lang w:val="en-US"/>
        </w:rPr>
        <w:t>tertiary</w:t>
      </w:r>
      <w:r w:rsidR="00AB306D">
        <w:rPr>
          <w:lang w:val="en-US"/>
        </w:rPr>
        <w:t>’</w:t>
      </w:r>
      <w:r>
        <w:rPr>
          <w:lang w:val="en-US"/>
        </w:rPr>
        <w:t xml:space="preserve"> education that still required </w:t>
      </w:r>
      <w:r w:rsidR="00DB315D">
        <w:rPr>
          <w:lang w:val="en-US"/>
        </w:rPr>
        <w:t>matriculat</w:t>
      </w:r>
      <w:r>
        <w:rPr>
          <w:lang w:val="en-US"/>
        </w:rPr>
        <w:t>ion f</w:t>
      </w:r>
      <w:r w:rsidR="00DB315D">
        <w:rPr>
          <w:lang w:val="en-US"/>
        </w:rPr>
        <w:t xml:space="preserve">rom school, but </w:t>
      </w:r>
      <w:r w:rsidR="009F482F">
        <w:rPr>
          <w:lang w:val="en-US"/>
        </w:rPr>
        <w:t xml:space="preserve">which </w:t>
      </w:r>
      <w:r>
        <w:rPr>
          <w:lang w:val="en-US"/>
        </w:rPr>
        <w:t>allowed those at the lower end of the scale</w:t>
      </w:r>
      <w:r w:rsidR="00DB315D">
        <w:rPr>
          <w:lang w:val="en-US"/>
        </w:rPr>
        <w:t xml:space="preserve"> the chance to become qualified beyond the level offered by existing technical college</w:t>
      </w:r>
      <w:r w:rsidR="00451F2F">
        <w:rPr>
          <w:lang w:val="en-US"/>
        </w:rPr>
        <w:t xml:space="preserve">s. Gorton </w:t>
      </w:r>
      <w:r w:rsidR="009F76EF">
        <w:rPr>
          <w:lang w:val="en-US"/>
        </w:rPr>
        <w:t>told</w:t>
      </w:r>
      <w:r w:rsidR="00451F2F">
        <w:rPr>
          <w:lang w:val="en-US"/>
        </w:rPr>
        <w:t xml:space="preserve"> the Senate:</w:t>
      </w:r>
    </w:p>
    <w:p w:rsidR="0080440B" w:rsidRDefault="008C02D4" w:rsidP="00ED09E1">
      <w:pPr>
        <w:pStyle w:val="Quote"/>
        <w:rPr>
          <w:lang w:val="en-US"/>
        </w:rPr>
      </w:pPr>
      <w:r w:rsidRPr="008C02D4">
        <w:rPr>
          <w:lang w:val="en-US"/>
        </w:rPr>
        <w:t>what is envisaged is not merely a bigger and better college for teaching technical subjects, for the suggestion is that technology should be only one of the education fields in which these colleges shoul</w:t>
      </w:r>
      <w:r w:rsidR="00C17975">
        <w:rPr>
          <w:lang w:val="en-US"/>
        </w:rPr>
        <w:t>d provide advanced instruction</w:t>
      </w:r>
      <w:r w:rsidR="009F482F">
        <w:rPr>
          <w:lang w:val="en-US"/>
        </w:rPr>
        <w:t xml:space="preserve"> </w:t>
      </w:r>
      <w:r w:rsidR="00C17975">
        <w:rPr>
          <w:lang w:val="en-US"/>
        </w:rPr>
        <w:t>…</w:t>
      </w:r>
      <w:r w:rsidR="001F0442">
        <w:rPr>
          <w:lang w:val="en-US"/>
        </w:rPr>
        <w:t xml:space="preserve"> </w:t>
      </w:r>
      <w:r w:rsidRPr="008C02D4">
        <w:rPr>
          <w:lang w:val="en-US"/>
        </w:rPr>
        <w:t xml:space="preserve">There should be a common core of studies at tertiary level aimed at providing </w:t>
      </w:r>
      <w:r w:rsidR="00C17975">
        <w:rPr>
          <w:lang w:val="en-US"/>
        </w:rPr>
        <w:t>…</w:t>
      </w:r>
      <w:r w:rsidR="009F482F">
        <w:rPr>
          <w:lang w:val="en-US"/>
        </w:rPr>
        <w:t xml:space="preserve"> </w:t>
      </w:r>
      <w:r w:rsidR="00AB306D">
        <w:rPr>
          <w:lang w:val="en-US"/>
        </w:rPr>
        <w:t>‘</w:t>
      </w:r>
      <w:r w:rsidRPr="008C02D4">
        <w:rPr>
          <w:lang w:val="en-US"/>
        </w:rPr>
        <w:t>breadth in education</w:t>
      </w:r>
      <w:r w:rsidR="00AB306D">
        <w:rPr>
          <w:lang w:val="en-US"/>
        </w:rPr>
        <w:t>’</w:t>
      </w:r>
      <w:r w:rsidR="00C17975">
        <w:rPr>
          <w:lang w:val="en-US"/>
        </w:rPr>
        <w:t xml:space="preserve"> </w:t>
      </w:r>
      <w:r w:rsidR="0040647C">
        <w:rPr>
          <w:lang w:val="en-US"/>
        </w:rPr>
        <w:t xml:space="preserve">and the development of </w:t>
      </w:r>
      <w:r w:rsidR="00AB306D">
        <w:rPr>
          <w:lang w:val="en-US"/>
        </w:rPr>
        <w:t>‘</w:t>
      </w:r>
      <w:r w:rsidRPr="008C02D4">
        <w:rPr>
          <w:lang w:val="en-US"/>
        </w:rPr>
        <w:t>critical ima</w:t>
      </w:r>
      <w:r w:rsidR="0040647C">
        <w:rPr>
          <w:lang w:val="en-US"/>
        </w:rPr>
        <w:t>gination and creative abilities</w:t>
      </w:r>
      <w:r w:rsidR="00AB306D">
        <w:rPr>
          <w:lang w:val="en-US"/>
        </w:rPr>
        <w:t>’</w:t>
      </w:r>
      <w:r w:rsidRPr="008C02D4">
        <w:rPr>
          <w:lang w:val="en-US"/>
        </w:rPr>
        <w:t xml:space="preserve">. Students engaged in such common studies would major in </w:t>
      </w:r>
      <w:r w:rsidR="00A86C0D">
        <w:rPr>
          <w:lang w:val="en-US"/>
        </w:rPr>
        <w:t>…</w:t>
      </w:r>
      <w:r w:rsidRPr="008C02D4">
        <w:rPr>
          <w:lang w:val="en-US"/>
        </w:rPr>
        <w:t xml:space="preserve"> courses </w:t>
      </w:r>
      <w:r w:rsidR="00A86C0D">
        <w:rPr>
          <w:lang w:val="en-US"/>
        </w:rPr>
        <w:t>…</w:t>
      </w:r>
      <w:r w:rsidRPr="008C02D4">
        <w:rPr>
          <w:lang w:val="en-US"/>
        </w:rPr>
        <w:t xml:space="preserve"> to fit them for particular careers after they had gained their diplomas</w:t>
      </w:r>
      <w:r w:rsidR="002A5B00">
        <w:rPr>
          <w:lang w:val="en-US"/>
        </w:rPr>
        <w:t xml:space="preserve"> </w:t>
      </w:r>
      <w:r w:rsidR="0089579A">
        <w:rPr>
          <w:lang w:val="en-US"/>
        </w:rPr>
        <w:t>…</w:t>
      </w:r>
      <w:r w:rsidR="00374DCE">
        <w:rPr>
          <w:lang w:val="en-US"/>
        </w:rPr>
        <w:br/>
      </w:r>
      <w:r w:rsidR="00374DCE">
        <w:rPr>
          <w:lang w:val="en-US"/>
        </w:rPr>
        <w:tab/>
      </w:r>
      <w:r w:rsidR="0080440B">
        <w:rPr>
          <w:lang w:val="en-US"/>
        </w:rPr>
        <w:t xml:space="preserve">(Australia. Senate, </w:t>
      </w:r>
      <w:r w:rsidR="0080440B" w:rsidRPr="00995A13">
        <w:rPr>
          <w:i/>
          <w:lang w:val="en-US"/>
        </w:rPr>
        <w:t>Debates</w:t>
      </w:r>
      <w:r w:rsidR="0080440B">
        <w:rPr>
          <w:lang w:val="en-US"/>
        </w:rPr>
        <w:t>, 24 March 1965)</w:t>
      </w:r>
    </w:p>
    <w:p w:rsidR="00E6536D" w:rsidRDefault="009F76EF" w:rsidP="00374DCE">
      <w:pPr>
        <w:pStyle w:val="Text"/>
        <w:rPr>
          <w:lang w:val="en-US"/>
        </w:rPr>
      </w:pPr>
      <w:r>
        <w:rPr>
          <w:lang w:val="en-US"/>
        </w:rPr>
        <w:t>The g</w:t>
      </w:r>
      <w:r w:rsidR="00C17975" w:rsidRPr="00C17975">
        <w:rPr>
          <w:lang w:val="en-US"/>
        </w:rPr>
        <w:t xml:space="preserve">overnment made clear that </w:t>
      </w:r>
      <w:r w:rsidR="008C02D4" w:rsidRPr="00C17975">
        <w:rPr>
          <w:lang w:val="en-US"/>
        </w:rPr>
        <w:t xml:space="preserve">Commonwealth financial support for these colleges </w:t>
      </w:r>
      <w:r w:rsidR="00C17975" w:rsidRPr="00C17975">
        <w:rPr>
          <w:lang w:val="en-US"/>
        </w:rPr>
        <w:t>w</w:t>
      </w:r>
      <w:r w:rsidR="00A86C0D">
        <w:rPr>
          <w:lang w:val="en-US"/>
        </w:rPr>
        <w:t>as for</w:t>
      </w:r>
      <w:r w:rsidR="00C17975" w:rsidRPr="00C17975">
        <w:rPr>
          <w:lang w:val="en-US"/>
        </w:rPr>
        <w:t xml:space="preserve"> </w:t>
      </w:r>
      <w:r w:rsidR="008C02D4" w:rsidRPr="00C17975">
        <w:rPr>
          <w:lang w:val="en-US"/>
        </w:rPr>
        <w:t xml:space="preserve">capital and recurrent expenses for </w:t>
      </w:r>
      <w:r w:rsidR="00C17975" w:rsidRPr="00C17975">
        <w:rPr>
          <w:lang w:val="en-US"/>
        </w:rPr>
        <w:t>advanced courses leading t</w:t>
      </w:r>
      <w:r w:rsidR="008C02D4" w:rsidRPr="00C17975">
        <w:rPr>
          <w:lang w:val="en-US"/>
        </w:rPr>
        <w:t>o</w:t>
      </w:r>
      <w:r w:rsidR="00C17975" w:rsidRPr="00C17975">
        <w:rPr>
          <w:lang w:val="en-US"/>
        </w:rPr>
        <w:t xml:space="preserve"> diploma, a qualification that in 1965 equipped people for many</w:t>
      </w:r>
      <w:r w:rsidR="009F482F">
        <w:rPr>
          <w:lang w:val="en-US"/>
        </w:rPr>
        <w:t xml:space="preserve"> professional as well as para</w:t>
      </w:r>
      <w:r w:rsidR="00C17975" w:rsidRPr="00C17975">
        <w:rPr>
          <w:lang w:val="en-US"/>
        </w:rPr>
        <w:t>professional job</w:t>
      </w:r>
      <w:r w:rsidR="009F482F">
        <w:rPr>
          <w:lang w:val="en-US"/>
        </w:rPr>
        <w:t>s</w:t>
      </w:r>
      <w:r w:rsidR="00A86C0D">
        <w:rPr>
          <w:lang w:val="en-US"/>
        </w:rPr>
        <w:t xml:space="preserve"> in field</w:t>
      </w:r>
      <w:r>
        <w:rPr>
          <w:lang w:val="en-US"/>
        </w:rPr>
        <w:t>s</w:t>
      </w:r>
      <w:r w:rsidR="00A86C0D">
        <w:rPr>
          <w:lang w:val="en-US"/>
        </w:rPr>
        <w:t xml:space="preserve"> such as nursing and accountancy</w:t>
      </w:r>
      <w:r w:rsidR="00C17975" w:rsidRPr="00C17975">
        <w:rPr>
          <w:lang w:val="en-US"/>
        </w:rPr>
        <w:t>.</w:t>
      </w:r>
      <w:r w:rsidR="00C17975">
        <w:rPr>
          <w:lang w:val="en-US"/>
        </w:rPr>
        <w:t xml:space="preserve"> </w:t>
      </w:r>
      <w:r w:rsidR="000465B1">
        <w:rPr>
          <w:lang w:val="en-US"/>
        </w:rPr>
        <w:t>This meant that</w:t>
      </w:r>
      <w:r w:rsidR="009F482F">
        <w:rPr>
          <w:lang w:val="en-US"/>
        </w:rPr>
        <w:t>, while</w:t>
      </w:r>
      <w:r w:rsidR="000465B1">
        <w:rPr>
          <w:lang w:val="en-US"/>
        </w:rPr>
        <w:t xml:space="preserve"> the </w:t>
      </w:r>
      <w:r w:rsidR="00E6536D" w:rsidRPr="00E6536D">
        <w:rPr>
          <w:lang w:val="en-US"/>
        </w:rPr>
        <w:t>bulk of technical education was to be excluded from Commonwealth support</w:t>
      </w:r>
      <w:r w:rsidR="009F482F">
        <w:rPr>
          <w:lang w:val="en-US"/>
        </w:rPr>
        <w:t>,</w:t>
      </w:r>
      <w:r w:rsidR="000465B1">
        <w:rPr>
          <w:lang w:val="en-US"/>
        </w:rPr>
        <w:t xml:space="preserve"> </w:t>
      </w:r>
      <w:r w:rsidR="009F482F">
        <w:rPr>
          <w:lang w:val="en-US"/>
        </w:rPr>
        <w:t>state governments were</w:t>
      </w:r>
      <w:r w:rsidR="000465B1">
        <w:rPr>
          <w:lang w:val="en-US"/>
        </w:rPr>
        <w:t xml:space="preserve"> also </w:t>
      </w:r>
      <w:r w:rsidR="009F482F">
        <w:rPr>
          <w:lang w:val="en-US"/>
        </w:rPr>
        <w:t>unable to object</w:t>
      </w:r>
      <w:r w:rsidR="001F0442">
        <w:rPr>
          <w:lang w:val="en-US"/>
        </w:rPr>
        <w:t xml:space="preserve"> to</w:t>
      </w:r>
      <w:r w:rsidR="000465B1">
        <w:rPr>
          <w:lang w:val="en-US"/>
        </w:rPr>
        <w:t xml:space="preserve"> </w:t>
      </w:r>
      <w:r w:rsidR="001F0442">
        <w:rPr>
          <w:lang w:val="en-US"/>
        </w:rPr>
        <w:t xml:space="preserve">the conditions attached to the support, </w:t>
      </w:r>
      <w:r w:rsidR="000465B1">
        <w:rPr>
          <w:lang w:val="en-US"/>
        </w:rPr>
        <w:t xml:space="preserve">given the substantial federal funding being provided for diplomas. Ryan observes that this transfer weakened the </w:t>
      </w:r>
      <w:r w:rsidR="00E6536D" w:rsidRPr="00E6536D">
        <w:rPr>
          <w:lang w:val="en-US"/>
        </w:rPr>
        <w:t xml:space="preserve">professional identity </w:t>
      </w:r>
      <w:r w:rsidR="000465B1">
        <w:rPr>
          <w:lang w:val="en-US"/>
        </w:rPr>
        <w:t>of the existing</w:t>
      </w:r>
      <w:r w:rsidR="00E6536D" w:rsidRPr="00E6536D">
        <w:rPr>
          <w:lang w:val="en-US"/>
        </w:rPr>
        <w:t xml:space="preserve"> technical colleges</w:t>
      </w:r>
      <w:r w:rsidR="000465B1">
        <w:rPr>
          <w:lang w:val="en-US"/>
        </w:rPr>
        <w:t xml:space="preserve"> and the possibilities </w:t>
      </w:r>
      <w:r w:rsidR="009F482F">
        <w:rPr>
          <w:lang w:val="en-US"/>
        </w:rPr>
        <w:t>for</w:t>
      </w:r>
      <w:r w:rsidR="000465B1">
        <w:rPr>
          <w:lang w:val="en-US"/>
        </w:rPr>
        <w:t xml:space="preserve"> </w:t>
      </w:r>
      <w:r w:rsidR="00E6536D" w:rsidRPr="00E6536D">
        <w:rPr>
          <w:lang w:val="en-US"/>
        </w:rPr>
        <w:t xml:space="preserve">articulation from trade to technician to technologist </w:t>
      </w:r>
      <w:r w:rsidR="009F482F">
        <w:rPr>
          <w:lang w:val="en-US"/>
        </w:rPr>
        <w:t>(Ryan</w:t>
      </w:r>
      <w:r w:rsidR="000465B1">
        <w:rPr>
          <w:lang w:val="en-US"/>
        </w:rPr>
        <w:t xml:space="preserve"> </w:t>
      </w:r>
      <w:r w:rsidR="006A29CC">
        <w:rPr>
          <w:lang w:val="en-US"/>
        </w:rPr>
        <w:t>1999</w:t>
      </w:r>
      <w:r w:rsidR="000465B1">
        <w:rPr>
          <w:lang w:val="en-US"/>
        </w:rPr>
        <w:t xml:space="preserve">). </w:t>
      </w:r>
    </w:p>
    <w:p w:rsidR="008C02D4" w:rsidRPr="00C17975" w:rsidRDefault="00C17975" w:rsidP="00374DCE">
      <w:pPr>
        <w:pStyle w:val="Text"/>
        <w:rPr>
          <w:lang w:val="en-US"/>
        </w:rPr>
      </w:pPr>
      <w:r>
        <w:rPr>
          <w:lang w:val="en-US"/>
        </w:rPr>
        <w:t>Gorton reiterated the Martin committee</w:t>
      </w:r>
      <w:r w:rsidR="00AB306D">
        <w:rPr>
          <w:lang w:val="en-US"/>
        </w:rPr>
        <w:t>’</w:t>
      </w:r>
      <w:r>
        <w:rPr>
          <w:lang w:val="en-US"/>
        </w:rPr>
        <w:t xml:space="preserve">s point that: </w:t>
      </w:r>
    </w:p>
    <w:p w:rsidR="008C02D4" w:rsidRPr="005478AF" w:rsidRDefault="008C02D4" w:rsidP="00576342">
      <w:pPr>
        <w:pStyle w:val="Quote"/>
        <w:rPr>
          <w:lang w:val="en-US"/>
        </w:rPr>
      </w:pPr>
      <w:r w:rsidRPr="005478AF">
        <w:rPr>
          <w:lang w:val="en-US"/>
        </w:rPr>
        <w:t xml:space="preserve">these new type </w:t>
      </w:r>
      <w:r w:rsidR="00065CA4" w:rsidRPr="005478AF">
        <w:rPr>
          <w:lang w:val="en-US"/>
        </w:rPr>
        <w:t xml:space="preserve">of </w:t>
      </w:r>
      <w:r w:rsidR="005478AF" w:rsidRPr="005478AF">
        <w:rPr>
          <w:lang w:val="en-US"/>
        </w:rPr>
        <w:t xml:space="preserve">institutions should </w:t>
      </w:r>
      <w:r w:rsidR="00AB306D">
        <w:rPr>
          <w:lang w:val="en-US"/>
        </w:rPr>
        <w:t>‘</w:t>
      </w:r>
      <w:r w:rsidRPr="005478AF">
        <w:rPr>
          <w:lang w:val="en-US"/>
        </w:rPr>
        <w:t>resist the temptation to copy the educational processes and curricula of universi</w:t>
      </w:r>
      <w:r w:rsidR="00576342" w:rsidRPr="005478AF">
        <w:rPr>
          <w:lang w:val="en-US"/>
        </w:rPr>
        <w:t>t</w:t>
      </w:r>
      <w:r w:rsidR="005478AF" w:rsidRPr="005478AF">
        <w:rPr>
          <w:lang w:val="en-US"/>
        </w:rPr>
        <w:t>ies</w:t>
      </w:r>
      <w:r w:rsidR="00AB306D">
        <w:rPr>
          <w:lang w:val="en-US"/>
        </w:rPr>
        <w:t>’</w:t>
      </w:r>
      <w:r w:rsidRPr="005478AF">
        <w:rPr>
          <w:lang w:val="en-US"/>
        </w:rPr>
        <w:t xml:space="preserve"> and that the responsibilities of these</w:t>
      </w:r>
      <w:r w:rsidR="005478AF" w:rsidRPr="005478AF">
        <w:rPr>
          <w:lang w:val="en-US"/>
        </w:rPr>
        <w:t xml:space="preserve"> colleges to the community are </w:t>
      </w:r>
      <w:r w:rsidR="00AB306D">
        <w:rPr>
          <w:lang w:val="en-US"/>
        </w:rPr>
        <w:t>‘</w:t>
      </w:r>
      <w:r w:rsidR="005478AF" w:rsidRPr="005478AF">
        <w:rPr>
          <w:lang w:val="en-US"/>
        </w:rPr>
        <w:t>of a different kind</w:t>
      </w:r>
      <w:r w:rsidR="00AB306D">
        <w:rPr>
          <w:lang w:val="en-US"/>
        </w:rPr>
        <w:t>’</w:t>
      </w:r>
      <w:r w:rsidR="005478AF" w:rsidRPr="005478AF">
        <w:rPr>
          <w:lang w:val="en-US"/>
        </w:rPr>
        <w:t xml:space="preserve"> </w:t>
      </w:r>
      <w:r w:rsidRPr="005478AF">
        <w:rPr>
          <w:lang w:val="en-US"/>
        </w:rPr>
        <w:t>from those of universities. Our support is founded on acceptance of this principle, and we do not make our support available for the development out of these colleges of new universities</w:t>
      </w:r>
      <w:r w:rsidR="001F0442">
        <w:rPr>
          <w:lang w:val="en-US"/>
        </w:rPr>
        <w:t>.</w:t>
      </w:r>
      <w:r w:rsidRPr="005478AF">
        <w:rPr>
          <w:lang w:val="en-US"/>
        </w:rPr>
        <w:t xml:space="preserve"> </w:t>
      </w:r>
      <w:r w:rsidR="002A5B00">
        <w:rPr>
          <w:lang w:val="en-US"/>
        </w:rPr>
        <w:tab/>
        <w:t>(</w:t>
      </w:r>
      <w:r w:rsidR="00F55E3C" w:rsidRPr="00F55E3C">
        <w:rPr>
          <w:lang w:val="en-US"/>
        </w:rPr>
        <w:t xml:space="preserve">Australia. Senate, </w:t>
      </w:r>
      <w:r w:rsidR="00F55E3C" w:rsidRPr="00186536">
        <w:rPr>
          <w:i/>
          <w:lang w:val="en-US"/>
        </w:rPr>
        <w:t>Debates</w:t>
      </w:r>
      <w:r w:rsidR="00F55E3C" w:rsidRPr="00F55E3C">
        <w:rPr>
          <w:lang w:val="en-US"/>
        </w:rPr>
        <w:t>, 24 March 1965</w:t>
      </w:r>
      <w:r w:rsidR="00F051C9">
        <w:rPr>
          <w:lang w:val="en-US"/>
        </w:rPr>
        <w:t>)</w:t>
      </w:r>
    </w:p>
    <w:p w:rsidR="005F76BD" w:rsidRPr="00374DCE" w:rsidRDefault="00576342" w:rsidP="00374DCE">
      <w:pPr>
        <w:pStyle w:val="Text"/>
      </w:pPr>
      <w:r>
        <w:rPr>
          <w:lang w:val="en-US"/>
        </w:rPr>
        <w:t xml:space="preserve">Thus a binary policy of </w:t>
      </w:r>
      <w:r w:rsidR="00AB306D">
        <w:rPr>
          <w:lang w:val="en-US"/>
        </w:rPr>
        <w:t>‘</w:t>
      </w:r>
      <w:r w:rsidRPr="003978E4">
        <w:rPr>
          <w:lang w:val="en-US"/>
        </w:rPr>
        <w:t>advanced</w:t>
      </w:r>
      <w:r w:rsidR="00AB306D">
        <w:rPr>
          <w:lang w:val="en-US"/>
        </w:rPr>
        <w:t>’</w:t>
      </w:r>
      <w:r w:rsidRPr="003978E4">
        <w:rPr>
          <w:lang w:val="en-US"/>
        </w:rPr>
        <w:t xml:space="preserve"> </w:t>
      </w:r>
      <w:r w:rsidR="0089579A" w:rsidRPr="003978E4">
        <w:rPr>
          <w:lang w:val="en-US"/>
        </w:rPr>
        <w:t>―</w:t>
      </w:r>
      <w:r>
        <w:rPr>
          <w:lang w:val="en-US"/>
        </w:rPr>
        <w:t xml:space="preserve"> Gorton</w:t>
      </w:r>
      <w:r w:rsidR="00AB306D">
        <w:rPr>
          <w:lang w:val="en-US"/>
        </w:rPr>
        <w:t>’</w:t>
      </w:r>
      <w:r>
        <w:rPr>
          <w:lang w:val="en-US"/>
        </w:rPr>
        <w:t>s term</w:t>
      </w:r>
      <w:r w:rsidR="00A47E5A">
        <w:rPr>
          <w:lang w:val="en-US"/>
        </w:rPr>
        <w:t xml:space="preserve"> or that of Ken Jones (</w:t>
      </w:r>
      <w:r w:rsidR="002A5B00">
        <w:rPr>
          <w:lang w:val="en-US"/>
        </w:rPr>
        <w:t>Henderson</w:t>
      </w:r>
      <w:r w:rsidR="00F051C9">
        <w:rPr>
          <w:lang w:val="en-US"/>
        </w:rPr>
        <w:t xml:space="preserve"> </w:t>
      </w:r>
      <w:r w:rsidR="00A406CC">
        <w:rPr>
          <w:lang w:val="en-US"/>
        </w:rPr>
        <w:t>1985</w:t>
      </w:r>
      <w:r w:rsidR="00A47E5A">
        <w:rPr>
          <w:lang w:val="en-US"/>
        </w:rPr>
        <w:t>)</w:t>
      </w:r>
      <w:r>
        <w:rPr>
          <w:lang w:val="en-US"/>
        </w:rPr>
        <w:t xml:space="preserve"> </w:t>
      </w:r>
      <w:r w:rsidR="0089579A">
        <w:rPr>
          <w:lang w:val="en-US"/>
        </w:rPr>
        <w:t xml:space="preserve">― </w:t>
      </w:r>
      <w:r>
        <w:rPr>
          <w:lang w:val="en-US"/>
        </w:rPr>
        <w:t xml:space="preserve">education was launched. </w:t>
      </w:r>
      <w:r w:rsidR="002A5B00">
        <w:rPr>
          <w:lang w:val="en-US"/>
        </w:rPr>
        <w:t>O</w:t>
      </w:r>
      <w:r w:rsidR="005F76BD">
        <w:rPr>
          <w:lang w:val="en-US"/>
        </w:rPr>
        <w:t xml:space="preserve">ther </w:t>
      </w:r>
      <w:r w:rsidR="00A3665D">
        <w:rPr>
          <w:lang w:val="en-US"/>
        </w:rPr>
        <w:t xml:space="preserve">steps </w:t>
      </w:r>
      <w:r w:rsidR="001F0442">
        <w:rPr>
          <w:lang w:val="en-US"/>
        </w:rPr>
        <w:t xml:space="preserve">were </w:t>
      </w:r>
      <w:r w:rsidR="005F76BD">
        <w:rPr>
          <w:lang w:val="en-US"/>
        </w:rPr>
        <w:t>required</w:t>
      </w:r>
      <w:r w:rsidR="009F76EF">
        <w:rPr>
          <w:lang w:val="en-US"/>
        </w:rPr>
        <w:t xml:space="preserve"> </w:t>
      </w:r>
      <w:r w:rsidR="00AB306D">
        <w:rPr>
          <w:lang w:val="en-US"/>
        </w:rPr>
        <w:t>‘</w:t>
      </w:r>
      <w:r w:rsidR="005F76BD" w:rsidRPr="00A86C0D">
        <w:rPr>
          <w:lang w:val="en-US"/>
        </w:rPr>
        <w:t>to marshal all [Australia</w:t>
      </w:r>
      <w:r w:rsidR="00AB306D">
        <w:rPr>
          <w:lang w:val="en-US"/>
        </w:rPr>
        <w:t>’</w:t>
      </w:r>
      <w:r w:rsidR="005F76BD" w:rsidRPr="00A86C0D">
        <w:rPr>
          <w:lang w:val="en-US"/>
        </w:rPr>
        <w:t>s] resources of technological education and to ensure that they are appropriate to</w:t>
      </w:r>
      <w:r w:rsidR="00A86C0D">
        <w:rPr>
          <w:lang w:val="en-US"/>
        </w:rPr>
        <w:t xml:space="preserve"> the needs of the country</w:t>
      </w:r>
      <w:r w:rsidR="00AB306D">
        <w:rPr>
          <w:lang w:val="en-US"/>
        </w:rPr>
        <w:t>’</w:t>
      </w:r>
      <w:r w:rsidR="002A5B00" w:rsidRPr="002A5B00">
        <w:rPr>
          <w:lang w:val="en-US"/>
        </w:rPr>
        <w:t xml:space="preserve"> </w:t>
      </w:r>
      <w:r w:rsidR="001F0442">
        <w:rPr>
          <w:lang w:val="en-US"/>
        </w:rPr>
        <w:t xml:space="preserve">and </w:t>
      </w:r>
      <w:r w:rsidR="002A5B00">
        <w:rPr>
          <w:lang w:val="en-US"/>
        </w:rPr>
        <w:t>were emphasised by the Martin committee, although they were not included in Gorton</w:t>
      </w:r>
      <w:r w:rsidR="00AB306D">
        <w:rPr>
          <w:lang w:val="en-US"/>
        </w:rPr>
        <w:t>’</w:t>
      </w:r>
      <w:r w:rsidR="002A5B00">
        <w:rPr>
          <w:lang w:val="en-US"/>
        </w:rPr>
        <w:t>s speech</w:t>
      </w:r>
      <w:r w:rsidR="005035A0">
        <w:rPr>
          <w:lang w:val="en-US"/>
        </w:rPr>
        <w:t xml:space="preserve"> to the Senate during the reading of the Bill to establish the colleges of advanced education</w:t>
      </w:r>
      <w:r w:rsidR="0017018D" w:rsidRPr="00A86C0D">
        <w:rPr>
          <w:lang w:val="en-US"/>
        </w:rPr>
        <w:t>.</w:t>
      </w:r>
      <w:r w:rsidR="009F76EF">
        <w:rPr>
          <w:lang w:val="en-US"/>
        </w:rPr>
        <w:t xml:space="preserve"> </w:t>
      </w:r>
      <w:r w:rsidR="00A86C0D">
        <w:rPr>
          <w:lang w:val="en-US"/>
        </w:rPr>
        <w:t>The</w:t>
      </w:r>
      <w:r w:rsidR="009F76EF">
        <w:rPr>
          <w:lang w:val="en-US"/>
        </w:rPr>
        <w:t>se</w:t>
      </w:r>
      <w:r w:rsidR="00A86C0D">
        <w:rPr>
          <w:lang w:val="en-US"/>
        </w:rPr>
        <w:t xml:space="preserve"> included providing </w:t>
      </w:r>
      <w:r w:rsidR="005035A0">
        <w:rPr>
          <w:lang w:val="en-US"/>
        </w:rPr>
        <w:t xml:space="preserve">the </w:t>
      </w:r>
      <w:r w:rsidR="00A86C0D">
        <w:rPr>
          <w:lang w:val="en-US"/>
        </w:rPr>
        <w:t>conditions of appointment that would attract</w:t>
      </w:r>
      <w:r w:rsidR="002A5B00">
        <w:rPr>
          <w:lang w:val="en-US"/>
        </w:rPr>
        <w:t xml:space="preserve"> well-</w:t>
      </w:r>
      <w:r w:rsidR="005F76BD" w:rsidRPr="00A86C0D">
        <w:rPr>
          <w:lang w:val="en-US"/>
        </w:rPr>
        <w:t xml:space="preserve">qualified </w:t>
      </w:r>
      <w:r w:rsidR="00A86C0D">
        <w:rPr>
          <w:lang w:val="en-US"/>
        </w:rPr>
        <w:t xml:space="preserve">staff </w:t>
      </w:r>
      <w:r w:rsidR="005F76BD" w:rsidRPr="00A86C0D">
        <w:rPr>
          <w:lang w:val="en-US"/>
        </w:rPr>
        <w:t>to teach at the</w:t>
      </w:r>
      <w:r w:rsidR="0017018D" w:rsidRPr="00A86C0D">
        <w:rPr>
          <w:lang w:val="en-US"/>
        </w:rPr>
        <w:t xml:space="preserve"> </w:t>
      </w:r>
      <w:r w:rsidR="005F76BD" w:rsidRPr="00A86C0D">
        <w:rPr>
          <w:lang w:val="en-US"/>
        </w:rPr>
        <w:t>technological level</w:t>
      </w:r>
      <w:r w:rsidR="0017018D" w:rsidRPr="00A86C0D">
        <w:rPr>
          <w:lang w:val="en-US"/>
        </w:rPr>
        <w:t xml:space="preserve"> (abo</w:t>
      </w:r>
      <w:r w:rsidR="00E83DB4">
        <w:rPr>
          <w:lang w:val="en-US"/>
        </w:rPr>
        <w:t>ve</w:t>
      </w:r>
      <w:r w:rsidR="0017018D" w:rsidRPr="00A86C0D">
        <w:rPr>
          <w:lang w:val="en-US"/>
        </w:rPr>
        <w:t xml:space="preserve"> the trades level); good social amenities</w:t>
      </w:r>
      <w:r w:rsidR="00A86C0D">
        <w:rPr>
          <w:lang w:val="en-US"/>
        </w:rPr>
        <w:t xml:space="preserve"> for students</w:t>
      </w:r>
      <w:r w:rsidR="0017018D" w:rsidRPr="00A86C0D">
        <w:rPr>
          <w:lang w:val="en-US"/>
        </w:rPr>
        <w:t xml:space="preserve">; transfer </w:t>
      </w:r>
      <w:r w:rsidR="005F76BD" w:rsidRPr="00A86C0D">
        <w:rPr>
          <w:lang w:val="en-US"/>
        </w:rPr>
        <w:t>among courses within the colleges, and to and fr</w:t>
      </w:r>
      <w:r w:rsidR="00A86C0D">
        <w:rPr>
          <w:lang w:val="en-US"/>
        </w:rPr>
        <w:t xml:space="preserve">om the universities; established standards to </w:t>
      </w:r>
      <w:r w:rsidR="00AB306D">
        <w:rPr>
          <w:lang w:val="en-US"/>
        </w:rPr>
        <w:t>‘</w:t>
      </w:r>
      <w:r w:rsidR="00A86C0D">
        <w:rPr>
          <w:lang w:val="en-US"/>
        </w:rPr>
        <w:t xml:space="preserve">create </w:t>
      </w:r>
      <w:r w:rsidR="005F76BD" w:rsidRPr="005F76BD">
        <w:rPr>
          <w:lang w:val="en-US"/>
        </w:rPr>
        <w:t>in the technical college system a greater sense of challenge</w:t>
      </w:r>
      <w:r w:rsidR="00AB306D">
        <w:rPr>
          <w:lang w:val="en-US"/>
        </w:rPr>
        <w:t>’</w:t>
      </w:r>
      <w:r w:rsidR="00A86C0D">
        <w:rPr>
          <w:lang w:val="en-US"/>
        </w:rPr>
        <w:t xml:space="preserve"> and an institute of colleges to maintain standards and provide a uniform organisational system </w:t>
      </w:r>
      <w:r w:rsidR="0017018D">
        <w:rPr>
          <w:lang w:val="en-US"/>
        </w:rPr>
        <w:t>(</w:t>
      </w:r>
      <w:r w:rsidR="002A5B00">
        <w:t xml:space="preserve">Committee </w:t>
      </w:r>
      <w:r w:rsidR="002A5B00" w:rsidRPr="00374DCE">
        <w:t>on the Future of Tertiary Education in Australia 1964</w:t>
      </w:r>
      <w:r w:rsidR="00204F8D" w:rsidRPr="00374DCE">
        <w:t>—65</w:t>
      </w:r>
      <w:r w:rsidR="002A5B00" w:rsidRPr="00374DCE">
        <w:t xml:space="preserve">, vol.I, </w:t>
      </w:r>
      <w:r w:rsidR="005035A0" w:rsidRPr="00374DCE">
        <w:t>p.</w:t>
      </w:r>
      <w:r w:rsidR="0017018D" w:rsidRPr="00374DCE">
        <w:t>127)</w:t>
      </w:r>
      <w:r w:rsidR="00A86C0D" w:rsidRPr="00374DCE">
        <w:t>.</w:t>
      </w:r>
    </w:p>
    <w:p w:rsidR="00374DCE" w:rsidRDefault="00374DCE">
      <w:pPr>
        <w:spacing w:before="0" w:line="240" w:lineRule="auto"/>
      </w:pPr>
      <w:r>
        <w:br w:type="page"/>
      </w:r>
    </w:p>
    <w:p w:rsidR="00374DCE" w:rsidRDefault="00065CA4" w:rsidP="00374DCE">
      <w:pPr>
        <w:pStyle w:val="Text"/>
        <w:ind w:right="283"/>
        <w:rPr>
          <w:lang w:val="en-US"/>
        </w:rPr>
      </w:pPr>
      <w:r w:rsidRPr="00374DCE">
        <w:lastRenderedPageBreak/>
        <w:t>The following pages focus on the implementation of this new concept,</w:t>
      </w:r>
      <w:r>
        <w:rPr>
          <w:lang w:val="en-US"/>
        </w:rPr>
        <w:t xml:space="preserve"> which sought to </w:t>
      </w:r>
      <w:r w:rsidR="00A86C0D">
        <w:rPr>
          <w:lang w:val="en-US"/>
        </w:rPr>
        <w:t>meet</w:t>
      </w:r>
      <w:r w:rsidR="0040647C">
        <w:rPr>
          <w:lang w:val="en-US"/>
        </w:rPr>
        <w:t xml:space="preserve"> the increased demand for tertiary education </w:t>
      </w:r>
      <w:r w:rsidR="00EF776C">
        <w:rPr>
          <w:lang w:val="en-US"/>
        </w:rPr>
        <w:t xml:space="preserve">that </w:t>
      </w:r>
      <w:r w:rsidR="0040647C">
        <w:rPr>
          <w:lang w:val="en-US"/>
        </w:rPr>
        <w:t xml:space="preserve">produced graduates ready to </w:t>
      </w:r>
      <w:r w:rsidR="00EF776C">
        <w:rPr>
          <w:lang w:val="en-US"/>
        </w:rPr>
        <w:t xml:space="preserve">tackle </w:t>
      </w:r>
      <w:r w:rsidR="0040647C">
        <w:rPr>
          <w:lang w:val="en-US"/>
        </w:rPr>
        <w:t>the technological challenges of the mid-twentieth centur</w:t>
      </w:r>
      <w:r w:rsidR="003A2951">
        <w:rPr>
          <w:lang w:val="en-US"/>
        </w:rPr>
        <w:t xml:space="preserve">y and </w:t>
      </w:r>
      <w:r w:rsidR="00A3665D">
        <w:rPr>
          <w:lang w:val="en-US"/>
        </w:rPr>
        <w:t xml:space="preserve">who possessed </w:t>
      </w:r>
      <w:r w:rsidR="00174F06">
        <w:rPr>
          <w:lang w:val="en-US"/>
        </w:rPr>
        <w:t xml:space="preserve">well-developed </w:t>
      </w:r>
      <w:r w:rsidR="00174F06" w:rsidRPr="00174F06">
        <w:rPr>
          <w:lang w:val="en-US"/>
        </w:rPr>
        <w:t>critical, ima</w:t>
      </w:r>
      <w:r w:rsidR="00174F06">
        <w:rPr>
          <w:lang w:val="en-US"/>
        </w:rPr>
        <w:t>ginative and creative abilities.</w:t>
      </w:r>
      <w:r w:rsidR="00605624">
        <w:rPr>
          <w:rStyle w:val="FootnoteReference"/>
          <w:lang w:val="en-US"/>
        </w:rPr>
        <w:footnoteReference w:id="4"/>
      </w:r>
      <w:r w:rsidR="00174F06">
        <w:rPr>
          <w:lang w:val="en-US"/>
        </w:rPr>
        <w:t xml:space="preserve"> </w:t>
      </w:r>
    </w:p>
    <w:p w:rsidR="00E777D4" w:rsidRPr="00041BD7" w:rsidRDefault="00E777D4" w:rsidP="00374DCE">
      <w:pPr>
        <w:pStyle w:val="Text"/>
        <w:ind w:right="283"/>
        <w:rPr>
          <w:lang w:val="en-GB"/>
        </w:rPr>
      </w:pPr>
      <w:r w:rsidRPr="008C02D4">
        <w:rPr>
          <w:lang w:val="en-US"/>
        </w:rPr>
        <w:br w:type="page"/>
      </w:r>
    </w:p>
    <w:p w:rsidR="00B24199" w:rsidRDefault="00B24199" w:rsidP="00B24199">
      <w:pPr>
        <w:pStyle w:val="Heading1"/>
      </w:pPr>
      <w:bookmarkStart w:id="36" w:name="_Toc393293026"/>
      <w:r>
        <w:lastRenderedPageBreak/>
        <w:t>Approach</w:t>
      </w:r>
      <w:bookmarkEnd w:id="36"/>
    </w:p>
    <w:p w:rsidR="00195DE2" w:rsidRDefault="00195DE2" w:rsidP="00195DE2">
      <w:pPr>
        <w:pStyle w:val="Text"/>
      </w:pPr>
      <w:r>
        <w:t xml:space="preserve">This </w:t>
      </w:r>
      <w:r w:rsidR="00193B81">
        <w:t xml:space="preserve">paper </w:t>
      </w:r>
      <w:r>
        <w:t xml:space="preserve">looks back at those heady times </w:t>
      </w:r>
      <w:r w:rsidR="00230E21">
        <w:t xml:space="preserve">of </w:t>
      </w:r>
      <w:r>
        <w:t xml:space="preserve">expansion </w:t>
      </w:r>
      <w:r w:rsidR="00230E21">
        <w:t xml:space="preserve">in post-secondary education </w:t>
      </w:r>
      <w:r>
        <w:t xml:space="preserve">and the implementation of </w:t>
      </w:r>
      <w:r w:rsidR="00C27470">
        <w:t xml:space="preserve">the </w:t>
      </w:r>
      <w:r w:rsidR="00445EF3">
        <w:t xml:space="preserve">recommendations of the Committee on the Future of Tertiary Education in Australia </w:t>
      </w:r>
      <w:r w:rsidR="00C27470">
        <w:t>(the Martin Committee).</w:t>
      </w:r>
      <w:r w:rsidR="00FE634F">
        <w:t xml:space="preserve"> </w:t>
      </w:r>
      <w:r w:rsidR="00C27470">
        <w:t>D</w:t>
      </w:r>
      <w:r w:rsidR="00230E21">
        <w:t>espite the committee</w:t>
      </w:r>
      <w:r w:rsidR="00AB306D">
        <w:t>’</w:t>
      </w:r>
      <w:r w:rsidR="00230E21">
        <w:t xml:space="preserve">s remit to investigate </w:t>
      </w:r>
      <w:r w:rsidR="00AB306D">
        <w:t>‘</w:t>
      </w:r>
      <w:r w:rsidR="00230E21">
        <w:t>tertiary</w:t>
      </w:r>
      <w:r w:rsidR="00AB306D">
        <w:t>’</w:t>
      </w:r>
      <w:r w:rsidR="00230E21">
        <w:t xml:space="preserve"> education and Gorton</w:t>
      </w:r>
      <w:r w:rsidR="00AB306D">
        <w:t>’</w:t>
      </w:r>
      <w:r w:rsidR="00230E21">
        <w:t xml:space="preserve">s notion of </w:t>
      </w:r>
      <w:r w:rsidR="00AB306D">
        <w:t>‘</w:t>
      </w:r>
      <w:r w:rsidR="00230E21">
        <w:t>advanced</w:t>
      </w:r>
      <w:r w:rsidR="00AB306D">
        <w:t>’</w:t>
      </w:r>
      <w:r w:rsidR="00230E21">
        <w:t xml:space="preserve"> education, both of which excluded vocational qualifications up to </w:t>
      </w:r>
      <w:r w:rsidR="00277C65">
        <w:t xml:space="preserve">the current </w:t>
      </w:r>
      <w:r w:rsidR="003A2951">
        <w:t>c</w:t>
      </w:r>
      <w:r w:rsidR="006D15F1">
        <w:t>ertificate IV level, the resultant system became known</w:t>
      </w:r>
      <w:r w:rsidR="00230E21">
        <w:t xml:space="preserve"> </w:t>
      </w:r>
      <w:r>
        <w:t>as the binary system</w:t>
      </w:r>
      <w:r w:rsidR="00230E21">
        <w:t xml:space="preserve"> of </w:t>
      </w:r>
      <w:r w:rsidR="00AB306D">
        <w:t>‘</w:t>
      </w:r>
      <w:r w:rsidR="00230E21">
        <w:t>higher</w:t>
      </w:r>
      <w:r w:rsidR="00AB306D">
        <w:t>’</w:t>
      </w:r>
      <w:r w:rsidR="00230E21">
        <w:t xml:space="preserve"> education</w:t>
      </w:r>
      <w:r>
        <w:t xml:space="preserve">. </w:t>
      </w:r>
      <w:r w:rsidR="00C33117">
        <w:t>The essay</w:t>
      </w:r>
      <w:r w:rsidR="00174F06">
        <w:t xml:space="preserve"> </w:t>
      </w:r>
      <w:r w:rsidR="003A2951">
        <w:t>begins</w:t>
      </w:r>
      <w:r w:rsidR="00174F06">
        <w:t xml:space="preserve"> with a discussion about the purpose of education, </w:t>
      </w:r>
      <w:r w:rsidR="006D15F1">
        <w:t>about</w:t>
      </w:r>
      <w:r w:rsidR="00174F06">
        <w:t xml:space="preserve"> which the protagonists and their critics had strong views. </w:t>
      </w:r>
    </w:p>
    <w:p w:rsidR="007D36B5" w:rsidRDefault="00195DE2" w:rsidP="0029734C">
      <w:pPr>
        <w:pStyle w:val="Text"/>
        <w:ind w:right="141"/>
      </w:pPr>
      <w:r>
        <w:t>The</w:t>
      </w:r>
      <w:r w:rsidR="007D36B5">
        <w:t xml:space="preserve"> exercise is </w:t>
      </w:r>
      <w:r w:rsidR="00CB5E25">
        <w:t xml:space="preserve">in two parts: </w:t>
      </w:r>
      <w:r w:rsidR="007D36B5">
        <w:t xml:space="preserve">a </w:t>
      </w:r>
      <w:r w:rsidR="00120B70">
        <w:t>desktop</w:t>
      </w:r>
      <w:r w:rsidR="007D36B5">
        <w:t xml:space="preserve"> review of primary and secondary records relating to the Martin </w:t>
      </w:r>
      <w:r w:rsidR="00A3665D">
        <w:t>R</w:t>
      </w:r>
      <w:r w:rsidR="007D36B5">
        <w:t>eport and its implementation</w:t>
      </w:r>
      <w:r w:rsidR="00CB5E25">
        <w:t xml:space="preserve">; and a roundtable discussion among players, past and present, to </w:t>
      </w:r>
      <w:r w:rsidR="00C33117">
        <w:t xml:space="preserve">supplement the records consulted and </w:t>
      </w:r>
      <w:r w:rsidR="006D15F1">
        <w:t xml:space="preserve">to </w:t>
      </w:r>
      <w:r w:rsidR="00CB5E25">
        <w:t>tease out the</w:t>
      </w:r>
      <w:r w:rsidR="00F55E3C">
        <w:t xml:space="preserve"> relevant themes and their</w:t>
      </w:r>
      <w:r w:rsidR="00CB5E25">
        <w:t xml:space="preserve"> implications for today</w:t>
      </w:r>
      <w:r w:rsidR="00AB306D">
        <w:t>’</w:t>
      </w:r>
      <w:r w:rsidR="006D15F1">
        <w:t>s policy-</w:t>
      </w:r>
      <w:r w:rsidR="006014C8">
        <w:t>makers</w:t>
      </w:r>
      <w:r w:rsidR="007D36B5">
        <w:t xml:space="preserve">. </w:t>
      </w:r>
      <w:r w:rsidR="006D15F1">
        <w:t>The aim</w:t>
      </w:r>
      <w:r w:rsidR="00174F06">
        <w:t xml:space="preserve"> </w:t>
      </w:r>
      <w:r w:rsidR="006D15F1">
        <w:t xml:space="preserve">of this project </w:t>
      </w:r>
      <w:r w:rsidR="00174F06">
        <w:t>is</w:t>
      </w:r>
      <w:r w:rsidR="007D36B5">
        <w:t xml:space="preserve"> to</w:t>
      </w:r>
      <w:r w:rsidR="005107B1">
        <w:t xml:space="preserve"> stimulate fresh thinking and debate</w:t>
      </w:r>
      <w:r w:rsidR="00B16FEC">
        <w:t>. F</w:t>
      </w:r>
      <w:r w:rsidR="007D36B5">
        <w:t>or that reason i</w:t>
      </w:r>
      <w:r w:rsidR="00CB5E25">
        <w:t>t concentrates on</w:t>
      </w:r>
      <w:r w:rsidR="007D36B5">
        <w:t xml:space="preserve"> </w:t>
      </w:r>
      <w:r w:rsidR="00CB5E25">
        <w:t xml:space="preserve">questions within several </w:t>
      </w:r>
      <w:r w:rsidR="007D36B5">
        <w:t>themes that remain</w:t>
      </w:r>
      <w:r w:rsidR="00CB5E25">
        <w:t xml:space="preserve"> or have re-emerged as topic</w:t>
      </w:r>
      <w:r w:rsidR="00CB5E25" w:rsidRPr="00EA35D7">
        <w:t>al</w:t>
      </w:r>
      <w:r w:rsidR="0029734C" w:rsidRPr="00EA35D7">
        <w:t> </w:t>
      </w:r>
      <w:r w:rsidR="00A3665D" w:rsidRPr="00EA35D7">
        <w:t>—</w:t>
      </w:r>
      <w:r w:rsidR="00FD7C0D" w:rsidRPr="00EA35D7">
        <w:t xml:space="preserve"> t</w:t>
      </w:r>
      <w:r w:rsidR="00FD7C0D">
        <w:t xml:space="preserve">he </w:t>
      </w:r>
      <w:r w:rsidR="00AB306D">
        <w:t>‘</w:t>
      </w:r>
      <w:r w:rsidR="00FD7C0D">
        <w:t>wicked problems</w:t>
      </w:r>
      <w:r w:rsidR="00AB306D">
        <w:t>’</w:t>
      </w:r>
      <w:r w:rsidR="00FD7C0D">
        <w:t xml:space="preserve"> </w:t>
      </w:r>
      <w:r w:rsidR="00317B6D">
        <w:t>(</w:t>
      </w:r>
      <w:r w:rsidR="006D15F1">
        <w:t>Australian Public Service Commission</w:t>
      </w:r>
      <w:r w:rsidR="00317B6D">
        <w:t xml:space="preserve"> 2007)</w:t>
      </w:r>
      <w:r w:rsidR="00FD7C0D">
        <w:t xml:space="preserve"> in tertiary education policy</w:t>
      </w:r>
      <w:r w:rsidR="00174F06">
        <w:t xml:space="preserve">. These </w:t>
      </w:r>
      <w:r w:rsidR="00A3665D">
        <w:t xml:space="preserve">themes </w:t>
      </w:r>
      <w:r w:rsidR="00174F06">
        <w:t xml:space="preserve">have been </w:t>
      </w:r>
      <w:r w:rsidR="00277C65">
        <w:t>distilled from current discussions about</w:t>
      </w:r>
      <w:r w:rsidR="00A3665D">
        <w:t xml:space="preserve"> the tertiary education system</w:t>
      </w:r>
      <w:r w:rsidR="00F46214">
        <w:t>,</w:t>
      </w:r>
      <w:r w:rsidR="00277C65">
        <w:t xml:space="preserve"> comprised of </w:t>
      </w:r>
      <w:r w:rsidR="00B74923">
        <w:t xml:space="preserve">higher </w:t>
      </w:r>
      <w:r w:rsidR="00277C65">
        <w:t xml:space="preserve">and vocational </w:t>
      </w:r>
      <w:r w:rsidR="00B74923">
        <w:t xml:space="preserve">education </w:t>
      </w:r>
      <w:r w:rsidR="00277C65">
        <w:t>institutions. They are</w:t>
      </w:r>
      <w:r w:rsidR="00B74923">
        <w:t>:</w:t>
      </w:r>
      <w:r w:rsidR="00CB5E25">
        <w:t xml:space="preserve"> </w:t>
      </w:r>
    </w:p>
    <w:p w:rsidR="00CB5E25" w:rsidRPr="00374DCE" w:rsidRDefault="00CB5E25" w:rsidP="00374DCE">
      <w:pPr>
        <w:pStyle w:val="Dotpoint1"/>
        <w:rPr>
          <w:i/>
        </w:rPr>
      </w:pPr>
      <w:r w:rsidRPr="00374DCE">
        <w:rPr>
          <w:i/>
        </w:rPr>
        <w:t>Diversity and parity of esteem in higher/advanced education</w:t>
      </w:r>
    </w:p>
    <w:p w:rsidR="00CB5E25" w:rsidRDefault="00CB5E25" w:rsidP="00374DCE">
      <w:pPr>
        <w:pStyle w:val="Textlessbefore"/>
        <w:ind w:left="284"/>
      </w:pPr>
      <w:r>
        <w:t xml:space="preserve">How important is status and function in </w:t>
      </w:r>
      <w:r w:rsidRPr="00374DCE">
        <w:t>determining</w:t>
      </w:r>
      <w:r>
        <w:t xml:space="preserve"> structures and behaviour in tertiary education?</w:t>
      </w:r>
    </w:p>
    <w:p w:rsidR="008746A8" w:rsidRPr="00374DCE" w:rsidRDefault="008746A8" w:rsidP="00374DCE">
      <w:pPr>
        <w:pStyle w:val="Dotpoint1"/>
        <w:rPr>
          <w:i/>
        </w:rPr>
      </w:pPr>
      <w:r w:rsidRPr="00374DCE">
        <w:rPr>
          <w:i/>
        </w:rPr>
        <w:t>The place of research in mass tertiary education</w:t>
      </w:r>
    </w:p>
    <w:p w:rsidR="008746A8" w:rsidRDefault="008746A8" w:rsidP="00374DCE">
      <w:pPr>
        <w:pStyle w:val="Textlessbefore"/>
        <w:ind w:left="284"/>
      </w:pPr>
      <w:r>
        <w:t>What type of research/scholarship do we need in vocationally oriented advanced education?</w:t>
      </w:r>
    </w:p>
    <w:p w:rsidR="00CB5E25" w:rsidRPr="00374DCE" w:rsidRDefault="00B16FEC" w:rsidP="00374DCE">
      <w:pPr>
        <w:pStyle w:val="Dotpoint1"/>
        <w:rPr>
          <w:i/>
        </w:rPr>
      </w:pPr>
      <w:r w:rsidRPr="00374DCE">
        <w:rPr>
          <w:i/>
        </w:rPr>
        <w:t>Governance and i</w:t>
      </w:r>
      <w:r w:rsidR="00CB5E25" w:rsidRPr="00374DCE">
        <w:rPr>
          <w:i/>
        </w:rPr>
        <w:t>nstitutional autonomy</w:t>
      </w:r>
    </w:p>
    <w:p w:rsidR="00CB5E25" w:rsidRDefault="00CB5E25" w:rsidP="00374DCE">
      <w:pPr>
        <w:pStyle w:val="Textlessbefore"/>
        <w:ind w:left="284"/>
      </w:pPr>
      <w:r>
        <w:t>How important is institutional autonomy in achieving diversity</w:t>
      </w:r>
      <w:r w:rsidR="008746A8">
        <w:t xml:space="preserve"> and excellence</w:t>
      </w:r>
      <w:r>
        <w:t xml:space="preserve">? If needed, how </w:t>
      </w:r>
      <w:r w:rsidR="002E31DB">
        <w:t>can</w:t>
      </w:r>
      <w:r w:rsidR="00374DCE">
        <w:t> </w:t>
      </w:r>
      <w:r w:rsidR="002E31DB">
        <w:t xml:space="preserve">such autonomy </w:t>
      </w:r>
      <w:r w:rsidR="008746A8">
        <w:t xml:space="preserve">be achieved </w:t>
      </w:r>
      <w:r w:rsidR="002E31DB">
        <w:t xml:space="preserve">in a publicly </w:t>
      </w:r>
      <w:r>
        <w:t>funded federal tertiary education system?</w:t>
      </w:r>
      <w:r w:rsidR="00FE634F">
        <w:t xml:space="preserve"> </w:t>
      </w:r>
      <w:r w:rsidR="00B93865">
        <w:t>What coordination is required</w:t>
      </w:r>
      <w:r w:rsidR="00B16FEC">
        <w:t xml:space="preserve"> in a federal system</w:t>
      </w:r>
      <w:r w:rsidR="00B93865">
        <w:t>?</w:t>
      </w:r>
    </w:p>
    <w:p w:rsidR="00113901" w:rsidRPr="00374DCE" w:rsidRDefault="00113901" w:rsidP="00374DCE">
      <w:pPr>
        <w:pStyle w:val="Dotpoint1"/>
        <w:rPr>
          <w:i/>
        </w:rPr>
      </w:pPr>
      <w:r w:rsidRPr="00374DCE">
        <w:rPr>
          <w:i/>
        </w:rPr>
        <w:t>Pathways within education and to the labour market</w:t>
      </w:r>
    </w:p>
    <w:p w:rsidR="00113901" w:rsidRDefault="00113901" w:rsidP="00374DCE">
      <w:pPr>
        <w:pStyle w:val="Textlessbefore"/>
        <w:ind w:left="284"/>
      </w:pPr>
      <w:r>
        <w:t xml:space="preserve">Is </w:t>
      </w:r>
      <w:r w:rsidR="008746A8">
        <w:t>credit transfer/</w:t>
      </w:r>
      <w:r>
        <w:t xml:space="preserve">articulation </w:t>
      </w:r>
      <w:r w:rsidR="00F55E3C">
        <w:t xml:space="preserve">a </w:t>
      </w:r>
      <w:r>
        <w:t>crucial element of a tertiary education system?</w:t>
      </w:r>
    </w:p>
    <w:p w:rsidR="00044DFA" w:rsidRDefault="00B74923" w:rsidP="00195DE2">
      <w:pPr>
        <w:pStyle w:val="Text"/>
      </w:pPr>
      <w:r>
        <w:t xml:space="preserve">Underlying these discussions is </w:t>
      </w:r>
      <w:r w:rsidR="00120B70">
        <w:t>the</w:t>
      </w:r>
      <w:r>
        <w:t xml:space="preserve"> matter of money. </w:t>
      </w:r>
      <w:r w:rsidR="006D15F1">
        <w:t>A d</w:t>
      </w:r>
      <w:r w:rsidR="00E83DB4">
        <w:t>etailed examination of f</w:t>
      </w:r>
      <w:r>
        <w:t xml:space="preserve">inancing, however, is beyond the scope of this project, as is the topic of teacher training. </w:t>
      </w:r>
      <w:r w:rsidR="00120B70">
        <w:t>On</w:t>
      </w:r>
      <w:r w:rsidR="006D15F1">
        <w:t xml:space="preserve"> the latter, the Martin C</w:t>
      </w:r>
      <w:r>
        <w:t xml:space="preserve">ommittee stressed the importance of providing tertiary students with a strong secondary education foundation and </w:t>
      </w:r>
      <w:r w:rsidR="003A2951">
        <w:t xml:space="preserve">the experiences </w:t>
      </w:r>
      <w:r>
        <w:t>of sound teaching practices in</w:t>
      </w:r>
      <w:r w:rsidR="00F46214">
        <w:t xml:space="preserve"> both universities and colleges; h</w:t>
      </w:r>
      <w:r>
        <w:t>ence</w:t>
      </w:r>
      <w:r w:rsidR="00F46214">
        <w:t>,</w:t>
      </w:r>
      <w:r>
        <w:t xml:space="preserve"> its recommendations </w:t>
      </w:r>
      <w:r w:rsidR="00F46214">
        <w:t>for a third plank in the system —</w:t>
      </w:r>
      <w:r>
        <w:t xml:space="preserve"> autono</w:t>
      </w:r>
      <w:r w:rsidR="00277C65">
        <w:t xml:space="preserve">mous teacher training institutes </w:t>
      </w:r>
      <w:r w:rsidR="003A171E">
        <w:t>(</w:t>
      </w:r>
      <w:r w:rsidR="006D15F1">
        <w:t xml:space="preserve">Committee on the Future of </w:t>
      </w:r>
      <w:r w:rsidR="003A2951">
        <w:t>Tertiary Education in Australia 1965—65</w:t>
      </w:r>
      <w:r w:rsidR="006D15F1">
        <w:t xml:space="preserve"> </w:t>
      </w:r>
      <w:r w:rsidR="003A171E">
        <w:t>vol</w:t>
      </w:r>
      <w:r w:rsidR="006D15F1">
        <w:t>.1, p.</w:t>
      </w:r>
      <w:r w:rsidR="003A171E">
        <w:t>4</w:t>
      </w:r>
      <w:r w:rsidR="00376074">
        <w:t xml:space="preserve">). </w:t>
      </w:r>
    </w:p>
    <w:p w:rsidR="00FD7C0D" w:rsidRDefault="0032245E" w:rsidP="00760B59">
      <w:pPr>
        <w:pStyle w:val="Text"/>
      </w:pPr>
      <w:r>
        <w:t>Ryan</w:t>
      </w:r>
      <w:r w:rsidR="00967AF1">
        <w:t xml:space="preserve"> (</w:t>
      </w:r>
      <w:r w:rsidR="00277C65">
        <w:t>2011</w:t>
      </w:r>
      <w:r w:rsidR="00924CF8">
        <w:t xml:space="preserve">, </w:t>
      </w:r>
      <w:r w:rsidR="00967AF1">
        <w:t>p.28)</w:t>
      </w:r>
      <w:r>
        <w:t xml:space="preserve"> has written an elegant piece on the intersection of policy theory and an historical approach. It reminds us that policy implementation is messy, sometimes unpredictable and usually evolutionary. </w:t>
      </w:r>
      <w:r w:rsidR="00967AF1">
        <w:t>He sees merit in r</w:t>
      </w:r>
      <w:r>
        <w:t xml:space="preserve">evisiting actual as well as </w:t>
      </w:r>
      <w:r w:rsidR="007D36B5">
        <w:t>perceived outcomes</w:t>
      </w:r>
      <w:r w:rsidR="00967AF1">
        <w:t xml:space="preserve">. This project does so to help </w:t>
      </w:r>
      <w:r>
        <w:t xml:space="preserve">unravel some of the tangles and </w:t>
      </w:r>
      <w:r w:rsidR="00645287">
        <w:t xml:space="preserve">to </w:t>
      </w:r>
      <w:r w:rsidR="00F46214">
        <w:t>offer some cautionary advice</w:t>
      </w:r>
      <w:r>
        <w:t xml:space="preserve"> for those embarking on the next wave of reform. </w:t>
      </w:r>
      <w:r w:rsidR="00FD7C0D">
        <w:t xml:space="preserve">Its analysis </w:t>
      </w:r>
      <w:r w:rsidR="00317B6D">
        <w:t>underscores a former Public Service Commissioner</w:t>
      </w:r>
      <w:r w:rsidR="00AB306D">
        <w:t>’</w:t>
      </w:r>
      <w:r w:rsidR="00317B6D">
        <w:t>s point (2007) that tackling</w:t>
      </w:r>
      <w:r w:rsidR="00645287">
        <w:t xml:space="preserve"> the</w:t>
      </w:r>
      <w:r w:rsidR="00317B6D">
        <w:t xml:space="preserve"> </w:t>
      </w:r>
      <w:r w:rsidR="003A2951">
        <w:t>enduring</w:t>
      </w:r>
      <w:r w:rsidR="00317B6D">
        <w:t xml:space="preserve"> problems means grasping the big picture,</w:t>
      </w:r>
      <w:r w:rsidR="00317B6D" w:rsidRPr="00317B6D">
        <w:t xml:space="preserve"> </w:t>
      </w:r>
      <w:r w:rsidR="00AB306D">
        <w:t>‘</w:t>
      </w:r>
      <w:r w:rsidR="00317B6D" w:rsidRPr="00317B6D">
        <w:t>including the interrelationships among the full range of causal factors underlying them</w:t>
      </w:r>
      <w:r w:rsidR="00AB306D">
        <w:t>’</w:t>
      </w:r>
      <w:r w:rsidR="00760B59">
        <w:t xml:space="preserve"> (</w:t>
      </w:r>
      <w:r w:rsidR="00645287">
        <w:t xml:space="preserve">Australian Public Service Commission 2007, </w:t>
      </w:r>
      <w:r w:rsidR="00760B59">
        <w:t>p.iii)</w:t>
      </w:r>
      <w:r w:rsidR="00317B6D">
        <w:t xml:space="preserve"> and </w:t>
      </w:r>
      <w:r w:rsidR="00760B59">
        <w:t xml:space="preserve">having </w:t>
      </w:r>
      <w:r w:rsidR="00317B6D">
        <w:t>all relevant stakeholders</w:t>
      </w:r>
      <w:r w:rsidR="00760B59">
        <w:t xml:space="preserve"> discuss these</w:t>
      </w:r>
      <w:r w:rsidR="00317B6D">
        <w:t xml:space="preserve"> </w:t>
      </w:r>
      <w:r w:rsidR="00AB306D">
        <w:t>‘</w:t>
      </w:r>
      <w:r w:rsidR="00317B6D">
        <w:t xml:space="preserve">in order to ensure a full understanding of </w:t>
      </w:r>
      <w:r w:rsidR="00317B6D">
        <w:lastRenderedPageBreak/>
        <w:t>their complexity and interconnections</w:t>
      </w:r>
      <w:r w:rsidR="00AB306D">
        <w:t>’</w:t>
      </w:r>
      <w:r w:rsidR="00760B59">
        <w:t xml:space="preserve"> (p.36)</w:t>
      </w:r>
      <w:r w:rsidR="00F46214">
        <w:t>;</w:t>
      </w:r>
      <w:r w:rsidR="00317B6D">
        <w:t xml:space="preserve"> </w:t>
      </w:r>
      <w:r w:rsidR="00F46214">
        <w:t>h</w:t>
      </w:r>
      <w:r w:rsidR="00760B59">
        <w:t>ence</w:t>
      </w:r>
      <w:r w:rsidR="00645287">
        <w:t>,</w:t>
      </w:r>
      <w:r w:rsidR="00760B59">
        <w:t xml:space="preserve"> the roundtable</w:t>
      </w:r>
      <w:r w:rsidR="003A2951">
        <w:t>, the deliberations of which augment this discussion</w:t>
      </w:r>
      <w:r w:rsidR="00760B59">
        <w:t>.</w:t>
      </w:r>
    </w:p>
    <w:p w:rsidR="00EF4B90" w:rsidRDefault="0032245E" w:rsidP="00195DE2">
      <w:pPr>
        <w:pStyle w:val="Text"/>
      </w:pPr>
      <w:r>
        <w:t xml:space="preserve">The </w:t>
      </w:r>
      <w:r w:rsidR="00645287">
        <w:t>Martin C</w:t>
      </w:r>
      <w:r>
        <w:t>ommittee</w:t>
      </w:r>
      <w:r w:rsidR="00AB306D">
        <w:t>’</w:t>
      </w:r>
      <w:r>
        <w:t>s operations were the subject of a</w:t>
      </w:r>
      <w:r w:rsidR="00EF4B90">
        <w:t xml:space="preserve"> book </w:t>
      </w:r>
      <w:r>
        <w:t>by Davies</w:t>
      </w:r>
      <w:r w:rsidR="00924CF8">
        <w:t xml:space="preserve"> (</w:t>
      </w:r>
      <w:r w:rsidR="00277C65">
        <w:t>1989</w:t>
      </w:r>
      <w:r w:rsidR="00924CF8">
        <w:t>)</w:t>
      </w:r>
      <w:r>
        <w:t xml:space="preserve">, whose </w:t>
      </w:r>
      <w:r w:rsidR="00EF4B90">
        <w:t>work</w:t>
      </w:r>
      <w:r>
        <w:t xml:space="preserve"> was completed just as the binary policy was officially buried by the 1988 </w:t>
      </w:r>
      <w:r w:rsidR="003A2951">
        <w:t xml:space="preserve">white paper on higher education </w:t>
      </w:r>
      <w:r w:rsidR="00924CF8">
        <w:t>(</w:t>
      </w:r>
      <w:r w:rsidR="00645287">
        <w:t>Dawkins</w:t>
      </w:r>
      <w:r w:rsidR="001325AF">
        <w:t xml:space="preserve"> 1988)</w:t>
      </w:r>
      <w:r w:rsidR="00EF4B90">
        <w:t xml:space="preserve">. Davies concentrated on the </w:t>
      </w:r>
      <w:r w:rsidR="00EF4B90" w:rsidRPr="00EF4B90">
        <w:t>formulation of federal government policy</w:t>
      </w:r>
      <w:r w:rsidR="00304822">
        <w:t>: s</w:t>
      </w:r>
      <w:r w:rsidR="00EF4B90">
        <w:t xml:space="preserve">he </w:t>
      </w:r>
      <w:r w:rsidR="00EF4B90" w:rsidRPr="00EF4B90">
        <w:t>close</w:t>
      </w:r>
      <w:r w:rsidR="00196A58">
        <w:t>ly analysed the</w:t>
      </w:r>
      <w:r w:rsidR="00EF4B90" w:rsidRPr="00EF4B90">
        <w:t xml:space="preserve"> committee</w:t>
      </w:r>
      <w:r w:rsidR="00AB306D">
        <w:t>’</w:t>
      </w:r>
      <w:r w:rsidR="00EF4B90" w:rsidRPr="00EF4B90">
        <w:t xml:space="preserve">s papers, departmental documents and parliamentary debates. </w:t>
      </w:r>
      <w:r w:rsidR="00EF4B90">
        <w:t>Th</w:t>
      </w:r>
      <w:r w:rsidR="00B461E4">
        <w:t>erefore th</w:t>
      </w:r>
      <w:r w:rsidR="00EF4B90">
        <w:t xml:space="preserve">is project </w:t>
      </w:r>
      <w:r w:rsidR="00B461E4">
        <w:t xml:space="preserve">has </w:t>
      </w:r>
      <w:r w:rsidR="00EF4B90">
        <w:t>only re</w:t>
      </w:r>
      <w:r w:rsidR="00EF4B90" w:rsidRPr="00EF4B90">
        <w:t>-examin</w:t>
      </w:r>
      <w:r w:rsidR="00EF4B90">
        <w:t xml:space="preserve">ed those </w:t>
      </w:r>
      <w:r w:rsidR="00EF4B90" w:rsidRPr="00EF4B90">
        <w:t>sources wh</w:t>
      </w:r>
      <w:r w:rsidR="00EF4B90">
        <w:t xml:space="preserve">ere a reinterpretation in 2013 </w:t>
      </w:r>
      <w:r w:rsidR="00304822">
        <w:t>is</w:t>
      </w:r>
      <w:r w:rsidR="00EF4B90" w:rsidRPr="00EF4B90">
        <w:t xml:space="preserve"> </w:t>
      </w:r>
      <w:r w:rsidR="00EF4B90">
        <w:t>considered warranted</w:t>
      </w:r>
      <w:r w:rsidR="00EF4B90" w:rsidRPr="00EF4B90">
        <w:t xml:space="preserve">. </w:t>
      </w:r>
      <w:r w:rsidR="00EF4B90">
        <w:t xml:space="preserve"> </w:t>
      </w:r>
    </w:p>
    <w:p w:rsidR="00376074" w:rsidRDefault="00EF4B90" w:rsidP="00195DE2">
      <w:pPr>
        <w:pStyle w:val="Text"/>
      </w:pPr>
      <w:r w:rsidRPr="00376074">
        <w:t xml:space="preserve">One element of the research was to consult </w:t>
      </w:r>
      <w:r w:rsidR="00376074" w:rsidRPr="00376074">
        <w:t>histories of</w:t>
      </w:r>
      <w:r w:rsidR="00196A58">
        <w:t xml:space="preserve"> several colleges of advanced e</w:t>
      </w:r>
      <w:r w:rsidRPr="00376074">
        <w:t xml:space="preserve">ducation to analyse the system in action, </w:t>
      </w:r>
      <w:r w:rsidR="00725BCC" w:rsidRPr="00376074">
        <w:t>primarily</w:t>
      </w:r>
      <w:r w:rsidRPr="00376074">
        <w:t xml:space="preserve"> with contemporary questions about higher education</w:t>
      </w:r>
      <w:r w:rsidR="00304822">
        <w:t>—</w:t>
      </w:r>
      <w:r w:rsidRPr="00376074">
        <w:t>VET collaborations in mind. These surveys reveal some of the institutional legacies that can influence how reform is implemented</w:t>
      </w:r>
      <w:r w:rsidR="00376074" w:rsidRPr="00376074">
        <w:t xml:space="preserve">, as well as </w:t>
      </w:r>
      <w:r w:rsidR="00F46214">
        <w:t>identify</w:t>
      </w:r>
      <w:r w:rsidR="00376074" w:rsidRPr="00376074">
        <w:t xml:space="preserve"> the successes and </w:t>
      </w:r>
      <w:r w:rsidR="00304822">
        <w:t xml:space="preserve">inadequacies </w:t>
      </w:r>
      <w:r w:rsidR="00376074" w:rsidRPr="00376074">
        <w:t>of the binary system</w:t>
      </w:r>
      <w:r w:rsidRPr="00376074">
        <w:t xml:space="preserve">. </w:t>
      </w:r>
    </w:p>
    <w:p w:rsidR="00B52FCE" w:rsidRDefault="00F46214" w:rsidP="00195DE2">
      <w:pPr>
        <w:pStyle w:val="Text"/>
      </w:pPr>
      <w:r>
        <w:t>This re</w:t>
      </w:r>
      <w:r w:rsidR="00725BCC" w:rsidRPr="00725BCC">
        <w:t>reading underlines the importance of attention to the use of language</w:t>
      </w:r>
      <w:r w:rsidR="00B461E4">
        <w:t xml:space="preserve">. For that reason, words from the people involved are reproduced as much as is possible within the </w:t>
      </w:r>
      <w:r w:rsidR="00120B70">
        <w:t>available</w:t>
      </w:r>
      <w:r w:rsidR="00B461E4">
        <w:t xml:space="preserve"> space. More verbatim material is now available</w:t>
      </w:r>
      <w:r w:rsidR="00304822">
        <w:t>,</w:t>
      </w:r>
      <w:r w:rsidR="00B461E4">
        <w:t xml:space="preserve"> thanks to online access to lan</w:t>
      </w:r>
      <w:r w:rsidR="003A2951">
        <w:t>dmark reports through the VOCED</w:t>
      </w:r>
      <w:r w:rsidR="00B461E4">
        <w:t>plus digitalisation project, to Hansard and even to some oral his</w:t>
      </w:r>
      <w:r w:rsidR="00196A58">
        <w:t xml:space="preserve">tories in the </w:t>
      </w:r>
      <w:r w:rsidR="00304822">
        <w:t xml:space="preserve">collection of the </w:t>
      </w:r>
      <w:r w:rsidR="00196A58">
        <w:t>National Library</w:t>
      </w:r>
      <w:r w:rsidR="00304822">
        <w:t xml:space="preserve"> of Australia</w:t>
      </w:r>
      <w:r w:rsidR="00B461E4">
        <w:t xml:space="preserve">. On the whole, the language is refreshingly straightforward. Unfortunately, though, </w:t>
      </w:r>
      <w:r w:rsidR="00725BCC">
        <w:t xml:space="preserve">imprecise </w:t>
      </w:r>
      <w:r w:rsidR="00B461E4">
        <w:t xml:space="preserve">definitions </w:t>
      </w:r>
      <w:r w:rsidR="00725BCC">
        <w:t xml:space="preserve">of terms like </w:t>
      </w:r>
      <w:r w:rsidR="00AB306D">
        <w:t>‘</w:t>
      </w:r>
      <w:r w:rsidR="00725BCC">
        <w:t>tertiary</w:t>
      </w:r>
      <w:r w:rsidR="00AB306D">
        <w:t>’</w:t>
      </w:r>
      <w:r w:rsidR="00725BCC">
        <w:t xml:space="preserve">, </w:t>
      </w:r>
      <w:r w:rsidR="00AB306D">
        <w:t>‘</w:t>
      </w:r>
      <w:r w:rsidR="00725BCC">
        <w:t>vocational</w:t>
      </w:r>
      <w:r w:rsidR="00AB306D">
        <w:t>’</w:t>
      </w:r>
      <w:r w:rsidR="00B461E4">
        <w:t xml:space="preserve"> </w:t>
      </w:r>
      <w:r w:rsidR="00725BCC">
        <w:t xml:space="preserve">and </w:t>
      </w:r>
      <w:r w:rsidR="00AB306D">
        <w:t>‘</w:t>
      </w:r>
      <w:r w:rsidR="00725BCC">
        <w:t>advanced</w:t>
      </w:r>
      <w:r w:rsidR="00AB306D">
        <w:t>’</w:t>
      </w:r>
      <w:r w:rsidR="00725BCC">
        <w:t xml:space="preserve"> </w:t>
      </w:r>
      <w:r w:rsidR="00304822">
        <w:t xml:space="preserve">used in conjunction with </w:t>
      </w:r>
      <w:r w:rsidR="00725BCC">
        <w:t>education</w:t>
      </w:r>
      <w:r w:rsidR="00B461E4">
        <w:t xml:space="preserve"> have clouded thinking on this subject for </w:t>
      </w:r>
      <w:r w:rsidR="00924CF8">
        <w:t xml:space="preserve">50 </w:t>
      </w:r>
      <w:r w:rsidR="00B461E4">
        <w:t>years</w:t>
      </w:r>
      <w:r w:rsidR="00B52FCE">
        <w:t>.</w:t>
      </w:r>
    </w:p>
    <w:p w:rsidR="00027888" w:rsidRDefault="005D55C4" w:rsidP="00374DCE">
      <w:pPr>
        <w:pStyle w:val="Text"/>
        <w:ind w:right="-143"/>
      </w:pPr>
      <w:r w:rsidRPr="00E83DB4">
        <w:t xml:space="preserve">The reason for taking an historical </w:t>
      </w:r>
      <w:r w:rsidR="00304822">
        <w:t>approach to this subject is two</w:t>
      </w:r>
      <w:r w:rsidRPr="00E83DB4">
        <w:t xml:space="preserve">fold: to illuminate the </w:t>
      </w:r>
      <w:r w:rsidR="00B52FCE" w:rsidRPr="00E83DB4">
        <w:t>enduring issues in this area of public policy</w:t>
      </w:r>
      <w:r w:rsidR="00651D01">
        <w:t>;</w:t>
      </w:r>
      <w:r w:rsidR="00F46214">
        <w:t xml:space="preserve"> and</w:t>
      </w:r>
      <w:r w:rsidR="00B52FCE" w:rsidRPr="00E83DB4">
        <w:t xml:space="preserve"> to remind us that</w:t>
      </w:r>
      <w:r w:rsidR="00304822">
        <w:t>,</w:t>
      </w:r>
      <w:r w:rsidR="00B52FCE" w:rsidRPr="00E83DB4">
        <w:t xml:space="preserve"> while some problems may seem familiar, the way we perceive and tackle them must take account of change. History is not static. This interpretation of the Martin </w:t>
      </w:r>
      <w:r w:rsidR="00F46214">
        <w:t>R</w:t>
      </w:r>
      <w:r w:rsidR="00B52FCE" w:rsidRPr="00E83DB4">
        <w:t>eport, explicitly undertaken to contribute to today</w:t>
      </w:r>
      <w:r w:rsidR="00AB306D">
        <w:t>’</w:t>
      </w:r>
      <w:r w:rsidR="00B52FCE" w:rsidRPr="00E83DB4">
        <w:t>s policy considerations about the organisation of vocational as well as higher education, arrives at some concl</w:t>
      </w:r>
      <w:r w:rsidR="00304822">
        <w:t xml:space="preserve">usions </w:t>
      </w:r>
      <w:r w:rsidR="00304822" w:rsidRPr="00E83DB4">
        <w:t xml:space="preserve">different </w:t>
      </w:r>
      <w:r w:rsidR="00304822">
        <w:t>from those more focu</w:t>
      </w:r>
      <w:r w:rsidR="00B52FCE" w:rsidRPr="00E83DB4">
        <w:t>sed on universities</w:t>
      </w:r>
      <w:r w:rsidR="00481643" w:rsidRPr="00E83DB4">
        <w:t xml:space="preserve"> or formulated in a time of contracting demand</w:t>
      </w:r>
      <w:r w:rsidR="00B52FCE" w:rsidRPr="00E83DB4">
        <w:t xml:space="preserve">. It also detects an abiding Australian coyness about the notion of elitism in education, which </w:t>
      </w:r>
      <w:r w:rsidR="00027888" w:rsidRPr="00E83DB4">
        <w:t xml:space="preserve">has often </w:t>
      </w:r>
      <w:r w:rsidR="00B52FCE" w:rsidRPr="00E83DB4">
        <w:t xml:space="preserve">constrained the debate </w:t>
      </w:r>
      <w:r w:rsidR="00027888" w:rsidRPr="00E83DB4">
        <w:t xml:space="preserve">and sometimes </w:t>
      </w:r>
      <w:r w:rsidR="00B52FCE" w:rsidRPr="00E83DB4">
        <w:t xml:space="preserve">coloured </w:t>
      </w:r>
      <w:r w:rsidR="00E83DB4">
        <w:t xml:space="preserve">earlier </w:t>
      </w:r>
      <w:r w:rsidR="00027888" w:rsidRPr="00E83DB4">
        <w:t xml:space="preserve">analyses of the Martin </w:t>
      </w:r>
      <w:r w:rsidR="00F46214">
        <w:t>R</w:t>
      </w:r>
      <w:r w:rsidR="00027888" w:rsidRPr="00E83DB4">
        <w:t>eport and its implementation.</w:t>
      </w:r>
      <w:r w:rsidR="00027888">
        <w:t xml:space="preserve"> </w:t>
      </w:r>
      <w:r w:rsidR="00B52FCE">
        <w:t xml:space="preserve"> </w:t>
      </w:r>
    </w:p>
    <w:p w:rsidR="00027888" w:rsidRDefault="00027888">
      <w:pPr>
        <w:spacing w:before="0" w:line="240" w:lineRule="auto"/>
      </w:pPr>
      <w:r>
        <w:br w:type="page"/>
      </w:r>
    </w:p>
    <w:p w:rsidR="00A34A04" w:rsidRPr="00813882" w:rsidRDefault="00195DE2" w:rsidP="00813882">
      <w:pPr>
        <w:pStyle w:val="Heading1"/>
      </w:pPr>
      <w:bookmarkStart w:id="37" w:name="_Toc393293027"/>
      <w:r>
        <w:lastRenderedPageBreak/>
        <w:t>The purpose of education</w:t>
      </w:r>
      <w:bookmarkEnd w:id="37"/>
    </w:p>
    <w:p w:rsidR="00E25169" w:rsidRDefault="00041BD7" w:rsidP="00B00676">
      <w:pPr>
        <w:pStyle w:val="Text"/>
      </w:pPr>
      <w:bookmarkStart w:id="38" w:name="_Toc456000800"/>
      <w:bookmarkStart w:id="39" w:name="_Toc457122465"/>
      <w:bookmarkStart w:id="40" w:name="_Toc188077643"/>
      <w:r>
        <w:t>T</w:t>
      </w:r>
      <w:r w:rsidR="003C7624">
        <w:t>he Martin C</w:t>
      </w:r>
      <w:r w:rsidR="008C65BF" w:rsidRPr="008C65BF">
        <w:t xml:space="preserve">ommittee had a </w:t>
      </w:r>
      <w:r w:rsidR="00E25169">
        <w:t>firm eye on practical matters</w:t>
      </w:r>
      <w:r w:rsidR="003A2951">
        <w:t>,</w:t>
      </w:r>
      <w:r w:rsidR="00E25169">
        <w:t xml:space="preserve"> such as</w:t>
      </w:r>
      <w:r w:rsidR="008C65BF" w:rsidRPr="008C65BF">
        <w:t xml:space="preserve"> </w:t>
      </w:r>
      <w:r w:rsidR="00AB306D">
        <w:t>‘</w:t>
      </w:r>
      <w:r w:rsidR="008C65BF" w:rsidRPr="008C65BF">
        <w:t>manpower</w:t>
      </w:r>
      <w:r w:rsidR="00AB306D">
        <w:t>’</w:t>
      </w:r>
      <w:r w:rsidR="008C65BF" w:rsidRPr="008C65BF">
        <w:t xml:space="preserve"> demands</w:t>
      </w:r>
      <w:r w:rsidR="00B303FC">
        <w:t>,</w:t>
      </w:r>
      <w:r w:rsidR="008C65BF" w:rsidRPr="008C65BF">
        <w:t xml:space="preserve"> technological developments </w:t>
      </w:r>
      <w:r w:rsidR="008C65BF">
        <w:t>and, of course,</w:t>
      </w:r>
      <w:r w:rsidR="00E25169">
        <w:t xml:space="preserve"> money</w:t>
      </w:r>
      <w:r w:rsidR="00196A58">
        <w:t>; the</w:t>
      </w:r>
      <w:r>
        <w:t xml:space="preserve"> </w:t>
      </w:r>
      <w:r w:rsidR="008C65BF" w:rsidRPr="008C65BF">
        <w:t>report</w:t>
      </w:r>
      <w:r w:rsidR="00E25169">
        <w:t xml:space="preserve"> and its champions </w:t>
      </w:r>
      <w:r>
        <w:t xml:space="preserve">also </w:t>
      </w:r>
      <w:r w:rsidR="00E25169">
        <w:t>had loftier ―</w:t>
      </w:r>
      <w:r w:rsidR="008C65BF" w:rsidRPr="008C65BF">
        <w:t xml:space="preserve"> liberal </w:t>
      </w:r>
      <w:r w:rsidR="00E25169">
        <w:t>―</w:t>
      </w:r>
      <w:r w:rsidR="008C65BF" w:rsidRPr="008C65BF">
        <w:t xml:space="preserve"> views of education. </w:t>
      </w:r>
      <w:r w:rsidR="00120B70">
        <w:t>These infused the binary policy.</w:t>
      </w:r>
    </w:p>
    <w:p w:rsidR="00065CA4" w:rsidRPr="009E762F" w:rsidRDefault="00B303FC" w:rsidP="00B00676">
      <w:pPr>
        <w:pStyle w:val="Text"/>
      </w:pPr>
      <w:r>
        <w:t>Chapter o</w:t>
      </w:r>
      <w:r w:rsidR="008C65BF">
        <w:t xml:space="preserve">ne </w:t>
      </w:r>
      <w:r w:rsidR="00120B70">
        <w:t xml:space="preserve">of the report </w:t>
      </w:r>
      <w:r>
        <w:t>began</w:t>
      </w:r>
      <w:r w:rsidR="009E762F" w:rsidRPr="009E762F">
        <w:t xml:space="preserve"> with conclusions and recommendations about </w:t>
      </w:r>
      <w:r w:rsidR="007B59C5" w:rsidRPr="00027888">
        <w:t>tertiary education</w:t>
      </w:r>
      <w:r w:rsidR="009E762F" w:rsidRPr="009E762F">
        <w:t xml:space="preserve"> and the nation</w:t>
      </w:r>
      <w:r w:rsidR="009E762F">
        <w:t xml:space="preserve">. </w:t>
      </w:r>
      <w:r>
        <w:t xml:space="preserve">The inquiry had </w:t>
      </w:r>
      <w:r w:rsidR="00027888">
        <w:t>confirmed</w:t>
      </w:r>
      <w:r>
        <w:t xml:space="preserve"> a</w:t>
      </w:r>
      <w:r w:rsidR="009E762F" w:rsidRPr="009E762F">
        <w:t xml:space="preserve"> demand </w:t>
      </w:r>
      <w:r w:rsidR="00120B70">
        <w:t>from the</w:t>
      </w:r>
      <w:r w:rsidR="009E762F" w:rsidRPr="009E762F">
        <w:t xml:space="preserve"> Australian community for increased opp</w:t>
      </w:r>
      <w:r w:rsidR="00B00676">
        <w:t xml:space="preserve">ortunities for </w:t>
      </w:r>
      <w:r w:rsidR="007B59C5" w:rsidRPr="00027888">
        <w:t>higher education</w:t>
      </w:r>
      <w:r w:rsidR="008C65BF">
        <w:t xml:space="preserve"> </w:t>
      </w:r>
      <w:r w:rsidR="00027888">
        <w:t>(</w:t>
      </w:r>
      <w:r w:rsidR="00027888" w:rsidRPr="00E73320">
        <w:rPr>
          <w:i/>
        </w:rPr>
        <w:t>sic</w:t>
      </w:r>
      <w:r w:rsidR="00027888">
        <w:t>)</w:t>
      </w:r>
      <w:r w:rsidR="00EF7EB2">
        <w:t>,</w:t>
      </w:r>
      <w:r w:rsidR="00027888">
        <w:t xml:space="preserve"> </w:t>
      </w:r>
      <w:r w:rsidR="008C65BF">
        <w:t>which</w:t>
      </w:r>
      <w:r w:rsidR="00E3465B">
        <w:t>,</w:t>
      </w:r>
      <w:r w:rsidR="009E762F" w:rsidRPr="009E762F">
        <w:t xml:space="preserve"> in </w:t>
      </w:r>
      <w:r w:rsidR="00E3465B">
        <w:t xml:space="preserve">both </w:t>
      </w:r>
      <w:r w:rsidR="00041295" w:rsidRPr="009E762F">
        <w:t>the</w:t>
      </w:r>
      <w:r w:rsidR="00120B70">
        <w:t xml:space="preserve"> sciences and</w:t>
      </w:r>
      <w:r w:rsidR="00E3465B">
        <w:t xml:space="preserve"> the humanities, the authors saw</w:t>
      </w:r>
      <w:r w:rsidR="00E25169">
        <w:t xml:space="preserve"> as</w:t>
      </w:r>
      <w:r w:rsidR="009E762F" w:rsidRPr="009E762F">
        <w:t xml:space="preserve"> an essential condition for stability and </w:t>
      </w:r>
      <w:r w:rsidR="00B00676">
        <w:t>economic growth</w:t>
      </w:r>
      <w:r w:rsidR="006B2D48">
        <w:t xml:space="preserve">: </w:t>
      </w:r>
      <w:r w:rsidR="00AB306D">
        <w:t>‘</w:t>
      </w:r>
      <w:r w:rsidR="00B00676">
        <w:t>the human values</w:t>
      </w:r>
      <w:r w:rsidR="009E762F" w:rsidRPr="009E762F">
        <w:t xml:space="preserve"> </w:t>
      </w:r>
      <w:r w:rsidR="00120B70">
        <w:t>associated with education</w:t>
      </w:r>
      <w:r w:rsidR="00EF7EB2">
        <w:t xml:space="preserve"> </w:t>
      </w:r>
      <w:r w:rsidR="00120B70">
        <w:t>…</w:t>
      </w:r>
      <w:r w:rsidR="00EF7EB2">
        <w:t xml:space="preserve"> </w:t>
      </w:r>
      <w:r w:rsidR="00065CA4" w:rsidRPr="009E762F">
        <w:t>are the very stuff of a free, democratic and cultured society</w:t>
      </w:r>
      <w:r w:rsidR="00AB306D">
        <w:t>’</w:t>
      </w:r>
      <w:r w:rsidR="00065CA4" w:rsidRPr="009E762F">
        <w:t>.</w:t>
      </w:r>
      <w:r w:rsidR="00B00676">
        <w:t xml:space="preserve"> </w:t>
      </w:r>
      <w:r>
        <w:t>T</w:t>
      </w:r>
      <w:r w:rsidR="00120B70">
        <w:t>hey conclude</w:t>
      </w:r>
      <w:r>
        <w:t>d</w:t>
      </w:r>
      <w:r w:rsidR="00120B70">
        <w:t xml:space="preserve"> </w:t>
      </w:r>
      <w:r w:rsidR="00E25169">
        <w:t xml:space="preserve">that </w:t>
      </w:r>
      <w:r w:rsidR="00065CA4" w:rsidRPr="009E762F">
        <w:t xml:space="preserve">higher education </w:t>
      </w:r>
      <w:r w:rsidR="00027888">
        <w:t>(</w:t>
      </w:r>
      <w:r w:rsidR="00027888" w:rsidRPr="00E73320">
        <w:rPr>
          <w:i/>
        </w:rPr>
        <w:t>sic</w:t>
      </w:r>
      <w:r w:rsidR="00027888">
        <w:t xml:space="preserve">) </w:t>
      </w:r>
      <w:r w:rsidR="00065CA4" w:rsidRPr="009E762F">
        <w:t xml:space="preserve">should be available to all citizens according to </w:t>
      </w:r>
      <w:r w:rsidR="00B00676">
        <w:t>their inclination and capacity</w:t>
      </w:r>
      <w:r w:rsidR="003978E4">
        <w:t xml:space="preserve"> (around 20 per cent of </w:t>
      </w:r>
      <w:r w:rsidR="00EF7EB2">
        <w:t xml:space="preserve">the </w:t>
      </w:r>
      <w:r w:rsidR="003978E4">
        <w:t>population)</w:t>
      </w:r>
      <w:r w:rsidR="00B00676">
        <w:t>, recognising that in certain specialis</w:t>
      </w:r>
      <w:r w:rsidR="00065CA4" w:rsidRPr="009E762F">
        <w:t xml:space="preserve">ed fields there may be </w:t>
      </w:r>
      <w:r w:rsidR="00EF7EB2">
        <w:t xml:space="preserve">a </w:t>
      </w:r>
      <w:r w:rsidR="00065CA4" w:rsidRPr="009E762F">
        <w:t xml:space="preserve">conflict between individual aspirations and community needs. </w:t>
      </w:r>
      <w:r w:rsidR="00120B70">
        <w:t>The</w:t>
      </w:r>
      <w:r w:rsidR="006B2D48">
        <w:t xml:space="preserve"> committee</w:t>
      </w:r>
      <w:r w:rsidR="008C65BF">
        <w:t xml:space="preserve"> did not</w:t>
      </w:r>
      <w:r w:rsidR="00120B70">
        <w:t>, however,</w:t>
      </w:r>
      <w:r w:rsidR="008C65BF">
        <w:t xml:space="preserve"> consider that</w:t>
      </w:r>
      <w:r w:rsidR="00065CA4" w:rsidRPr="009E762F">
        <w:t xml:space="preserve"> </w:t>
      </w:r>
      <w:r w:rsidR="00AB306D">
        <w:t>‘</w:t>
      </w:r>
      <w:r w:rsidR="00065CA4" w:rsidRPr="009E762F">
        <w:t>entry of students into various courses should be restricted to forecasts of future needs. This would circumscribe educational opportunity and involve the risk of grave error</w:t>
      </w:r>
      <w:r w:rsidR="00AB306D">
        <w:t>’</w:t>
      </w:r>
      <w:r w:rsidR="00521456">
        <w:t xml:space="preserve"> (</w:t>
      </w:r>
      <w:r w:rsidR="00EF7EB2">
        <w:t xml:space="preserve">Committee on the Future of Tertiary Education in Australia </w:t>
      </w:r>
      <w:r w:rsidR="00521456">
        <w:t>1964</w:t>
      </w:r>
      <w:r w:rsidR="003A2951">
        <w:t>—65</w:t>
      </w:r>
      <w:r w:rsidR="00827C8B">
        <w:t>, vol</w:t>
      </w:r>
      <w:r w:rsidR="00E73320">
        <w:t>.</w:t>
      </w:r>
      <w:r w:rsidR="00521456">
        <w:t>I p.1)</w:t>
      </w:r>
      <w:r w:rsidR="00E3465B">
        <w:t>.</w:t>
      </w:r>
    </w:p>
    <w:p w:rsidR="002873F8" w:rsidRDefault="00E3465B" w:rsidP="00065CA4">
      <w:pPr>
        <w:pStyle w:val="Text"/>
      </w:pPr>
      <w:r>
        <w:t xml:space="preserve">In 1939 </w:t>
      </w:r>
      <w:r w:rsidR="00B303FC">
        <w:t xml:space="preserve">in a commencement address at Canberra University College, </w:t>
      </w:r>
      <w:r w:rsidR="001301DB">
        <w:t>Menzies</w:t>
      </w:r>
      <w:r w:rsidR="002873F8">
        <w:t xml:space="preserve"> </w:t>
      </w:r>
      <w:r w:rsidR="00B303FC">
        <w:t>listed what he saw as the</w:t>
      </w:r>
      <w:r w:rsidR="002873F8">
        <w:t xml:space="preserve"> seven responsibilities of a modern university</w:t>
      </w:r>
      <w:r w:rsidR="00AB78FA">
        <w:t>,</w:t>
      </w:r>
      <w:r w:rsidR="00B303FC">
        <w:t xml:space="preserve"> which</w:t>
      </w:r>
      <w:r w:rsidR="002873F8">
        <w:t xml:space="preserve"> </w:t>
      </w:r>
      <w:r>
        <w:t>were to</w:t>
      </w:r>
      <w:r w:rsidR="003E1640">
        <w:t>:</w:t>
      </w:r>
      <w:r w:rsidR="002873F8" w:rsidRPr="002873F8">
        <w:t xml:space="preserve"> </w:t>
      </w:r>
    </w:p>
    <w:p w:rsidR="002873F8" w:rsidRDefault="003E1640" w:rsidP="00962A18">
      <w:pPr>
        <w:pStyle w:val="Quote"/>
      </w:pPr>
      <w:r>
        <w:t xml:space="preserve">(1) be </w:t>
      </w:r>
      <w:r w:rsidR="002873F8">
        <w:t>a home of pure culture and learning</w:t>
      </w:r>
    </w:p>
    <w:p w:rsidR="002873F8" w:rsidRDefault="002873F8" w:rsidP="00962A18">
      <w:pPr>
        <w:pStyle w:val="Quote"/>
      </w:pPr>
      <w:r>
        <w:t>(2) serve as a training school for the professions</w:t>
      </w:r>
    </w:p>
    <w:p w:rsidR="002873F8" w:rsidRDefault="002873F8" w:rsidP="00962A18">
      <w:pPr>
        <w:pStyle w:val="Quote"/>
      </w:pPr>
      <w:r>
        <w:t>(3) serve as a liaison between the academician a</w:t>
      </w:r>
      <w:r w:rsidR="003E1640">
        <w:t xml:space="preserve">nd the </w:t>
      </w:r>
      <w:r w:rsidR="00AB306D">
        <w:t>‘</w:t>
      </w:r>
      <w:r>
        <w:t xml:space="preserve">good practical </w:t>
      </w:r>
      <w:r w:rsidR="003E1640">
        <w:t>man</w:t>
      </w:r>
      <w:r w:rsidR="00AB306D">
        <w:t>’</w:t>
      </w:r>
    </w:p>
    <w:p w:rsidR="003E1640" w:rsidRDefault="002873F8" w:rsidP="00962A18">
      <w:pPr>
        <w:pStyle w:val="Quote"/>
      </w:pPr>
      <w:r>
        <w:t xml:space="preserve">(4) </w:t>
      </w:r>
      <w:r w:rsidR="003E1640">
        <w:t>be the home of research</w:t>
      </w:r>
    </w:p>
    <w:p w:rsidR="003E1640" w:rsidRDefault="002873F8" w:rsidP="00962A18">
      <w:pPr>
        <w:pStyle w:val="Quote"/>
      </w:pPr>
      <w:r>
        <w:t xml:space="preserve">(5) </w:t>
      </w:r>
      <w:r w:rsidR="003E1640">
        <w:t>be a trainer of character</w:t>
      </w:r>
      <w:r>
        <w:t xml:space="preserve"> </w:t>
      </w:r>
    </w:p>
    <w:p w:rsidR="003E1640" w:rsidRDefault="003E1640" w:rsidP="00962A18">
      <w:pPr>
        <w:pStyle w:val="Quote"/>
      </w:pPr>
      <w:r>
        <w:t>(6) be the training ground for leaders</w:t>
      </w:r>
      <w:r w:rsidR="002873F8">
        <w:t xml:space="preserve"> </w:t>
      </w:r>
    </w:p>
    <w:p w:rsidR="001301DB" w:rsidRDefault="002873F8" w:rsidP="00962A18">
      <w:pPr>
        <w:pStyle w:val="Quote"/>
      </w:pPr>
      <w:r>
        <w:t>(7) be</w:t>
      </w:r>
      <w:r w:rsidR="003E1640">
        <w:t xml:space="preserve"> a custodian of mental liberty and the unfettered search f</w:t>
      </w:r>
      <w:r>
        <w:t>or truth</w:t>
      </w:r>
      <w:r w:rsidR="00E73320">
        <w:t xml:space="preserve"> (Menzies 1939)</w:t>
      </w:r>
      <w:r>
        <w:t xml:space="preserve">.  </w:t>
      </w:r>
    </w:p>
    <w:p w:rsidR="009E762F" w:rsidRDefault="003C7624" w:rsidP="003E1640">
      <w:pPr>
        <w:pStyle w:val="Text"/>
      </w:pPr>
      <w:r>
        <w:t>Later, when the Martin C</w:t>
      </w:r>
      <w:r w:rsidR="003E1640">
        <w:t>ommittee was getting underway, Menzies</w:t>
      </w:r>
      <w:r w:rsidR="00E25169">
        <w:t xml:space="preserve"> </w:t>
      </w:r>
      <w:r w:rsidR="003E1640">
        <w:t>observed in the House</w:t>
      </w:r>
      <w:r w:rsidR="009E762F">
        <w:t xml:space="preserve"> of Representatives</w:t>
      </w:r>
      <w:r w:rsidR="003E1640">
        <w:t xml:space="preserve">: </w:t>
      </w:r>
    </w:p>
    <w:p w:rsidR="009E762F" w:rsidRDefault="003E1640" w:rsidP="009E762F">
      <w:pPr>
        <w:pStyle w:val="Quote"/>
      </w:pPr>
      <w:r>
        <w:t>I think nothing would be more disastrous than to allow the university structure in Australia to fall into a state of what I might call classical uniformity, as if we were still constantly building on a nineteenth century model. It is for that very reason we have set up</w:t>
      </w:r>
      <w:r w:rsidR="00E73320">
        <w:t xml:space="preserve"> </w:t>
      </w:r>
      <w:r w:rsidR="00EF4717">
        <w:t>…</w:t>
      </w:r>
      <w:r>
        <w:t xml:space="preserve"> a committee</w:t>
      </w:r>
      <w:r w:rsidR="00E73320">
        <w:t xml:space="preserve"> </w:t>
      </w:r>
      <w:r w:rsidR="00EF4717">
        <w:t>…</w:t>
      </w:r>
      <w:r w:rsidR="00E73320">
        <w:t xml:space="preserve"> </w:t>
      </w:r>
      <w:r>
        <w:t xml:space="preserve">to investigate tertiary education as a whole, in order to see whether we cannot get a variety of types of tertiary training institutions </w:t>
      </w:r>
      <w:r w:rsidR="00EF4717">
        <w:t>―</w:t>
      </w:r>
      <w:r>
        <w:t xml:space="preserve"> technological, classical or scientific, whatever they may be.</w:t>
      </w:r>
      <w:r w:rsidRPr="003E1640">
        <w:t xml:space="preserve"> </w:t>
      </w:r>
    </w:p>
    <w:p w:rsidR="00F46214" w:rsidRDefault="00F46214" w:rsidP="009E762F">
      <w:pPr>
        <w:pStyle w:val="Quote"/>
      </w:pPr>
      <w:r>
        <w:tab/>
      </w:r>
      <w:r w:rsidRPr="00651D01">
        <w:t>(Australia</w:t>
      </w:r>
      <w:r w:rsidR="0029734C" w:rsidRPr="00651D01">
        <w:t>.</w:t>
      </w:r>
      <w:r w:rsidRPr="00651D01">
        <w:t xml:space="preserve"> House of Representatives,</w:t>
      </w:r>
      <w:r w:rsidR="0029734C" w:rsidRPr="00651D01">
        <w:t xml:space="preserve"> </w:t>
      </w:r>
      <w:r w:rsidR="0029734C" w:rsidRPr="00651D01">
        <w:rPr>
          <w:i/>
        </w:rPr>
        <w:t>Debates</w:t>
      </w:r>
      <w:r w:rsidR="0029734C" w:rsidRPr="00651D01">
        <w:t>,</w:t>
      </w:r>
      <w:r w:rsidRPr="00651D01">
        <w:t xml:space="preserve"> 1 May 1962)</w:t>
      </w:r>
    </w:p>
    <w:p w:rsidR="00B172F8" w:rsidRDefault="0089579A" w:rsidP="003E1640">
      <w:pPr>
        <w:pStyle w:val="Text"/>
      </w:pPr>
      <w:r>
        <w:t>Menzies and Martin admired each other, so it is easy to imagine that t</w:t>
      </w:r>
      <w:r w:rsidR="003E1640">
        <w:t xml:space="preserve">he </w:t>
      </w:r>
      <w:r w:rsidR="00E73320">
        <w:t>prime minister</w:t>
      </w:r>
      <w:r w:rsidR="00AB306D">
        <w:t>’</w:t>
      </w:r>
      <w:r w:rsidR="00E73320">
        <w:t xml:space="preserve">s </w:t>
      </w:r>
      <w:r w:rsidR="003E1640">
        <w:t xml:space="preserve">philosophy </w:t>
      </w:r>
      <w:r>
        <w:t xml:space="preserve">helped </w:t>
      </w:r>
      <w:r w:rsidR="00822F8D">
        <w:t>Martin</w:t>
      </w:r>
      <w:r w:rsidR="003A2951">
        <w:t xml:space="preserve"> to</w:t>
      </w:r>
      <w:r w:rsidR="00822F8D">
        <w:t xml:space="preserve"> </w:t>
      </w:r>
      <w:r>
        <w:t xml:space="preserve">flesh out </w:t>
      </w:r>
      <w:r w:rsidR="00822F8D">
        <w:t>his terms of reference</w:t>
      </w:r>
      <w:r w:rsidR="006B2D48">
        <w:t>,</w:t>
      </w:r>
      <w:r>
        <w:t xml:space="preserve"> which mirrored those of the Robbins </w:t>
      </w:r>
      <w:r w:rsidR="00F46214">
        <w:t>I</w:t>
      </w:r>
      <w:r>
        <w:t>nquiry</w:t>
      </w:r>
      <w:r w:rsidR="00827C8B">
        <w:t xml:space="preserve"> (</w:t>
      </w:r>
      <w:r w:rsidR="00B91886">
        <w:t>Committee on Higher Education</w:t>
      </w:r>
      <w:r w:rsidR="00F46214">
        <w:t xml:space="preserve"> </w:t>
      </w:r>
      <w:r w:rsidR="0029734C">
        <w:t>[</w:t>
      </w:r>
      <w:r w:rsidR="00F46214">
        <w:t>UK</w:t>
      </w:r>
      <w:r w:rsidR="0029734C">
        <w:t>]</w:t>
      </w:r>
      <w:r w:rsidR="00F46214">
        <w:t xml:space="preserve">, </w:t>
      </w:r>
      <w:r w:rsidR="00B91886">
        <w:t>1963</w:t>
      </w:r>
      <w:r w:rsidR="00827C8B">
        <w:t>)</w:t>
      </w:r>
      <w:r>
        <w:t xml:space="preserve"> being conducted </w:t>
      </w:r>
      <w:r w:rsidR="000B43E9">
        <w:t xml:space="preserve">at the same time in Britain. </w:t>
      </w:r>
      <w:r w:rsidR="00B172F8">
        <w:t xml:space="preserve">One point of difference may have been </w:t>
      </w:r>
      <w:r w:rsidR="00B303FC">
        <w:t>their attitude</w:t>
      </w:r>
      <w:r w:rsidR="00B172F8">
        <w:t xml:space="preserve"> to federalism. Martin understood the politics but was disappointed that these interfered</w:t>
      </w:r>
      <w:r w:rsidR="00B303FC">
        <w:t xml:space="preserve"> with the need for better</w:t>
      </w:r>
      <w:r w:rsidR="00044DFA">
        <w:t xml:space="preserve"> teacher education. Menzies, </w:t>
      </w:r>
      <w:r w:rsidR="00044DFA" w:rsidRPr="00044DFA">
        <w:t xml:space="preserve">while </w:t>
      </w:r>
      <w:r w:rsidR="00044DFA">
        <w:t>acknowledging</w:t>
      </w:r>
      <w:r w:rsidR="00044DFA" w:rsidRPr="00044DFA">
        <w:t xml:space="preserve"> the need for a Commonwealth role in the funding</w:t>
      </w:r>
      <w:r w:rsidR="00044DFA">
        <w:t xml:space="preserve"> of universities,</w:t>
      </w:r>
      <w:r w:rsidR="00044DFA" w:rsidRPr="00044DFA">
        <w:t xml:space="preserve"> worried that </w:t>
      </w:r>
      <w:r w:rsidR="00AB306D">
        <w:t>‘</w:t>
      </w:r>
      <w:r w:rsidR="00044DFA" w:rsidRPr="00044DFA">
        <w:t xml:space="preserve">centralised, national responsibility and authority in </w:t>
      </w:r>
      <w:r w:rsidR="00041295" w:rsidRPr="00044DFA">
        <w:t>education would</w:t>
      </w:r>
      <w:r w:rsidR="00044DFA" w:rsidRPr="00044DFA">
        <w:t xml:space="preserve"> tend to produce uniformity</w:t>
      </w:r>
      <w:r w:rsidR="00AB306D">
        <w:t>’</w:t>
      </w:r>
      <w:r w:rsidR="00044DFA">
        <w:t xml:space="preserve"> (Kramer</w:t>
      </w:r>
      <w:r w:rsidR="00B91886">
        <w:t xml:space="preserve"> 1987</w:t>
      </w:r>
      <w:r w:rsidR="00044DFA">
        <w:t>, p</w:t>
      </w:r>
      <w:r w:rsidR="00044DFA" w:rsidRPr="00044DFA">
        <w:t>.</w:t>
      </w:r>
      <w:r w:rsidR="00044DFA">
        <w:t>4).</w:t>
      </w:r>
      <w:r w:rsidR="00044DFA" w:rsidRPr="00044DFA">
        <w:t xml:space="preserve">  </w:t>
      </w:r>
    </w:p>
    <w:p w:rsidR="00FA1E5A" w:rsidRDefault="00822F8D" w:rsidP="003E1640">
      <w:pPr>
        <w:pStyle w:val="Text"/>
      </w:pPr>
      <w:r>
        <w:lastRenderedPageBreak/>
        <w:t xml:space="preserve">Davies </w:t>
      </w:r>
      <w:r w:rsidR="00FA1E5A">
        <w:t>(</w:t>
      </w:r>
      <w:r w:rsidR="00B91886">
        <w:t>1989</w:t>
      </w:r>
      <w:r w:rsidR="00DC2B3A">
        <w:t>, p.</w:t>
      </w:r>
      <w:r w:rsidR="00FA1E5A">
        <w:t xml:space="preserve">46) </w:t>
      </w:r>
      <w:r>
        <w:t xml:space="preserve">suggests that Martin </w:t>
      </w:r>
      <w:r w:rsidR="009E762F">
        <w:t xml:space="preserve">ran the </w:t>
      </w:r>
      <w:r w:rsidR="00DC2B3A">
        <w:t>c</w:t>
      </w:r>
      <w:r w:rsidR="009E762F">
        <w:t>ommittee</w:t>
      </w:r>
      <w:r>
        <w:t xml:space="preserve"> according to his own mindset, formed while a student of </w:t>
      </w:r>
      <w:r w:rsidR="003A2951">
        <w:t xml:space="preserve">the </w:t>
      </w:r>
      <w:r w:rsidR="00E26CB5">
        <w:t xml:space="preserve">Nobel </w:t>
      </w:r>
      <w:r w:rsidR="00DC2B3A">
        <w:t xml:space="preserve">Laureate, Ernest Rutherford, in </w:t>
      </w:r>
      <w:r w:rsidR="00E26CB5">
        <w:t xml:space="preserve">the </w:t>
      </w:r>
      <w:r w:rsidR="00FA1E5A">
        <w:t>Cavendish Laboratory at the University of Cambridge</w:t>
      </w:r>
      <w:r>
        <w:t>:</w:t>
      </w:r>
    </w:p>
    <w:p w:rsidR="00FA1E5A" w:rsidRDefault="00822F8D" w:rsidP="00FA1E5A">
      <w:pPr>
        <w:pStyle w:val="Quote"/>
      </w:pPr>
      <w:r w:rsidRPr="00822F8D">
        <w:t xml:space="preserve">the discovery of knowledge and its application were perceived by </w:t>
      </w:r>
      <w:r w:rsidR="00FA1E5A" w:rsidRPr="00822F8D">
        <w:t>Cavendish</w:t>
      </w:r>
      <w:r w:rsidRPr="00822F8D">
        <w:t xml:space="preserve"> men as distinct </w:t>
      </w:r>
      <w:r w:rsidR="00FA1E5A" w:rsidRPr="00822F8D">
        <w:t>processes</w:t>
      </w:r>
      <w:r w:rsidRPr="00822F8D">
        <w:t xml:space="preserve"> to</w:t>
      </w:r>
      <w:r w:rsidR="00FA1E5A">
        <w:t xml:space="preserve"> </w:t>
      </w:r>
      <w:r w:rsidRPr="00822F8D">
        <w:t>be carried out by differe</w:t>
      </w:r>
      <w:r w:rsidR="00FA1E5A">
        <w:t>nt</w:t>
      </w:r>
      <w:r w:rsidRPr="00822F8D">
        <w:t xml:space="preserve"> </w:t>
      </w:r>
      <w:r w:rsidR="00FA1E5A" w:rsidRPr="00822F8D">
        <w:t>people</w:t>
      </w:r>
      <w:r w:rsidRPr="00822F8D">
        <w:t>, who they assumed would require different types of training. They beli</w:t>
      </w:r>
      <w:r w:rsidR="006B2D48">
        <w:t>ev</w:t>
      </w:r>
      <w:r w:rsidRPr="00822F8D">
        <w:t>ed in</w:t>
      </w:r>
      <w:r w:rsidR="00FA1E5A">
        <w:t xml:space="preserve"> </w:t>
      </w:r>
      <w:r w:rsidRPr="00822F8D">
        <w:t>a dual system of higher education: traditional universities on the one hand to train people to discover new know</w:t>
      </w:r>
      <w:r w:rsidR="00FA1E5A">
        <w:t>l</w:t>
      </w:r>
      <w:r w:rsidRPr="00822F8D">
        <w:t>edge and higher technical institutions on the other to train people in the applica</w:t>
      </w:r>
      <w:r w:rsidR="00FA1E5A">
        <w:t>tion</w:t>
      </w:r>
      <w:r w:rsidRPr="00822F8D">
        <w:t xml:space="preserve"> of scien</w:t>
      </w:r>
      <w:r w:rsidR="00FA1E5A">
        <w:t>tific knowledge in industry.</w:t>
      </w:r>
    </w:p>
    <w:p w:rsidR="00FA1E5A" w:rsidRDefault="000B43E9" w:rsidP="00813882">
      <w:pPr>
        <w:pStyle w:val="Text"/>
      </w:pPr>
      <w:r>
        <w:t>Was there snob</w:t>
      </w:r>
      <w:r w:rsidR="003A2951">
        <w:t xml:space="preserve">bery attached to this mindset? </w:t>
      </w:r>
      <w:r w:rsidR="00E835DB">
        <w:t xml:space="preserve">For </w:t>
      </w:r>
      <w:r w:rsidR="009E762F">
        <w:t>Menzies and Martin</w:t>
      </w:r>
      <w:r w:rsidR="00E835DB">
        <w:t xml:space="preserve">, and Lord Robbins, </w:t>
      </w:r>
      <w:r w:rsidR="00FA1E5A" w:rsidRPr="00FA1E5A">
        <w:t xml:space="preserve">the determinant of entry to </w:t>
      </w:r>
      <w:r w:rsidR="00FA1E5A">
        <w:t xml:space="preserve">the university </w:t>
      </w:r>
      <w:r>
        <w:t>should be</w:t>
      </w:r>
      <w:r w:rsidR="00FA1E5A">
        <w:t xml:space="preserve"> ability and interest. It was n</w:t>
      </w:r>
      <w:r w:rsidR="006B2D48">
        <w:t>ot to be a matter of privilege</w:t>
      </w:r>
      <w:r w:rsidR="00DC2B3A">
        <w:t xml:space="preserve">. </w:t>
      </w:r>
      <w:r w:rsidR="00041295" w:rsidRPr="000B43E9">
        <w:t>The committee</w:t>
      </w:r>
      <w:r w:rsidR="00DC2B3A">
        <w:t xml:space="preserve"> had</w:t>
      </w:r>
      <w:r w:rsidR="00041295" w:rsidRPr="000B43E9">
        <w:t xml:space="preserve"> </w:t>
      </w:r>
      <w:r w:rsidR="00DC2B3A">
        <w:t xml:space="preserve">embarked </w:t>
      </w:r>
      <w:r w:rsidR="00041295" w:rsidRPr="000B43E9">
        <w:t xml:space="preserve">on a radical path: the redesign of </w:t>
      </w:r>
      <w:r w:rsidR="00041295">
        <w:t xml:space="preserve">a </w:t>
      </w:r>
      <w:r w:rsidR="00041295" w:rsidRPr="000B43E9">
        <w:t xml:space="preserve">system attached to the </w:t>
      </w:r>
      <w:r w:rsidR="00041295">
        <w:t xml:space="preserve">traditional British </w:t>
      </w:r>
      <w:r w:rsidR="00041295" w:rsidRPr="000B43E9">
        <w:t>concept of</w:t>
      </w:r>
      <w:r w:rsidR="00041295">
        <w:t xml:space="preserve"> a university, albeit one with the Australian twist of a strong focus from the start on training </w:t>
      </w:r>
      <w:r w:rsidR="003E7065">
        <w:t xml:space="preserve">for </w:t>
      </w:r>
      <w:r w:rsidR="00041295">
        <w:t xml:space="preserve">the professions. </w:t>
      </w:r>
      <w:r w:rsidR="00DC2B3A">
        <w:t>With th</w:t>
      </w:r>
      <w:r w:rsidR="00F55E3C">
        <w:t>eir new s</w:t>
      </w:r>
      <w:r w:rsidR="00DC2B3A">
        <w:t>ystem</w:t>
      </w:r>
      <w:r w:rsidR="00F55E3C">
        <w:t xml:space="preserve"> they </w:t>
      </w:r>
      <w:r w:rsidR="00B03146">
        <w:t>envisage</w:t>
      </w:r>
      <w:r w:rsidR="00F55E3C">
        <w:t>d</w:t>
      </w:r>
      <w:r w:rsidR="00B03146">
        <w:t xml:space="preserve"> a set of elite institutions devoted to high</w:t>
      </w:r>
      <w:r w:rsidR="00B250C3">
        <w:t>ly</w:t>
      </w:r>
      <w:r w:rsidR="00B03146">
        <w:t xml:space="preserve"> academic </w:t>
      </w:r>
      <w:r w:rsidR="00B250C3">
        <w:t xml:space="preserve">learning </w:t>
      </w:r>
      <w:r w:rsidR="00B03146">
        <w:t>and research.</w:t>
      </w:r>
    </w:p>
    <w:p w:rsidR="0044531E" w:rsidRPr="009E762F" w:rsidRDefault="00DC2B3A" w:rsidP="00496086">
      <w:pPr>
        <w:pStyle w:val="Text"/>
        <w:ind w:right="141"/>
      </w:pPr>
      <w:r>
        <w:t>A</w:t>
      </w:r>
      <w:r w:rsidR="00FA1E5A" w:rsidRPr="009E762F">
        <w:t>nother member of the Mart</w:t>
      </w:r>
      <w:r w:rsidR="00FA1E5A" w:rsidRPr="00625CC5">
        <w:t>in Committee, Peter Karmel, who went</w:t>
      </w:r>
      <w:r w:rsidR="0044531E" w:rsidRPr="00625CC5">
        <w:t xml:space="preserve"> </w:t>
      </w:r>
      <w:r w:rsidR="00FA1E5A" w:rsidRPr="00625CC5">
        <w:t xml:space="preserve">on to be involved in one landmark inquiry after another, </w:t>
      </w:r>
      <w:r w:rsidR="00916C92" w:rsidRPr="00625CC5">
        <w:t xml:space="preserve">thirty-five years </w:t>
      </w:r>
      <w:r w:rsidRPr="00625CC5">
        <w:t>later</w:t>
      </w:r>
      <w:r w:rsidR="00F46214" w:rsidRPr="00625CC5">
        <w:t xml:space="preserve"> </w:t>
      </w:r>
      <w:r w:rsidR="00496086" w:rsidRPr="00625CC5">
        <w:t xml:space="preserve">reflected </w:t>
      </w:r>
      <w:r w:rsidRPr="00625CC5">
        <w:t xml:space="preserve">on the merits of </w:t>
      </w:r>
      <w:r w:rsidR="0044531E" w:rsidRPr="00625CC5">
        <w:t xml:space="preserve">good training for health professionals </w:t>
      </w:r>
      <w:r w:rsidR="00496086" w:rsidRPr="00625CC5">
        <w:t xml:space="preserve">(he was convalescing) </w:t>
      </w:r>
      <w:r w:rsidR="0044531E" w:rsidRPr="00625CC5">
        <w:t xml:space="preserve">and </w:t>
      </w:r>
      <w:r w:rsidRPr="00625CC5">
        <w:t>on</w:t>
      </w:r>
      <w:r w:rsidR="0044531E" w:rsidRPr="00625CC5">
        <w:t xml:space="preserve"> </w:t>
      </w:r>
      <w:r w:rsidR="00FA1E5A" w:rsidRPr="00625CC5">
        <w:t xml:space="preserve">universities. </w:t>
      </w:r>
      <w:r w:rsidR="0044531E" w:rsidRPr="00625CC5">
        <w:t>Here is part of that</w:t>
      </w:r>
      <w:r w:rsidR="00FA1E5A" w:rsidRPr="00625CC5">
        <w:t xml:space="preserve"> rumination</w:t>
      </w:r>
      <w:r w:rsidR="00E25169" w:rsidRPr="00625CC5">
        <w:t xml:space="preserve"> (Karmel 1999</w:t>
      </w:r>
      <w:r w:rsidR="003E7065" w:rsidRPr="00625CC5">
        <w:t>, p.4</w:t>
      </w:r>
      <w:r w:rsidR="00E25169" w:rsidRPr="00625CC5">
        <w:t>)</w:t>
      </w:r>
      <w:r w:rsidR="00FA1E5A" w:rsidRPr="00625CC5">
        <w:t>:</w:t>
      </w:r>
      <w:r w:rsidR="00FA1E5A" w:rsidRPr="009E762F">
        <w:t xml:space="preserve"> </w:t>
      </w:r>
    </w:p>
    <w:p w:rsidR="0044531E" w:rsidRDefault="0044531E" w:rsidP="0044531E">
      <w:pPr>
        <w:pStyle w:val="Quote"/>
      </w:pPr>
      <w:r>
        <w:t xml:space="preserve">Opposition to </w:t>
      </w:r>
      <w:r w:rsidRPr="00B303FC">
        <w:t>elitism</w:t>
      </w:r>
      <w:r>
        <w:t xml:space="preserve"> in our higher education system from government, the public and the</w:t>
      </w:r>
      <w:r w:rsidR="006B2D48">
        <w:t xml:space="preserve"> </w:t>
      </w:r>
      <w:r>
        <w:t>institutions themselves is so strong that all universities have to be treated in exactly similar fashion. There must be no tall poppies; none must stand out from the crowd</w:t>
      </w:r>
      <w:r w:rsidR="003E7065">
        <w:t xml:space="preserve"> </w:t>
      </w:r>
      <w:r>
        <w:t>…</w:t>
      </w:r>
      <w:r w:rsidR="00964D9A">
        <w:t xml:space="preserve"> </w:t>
      </w:r>
      <w:r>
        <w:rPr>
          <w:lang w:val="en-GB"/>
        </w:rPr>
        <w:t>The antagonism to provi</w:t>
      </w:r>
      <w:r w:rsidRPr="0044531E">
        <w:rPr>
          <w:lang w:val="en-GB"/>
        </w:rPr>
        <w:t xml:space="preserve">ding special support to a </w:t>
      </w:r>
      <w:r>
        <w:rPr>
          <w:lang w:val="en-GB"/>
        </w:rPr>
        <w:t>limit</w:t>
      </w:r>
      <w:r w:rsidRPr="0044531E">
        <w:rPr>
          <w:lang w:val="en-GB"/>
        </w:rPr>
        <w:t>ed</w:t>
      </w:r>
      <w:r>
        <w:rPr>
          <w:lang w:val="en-GB"/>
        </w:rPr>
        <w:t xml:space="preserve"> </w:t>
      </w:r>
      <w:r w:rsidRPr="0044531E">
        <w:rPr>
          <w:lang w:val="en-GB"/>
        </w:rPr>
        <w:t>number of institutions on the grounds of its being elitist is really</w:t>
      </w:r>
      <w:r>
        <w:rPr>
          <w:lang w:val="en-GB"/>
        </w:rPr>
        <w:t xml:space="preserve"> </w:t>
      </w:r>
      <w:r w:rsidRPr="0044531E">
        <w:rPr>
          <w:lang w:val="en-GB"/>
        </w:rPr>
        <w:t>quite extraordinary, given the obvious ways in which top</w:t>
      </w:r>
      <w:r>
        <w:rPr>
          <w:lang w:val="en-GB"/>
        </w:rPr>
        <w:t xml:space="preserve"> </w:t>
      </w:r>
      <w:r w:rsidRPr="0044531E">
        <w:rPr>
          <w:lang w:val="en-GB"/>
        </w:rPr>
        <w:t>scholars and resear</w:t>
      </w:r>
      <w:r w:rsidR="00916C92">
        <w:rPr>
          <w:lang w:val="en-GB"/>
        </w:rPr>
        <w:t>chers stand out above the rest</w:t>
      </w:r>
      <w:r w:rsidR="003E7065">
        <w:rPr>
          <w:lang w:val="en-GB"/>
        </w:rPr>
        <w:t xml:space="preserve"> </w:t>
      </w:r>
      <w:r>
        <w:t>…</w:t>
      </w:r>
      <w:r w:rsidR="003E7065">
        <w:t xml:space="preserve"> </w:t>
      </w:r>
      <w:r>
        <w:t>We must recognise the need for a differentiated system of universities, acknowledging that in the world of the intellect we are not all equal. If we do not do this, Australia, a gold medal country in the world of sport, will soon become a tin medal one in the world of the intellect. Not much of a future for the clever country! We must confront these issues. But I am not holding</w:t>
      </w:r>
      <w:r w:rsidR="00DC2B3A">
        <w:t xml:space="preserve"> </w:t>
      </w:r>
      <w:r>
        <w:t>my breath</w:t>
      </w:r>
      <w:r w:rsidR="008734E7">
        <w:t>.</w:t>
      </w:r>
    </w:p>
    <w:p w:rsidR="00AB78FA" w:rsidRDefault="003E7065" w:rsidP="00482E9E">
      <w:pPr>
        <w:pStyle w:val="Text"/>
      </w:pPr>
      <w:r>
        <w:t xml:space="preserve">The Martin Committee and the Menzies and </w:t>
      </w:r>
      <w:r w:rsidR="0044531E">
        <w:t xml:space="preserve">Gorton governments </w:t>
      </w:r>
      <w:r w:rsidR="00DC2B3A">
        <w:t>had tried</w:t>
      </w:r>
      <w:r w:rsidR="0044531E">
        <w:t xml:space="preserve"> to confront the issues. </w:t>
      </w:r>
      <w:r w:rsidR="00962A18">
        <w:t xml:space="preserve">These </w:t>
      </w:r>
      <w:r w:rsidR="0044531E">
        <w:t>men</w:t>
      </w:r>
      <w:r w:rsidR="00962A18">
        <w:t xml:space="preserve"> were committed to</w:t>
      </w:r>
      <w:r w:rsidR="0044531E">
        <w:t xml:space="preserve"> </w:t>
      </w:r>
      <w:r w:rsidR="008F4EF3">
        <w:t xml:space="preserve">fashioning </w:t>
      </w:r>
      <w:r w:rsidR="007B59C5" w:rsidRPr="00916C92">
        <w:t>tertiary education</w:t>
      </w:r>
      <w:r w:rsidR="008F4EF3">
        <w:t xml:space="preserve"> in a way that </w:t>
      </w:r>
      <w:r w:rsidR="000B43E9" w:rsidRPr="000B43E9">
        <w:t xml:space="preserve">would serve </w:t>
      </w:r>
      <w:r w:rsidR="00AE3BA9">
        <w:t>the nation</w:t>
      </w:r>
      <w:r w:rsidR="000B43E9" w:rsidRPr="000B43E9">
        <w:t xml:space="preserve"> as well as preserve the pursuit of knowledge</w:t>
      </w:r>
      <w:r w:rsidR="008F4EF3">
        <w:t>. They</w:t>
      </w:r>
      <w:r w:rsidR="00962A18">
        <w:t xml:space="preserve"> believed in the sanctity of intellectual freedo</w:t>
      </w:r>
      <w:r w:rsidR="00E3465B">
        <w:t>m and a place for pure research;</w:t>
      </w:r>
      <w:r w:rsidR="00962A18">
        <w:t xml:space="preserve"> </w:t>
      </w:r>
      <w:r w:rsidR="00EF4717">
        <w:t>they w</w:t>
      </w:r>
      <w:r w:rsidR="003978E4">
        <w:t xml:space="preserve">ere looking for </w:t>
      </w:r>
      <w:r w:rsidR="00EF4717">
        <w:t>a</w:t>
      </w:r>
      <w:r w:rsidR="003978E4">
        <w:t>n alternative to universities</w:t>
      </w:r>
      <w:r w:rsidR="00F46214">
        <w:t>, one</w:t>
      </w:r>
      <w:r w:rsidR="00EF4717">
        <w:t xml:space="preserve"> that could </w:t>
      </w:r>
      <w:r w:rsidR="00EF4717" w:rsidRPr="00916C92">
        <w:t xml:space="preserve">offer </w:t>
      </w:r>
      <w:r w:rsidR="00916C92">
        <w:t>advanced</w:t>
      </w:r>
      <w:r w:rsidR="007B59C5" w:rsidRPr="00916C92">
        <w:t xml:space="preserve"> education</w:t>
      </w:r>
      <w:r w:rsidR="00AE3BA9">
        <w:t xml:space="preserve"> to practically </w:t>
      </w:r>
      <w:r w:rsidR="00EF4717">
        <w:t>oriented men and women</w:t>
      </w:r>
      <w:r w:rsidR="00E3465B">
        <w:t>;</w:t>
      </w:r>
      <w:r w:rsidR="00EF4717">
        <w:t xml:space="preserve"> and they wanted to fuel economic growth</w:t>
      </w:r>
      <w:r w:rsidR="00962A18">
        <w:t xml:space="preserve">. </w:t>
      </w:r>
      <w:r w:rsidR="005E5478">
        <w:t>However, the</w:t>
      </w:r>
      <w:r w:rsidR="00DC2B3A">
        <w:t xml:space="preserve"> liberal element in the initial concept </w:t>
      </w:r>
      <w:r w:rsidR="0007301F">
        <w:t xml:space="preserve">of advanced education </w:t>
      </w:r>
      <w:r w:rsidR="00DC2B3A">
        <w:t xml:space="preserve">― </w:t>
      </w:r>
      <w:r w:rsidR="00916C92">
        <w:t>namely</w:t>
      </w:r>
      <w:r>
        <w:t>,</w:t>
      </w:r>
      <w:r w:rsidR="00916C92">
        <w:t xml:space="preserve"> </w:t>
      </w:r>
      <w:r w:rsidR="00DC2B3A">
        <w:t>a breadth of education to develop creative minds</w:t>
      </w:r>
      <w:r w:rsidR="008D1C53">
        <w:t xml:space="preserve"> in practical men and women</w:t>
      </w:r>
      <w:r w:rsidR="00DC2B3A">
        <w:t xml:space="preserve"> ― lost out to </w:t>
      </w:r>
      <w:r w:rsidR="0007301F">
        <w:t>academic drift</w:t>
      </w:r>
      <w:r w:rsidR="005E5478">
        <w:t xml:space="preserve">. As both </w:t>
      </w:r>
      <w:r w:rsidR="00916C92">
        <w:t xml:space="preserve">Martin and Gorton </w:t>
      </w:r>
      <w:r w:rsidR="005E5478">
        <w:t xml:space="preserve">had </w:t>
      </w:r>
      <w:r w:rsidR="00916C92">
        <w:t>feared</w:t>
      </w:r>
      <w:r>
        <w:t>,</w:t>
      </w:r>
      <w:r w:rsidR="00916C92">
        <w:t xml:space="preserve"> </w:t>
      </w:r>
      <w:r w:rsidR="005E5478">
        <w:t xml:space="preserve">the </w:t>
      </w:r>
      <w:r w:rsidR="0007301F">
        <w:t xml:space="preserve">colleges </w:t>
      </w:r>
      <w:r>
        <w:t>gradually became</w:t>
      </w:r>
      <w:r w:rsidR="005E5478">
        <w:t xml:space="preserve"> </w:t>
      </w:r>
      <w:r w:rsidR="0007301F">
        <w:t xml:space="preserve">more like universities, thus </w:t>
      </w:r>
      <w:r>
        <w:t>diminishing</w:t>
      </w:r>
      <w:r w:rsidR="0007301F">
        <w:t xml:space="preserve"> their distinctive purpose</w:t>
      </w:r>
      <w:r w:rsidR="00DC2B3A">
        <w:t>.</w:t>
      </w:r>
      <w:r w:rsidR="00385B2E">
        <w:t xml:space="preserve"> </w:t>
      </w:r>
    </w:p>
    <w:p w:rsidR="00437298" w:rsidRDefault="00385B2E" w:rsidP="00921939">
      <w:pPr>
        <w:pStyle w:val="Text"/>
      </w:pPr>
      <w:r>
        <w:t xml:space="preserve">How best to combine general education with technical training remains a challenge for the </w:t>
      </w:r>
      <w:r w:rsidR="00E0577D">
        <w:t>tertiary education system</w:t>
      </w:r>
      <w:r w:rsidR="005E5478">
        <w:t>, at</w:t>
      </w:r>
      <w:r w:rsidR="009B0CEC">
        <w:t xml:space="preserve"> both</w:t>
      </w:r>
      <w:r w:rsidR="005E5478">
        <w:t xml:space="preserve"> </w:t>
      </w:r>
      <w:r w:rsidR="009B0CEC">
        <w:t>the sub-degree and degree levels</w:t>
      </w:r>
      <w:r w:rsidR="00E0577D">
        <w:t xml:space="preserve">. </w:t>
      </w:r>
      <w:r w:rsidR="00AB78FA">
        <w:t>For instance,</w:t>
      </w:r>
      <w:r w:rsidR="00921939">
        <w:t xml:space="preserve"> in 200</w:t>
      </w:r>
      <w:r w:rsidR="00921939" w:rsidRPr="00625CC5">
        <w:t>8</w:t>
      </w:r>
      <w:r w:rsidR="00AB78FA" w:rsidRPr="00625CC5">
        <w:t xml:space="preserve"> </w:t>
      </w:r>
      <w:r w:rsidR="00F46214" w:rsidRPr="00625CC5">
        <w:t xml:space="preserve">in response to this challenge, </w:t>
      </w:r>
      <w:r w:rsidR="00921939" w:rsidRPr="00625CC5">
        <w:t>the U</w:t>
      </w:r>
      <w:r w:rsidR="00921939" w:rsidRPr="00921939">
        <w:t xml:space="preserve">niversity </w:t>
      </w:r>
      <w:r w:rsidR="00921939">
        <w:t>of Melbourne</w:t>
      </w:r>
      <w:r w:rsidR="00AB306D">
        <w:t>’</w:t>
      </w:r>
      <w:r w:rsidR="00921939">
        <w:t xml:space="preserve">s Vice-Chancellor </w:t>
      </w:r>
      <w:r w:rsidR="00921939" w:rsidRPr="00921939">
        <w:t xml:space="preserve">Glyn Davis </w:t>
      </w:r>
      <w:r w:rsidR="00DA0D5C" w:rsidRPr="00DA0D5C">
        <w:t xml:space="preserve">introduced the </w:t>
      </w:r>
      <w:r w:rsidR="00AB306D">
        <w:t>‘</w:t>
      </w:r>
      <w:r w:rsidR="00DA0D5C" w:rsidRPr="00DA0D5C">
        <w:t>Melbourne Model</w:t>
      </w:r>
      <w:r w:rsidR="00AB306D">
        <w:t>’</w:t>
      </w:r>
      <w:r w:rsidR="00921939">
        <w:t>, now called the Melbourne Curriculum</w:t>
      </w:r>
      <w:r w:rsidR="00AB78FA">
        <w:t xml:space="preserve">. </w:t>
      </w:r>
      <w:r w:rsidR="00921939">
        <w:t>Under this</w:t>
      </w:r>
      <w:r w:rsidR="00AB78FA">
        <w:t xml:space="preserve"> model </w:t>
      </w:r>
      <w:r w:rsidR="00921939">
        <w:t xml:space="preserve">undergraduates choose from one of six degrees designed to lay the intellectual foundations for employment or further </w:t>
      </w:r>
      <w:r w:rsidR="00921939" w:rsidRPr="0055071C">
        <w:t>study</w:t>
      </w:r>
      <w:r w:rsidR="00F46214" w:rsidRPr="0055071C">
        <w:t>, while m</w:t>
      </w:r>
      <w:r w:rsidR="00921939" w:rsidRPr="0055071C">
        <w:t xml:space="preserve">ost </w:t>
      </w:r>
      <w:r w:rsidR="00F46214" w:rsidRPr="0055071C">
        <w:t xml:space="preserve">of the </w:t>
      </w:r>
      <w:r w:rsidR="00921939" w:rsidRPr="0055071C">
        <w:t>professional qualifications</w:t>
      </w:r>
      <w:r w:rsidR="00F46214" w:rsidRPr="0055071C">
        <w:t>, which</w:t>
      </w:r>
      <w:r w:rsidR="00921939" w:rsidRPr="0055071C">
        <w:t xml:space="preserve"> are </w:t>
      </w:r>
      <w:r w:rsidR="00F46214" w:rsidRPr="0055071C">
        <w:t>undertaken after the initial degree, are offered</w:t>
      </w:r>
      <w:r w:rsidR="00921939" w:rsidRPr="0055071C">
        <w:t xml:space="preserve"> at </w:t>
      </w:r>
      <w:r w:rsidR="00496086" w:rsidRPr="0055071C">
        <w:t>m</w:t>
      </w:r>
      <w:r w:rsidR="00921939" w:rsidRPr="0055071C">
        <w:t>aster</w:t>
      </w:r>
      <w:r w:rsidR="00AB306D" w:rsidRPr="0055071C">
        <w:t>’</w:t>
      </w:r>
      <w:r w:rsidR="00921939" w:rsidRPr="0055071C">
        <w:t>s level</w:t>
      </w:r>
      <w:r w:rsidR="00496086" w:rsidRPr="0055071C">
        <w:t>,</w:t>
      </w:r>
      <w:r w:rsidR="00921939" w:rsidRPr="0055071C">
        <w:t xml:space="preserve"> </w:t>
      </w:r>
      <w:r w:rsidR="00AB78FA" w:rsidRPr="0055071C">
        <w:t>cater</w:t>
      </w:r>
      <w:r w:rsidR="00921939" w:rsidRPr="0055071C">
        <w:t>ing</w:t>
      </w:r>
      <w:r w:rsidR="00DA0D5C" w:rsidRPr="0055071C">
        <w:t xml:space="preserve"> to increasing dem</w:t>
      </w:r>
      <w:r w:rsidR="00411AB2" w:rsidRPr="0055071C">
        <w:t xml:space="preserve">and </w:t>
      </w:r>
      <w:r w:rsidR="00921939" w:rsidRPr="0055071C">
        <w:t xml:space="preserve">in many occupations </w:t>
      </w:r>
      <w:r w:rsidR="00411AB2" w:rsidRPr="0055071C">
        <w:t>for post</w:t>
      </w:r>
      <w:r w:rsidR="00DA0D5C" w:rsidRPr="0055071C">
        <w:t>graduate entry</w:t>
      </w:r>
      <w:r w:rsidR="00DA0D5C" w:rsidRPr="00DA0D5C">
        <w:t xml:space="preserve"> </w:t>
      </w:r>
      <w:r w:rsidR="00DA0D5C" w:rsidRPr="00DA0D5C">
        <w:lastRenderedPageBreak/>
        <w:t>qualifications</w:t>
      </w:r>
      <w:r w:rsidR="00DA0D5C">
        <w:t xml:space="preserve">. </w:t>
      </w:r>
      <w:r w:rsidR="00BE3ADB">
        <w:t>And the body of work undertaken by Wheelahan and Buchanan sparks consideration of what capabilities and underpinning knowledge vocational training should nu</w:t>
      </w:r>
      <w:r w:rsidR="00DA0D5C">
        <w:t>r</w:t>
      </w:r>
      <w:r w:rsidR="00BE3ADB">
        <w:t>ture</w:t>
      </w:r>
      <w:r w:rsidR="00DA0D5C">
        <w:t xml:space="preserve"> to encourage educational and occupational progre</w:t>
      </w:r>
      <w:r w:rsidR="003A3033">
        <w:t>ssion (Yu, Bretherton &amp;</w:t>
      </w:r>
      <w:r w:rsidR="00411AB2">
        <w:t xml:space="preserve"> Buchanan</w:t>
      </w:r>
      <w:r w:rsidR="00DA0D5C">
        <w:t xml:space="preserve"> 2013</w:t>
      </w:r>
      <w:r w:rsidR="00411AB2">
        <w:t>,</w:t>
      </w:r>
      <w:r w:rsidR="00DA0D5C">
        <w:t xml:space="preserve"> p.6)</w:t>
      </w:r>
      <w:r w:rsidR="00BE3ADB">
        <w:t xml:space="preserve">. </w:t>
      </w:r>
      <w:r w:rsidR="00665260">
        <w:t>In other words, vocational development requires more than</w:t>
      </w:r>
      <w:r w:rsidR="003A3033">
        <w:t xml:space="preserve"> the</w:t>
      </w:r>
      <w:r w:rsidR="00665260">
        <w:t xml:space="preserve"> technical skills </w:t>
      </w:r>
      <w:r w:rsidR="003A3033">
        <w:t>required for</w:t>
      </w:r>
      <w:r w:rsidR="00665260">
        <w:t xml:space="preserve"> a particular job; it also needs to help the student adapt to changing </w:t>
      </w:r>
      <w:r w:rsidR="00665260" w:rsidRPr="00665260">
        <w:t xml:space="preserve">conditions within a broad </w:t>
      </w:r>
      <w:r w:rsidR="00665260">
        <w:t>occupational grouping.</w:t>
      </w:r>
    </w:p>
    <w:p w:rsidR="00786985" w:rsidRDefault="00437298" w:rsidP="00482E9E">
      <w:pPr>
        <w:pStyle w:val="Text"/>
      </w:pPr>
      <w:r>
        <w:t>The binary policy had sought to introduce a balanced system</w:t>
      </w:r>
      <w:r w:rsidR="00FE5559">
        <w:t>,</w:t>
      </w:r>
      <w:r>
        <w:t xml:space="preserve"> but by</w:t>
      </w:r>
      <w:r w:rsidR="006341C0">
        <w:t xml:space="preserve"> the mid-</w:t>
      </w:r>
      <w:r w:rsidR="00FE5559">
        <w:t>1970s</w:t>
      </w:r>
      <w:r w:rsidR="006341C0">
        <w:t xml:space="preserve"> </w:t>
      </w:r>
      <w:r w:rsidR="003A3033">
        <w:t>the tertiary education system</w:t>
      </w:r>
      <w:r w:rsidR="006341C0">
        <w:t xml:space="preserve"> was becoming unstable. In 1973 g</w:t>
      </w:r>
      <w:r w:rsidR="006341C0" w:rsidRPr="00786985">
        <w:t xml:space="preserve">overnment teachers colleges throughout Australia had become </w:t>
      </w:r>
      <w:r w:rsidR="00FE5559">
        <w:t>colleges of advanced education</w:t>
      </w:r>
      <w:r w:rsidR="00964D9A">
        <w:t>, with</w:t>
      </w:r>
      <w:r w:rsidR="006341C0" w:rsidRPr="00786985">
        <w:t xml:space="preserve"> the non-government teachers colleges included </w:t>
      </w:r>
      <w:r w:rsidR="00786985">
        <w:t xml:space="preserve">the </w:t>
      </w:r>
      <w:r w:rsidR="00FE5559">
        <w:t>following</w:t>
      </w:r>
      <w:r w:rsidR="00786985">
        <w:t xml:space="preserve"> year</w:t>
      </w:r>
      <w:r w:rsidR="006341C0" w:rsidRPr="00786985">
        <w:t xml:space="preserve">. This more than doubled the number of </w:t>
      </w:r>
      <w:r w:rsidR="009457D9">
        <w:t>colleges of advanced education</w:t>
      </w:r>
      <w:r w:rsidR="006341C0" w:rsidRPr="00786985">
        <w:t xml:space="preserve">, although some had </w:t>
      </w:r>
      <w:r w:rsidR="00786985">
        <w:t>only</w:t>
      </w:r>
      <w:r w:rsidR="00FE5559">
        <w:t xml:space="preserve"> small numbers of students, prompting</w:t>
      </w:r>
      <w:r w:rsidR="00786985" w:rsidRPr="00786985">
        <w:t xml:space="preserve"> amalgamations, reclassifications and even mergers into universities (</w:t>
      </w:r>
      <w:r w:rsidR="00FE5559">
        <w:t>Department of Education, Employment and Training</w:t>
      </w:r>
      <w:r w:rsidR="00786985" w:rsidRPr="00786985">
        <w:t xml:space="preserve"> 1993, pp.</w:t>
      </w:r>
      <w:r w:rsidR="00FE5559">
        <w:t>13—</w:t>
      </w:r>
      <w:r w:rsidR="00786985" w:rsidRPr="00786985">
        <w:t xml:space="preserve">14). </w:t>
      </w:r>
    </w:p>
    <w:p w:rsidR="00482E9E" w:rsidRDefault="00786985" w:rsidP="00482E9E">
      <w:pPr>
        <w:pStyle w:val="Text"/>
      </w:pPr>
      <w:r w:rsidRPr="00786985">
        <w:t xml:space="preserve">With </w:t>
      </w:r>
      <w:r w:rsidR="005B54D9">
        <w:t>the boom times clearly over</w:t>
      </w:r>
      <w:r w:rsidR="00437298">
        <w:t xml:space="preserve"> and youth unemployment </w:t>
      </w:r>
      <w:r w:rsidR="00312481">
        <w:t>severe</w:t>
      </w:r>
      <w:r w:rsidR="00437298">
        <w:t>,</w:t>
      </w:r>
      <w:r w:rsidR="005B54D9">
        <w:t xml:space="preserve"> </w:t>
      </w:r>
      <w:r w:rsidR="00437298">
        <w:t xml:space="preserve">the </w:t>
      </w:r>
      <w:r>
        <w:t xml:space="preserve">Fraser </w:t>
      </w:r>
      <w:r w:rsidR="00FE5559">
        <w:t>G</w:t>
      </w:r>
      <w:r w:rsidR="00437298">
        <w:t xml:space="preserve">overnment thought it necessary to clarify the roles of tertiary institutions. </w:t>
      </w:r>
      <w:r>
        <w:t xml:space="preserve">In 1976, the </w:t>
      </w:r>
      <w:r w:rsidR="00CC63FD">
        <w:t xml:space="preserve">prime minister </w:t>
      </w:r>
      <w:r w:rsidR="005B54D9">
        <w:t xml:space="preserve">announced the </w:t>
      </w:r>
      <w:r w:rsidR="003B63DF">
        <w:t>establishment</w:t>
      </w:r>
      <w:r w:rsidR="005B54D9">
        <w:t xml:space="preserve"> of the Committee of In</w:t>
      </w:r>
      <w:r w:rsidR="003B63DF">
        <w:t>q</w:t>
      </w:r>
      <w:r w:rsidR="005B54D9">
        <w:t>u</w:t>
      </w:r>
      <w:r w:rsidR="003B63DF">
        <w:t xml:space="preserve">iry </w:t>
      </w:r>
      <w:r w:rsidR="005B54D9">
        <w:t xml:space="preserve">into </w:t>
      </w:r>
      <w:r w:rsidR="003B63DF">
        <w:t>Education</w:t>
      </w:r>
      <w:r w:rsidR="005B54D9">
        <w:t xml:space="preserve"> and Training (</w:t>
      </w:r>
      <w:r w:rsidR="00616CAC">
        <w:t xml:space="preserve">Williams </w:t>
      </w:r>
      <w:r w:rsidR="00CC63FD">
        <w:t>C</w:t>
      </w:r>
      <w:r w:rsidR="005B54D9">
        <w:t>ommittee</w:t>
      </w:r>
      <w:r w:rsidR="005B54D9" w:rsidRPr="00437298">
        <w:t>)</w:t>
      </w:r>
      <w:r w:rsidR="00CC63FD">
        <w:t>,</w:t>
      </w:r>
      <w:r w:rsidR="00312481" w:rsidRPr="00437298">
        <w:t xml:space="preserve"> </w:t>
      </w:r>
      <w:r w:rsidR="00437298" w:rsidRPr="00437298">
        <w:t>whose</w:t>
      </w:r>
      <w:r w:rsidR="008D1C53" w:rsidRPr="00437298">
        <w:t xml:space="preserve"> </w:t>
      </w:r>
      <w:r w:rsidR="00437298">
        <w:t xml:space="preserve">report </w:t>
      </w:r>
      <w:r w:rsidR="008D1C53" w:rsidRPr="00437298">
        <w:t xml:space="preserve">includes a thorough review of the </w:t>
      </w:r>
      <w:r w:rsidR="00616CAC" w:rsidRPr="00437298">
        <w:t>problems</w:t>
      </w:r>
      <w:r w:rsidR="005B54D9" w:rsidRPr="00437298">
        <w:t xml:space="preserve"> the binary system had encountered</w:t>
      </w:r>
      <w:r w:rsidR="003B63DF" w:rsidRPr="00437298">
        <w:t xml:space="preserve">: </w:t>
      </w:r>
      <w:r w:rsidR="00B5672B" w:rsidRPr="00437298">
        <w:t>regulatory</w:t>
      </w:r>
      <w:r w:rsidR="004B323E" w:rsidRPr="00437298">
        <w:t>, including</w:t>
      </w:r>
      <w:r w:rsidR="00CC63FD">
        <w:t xml:space="preserve"> Commonwealth and s</w:t>
      </w:r>
      <w:r w:rsidR="004B323E">
        <w:t xml:space="preserve">tate roles; </w:t>
      </w:r>
      <w:r w:rsidR="00B5672B">
        <w:t>institutional</w:t>
      </w:r>
      <w:r w:rsidR="004B323E">
        <w:t>, for example</w:t>
      </w:r>
      <w:r w:rsidR="008D1C53">
        <w:t>, the proliferation of colleges</w:t>
      </w:r>
      <w:r w:rsidR="004B323E">
        <w:t xml:space="preserve">; </w:t>
      </w:r>
      <w:r w:rsidR="00B5672B">
        <w:t>and economic, in particular the</w:t>
      </w:r>
      <w:r w:rsidR="00AE3BA9">
        <w:t xml:space="preserve"> shrinking</w:t>
      </w:r>
      <w:r w:rsidR="00B5672B">
        <w:t xml:space="preserve"> job market for graduates and </w:t>
      </w:r>
      <w:r w:rsidR="00DC2B3A">
        <w:t>changing skill</w:t>
      </w:r>
      <w:r w:rsidR="00B5672B">
        <w:t xml:space="preserve"> requirements.</w:t>
      </w:r>
      <w:r w:rsidR="00437298">
        <w:t xml:space="preserve"> Nevertheless, Williams</w:t>
      </w:r>
      <w:r w:rsidR="008D1C53">
        <w:t xml:space="preserve"> concluded that </w:t>
      </w:r>
      <w:r w:rsidR="00CC63FD">
        <w:t xml:space="preserve">the </w:t>
      </w:r>
      <w:r w:rsidR="008D1C53">
        <w:t>specialisation</w:t>
      </w:r>
      <w:r w:rsidR="00964D9A">
        <w:t>s</w:t>
      </w:r>
      <w:r w:rsidR="008D1C53">
        <w:t xml:space="preserve"> </w:t>
      </w:r>
      <w:r w:rsidR="00CC63FD">
        <w:t>specific to each sector</w:t>
      </w:r>
      <w:r w:rsidR="00E83DB4">
        <w:t xml:space="preserve"> should</w:t>
      </w:r>
      <w:r w:rsidR="008D1C53">
        <w:t xml:space="preserve"> </w:t>
      </w:r>
      <w:r w:rsidR="00482E9E">
        <w:t xml:space="preserve">remain </w:t>
      </w:r>
      <w:r w:rsidR="008D1C53">
        <w:t xml:space="preserve">to ensure a continuation of educational opportunity at the </w:t>
      </w:r>
      <w:r w:rsidR="00F77515">
        <w:t>post-secondary</w:t>
      </w:r>
      <w:r w:rsidR="00482E9E">
        <w:t xml:space="preserve"> level (</w:t>
      </w:r>
      <w:r w:rsidR="00CC63FD">
        <w:t xml:space="preserve">Committee of Enquiry into Education and Training </w:t>
      </w:r>
      <w:r w:rsidR="00F77515">
        <w:t>1979,</w:t>
      </w:r>
      <w:r w:rsidR="00CC63FD">
        <w:t xml:space="preserve"> p.</w:t>
      </w:r>
      <w:r w:rsidR="00482E9E">
        <w:t>iii). The balance between the sectors could be determined by the various pur</w:t>
      </w:r>
      <w:r w:rsidR="00CC63FD">
        <w:t>poses of education, set out in c</w:t>
      </w:r>
      <w:r w:rsidR="00482E9E">
        <w:t xml:space="preserve">hapter 17: </w:t>
      </w:r>
    </w:p>
    <w:p w:rsidR="00482E9E" w:rsidRDefault="00437298" w:rsidP="00482E9E">
      <w:pPr>
        <w:pStyle w:val="Quote"/>
      </w:pPr>
      <w:r>
        <w:t xml:space="preserve">to </w:t>
      </w:r>
      <w:r w:rsidR="00482E9E">
        <w:t>develop the mental and affective capacities of individuals</w:t>
      </w:r>
      <w:r w:rsidR="00E31A34">
        <w:t xml:space="preserve"> [some of which] </w:t>
      </w:r>
      <w:r w:rsidR="00482E9E">
        <w:t>will be applied to the production and distribution of funds and services, and therefore one of the objectives of education and training is vocational. Individuals depend on social relationships for the full development of their capacities and interests, and from this derives what is sometimes called the socialisation objective, at other times the transmission of a common culture and a common standard of citizenship. Another objective is to promote social mobility. To further that objective, as well as to promote the primary purpose of education for all, steps are taken to reduce the extent to which opportunities for education are determined by family circumstances. The advancement of learning through scholarship and research is another objective of particular signi</w:t>
      </w:r>
      <w:r w:rsidR="00CC63FD">
        <w:t>ficance in higher education (p.</w:t>
      </w:r>
      <w:r w:rsidR="00482E9E">
        <w:t>765).</w:t>
      </w:r>
    </w:p>
    <w:p w:rsidR="00352721" w:rsidRPr="000A5F80" w:rsidRDefault="0027635E" w:rsidP="00813882">
      <w:pPr>
        <w:pStyle w:val="Text"/>
      </w:pPr>
      <w:r>
        <w:t>Yet, a</w:t>
      </w:r>
      <w:r w:rsidR="00352721" w:rsidRPr="000A5F80">
        <w:t xml:space="preserve">s the Advanced </w:t>
      </w:r>
      <w:r w:rsidR="005B54D9" w:rsidRPr="000A5F80">
        <w:t>Education</w:t>
      </w:r>
      <w:r w:rsidR="00352721" w:rsidRPr="000A5F80">
        <w:t xml:space="preserve"> Council pointed out in 1982</w:t>
      </w:r>
      <w:r w:rsidR="004B323E" w:rsidRPr="000A5F80">
        <w:t xml:space="preserve"> in a paper </w:t>
      </w:r>
      <w:r w:rsidR="000A5F80" w:rsidRPr="000A5F80">
        <w:t xml:space="preserve">also </w:t>
      </w:r>
      <w:r w:rsidR="004B323E" w:rsidRPr="000A5F80">
        <w:t>offering ideas for the future</w:t>
      </w:r>
      <w:r w:rsidR="00352721" w:rsidRPr="000A5F80">
        <w:t xml:space="preserve">, realising the goal of diversity of opportunity in </w:t>
      </w:r>
      <w:r w:rsidR="00F77515">
        <w:t xml:space="preserve">higher </w:t>
      </w:r>
      <w:r w:rsidR="00F77515" w:rsidRPr="00F77515">
        <w:t>education</w:t>
      </w:r>
      <w:r w:rsidR="00F77515">
        <w:t xml:space="preserve"> (delivered by universities and </w:t>
      </w:r>
      <w:r w:rsidR="00CC63FD">
        <w:t>colleges of advanced education</w:t>
      </w:r>
      <w:r w:rsidR="00F77515">
        <w:t>)</w:t>
      </w:r>
      <w:r w:rsidR="00352721" w:rsidRPr="000A5F80">
        <w:t xml:space="preserve"> is</w:t>
      </w:r>
      <w:r w:rsidR="005B54D9" w:rsidRPr="000A5F80">
        <w:t xml:space="preserve"> a</w:t>
      </w:r>
      <w:r w:rsidR="00352721" w:rsidRPr="000A5F80">
        <w:t>:</w:t>
      </w:r>
    </w:p>
    <w:p w:rsidR="00352721" w:rsidRDefault="005B54D9" w:rsidP="005B54D9">
      <w:pPr>
        <w:pStyle w:val="Quote"/>
      </w:pPr>
      <w:r>
        <w:t>c</w:t>
      </w:r>
      <w:r w:rsidR="00352721" w:rsidRPr="00352721">
        <w:t xml:space="preserve">omplex matter depending </w:t>
      </w:r>
      <w:r w:rsidR="00352721">
        <w:t>as it does</w:t>
      </w:r>
      <w:r>
        <w:t xml:space="preserve"> </w:t>
      </w:r>
      <w:r w:rsidR="00352721" w:rsidRPr="00352721">
        <w:t>on</w:t>
      </w:r>
      <w:r>
        <w:t xml:space="preserve"> the</w:t>
      </w:r>
      <w:r w:rsidR="00352721" w:rsidRPr="00352721">
        <w:t xml:space="preserve"> characteristics of the student body, needs of industry and commerce, </w:t>
      </w:r>
      <w:r>
        <w:t xml:space="preserve">the </w:t>
      </w:r>
      <w:r w:rsidR="00352721" w:rsidRPr="00352721">
        <w:t xml:space="preserve">nature of course offerings, </w:t>
      </w:r>
      <w:r>
        <w:t xml:space="preserve">the </w:t>
      </w:r>
      <w:r w:rsidR="00352721" w:rsidRPr="00352721">
        <w:t>staff</w:t>
      </w:r>
      <w:r>
        <w:t xml:space="preserve"> and other resources involved</w:t>
      </w:r>
      <w:r w:rsidR="00352721" w:rsidRPr="00352721">
        <w:t>, institutional str</w:t>
      </w:r>
      <w:r w:rsidR="00352721">
        <w:t>uctur</w:t>
      </w:r>
      <w:r w:rsidR="00352721" w:rsidRPr="00352721">
        <w:t>es, role of coordinating machiner</w:t>
      </w:r>
      <w:r w:rsidR="00352721">
        <w:t>y</w:t>
      </w:r>
      <w:r w:rsidR="00352721" w:rsidRPr="00352721">
        <w:t>,</w:t>
      </w:r>
      <w:r w:rsidR="000A5F80">
        <w:t xml:space="preserve"> and not least</w:t>
      </w:r>
      <w:r>
        <w:t xml:space="preserve"> the</w:t>
      </w:r>
      <w:r w:rsidR="00352721" w:rsidRPr="00352721">
        <w:t xml:space="preserve"> attitudes of decision makers</w:t>
      </w:r>
      <w:r w:rsidR="00964D9A">
        <w:t xml:space="preserve"> at all levels</w:t>
      </w:r>
      <w:r w:rsidR="00964D9A" w:rsidRPr="00964D9A">
        <w:rPr>
          <w:sz w:val="19"/>
        </w:rPr>
        <w:t xml:space="preserve"> </w:t>
      </w:r>
      <w:r w:rsidR="00964D9A" w:rsidRPr="00496086">
        <w:t>(p.5).</w:t>
      </w:r>
    </w:p>
    <w:p w:rsidR="00DA5B45" w:rsidRPr="00DA5B45" w:rsidRDefault="00DA5B45" w:rsidP="00813882">
      <w:pPr>
        <w:pStyle w:val="Text"/>
      </w:pPr>
      <w:r w:rsidRPr="00DA5B45">
        <w:t xml:space="preserve">Some of these complexities are examined </w:t>
      </w:r>
      <w:r w:rsidR="003A3033">
        <w:t>in the following pages</w:t>
      </w:r>
      <w:r w:rsidRPr="00DA5B45">
        <w:t>.</w:t>
      </w:r>
      <w:r w:rsidR="00CC3AEC">
        <w:t xml:space="preserve"> </w:t>
      </w:r>
    </w:p>
    <w:p w:rsidR="00324609" w:rsidRDefault="00324609" w:rsidP="00813882">
      <w:pPr>
        <w:pStyle w:val="Text"/>
      </w:pPr>
    </w:p>
    <w:p w:rsidR="00E777D4" w:rsidRDefault="00E777D4" w:rsidP="00DF6C30">
      <w:pPr>
        <w:spacing w:before="0" w:line="240" w:lineRule="auto"/>
      </w:pPr>
      <w:r>
        <w:br w:type="page"/>
      </w:r>
    </w:p>
    <w:p w:rsidR="0044531E" w:rsidRDefault="00E777D4" w:rsidP="00E777D4">
      <w:pPr>
        <w:pStyle w:val="Heading1"/>
      </w:pPr>
      <w:bookmarkStart w:id="41" w:name="_Toc393293028"/>
      <w:r>
        <w:lastRenderedPageBreak/>
        <w:t>Equal but different</w:t>
      </w:r>
      <w:r w:rsidR="00B20694">
        <w:t>?</w:t>
      </w:r>
      <w:bookmarkEnd w:id="41"/>
    </w:p>
    <w:p w:rsidR="00915C12" w:rsidRPr="00915C12" w:rsidRDefault="00915C12" w:rsidP="00915C12">
      <w:pPr>
        <w:pStyle w:val="Text"/>
      </w:pPr>
      <w:r>
        <w:t>In its report the Martin Committee reconceptualised the role and nature of technical colleges</w:t>
      </w:r>
      <w:r w:rsidR="00F55E3C">
        <w:t xml:space="preserve"> (subsequently the </w:t>
      </w:r>
      <w:r w:rsidR="009457D9">
        <w:t>colleges of advanced education</w:t>
      </w:r>
      <w:r w:rsidR="00F55E3C">
        <w:t>)</w:t>
      </w:r>
      <w:r>
        <w:t xml:space="preserve"> to underscore their equally important but different role from universities:</w:t>
      </w:r>
    </w:p>
    <w:p w:rsidR="00FF69A2" w:rsidRDefault="00E777D4" w:rsidP="008F4EF3">
      <w:pPr>
        <w:pStyle w:val="Quote"/>
      </w:pPr>
      <w:r w:rsidRPr="008F4EF3">
        <w:t>5.(iv) The principal objective of the technical colleges is to equip men and women for the</w:t>
      </w:r>
      <w:r w:rsidR="005E58EB">
        <w:t xml:space="preserve"> </w:t>
      </w:r>
      <w:r w:rsidRPr="008F4EF3">
        <w:t>practical world of industry</w:t>
      </w:r>
      <w:r w:rsidR="00915C12">
        <w:t xml:space="preserve"> </w:t>
      </w:r>
      <w:r w:rsidR="000A5F80">
        <w:t>…</w:t>
      </w:r>
      <w:r w:rsidR="00915C12">
        <w:t xml:space="preserve"> </w:t>
      </w:r>
      <w:r w:rsidRPr="008F4EF3">
        <w:t>the education which can be</w:t>
      </w:r>
      <w:r w:rsidR="000A5F80">
        <w:t xml:space="preserve"> </w:t>
      </w:r>
      <w:r w:rsidRPr="008F4EF3">
        <w:t>provided by these institutions has long been undervalued because of the overvaluation of the</w:t>
      </w:r>
      <w:r w:rsidR="000A5F80">
        <w:t xml:space="preserve"> </w:t>
      </w:r>
      <w:r w:rsidRPr="008F4EF3">
        <w:t>social status of a university degree. Nor is the wide function of these colleges in fulfilling the</w:t>
      </w:r>
      <w:r w:rsidR="000A5F80">
        <w:t xml:space="preserve"> </w:t>
      </w:r>
      <w:r w:rsidRPr="008F4EF3">
        <w:t>various needs of commerce and industry fully appreciated by the public. The Committee</w:t>
      </w:r>
      <w:r w:rsidR="000A5F80">
        <w:t xml:space="preserve"> </w:t>
      </w:r>
      <w:r w:rsidRPr="008F4EF3">
        <w:t>therefore recommends that efforts be made to strengthen and raise the status of technical colleges</w:t>
      </w:r>
      <w:r w:rsidR="008E20B3">
        <w:t>.</w:t>
      </w:r>
      <w:r w:rsidR="00813882">
        <w:br/>
      </w:r>
      <w:r w:rsidR="008E20B3">
        <w:tab/>
      </w:r>
      <w:r w:rsidR="00164F64">
        <w:t>(</w:t>
      </w:r>
      <w:r w:rsidR="00EF7EB2">
        <w:t xml:space="preserve">Committee on the Future of Tertiary Education in Australia </w:t>
      </w:r>
      <w:r w:rsidR="00521456">
        <w:t>1964</w:t>
      </w:r>
      <w:r w:rsidR="00204F8D">
        <w:t>—65</w:t>
      </w:r>
      <w:r w:rsidR="008E20B3">
        <w:t>,</w:t>
      </w:r>
      <w:r w:rsidR="00521456">
        <w:t xml:space="preserve"> </w:t>
      </w:r>
      <w:r w:rsidR="008E20B3">
        <w:t>vol.1, p.</w:t>
      </w:r>
      <w:r w:rsidR="008F4EF3" w:rsidRPr="008F4EF3">
        <w:t>127</w:t>
      </w:r>
      <w:r w:rsidR="008E20B3">
        <w:t>)</w:t>
      </w:r>
    </w:p>
    <w:p w:rsidR="005E58EB" w:rsidRDefault="005E58EB" w:rsidP="008E20B3">
      <w:pPr>
        <w:pStyle w:val="Quote"/>
      </w:pPr>
      <w:r>
        <w:t xml:space="preserve">6.63 </w:t>
      </w:r>
      <w:r w:rsidR="00E11D6C">
        <w:t>…</w:t>
      </w:r>
      <w:r>
        <w:t xml:space="preserve"> In recommending the provision of funds to</w:t>
      </w:r>
      <w:r w:rsidR="00E11D6C">
        <w:t xml:space="preserve"> </w:t>
      </w:r>
      <w:r>
        <w:t xml:space="preserve">permit further expansion and improvement </w:t>
      </w:r>
      <w:r w:rsidR="0007084B">
        <w:t>…</w:t>
      </w:r>
      <w:r w:rsidR="008E20B3">
        <w:t xml:space="preserve"> </w:t>
      </w:r>
      <w:r>
        <w:t>of those parts of technical colleges devoted to diploma work, the Committee believes</w:t>
      </w:r>
      <w:r w:rsidR="00E11D6C">
        <w:t xml:space="preserve"> </w:t>
      </w:r>
      <w:r>
        <w:t>that educational facilities and amenities for diploma students should not be inferior to those</w:t>
      </w:r>
      <w:r w:rsidR="00E11D6C">
        <w:t xml:space="preserve"> </w:t>
      </w:r>
      <w:r w:rsidR="008E20B3">
        <w:t>enjoyed by university students.</w:t>
      </w:r>
      <w:r w:rsidR="00813882">
        <w:br/>
      </w:r>
      <w:r w:rsidR="008E20B3">
        <w:tab/>
      </w:r>
      <w:r w:rsidR="00164F64">
        <w:t>(</w:t>
      </w:r>
      <w:r w:rsidR="00EF7EB2">
        <w:t xml:space="preserve">Committee on the Future of Tertiary Education in Australia </w:t>
      </w:r>
      <w:r w:rsidR="00E11D6C">
        <w:t>1964</w:t>
      </w:r>
      <w:r w:rsidR="00204F8D">
        <w:t>—65</w:t>
      </w:r>
      <w:r w:rsidR="00E11D6C">
        <w:t>,</w:t>
      </w:r>
      <w:r w:rsidR="00164F64">
        <w:t xml:space="preserve"> </w:t>
      </w:r>
      <w:r w:rsidR="008E20B3">
        <w:t>vol.</w:t>
      </w:r>
      <w:r w:rsidR="00164F64">
        <w:t>1,</w:t>
      </w:r>
      <w:r w:rsidR="00E11D6C">
        <w:t xml:space="preserve"> p.198)</w:t>
      </w:r>
    </w:p>
    <w:p w:rsidR="0064488E" w:rsidRDefault="005E58EB" w:rsidP="005E58EB">
      <w:pPr>
        <w:pStyle w:val="Text"/>
      </w:pPr>
      <w:r>
        <w:t>What, a</w:t>
      </w:r>
      <w:r w:rsidR="0064488E">
        <w:t>s Gallagher observes (</w:t>
      </w:r>
      <w:r w:rsidR="00521456">
        <w:t>1982, pp.</w:t>
      </w:r>
      <w:r w:rsidR="00915C12">
        <w:t>186—</w:t>
      </w:r>
      <w:r w:rsidR="0064488E">
        <w:t>7),</w:t>
      </w:r>
      <w:r w:rsidR="000A5F80">
        <w:t xml:space="preserve"> </w:t>
      </w:r>
      <w:r w:rsidR="0007084B">
        <w:t>the c</w:t>
      </w:r>
      <w:r w:rsidR="0064488E">
        <w:t>ommittee did not do was clearly</w:t>
      </w:r>
      <w:r w:rsidR="00650272">
        <w:t xml:space="preserve"> classify the remit of the</w:t>
      </w:r>
      <w:r w:rsidR="00EF4717">
        <w:t>se</w:t>
      </w:r>
      <w:r w:rsidR="0064488E">
        <w:t xml:space="preserve"> colleges. </w:t>
      </w:r>
      <w:r w:rsidR="0007084B">
        <w:t xml:space="preserve">It took only a few years for the distinction </w:t>
      </w:r>
      <w:r w:rsidR="00650272">
        <w:t xml:space="preserve">between </w:t>
      </w:r>
      <w:r w:rsidR="0064488E">
        <w:t xml:space="preserve">the functions of a university and what came to be called a college of advanced education </w:t>
      </w:r>
      <w:r w:rsidR="0007084B">
        <w:t>to blur</w:t>
      </w:r>
      <w:r w:rsidR="0064488E">
        <w:t>. Gorton</w:t>
      </w:r>
      <w:r w:rsidR="00AB306D">
        <w:t>’</w:t>
      </w:r>
      <w:r w:rsidR="0064488E">
        <w:t xml:space="preserve">s attempt to forestall this by not funding degrees failed. </w:t>
      </w:r>
      <w:r w:rsidR="000E5758">
        <w:t xml:space="preserve">Nor did </w:t>
      </w:r>
      <w:r w:rsidR="0064488E">
        <w:t>Martin</w:t>
      </w:r>
      <w:r w:rsidR="00AB306D">
        <w:t>’</w:t>
      </w:r>
      <w:r w:rsidR="0064488E">
        <w:t xml:space="preserve">s view that </w:t>
      </w:r>
      <w:r w:rsidR="00AB306D">
        <w:t>‘</w:t>
      </w:r>
      <w:r w:rsidR="0064488E">
        <w:t>it doesn</w:t>
      </w:r>
      <w:r w:rsidR="00AB306D">
        <w:t>’</w:t>
      </w:r>
      <w:r w:rsidR="0064488E">
        <w:t>t much matter what you call [the qualification], the students will prove their worth</w:t>
      </w:r>
      <w:r w:rsidR="00AB306D">
        <w:t>’</w:t>
      </w:r>
      <w:r w:rsidR="0064488E">
        <w:t xml:space="preserve"> (</w:t>
      </w:r>
      <w:r w:rsidR="0007084B">
        <w:t>de Berg</w:t>
      </w:r>
      <w:r w:rsidR="008E20B3">
        <w:t xml:space="preserve"> </w:t>
      </w:r>
      <w:r w:rsidR="0042387C">
        <w:t>1972</w:t>
      </w:r>
      <w:r w:rsidR="0007084B">
        <w:t>)</w:t>
      </w:r>
      <w:r w:rsidR="0064488E">
        <w:t xml:space="preserve"> </w:t>
      </w:r>
      <w:r w:rsidR="000E5758">
        <w:t>hold up</w:t>
      </w:r>
      <w:r w:rsidR="0064488E">
        <w:t xml:space="preserve"> in the face of the established hierarchy of esteem and credentials. </w:t>
      </w:r>
    </w:p>
    <w:p w:rsidR="0064488E" w:rsidRDefault="0064488E" w:rsidP="0064488E">
      <w:pPr>
        <w:pStyle w:val="Text"/>
      </w:pPr>
      <w:r>
        <w:t>Even in the first</w:t>
      </w:r>
      <w:r w:rsidR="0007084B">
        <w:t xml:space="preserve"> parliamentary debate on the g</w:t>
      </w:r>
      <w:r>
        <w:t>overnment</w:t>
      </w:r>
      <w:r w:rsidR="00AB306D">
        <w:t>’</w:t>
      </w:r>
      <w:r>
        <w:t>s response</w:t>
      </w:r>
      <w:r w:rsidR="0007084B">
        <w:t xml:space="preserve"> to the </w:t>
      </w:r>
      <w:r w:rsidR="007071A0">
        <w:t>Martin Report</w:t>
      </w:r>
      <w:r>
        <w:t xml:space="preserve">, the rot was setting in. Labor Senator Ormonde thought the </w:t>
      </w:r>
      <w:r w:rsidR="00AB306D">
        <w:t>‘</w:t>
      </w:r>
      <w:r>
        <w:t>Prime Minister</w:t>
      </w:r>
      <w:r w:rsidR="00AB306D">
        <w:t>’</w:t>
      </w:r>
      <w:r>
        <w:t>s scheme of secondary universities, as we might call them, would do me, because unless something is done many people will not be getting any educati</w:t>
      </w:r>
      <w:r w:rsidR="0042387C">
        <w:t>on at all at the tertiary level</w:t>
      </w:r>
      <w:r w:rsidR="00AB306D">
        <w:t>’</w:t>
      </w:r>
      <w:r>
        <w:t xml:space="preserve"> </w:t>
      </w:r>
      <w:r w:rsidR="00352548">
        <w:t>(</w:t>
      </w:r>
      <w:r w:rsidR="008E20B3">
        <w:t xml:space="preserve">Australia. Senate, </w:t>
      </w:r>
      <w:r w:rsidR="008E20B3">
        <w:rPr>
          <w:i/>
        </w:rPr>
        <w:t>Debates,</w:t>
      </w:r>
      <w:r w:rsidR="0042387C">
        <w:t xml:space="preserve"> </w:t>
      </w:r>
      <w:r w:rsidR="0042387C" w:rsidRPr="0042387C">
        <w:t>4 May 1965</w:t>
      </w:r>
      <w:r w:rsidR="0037517C">
        <w:t>, p.567</w:t>
      </w:r>
      <w:r w:rsidR="00352548">
        <w:t>)</w:t>
      </w:r>
      <w:r w:rsidR="0042387C">
        <w:t>.</w:t>
      </w:r>
      <w:r w:rsidR="00E70F13">
        <w:t xml:space="preserve"> Furthermore, the binary system was</w:t>
      </w:r>
      <w:r w:rsidR="00F55E3C">
        <w:t xml:space="preserve"> made up of</w:t>
      </w:r>
      <w:r w:rsidR="00E70F13">
        <w:t xml:space="preserve"> universities on </w:t>
      </w:r>
      <w:r w:rsidR="003A3033">
        <w:t xml:space="preserve">the </w:t>
      </w:r>
      <w:r w:rsidR="00E70F13">
        <w:t xml:space="preserve">one hand and a variety of big, small, old and new colleges on the other. </w:t>
      </w:r>
      <w:r w:rsidR="00A231D7">
        <w:t xml:space="preserve">They were not identifiable as a set of institutions with equivalence to universities. </w:t>
      </w:r>
    </w:p>
    <w:p w:rsidR="001336DD" w:rsidRDefault="001336DD" w:rsidP="0042387C">
      <w:pPr>
        <w:pStyle w:val="Text"/>
      </w:pPr>
      <w:r>
        <w:t>In 1967</w:t>
      </w:r>
      <w:r w:rsidR="00352548">
        <w:t xml:space="preserve"> Gough Whitlam,</w:t>
      </w:r>
      <w:r>
        <w:t xml:space="preserve"> the </w:t>
      </w:r>
      <w:r w:rsidR="00C059A0">
        <w:t xml:space="preserve">then </w:t>
      </w:r>
      <w:r>
        <w:t>Leader of the Opposition</w:t>
      </w:r>
      <w:r w:rsidR="00352548">
        <w:t>,</w:t>
      </w:r>
      <w:r>
        <w:t xml:space="preserve"> elucidated the contradictions inherent in the notion that colleges ha</w:t>
      </w:r>
      <w:r w:rsidR="0007084B">
        <w:t>d</w:t>
      </w:r>
      <w:r>
        <w:t xml:space="preserve"> </w:t>
      </w:r>
      <w:r w:rsidR="00AB306D">
        <w:t>‘</w:t>
      </w:r>
      <w:r>
        <w:t>comparable status in the eyes of the community</w:t>
      </w:r>
      <w:r w:rsidR="00AB306D">
        <w:t>’</w:t>
      </w:r>
      <w:r>
        <w:t xml:space="preserve">, while being able to admit students who </w:t>
      </w:r>
      <w:r w:rsidR="00894E63">
        <w:t>had done less well at</w:t>
      </w:r>
      <w:r>
        <w:t xml:space="preserve"> matriculation. How was this to be</w:t>
      </w:r>
      <w:r w:rsidR="00AD2D6D">
        <w:t xml:space="preserve"> achieved, especially once the g</w:t>
      </w:r>
      <w:r>
        <w:t>overnment had closed the</w:t>
      </w:r>
      <w:r w:rsidR="0007084B">
        <w:t xml:space="preserve"> opportunity for</w:t>
      </w:r>
      <w:r>
        <w:t xml:space="preserve"> some </w:t>
      </w:r>
      <w:r w:rsidR="0007084B">
        <w:t xml:space="preserve">to </w:t>
      </w:r>
      <w:r>
        <w:t xml:space="preserve">become degree-granting institutions? Whitlam predicted there would be irresistible pressure for Australian technical colleges to become </w:t>
      </w:r>
      <w:r w:rsidR="00AB306D">
        <w:t>‘</w:t>
      </w:r>
      <w:r>
        <w:t>in some sense or other universities or parts of universities</w:t>
      </w:r>
      <w:r w:rsidR="00AB306D">
        <w:t>’</w:t>
      </w:r>
      <w:r w:rsidR="0007084B">
        <w:t xml:space="preserve"> (</w:t>
      </w:r>
      <w:r w:rsidR="00C059A0">
        <w:t xml:space="preserve">Australia. House of Representatives, </w:t>
      </w:r>
      <w:r w:rsidR="00C059A0" w:rsidRPr="00C059A0">
        <w:rPr>
          <w:i/>
        </w:rPr>
        <w:t>Debates</w:t>
      </w:r>
      <w:r w:rsidR="00C059A0">
        <w:t xml:space="preserve">, </w:t>
      </w:r>
      <w:r w:rsidR="0042387C" w:rsidRPr="0042387C">
        <w:rPr>
          <w:lang w:val="en-US"/>
        </w:rPr>
        <w:t>16 May 1967</w:t>
      </w:r>
      <w:r w:rsidR="00C059A0">
        <w:rPr>
          <w:lang w:val="en-US"/>
        </w:rPr>
        <w:t>, p.</w:t>
      </w:r>
      <w:r w:rsidR="0037517C">
        <w:rPr>
          <w:lang w:val="en-US"/>
        </w:rPr>
        <w:t>2186</w:t>
      </w:r>
      <w:r w:rsidR="0007084B">
        <w:t>).</w:t>
      </w:r>
    </w:p>
    <w:p w:rsidR="00894E63" w:rsidRDefault="00894E63" w:rsidP="00894E63">
      <w:pPr>
        <w:pStyle w:val="Text"/>
      </w:pPr>
      <w:r>
        <w:t xml:space="preserve">And they did. As Moses </w:t>
      </w:r>
      <w:r w:rsidR="0044492B">
        <w:t>(</w:t>
      </w:r>
      <w:r w:rsidR="00C059A0">
        <w:t>cited in Meek &amp; Harman</w:t>
      </w:r>
      <w:r w:rsidR="0044492B">
        <w:t xml:space="preserve"> 1993</w:t>
      </w:r>
      <w:r w:rsidR="00C059A0">
        <w:t>,</w:t>
      </w:r>
      <w:r w:rsidR="0007084B">
        <w:t xml:space="preserve"> </w:t>
      </w:r>
      <w:r w:rsidR="0044492B">
        <w:t>p.17</w:t>
      </w:r>
      <w:r w:rsidR="008A4276">
        <w:t xml:space="preserve">) </w:t>
      </w:r>
      <w:r>
        <w:t xml:space="preserve">concluded in a post-mortem on the binary experiment, it was clearly not successful in maintaining two distinct sectors: </w:t>
      </w:r>
    </w:p>
    <w:p w:rsidR="000A1D99" w:rsidRDefault="00894E63" w:rsidP="0042387C">
      <w:pPr>
        <w:pStyle w:val="Quote"/>
      </w:pPr>
      <w:r>
        <w:t xml:space="preserve">Once established, CAEs strove to become like universities, and indeed to become universities. Academic staff wanted the same privileges, same salaries, same nomenclature as university staff. </w:t>
      </w:r>
      <w:r w:rsidR="00113901">
        <w:t>But was it a wasted effort? No ―</w:t>
      </w:r>
      <w:r>
        <w:t xml:space="preserve"> we have learnt a great deal about how government frameworks </w:t>
      </w:r>
      <w:r>
        <w:lastRenderedPageBreak/>
        <w:t>shape reality, how institutional cultures develop in interplay with internal and external forces, how academic drift occurs.</w:t>
      </w:r>
    </w:p>
    <w:p w:rsidR="009B576C" w:rsidRDefault="008A4276" w:rsidP="0064488E">
      <w:pPr>
        <w:pStyle w:val="Text"/>
      </w:pPr>
      <w:r>
        <w:t>A greenfields site for the experiment was Canberra</w:t>
      </w:r>
      <w:r w:rsidR="00C059A0">
        <w:t>,</w:t>
      </w:r>
      <w:r>
        <w:t xml:space="preserve"> where, under the eager eye of Senator Gorton, the Canberra College of Advanced Education </w:t>
      </w:r>
      <w:r w:rsidR="0007084B">
        <w:t xml:space="preserve">(CCAE) </w:t>
      </w:r>
      <w:r>
        <w:t>was built from scratch. An assessment</w:t>
      </w:r>
      <w:r w:rsidR="00C059A0">
        <w:t xml:space="preserve"> of its first ten years (1968—</w:t>
      </w:r>
      <w:r>
        <w:t>7</w:t>
      </w:r>
      <w:r w:rsidR="0007084B">
        <w:t>8) by the founding principal, Professor</w:t>
      </w:r>
      <w:r>
        <w:t xml:space="preserve"> Richardson</w:t>
      </w:r>
      <w:r w:rsidR="0007084B">
        <w:t>,</w:t>
      </w:r>
      <w:r w:rsidR="00650272">
        <w:t xml:space="preserve"> </w:t>
      </w:r>
      <w:r w:rsidR="00C059A0">
        <w:rPr>
          <w:i/>
        </w:rPr>
        <w:t>Parity of e</w:t>
      </w:r>
      <w:r w:rsidR="009B576C" w:rsidRPr="00650272">
        <w:rPr>
          <w:i/>
        </w:rPr>
        <w:t>steem</w:t>
      </w:r>
      <w:r w:rsidR="00C059A0">
        <w:t>,</w:t>
      </w:r>
      <w:r w:rsidR="009B576C">
        <w:t xml:space="preserve"> chronicled the achievem</w:t>
      </w:r>
      <w:r w:rsidR="000A5F80">
        <w:t>ents and mounting challenges of</w:t>
      </w:r>
      <w:r w:rsidR="009B576C">
        <w:t xml:space="preserve"> </w:t>
      </w:r>
      <w:r w:rsidR="00A406CC">
        <w:t>creating a new and respected type of tertiary institution</w:t>
      </w:r>
      <w:r w:rsidR="009B576C">
        <w:t xml:space="preserve">. </w:t>
      </w:r>
    </w:p>
    <w:p w:rsidR="000A5F80" w:rsidRDefault="009B576C" w:rsidP="0064488E">
      <w:pPr>
        <w:pStyle w:val="Text"/>
      </w:pPr>
      <w:r>
        <w:t>The college</w:t>
      </w:r>
      <w:r w:rsidR="00AB306D">
        <w:t>’</w:t>
      </w:r>
      <w:r>
        <w:t xml:space="preserve">s early success was </w:t>
      </w:r>
      <w:r w:rsidR="00650272">
        <w:t xml:space="preserve">based </w:t>
      </w:r>
      <w:r>
        <w:t>on a determination to be different. According to Helen Crisp</w:t>
      </w:r>
      <w:r w:rsidR="00333CDD">
        <w:t xml:space="preserve"> (cited in Richardson 1979, p.xiii)</w:t>
      </w:r>
      <w:r>
        <w:t xml:space="preserve">, a founding Council member, </w:t>
      </w:r>
      <w:r w:rsidR="00650272">
        <w:t xml:space="preserve">the </w:t>
      </w:r>
      <w:r w:rsidR="00333CDD">
        <w:t>Canberra College of Advanced Education</w:t>
      </w:r>
      <w:r w:rsidR="000A5F80">
        <w:t>:</w:t>
      </w:r>
    </w:p>
    <w:p w:rsidR="000A5F80" w:rsidRDefault="009B576C" w:rsidP="000A5F80">
      <w:pPr>
        <w:pStyle w:val="Quote"/>
      </w:pPr>
      <w:r w:rsidRPr="0064488E">
        <w:t>made its reputation both in its community and further afield through its willingness and ability to produce well educated professionals and technologists either ready or almost ready (depending on which employer you talk to) for the desk, the library, the laboratory, the computer room, the schoolroom and all the other places w</w:t>
      </w:r>
      <w:r w:rsidR="00333CDD">
        <w:t>here graduates find employment</w:t>
      </w:r>
      <w:r w:rsidR="0064488E">
        <w:t xml:space="preserve">. </w:t>
      </w:r>
    </w:p>
    <w:p w:rsidR="001A5801" w:rsidRDefault="00650272" w:rsidP="0064488E">
      <w:pPr>
        <w:pStyle w:val="Text"/>
      </w:pPr>
      <w:r>
        <w:t>The college</w:t>
      </w:r>
      <w:r w:rsidR="0064488E">
        <w:t xml:space="preserve"> s</w:t>
      </w:r>
      <w:r w:rsidR="0064488E" w:rsidRPr="0064488E">
        <w:t>trove for intellectual stimulation and quality</w:t>
      </w:r>
      <w:r w:rsidR="0064488E">
        <w:t xml:space="preserve">. </w:t>
      </w:r>
    </w:p>
    <w:p w:rsidR="001A5801" w:rsidRDefault="001A5801" w:rsidP="005B5A9F">
      <w:pPr>
        <w:pStyle w:val="Text"/>
      </w:pPr>
      <w:r>
        <w:t>The C</w:t>
      </w:r>
      <w:r w:rsidR="009457D9">
        <w:t xml:space="preserve">anberra </w:t>
      </w:r>
      <w:r>
        <w:t>C</w:t>
      </w:r>
      <w:r w:rsidR="009457D9">
        <w:t xml:space="preserve">ollege of </w:t>
      </w:r>
      <w:r>
        <w:t>A</w:t>
      </w:r>
      <w:r w:rsidR="009457D9">
        <w:t xml:space="preserve">dvanced </w:t>
      </w:r>
      <w:r>
        <w:t>E</w:t>
      </w:r>
      <w:r w:rsidR="009457D9">
        <w:t>ducation</w:t>
      </w:r>
      <w:r>
        <w:t xml:space="preserve"> welcome</w:t>
      </w:r>
      <w:r w:rsidR="00333CDD">
        <w:t>d</w:t>
      </w:r>
      <w:r>
        <w:t xml:space="preserve"> the Wiltshire Committee recomme</w:t>
      </w:r>
      <w:r w:rsidR="005B5A9F">
        <w:t xml:space="preserve">ndation of 1969 that </w:t>
      </w:r>
      <w:r w:rsidR="00650272">
        <w:t>colleges</w:t>
      </w:r>
      <w:r>
        <w:t xml:space="preserve"> </w:t>
      </w:r>
      <w:r w:rsidR="005B5A9F">
        <w:t>sh</w:t>
      </w:r>
      <w:r>
        <w:t xml:space="preserve">ould </w:t>
      </w:r>
      <w:r w:rsidR="005B5A9F">
        <w:t xml:space="preserve">be able to </w:t>
      </w:r>
      <w:r>
        <w:t xml:space="preserve">award degrees </w:t>
      </w:r>
      <w:r w:rsidRPr="005B5A9F">
        <w:rPr>
          <w:i/>
        </w:rPr>
        <w:t>with a distinctive nomenclature</w:t>
      </w:r>
      <w:r w:rsidR="005B5A9F">
        <w:rPr>
          <w:i/>
        </w:rPr>
        <w:t>.</w:t>
      </w:r>
      <w:r w:rsidR="005B5A9F">
        <w:t xml:space="preserve"> </w:t>
      </w:r>
      <w:r w:rsidR="00650272">
        <w:t>Yet</w:t>
      </w:r>
      <w:r w:rsidR="005B5A9F">
        <w:t xml:space="preserve"> it remained committed to offering courses of a profes</w:t>
      </w:r>
      <w:r w:rsidR="00333CDD">
        <w:t>sional nature. Indeed, its post</w:t>
      </w:r>
      <w:r w:rsidR="005B5A9F">
        <w:t xml:space="preserve">graduate diploma courses </w:t>
      </w:r>
      <w:r w:rsidR="000032BD">
        <w:t xml:space="preserve">were in </w:t>
      </w:r>
      <w:r w:rsidR="005B5A9F">
        <w:t>far more demand from univer</w:t>
      </w:r>
      <w:r w:rsidR="0007084B">
        <w:t>sity graduates than</w:t>
      </w:r>
      <w:r w:rsidR="003A3033">
        <w:t xml:space="preserve"> had been</w:t>
      </w:r>
      <w:r w:rsidR="0007084B">
        <w:t xml:space="preserve"> anticipated</w:t>
      </w:r>
      <w:r w:rsidR="00E83DB4">
        <w:t xml:space="preserve"> (Richardson 1979</w:t>
      </w:r>
      <w:r w:rsidR="005B5A9F">
        <w:t xml:space="preserve">, </w:t>
      </w:r>
      <w:r w:rsidR="00E83DB4">
        <w:t>p.</w:t>
      </w:r>
      <w:r w:rsidR="005B5A9F">
        <w:t>12)</w:t>
      </w:r>
      <w:r w:rsidR="0007084B">
        <w:t>.</w:t>
      </w:r>
    </w:p>
    <w:p w:rsidR="0064639B" w:rsidRPr="0064488E" w:rsidRDefault="0064639B" w:rsidP="0064488E">
      <w:pPr>
        <w:pStyle w:val="Text"/>
      </w:pPr>
      <w:r w:rsidRPr="0064488E">
        <w:t>Crisp was blunt about the source of some of the college</w:t>
      </w:r>
      <w:r w:rsidR="00AB306D">
        <w:t>’</w:t>
      </w:r>
      <w:r w:rsidRPr="0064488E">
        <w:t xml:space="preserve">s hurdles: </w:t>
      </w:r>
      <w:r w:rsidR="00AB306D">
        <w:t>‘</w:t>
      </w:r>
      <w:r w:rsidRPr="0064488E">
        <w:t>the accreditation mill</w:t>
      </w:r>
      <w:r w:rsidR="0064488E">
        <w:t xml:space="preserve"> [</w:t>
      </w:r>
      <w:r w:rsidR="00333CDD">
        <w:t>that is,</w:t>
      </w:r>
      <w:r w:rsidRPr="0064488E">
        <w:t xml:space="preserve"> ministerial approval of courses</w:t>
      </w:r>
      <w:r w:rsidR="0064488E">
        <w:t>]</w:t>
      </w:r>
      <w:r w:rsidRPr="0064488E">
        <w:t xml:space="preserve"> as it has emerged could hardly have been more calculated to kill off innovation and e</w:t>
      </w:r>
      <w:r w:rsidR="00E83DB4">
        <w:t>xperimentation</w:t>
      </w:r>
      <w:r w:rsidR="00AB306D">
        <w:t>’</w:t>
      </w:r>
      <w:r w:rsidR="00E83DB4">
        <w:t xml:space="preserve"> (</w:t>
      </w:r>
      <w:r w:rsidR="00333CDD">
        <w:t xml:space="preserve">cited </w:t>
      </w:r>
      <w:r w:rsidR="00964D9A">
        <w:t xml:space="preserve">in </w:t>
      </w:r>
      <w:r w:rsidR="00E83DB4">
        <w:t>Richardson 1979</w:t>
      </w:r>
      <w:r w:rsidRPr="0064488E">
        <w:t xml:space="preserve">, </w:t>
      </w:r>
      <w:r w:rsidR="00E83DB4">
        <w:t xml:space="preserve">p. </w:t>
      </w:r>
      <w:r w:rsidRPr="0064488E">
        <w:t xml:space="preserve">xvii). Employers, too, with whom the </w:t>
      </w:r>
      <w:r w:rsidR="00964D9A">
        <w:t>college</w:t>
      </w:r>
      <w:r w:rsidRPr="0064488E">
        <w:t xml:space="preserve"> strove to work closely to meet their labour needs, bore some responsibility for the duplication of courses</w:t>
      </w:r>
      <w:r w:rsidR="0042387C">
        <w:t xml:space="preserve">. Crisp commented that </w:t>
      </w:r>
      <w:r w:rsidRPr="0064488E">
        <w:t xml:space="preserve">some professional bodies </w:t>
      </w:r>
      <w:r w:rsidR="00650272">
        <w:t xml:space="preserve">were </w:t>
      </w:r>
      <w:r w:rsidRPr="0064488E">
        <w:t>playing institution</w:t>
      </w:r>
      <w:r w:rsidR="0042387C">
        <w:t xml:space="preserve">s against each other in the pursuit of </w:t>
      </w:r>
      <w:r w:rsidR="00AB306D">
        <w:t>‘</w:t>
      </w:r>
      <w:r w:rsidRPr="0064488E">
        <w:t>unnecessarily high q</w:t>
      </w:r>
      <w:r w:rsidR="00650272">
        <w:t>ualifications for their members</w:t>
      </w:r>
      <w:r w:rsidR="00AB306D">
        <w:t>’</w:t>
      </w:r>
      <w:r w:rsidR="00650272">
        <w:t xml:space="preserve"> </w:t>
      </w:r>
      <w:r w:rsidRPr="0064488E">
        <w:t>(</w:t>
      </w:r>
      <w:r w:rsidR="00333CDD">
        <w:t>p.</w:t>
      </w:r>
      <w:r w:rsidRPr="0064488E">
        <w:t>xviii)</w:t>
      </w:r>
      <w:r w:rsidR="00650272">
        <w:t xml:space="preserve">. </w:t>
      </w:r>
    </w:p>
    <w:p w:rsidR="00341D27" w:rsidRDefault="00341D27" w:rsidP="00DE1DED">
      <w:pPr>
        <w:pStyle w:val="Text"/>
      </w:pPr>
      <w:r w:rsidRPr="00341D27">
        <w:t xml:space="preserve">Then there </w:t>
      </w:r>
      <w:r>
        <w:t>were the outsiders who found it diffi</w:t>
      </w:r>
      <w:r w:rsidR="000032BD">
        <w:t>cult to come to grips with the n</w:t>
      </w:r>
      <w:r>
        <w:t xml:space="preserve">otion of </w:t>
      </w:r>
      <w:r w:rsidR="00AB306D">
        <w:t>‘</w:t>
      </w:r>
      <w:r>
        <w:t>advanced</w:t>
      </w:r>
      <w:r w:rsidR="00AB306D">
        <w:t>’</w:t>
      </w:r>
      <w:r>
        <w:t xml:space="preserve"> education</w:t>
      </w:r>
      <w:r w:rsidR="00A231D7">
        <w:t>, even if they did appreciate the increased access to tertiary education provided by the colleges</w:t>
      </w:r>
      <w:r>
        <w:t>. Richardson</w:t>
      </w:r>
      <w:r w:rsidR="00E83DB4">
        <w:t xml:space="preserve"> (1979</w:t>
      </w:r>
      <w:r w:rsidR="00333CDD">
        <w:t>, pp. 23—</w:t>
      </w:r>
      <w:r w:rsidR="00177F43">
        <w:t xml:space="preserve">4) did not think the public ever </w:t>
      </w:r>
      <w:r w:rsidR="000032BD">
        <w:t>understood</w:t>
      </w:r>
      <w:r w:rsidR="00E53FB5">
        <w:t xml:space="preserve"> the term </w:t>
      </w:r>
      <w:r w:rsidR="00AB306D">
        <w:t>‘</w:t>
      </w:r>
      <w:r w:rsidR="00E53FB5">
        <w:t>advanced</w:t>
      </w:r>
      <w:r w:rsidR="00AB306D">
        <w:t>’</w:t>
      </w:r>
      <w:r w:rsidR="00E53FB5">
        <w:t>. He</w:t>
      </w:r>
      <w:r w:rsidR="00177F43">
        <w:t xml:space="preserve"> </w:t>
      </w:r>
      <w:r w:rsidR="00E53FB5">
        <w:t xml:space="preserve">also </w:t>
      </w:r>
      <w:r w:rsidR="00177F43">
        <w:t>observ</w:t>
      </w:r>
      <w:r w:rsidR="00E53FB5">
        <w:t>ed</w:t>
      </w:r>
      <w:r w:rsidR="00177F43">
        <w:t xml:space="preserve"> that </w:t>
      </w:r>
      <w:r w:rsidR="00333CDD">
        <w:t>the College</w:t>
      </w:r>
      <w:r w:rsidR="00DD45B4">
        <w:t xml:space="preserve"> </w:t>
      </w:r>
      <w:r w:rsidR="00177F43">
        <w:t>C</w:t>
      </w:r>
      <w:r>
        <w:t xml:space="preserve">ouncil member </w:t>
      </w:r>
      <w:r w:rsidR="00AB306D">
        <w:t>‘</w:t>
      </w:r>
      <w:r>
        <w:t>Sandow</w:t>
      </w:r>
      <w:r w:rsidR="00AB306D">
        <w:t>’</w:t>
      </w:r>
      <w:r>
        <w:t xml:space="preserve">s feeling that the College </w:t>
      </w:r>
      <w:r w:rsidR="00041295">
        <w:t>would have</w:t>
      </w:r>
      <w:r>
        <w:t xml:space="preserve"> fared better w</w:t>
      </w:r>
      <w:r w:rsidR="00333CDD">
        <w:t>ith the name “Institute of Technology”</w:t>
      </w:r>
      <w:r>
        <w:t xml:space="preserve"> is shared by many members of te</w:t>
      </w:r>
      <w:r w:rsidR="00113901">
        <w:t>aching staff and students</w:t>
      </w:r>
      <w:r w:rsidR="00AB306D">
        <w:t>’</w:t>
      </w:r>
      <w:r w:rsidR="00E53FB5">
        <w:t>.</w:t>
      </w:r>
      <w:r w:rsidR="00113901">
        <w:t xml:space="preserve"> </w:t>
      </w:r>
      <w:r w:rsidR="000032BD">
        <w:t xml:space="preserve">Indeed, several colleges were </w:t>
      </w:r>
      <w:r w:rsidR="00333CDD">
        <w:t>called institutes of technology,</w:t>
      </w:r>
      <w:r w:rsidR="000032BD">
        <w:t xml:space="preserve"> some like the Royal Melbourne Institute </w:t>
      </w:r>
      <w:r w:rsidR="005A565B">
        <w:t>to preserve</w:t>
      </w:r>
      <w:r w:rsidR="000032BD">
        <w:t xml:space="preserve"> its heritage; another</w:t>
      </w:r>
      <w:r w:rsidR="006B68DD">
        <w:t xml:space="preserve">, according to the Williams Report, </w:t>
      </w:r>
      <w:r w:rsidR="003A3033">
        <w:t>striving for the top, perceived at the time to be like</w:t>
      </w:r>
      <w:r w:rsidR="000032BD">
        <w:t xml:space="preserve"> the Massachusetts Institute of Technology (</w:t>
      </w:r>
      <w:r w:rsidR="00333CDD">
        <w:t>Committee of Inquiry into Education and Training</w:t>
      </w:r>
      <w:r w:rsidR="0042387C">
        <w:t xml:space="preserve"> 1979</w:t>
      </w:r>
      <w:r w:rsidR="000032BD">
        <w:t xml:space="preserve">, </w:t>
      </w:r>
      <w:r w:rsidR="000032BD" w:rsidRPr="0022075C">
        <w:t>p</w:t>
      </w:r>
      <w:r w:rsidR="000032BD">
        <w:t>.254).</w:t>
      </w:r>
      <w:r w:rsidR="0022075C">
        <w:t xml:space="preserve"> Eventually the larger</w:t>
      </w:r>
      <w:r w:rsidR="00333CDD">
        <w:t xml:space="preserve"> multi-</w:t>
      </w:r>
      <w:r w:rsidR="00593AC6">
        <w:t>disciplinary colleges</w:t>
      </w:r>
      <w:r w:rsidR="006E08A2">
        <w:t xml:space="preserve"> formed a separate group</w:t>
      </w:r>
      <w:r w:rsidR="003A3033">
        <w:t>,</w:t>
      </w:r>
      <w:r w:rsidR="00ED1F32">
        <w:t xml:space="preserve"> called </w:t>
      </w:r>
      <w:r w:rsidR="006E08A2">
        <w:t xml:space="preserve">the </w:t>
      </w:r>
      <w:r w:rsidR="006E08A2" w:rsidRPr="006E08A2">
        <w:t>Directors of Central Institutes of Technology</w:t>
      </w:r>
      <w:r w:rsidR="009652B4">
        <w:t xml:space="preserve"> (DOCIT)</w:t>
      </w:r>
      <w:r w:rsidR="00ED1F32">
        <w:t>, even if not all members carried that label.</w:t>
      </w:r>
      <w:r w:rsidR="00A231D7">
        <w:t xml:space="preserve"> </w:t>
      </w:r>
      <w:r w:rsidR="00593AC6">
        <w:t>The group</w:t>
      </w:r>
      <w:r w:rsidR="00A231D7">
        <w:t xml:space="preserve"> argue</w:t>
      </w:r>
      <w:r w:rsidR="00593AC6">
        <w:t>d</w:t>
      </w:r>
      <w:r w:rsidR="00A231D7">
        <w:t xml:space="preserve"> for </w:t>
      </w:r>
      <w:r w:rsidR="00593AC6">
        <w:t>a</w:t>
      </w:r>
      <w:r w:rsidR="00A231D7">
        <w:t xml:space="preserve"> status </w:t>
      </w:r>
      <w:r w:rsidR="00593AC6">
        <w:t xml:space="preserve">separate </w:t>
      </w:r>
      <w:r w:rsidR="00A231D7">
        <w:t>from other</w:t>
      </w:r>
      <w:r w:rsidR="00593AC6">
        <w:t>,</w:t>
      </w:r>
      <w:r w:rsidR="00A231D7">
        <w:t xml:space="preserve"> smaller</w:t>
      </w:r>
      <w:r w:rsidR="00593AC6">
        <w:t>,</w:t>
      </w:r>
      <w:r w:rsidR="00A231D7">
        <w:t xml:space="preserve"> colleges, further u</w:t>
      </w:r>
      <w:r w:rsidR="00593AC6">
        <w:t xml:space="preserve">nderlining the segmentation </w:t>
      </w:r>
      <w:r w:rsidR="00A231D7">
        <w:t>in the advanced e</w:t>
      </w:r>
      <w:r w:rsidR="00DE1DED">
        <w:t>ducation sector and, according to Richard Johnson, a special commissioner in the Commonwealth Tertiary Education Commission, contributing to the system</w:t>
      </w:r>
      <w:r w:rsidR="00AB306D">
        <w:t>’</w:t>
      </w:r>
      <w:r w:rsidR="00DE1DED">
        <w:t>s instability (</w:t>
      </w:r>
      <w:r w:rsidR="00333CDD">
        <w:t xml:space="preserve">cited </w:t>
      </w:r>
      <w:r w:rsidR="00DE1DED">
        <w:t>in Kerr</w:t>
      </w:r>
      <w:r w:rsidR="00593AC6">
        <w:t>, Pullman &amp; Standish</w:t>
      </w:r>
      <w:r w:rsidR="00DE1DED">
        <w:t xml:space="preserve"> 1987, p.61).</w:t>
      </w:r>
    </w:p>
    <w:p w:rsidR="006D6C57" w:rsidRDefault="00E53FB5" w:rsidP="00813882">
      <w:pPr>
        <w:pStyle w:val="Text"/>
        <w:ind w:right="-143"/>
      </w:pPr>
      <w:r>
        <w:t>The</w:t>
      </w:r>
      <w:r w:rsidR="00F03710">
        <w:t xml:space="preserve"> wrangling over names reflects a</w:t>
      </w:r>
      <w:r w:rsidR="0042387C">
        <w:t xml:space="preserve"> perennial </w:t>
      </w:r>
      <w:r w:rsidR="00164F64">
        <w:t>contest</w:t>
      </w:r>
      <w:r w:rsidR="0042387C">
        <w:t xml:space="preserve"> to </w:t>
      </w:r>
      <w:r w:rsidR="00F03710">
        <w:t xml:space="preserve">be on top of the pyramid. The binary </w:t>
      </w:r>
      <w:r w:rsidR="006D6C57">
        <w:t>policy</w:t>
      </w:r>
      <w:r w:rsidR="00F03710">
        <w:t xml:space="preserve"> tried to change the nature of the race by articulating different</w:t>
      </w:r>
      <w:r w:rsidR="003A171E">
        <w:t xml:space="preserve"> </w:t>
      </w:r>
      <w:r w:rsidR="00F03710">
        <w:t xml:space="preserve">end points: </w:t>
      </w:r>
      <w:r w:rsidR="0022075C">
        <w:t xml:space="preserve">the </w:t>
      </w:r>
      <w:r w:rsidR="003A171E">
        <w:t>expansion of knowledge v</w:t>
      </w:r>
      <w:r w:rsidR="00F03710">
        <w:t xml:space="preserve">ersus </w:t>
      </w:r>
      <w:r w:rsidR="0022075C">
        <w:t xml:space="preserve">the </w:t>
      </w:r>
      <w:r w:rsidR="00F03710">
        <w:t xml:space="preserve">professional </w:t>
      </w:r>
      <w:r w:rsidR="003A171E">
        <w:t xml:space="preserve">application of that knowledge. It </w:t>
      </w:r>
      <w:r w:rsidR="006D6C57">
        <w:t>wanted to meet</w:t>
      </w:r>
      <w:r w:rsidR="003A171E">
        <w:t xml:space="preserve"> the demand for tertiary education generated by the public</w:t>
      </w:r>
      <w:r w:rsidR="00AB306D">
        <w:t>’</w:t>
      </w:r>
      <w:r w:rsidR="003A171E">
        <w:t xml:space="preserve">s realisation of the vocational benefits it offered. </w:t>
      </w:r>
      <w:r w:rsidR="006D6C57">
        <w:t xml:space="preserve">But it </w:t>
      </w:r>
      <w:r w:rsidR="006D6C57">
        <w:lastRenderedPageBreak/>
        <w:t>underestimated the forces within the tertiar</w:t>
      </w:r>
      <w:r w:rsidR="007D33C4">
        <w:t>y system that would strive to ob</w:t>
      </w:r>
      <w:r w:rsidR="006D6C57">
        <w:t xml:space="preserve">tain the same resources allocated to the pinnacle. Some of these institutional problems are examined in the following chapter. </w:t>
      </w:r>
    </w:p>
    <w:p w:rsidR="00C8065B" w:rsidRDefault="006D6C57" w:rsidP="00B303FC">
      <w:pPr>
        <w:pStyle w:val="Text"/>
      </w:pPr>
      <w:r>
        <w:t>R</w:t>
      </w:r>
      <w:r w:rsidR="007D33C4">
        <w:t>elevant to today</w:t>
      </w:r>
      <w:r w:rsidR="00AB306D">
        <w:t>’</w:t>
      </w:r>
      <w:r w:rsidR="007D33C4">
        <w:t xml:space="preserve">s competition ― </w:t>
      </w:r>
      <w:r>
        <w:t>between universities and other tertiary education providers, in particular</w:t>
      </w:r>
      <w:r w:rsidR="0007084B">
        <w:t xml:space="preserve"> publicly funded </w:t>
      </w:r>
      <w:r>
        <w:t>TAFE</w:t>
      </w:r>
      <w:r w:rsidR="0007084B">
        <w:t xml:space="preserve"> institutes</w:t>
      </w:r>
      <w:r w:rsidR="00AD2D6D">
        <w:rPr>
          <w:rStyle w:val="FootnoteReference"/>
        </w:rPr>
        <w:footnoteReference w:id="5"/>
      </w:r>
      <w:r>
        <w:t xml:space="preserve"> </w:t>
      </w:r>
      <w:r w:rsidR="007D33C4">
        <w:t>―</w:t>
      </w:r>
      <w:r>
        <w:t xml:space="preserve"> is </w:t>
      </w:r>
      <w:r w:rsidR="00EE35B8">
        <w:t>the place of TAFE in the binary system. Again</w:t>
      </w:r>
      <w:r w:rsidR="0022075C">
        <w:t>,</w:t>
      </w:r>
      <w:r w:rsidR="00EE35B8">
        <w:t xml:space="preserve"> it is a story plagued by imprecise boundaries</w:t>
      </w:r>
      <w:r w:rsidR="00C8065B">
        <w:t>,</w:t>
      </w:r>
      <w:r w:rsidR="00EE35B8">
        <w:t xml:space="preserve"> perceptions of status</w:t>
      </w:r>
      <w:r w:rsidR="00C8065B">
        <w:t xml:space="preserve"> and institutional rivalries</w:t>
      </w:r>
      <w:r w:rsidR="00EE35B8">
        <w:t>.</w:t>
      </w:r>
      <w:r w:rsidR="00C8065B">
        <w:t xml:space="preserve"> More fundamentally, </w:t>
      </w:r>
      <w:r w:rsidR="006B68DD">
        <w:t>the position of TAFE</w:t>
      </w:r>
      <w:r w:rsidR="00C8065B">
        <w:t xml:space="preserve"> </w:t>
      </w:r>
      <w:r w:rsidR="00593AC6">
        <w:t>is concerned with</w:t>
      </w:r>
      <w:r w:rsidR="00C8065B">
        <w:t xml:space="preserve"> different approaches to teaching and learning</w:t>
      </w:r>
      <w:r w:rsidR="003A3033">
        <w:t xml:space="preserve"> that </w:t>
      </w:r>
      <w:r w:rsidR="00BA31F1">
        <w:t>have carved out deep suspicions between higher education and vocational education and training (VET)</w:t>
      </w:r>
      <w:r w:rsidR="00C8065B">
        <w:t>.</w:t>
      </w:r>
      <w:r w:rsidR="00BA31F1">
        <w:t xml:space="preserve"> </w:t>
      </w:r>
      <w:r w:rsidR="003F3920">
        <w:t xml:space="preserve">This </w:t>
      </w:r>
      <w:r w:rsidR="00ED1F32">
        <w:t xml:space="preserve">seems </w:t>
      </w:r>
      <w:r w:rsidR="003F3920">
        <w:t>to have been exacerbated by the Kan</w:t>
      </w:r>
      <w:r w:rsidR="00593AC6">
        <w:t>gan r</w:t>
      </w:r>
      <w:r w:rsidR="00437298">
        <w:t>eport of 1974, which chose</w:t>
      </w:r>
      <w:r w:rsidR="003F3920">
        <w:t>, in the words of Peter Fleming</w:t>
      </w:r>
      <w:r w:rsidR="003A3033">
        <w:t xml:space="preserve"> 20</w:t>
      </w:r>
      <w:r w:rsidR="00C8065B">
        <w:t xml:space="preserve"> years later</w:t>
      </w:r>
      <w:r w:rsidR="00437298">
        <w:t>, not</w:t>
      </w:r>
      <w:r w:rsidR="00C8065B">
        <w:t>:</w:t>
      </w:r>
    </w:p>
    <w:p w:rsidR="007D33C4" w:rsidRDefault="007D33C4" w:rsidP="00C8065B">
      <w:pPr>
        <w:pStyle w:val="Quote"/>
      </w:pPr>
      <w:r>
        <w:t>to dwell on academic awards</w:t>
      </w:r>
      <w:r w:rsidR="003F3920">
        <w:t xml:space="preserve"> </w:t>
      </w:r>
      <w:r>
        <w:t>as a means of defining technical and further education; to</w:t>
      </w:r>
      <w:r w:rsidR="003F3920">
        <w:t xml:space="preserve"> </w:t>
      </w:r>
      <w:r>
        <w:t>do so was to invite unnecessary arguments with other</w:t>
      </w:r>
      <w:r w:rsidR="003F3920">
        <w:t xml:space="preserve"> </w:t>
      </w:r>
      <w:r>
        <w:t xml:space="preserve">sectors, </w:t>
      </w:r>
      <w:r w:rsidR="003F3920">
        <w:t>particularly advanced education</w:t>
      </w:r>
      <w:r w:rsidR="00C8065B">
        <w:t>.</w:t>
      </w:r>
      <w:r w:rsidR="00C8065B" w:rsidRPr="00C8065B">
        <w:t xml:space="preserve"> </w:t>
      </w:r>
      <w:r w:rsidR="00C8065B">
        <w:t>Rather, the committee needed to describe a learning environment and its potential clients</w:t>
      </w:r>
      <w:r w:rsidR="003A0A6B">
        <w:t xml:space="preserve"> </w:t>
      </w:r>
      <w:r w:rsidR="008E7F71">
        <w:t>…</w:t>
      </w:r>
      <w:r w:rsidR="003A0A6B">
        <w:t xml:space="preserve"> </w:t>
      </w:r>
      <w:r>
        <w:t>Colleges of advanced education were also</w:t>
      </w:r>
      <w:r w:rsidR="003F3920">
        <w:t xml:space="preserve"> </w:t>
      </w:r>
      <w:r>
        <w:t>wary of any new pretenders in the middle area even</w:t>
      </w:r>
      <w:r w:rsidR="003F3920">
        <w:t xml:space="preserve"> </w:t>
      </w:r>
      <w:r>
        <w:t>though their long term objective was the university</w:t>
      </w:r>
      <w:r w:rsidR="003F3920">
        <w:t xml:space="preserve"> </w:t>
      </w:r>
      <w:r>
        <w:t>status they have now achieved. The committee could not</w:t>
      </w:r>
      <w:r w:rsidR="00C8065B">
        <w:t xml:space="preserve"> </w:t>
      </w:r>
      <w:r>
        <w:t>guarantee a great deal of assistance from these quarters</w:t>
      </w:r>
      <w:r w:rsidR="00FC71BB">
        <w:t>.</w:t>
      </w:r>
      <w:r w:rsidR="00FC71BB">
        <w:tab/>
      </w:r>
      <w:r>
        <w:t>(</w:t>
      </w:r>
      <w:r w:rsidR="003A3033">
        <w:t>C</w:t>
      </w:r>
      <w:r w:rsidR="003A0A6B">
        <w:t xml:space="preserve">ited in </w:t>
      </w:r>
      <w:r w:rsidR="00C8065B">
        <w:t>Kearns &amp; Hall</w:t>
      </w:r>
      <w:r w:rsidR="005A565B">
        <w:t xml:space="preserve"> 1994</w:t>
      </w:r>
      <w:r w:rsidR="00C8065B">
        <w:t>, pp</w:t>
      </w:r>
      <w:r w:rsidR="005A565B">
        <w:t>.</w:t>
      </w:r>
      <w:r w:rsidR="003A0A6B">
        <w:t>50—</w:t>
      </w:r>
      <w:r>
        <w:t>1)</w:t>
      </w:r>
    </w:p>
    <w:p w:rsidR="00C86B15" w:rsidRDefault="00C8065B" w:rsidP="00B303FC">
      <w:pPr>
        <w:pStyle w:val="Text"/>
      </w:pPr>
      <w:r w:rsidRPr="00C8065B">
        <w:t>Jakupec and Ro</w:t>
      </w:r>
      <w:r w:rsidR="006B68DD">
        <w:t>a</w:t>
      </w:r>
      <w:r w:rsidRPr="00C8065B">
        <w:t>ntree</w:t>
      </w:r>
      <w:r w:rsidR="00AB306D">
        <w:t>’</w:t>
      </w:r>
      <w:r w:rsidRPr="00C8065B">
        <w:t xml:space="preserve">s </w:t>
      </w:r>
      <w:r w:rsidR="00DD45B4">
        <w:t xml:space="preserve">1991 </w:t>
      </w:r>
      <w:r w:rsidRPr="00C8065B">
        <w:t>paper at a confere</w:t>
      </w:r>
      <w:r w:rsidR="005A565B">
        <w:t xml:space="preserve">nce looking back on the Martin </w:t>
      </w:r>
      <w:r w:rsidR="003A3033">
        <w:t>R</w:t>
      </w:r>
      <w:r w:rsidRPr="00C8065B">
        <w:t xml:space="preserve">eport after 25 years articulates very well the awkward place </w:t>
      </w:r>
      <w:r w:rsidR="003A0A6B">
        <w:t xml:space="preserve">inhabited by </w:t>
      </w:r>
      <w:r w:rsidRPr="00C8065B">
        <w:t xml:space="preserve">technical education in </w:t>
      </w:r>
      <w:r>
        <w:t xml:space="preserve">a </w:t>
      </w:r>
      <w:r w:rsidRPr="00C8065B">
        <w:t>post-secondary system cater</w:t>
      </w:r>
      <w:r w:rsidR="00ED1F32">
        <w:t>ing</w:t>
      </w:r>
      <w:r w:rsidRPr="00C8065B">
        <w:t xml:space="preserve"> to students of enormously varied capabilities and prior learning.</w:t>
      </w:r>
      <w:r w:rsidR="00ED1F32">
        <w:t xml:space="preserve"> They predicted</w:t>
      </w:r>
      <w:r>
        <w:t xml:space="preserve"> </w:t>
      </w:r>
      <w:r w:rsidR="002066E3">
        <w:t xml:space="preserve">that scope creep would continue. In the binary system, technical colleges (then </w:t>
      </w:r>
      <w:r w:rsidR="003A0A6B">
        <w:t>TAFE</w:t>
      </w:r>
      <w:r w:rsidR="002066E3">
        <w:t xml:space="preserve"> colleges) had to move away from </w:t>
      </w:r>
      <w:r w:rsidR="0022075C">
        <w:t xml:space="preserve">the </w:t>
      </w:r>
      <w:r w:rsidR="002066E3">
        <w:t>high-level technological courses</w:t>
      </w:r>
      <w:r w:rsidR="00FF28FB">
        <w:t xml:space="preserve"> now</w:t>
      </w:r>
      <w:r w:rsidR="002066E3">
        <w:t xml:space="preserve"> offered</w:t>
      </w:r>
      <w:r w:rsidR="003A3033">
        <w:t>, often</w:t>
      </w:r>
      <w:r w:rsidR="002066E3">
        <w:t xml:space="preserve"> by the very institutions they had spawned (</w:t>
      </w:r>
      <w:r w:rsidR="003A0A6B">
        <w:t>for example,</w:t>
      </w:r>
      <w:r w:rsidR="002066E3">
        <w:t xml:space="preserve"> Sydney Institute of Technology</w:t>
      </w:r>
      <w:r w:rsidR="003A0A6B">
        <w:t>;</w:t>
      </w:r>
      <w:r w:rsidR="002066E3">
        <w:t xml:space="preserve"> see Neill</w:t>
      </w:r>
      <w:r w:rsidR="00164F64">
        <w:t xml:space="preserve"> 1991,</w:t>
      </w:r>
      <w:r w:rsidR="003A0A6B">
        <w:t xml:space="preserve"> p.</w:t>
      </w:r>
      <w:r w:rsidR="002066E3">
        <w:t xml:space="preserve">75). </w:t>
      </w:r>
      <w:r w:rsidR="00FF28FB">
        <w:t>Late</w:t>
      </w:r>
      <w:r w:rsidR="002066E3">
        <w:t>r, they</w:t>
      </w:r>
      <w:r w:rsidR="00FF28FB">
        <w:t xml:space="preserve"> were expected </w:t>
      </w:r>
      <w:r w:rsidR="002066E3">
        <w:t>to offer retraining required by structural adjustments in the economy</w:t>
      </w:r>
      <w:r w:rsidR="00FF28FB">
        <w:t xml:space="preserve"> (hence</w:t>
      </w:r>
      <w:r w:rsidR="003A0A6B">
        <w:t>, the 1980s</w:t>
      </w:r>
      <w:r w:rsidR="00FF28FB">
        <w:t xml:space="preserve"> focus on</w:t>
      </w:r>
      <w:r w:rsidR="005A565B">
        <w:t xml:space="preserve"> recurrent</w:t>
      </w:r>
      <w:r w:rsidR="003A3033">
        <w:t xml:space="preserve"> education) and, Jakupec and Roa</w:t>
      </w:r>
      <w:r w:rsidR="005A565B">
        <w:t>ntree foreshadowed, it might</w:t>
      </w:r>
      <w:r w:rsidR="002066E3">
        <w:t xml:space="preserve"> turn out that </w:t>
      </w:r>
      <w:r w:rsidR="00AB306D">
        <w:t>‘</w:t>
      </w:r>
      <w:r w:rsidR="005B0EA3">
        <w:t>a binary system including universities and TAFE will exist by default</w:t>
      </w:r>
      <w:r w:rsidR="003A0A6B">
        <w:t xml:space="preserve"> </w:t>
      </w:r>
      <w:r w:rsidR="00FF28FB">
        <w:t>…</w:t>
      </w:r>
      <w:r w:rsidR="003A0A6B">
        <w:t xml:space="preserve"> </w:t>
      </w:r>
      <w:r w:rsidR="005B0EA3">
        <w:t>at th</w:t>
      </w:r>
      <w:r w:rsidR="005A565B">
        <w:t>e lower end of higher education</w:t>
      </w:r>
      <w:r w:rsidR="00AB306D">
        <w:t>’</w:t>
      </w:r>
      <w:r w:rsidR="005B0EA3">
        <w:t xml:space="preserve"> (p.12).</w:t>
      </w:r>
      <w:r w:rsidR="00ED1F32">
        <w:t xml:space="preserve"> </w:t>
      </w:r>
    </w:p>
    <w:p w:rsidR="001761CF" w:rsidRPr="00B303FC" w:rsidRDefault="00C01DB5" w:rsidP="00B303FC">
      <w:pPr>
        <w:pStyle w:val="Text"/>
      </w:pPr>
      <w:r>
        <w:t xml:space="preserve">That </w:t>
      </w:r>
      <w:r w:rsidR="001761CF">
        <w:t xml:space="preserve">started to happen in the first decade of the </w:t>
      </w:r>
      <w:r w:rsidR="003A0A6B">
        <w:t>twenty-first</w:t>
      </w:r>
      <w:r w:rsidR="001761CF">
        <w:t xml:space="preserve"> century</w:t>
      </w:r>
      <w:r>
        <w:t>, although first</w:t>
      </w:r>
      <w:r w:rsidR="001761CF">
        <w:t>, post-Dawkins,</w:t>
      </w:r>
      <w:r>
        <w:t xml:space="preserve"> </w:t>
      </w:r>
      <w:r w:rsidR="001761CF">
        <w:t>came a</w:t>
      </w:r>
      <w:r>
        <w:t xml:space="preserve"> new divide between</w:t>
      </w:r>
      <w:r w:rsidR="001761CF">
        <w:t xml:space="preserve"> </w:t>
      </w:r>
      <w:r w:rsidRPr="00C01DB5">
        <w:t>knowledge and education on the one hand, and skill and training on the other (</w:t>
      </w:r>
      <w:r w:rsidR="00164F64" w:rsidRPr="00164F64">
        <w:t>National Board of Employment</w:t>
      </w:r>
      <w:r w:rsidR="003A0A6B">
        <w:t>,</w:t>
      </w:r>
      <w:r w:rsidR="00164F64" w:rsidRPr="00164F64">
        <w:t xml:space="preserve"> Education and Training </w:t>
      </w:r>
      <w:r w:rsidRPr="00C01DB5">
        <w:t>1994 in Kinsman</w:t>
      </w:r>
      <w:r w:rsidR="00164F64">
        <w:t xml:space="preserve"> 1998</w:t>
      </w:r>
      <w:r w:rsidR="003A0A6B">
        <w:t>, p.</w:t>
      </w:r>
      <w:r w:rsidR="00B303FC">
        <w:t>4</w:t>
      </w:r>
      <w:r w:rsidRPr="00C01DB5">
        <w:t xml:space="preserve">). </w:t>
      </w:r>
      <w:r>
        <w:t>Kinsman</w:t>
      </w:r>
      <w:r w:rsidR="003A3033">
        <w:t xml:space="preserve"> offers an explanation for why the</w:t>
      </w:r>
      <w:r w:rsidR="001761CF">
        <w:t xml:space="preserve"> sensible idea of </w:t>
      </w:r>
      <w:r w:rsidRPr="00C01DB5">
        <w:t xml:space="preserve">curriculum design based on occupational standards </w:t>
      </w:r>
      <w:r w:rsidR="001761CF">
        <w:t xml:space="preserve">(in both university and TAFE) drove a wedge between higher and vocational education: </w:t>
      </w:r>
    </w:p>
    <w:p w:rsidR="00C01DB5" w:rsidRDefault="00C01DB5" w:rsidP="001761CF">
      <w:pPr>
        <w:pStyle w:val="Quote"/>
      </w:pPr>
      <w:r w:rsidRPr="00B20694">
        <w:t xml:space="preserve">the particular version of </w:t>
      </w:r>
      <w:r w:rsidR="003A0A6B">
        <w:t>CBT [competency-</w:t>
      </w:r>
      <w:r w:rsidR="001761CF" w:rsidRPr="00B20694">
        <w:t xml:space="preserve">based training] </w:t>
      </w:r>
      <w:r w:rsidRPr="00B20694">
        <w:t xml:space="preserve">adopted by the Australian VET sector can be justifiably criticised because it is not simply based on occupational competencies </w:t>
      </w:r>
      <w:r w:rsidR="001761CF" w:rsidRPr="00B20694">
        <w:t>―</w:t>
      </w:r>
      <w:r w:rsidRPr="00B20694">
        <w:t xml:space="preserve"> it requires the precise replication</w:t>
      </w:r>
      <w:r w:rsidRPr="00B20694">
        <w:rPr>
          <w:b/>
        </w:rPr>
        <w:t xml:space="preserve"> </w:t>
      </w:r>
      <w:r w:rsidRPr="00B20694">
        <w:t>of these competencies as both the necessary and sufficient condition for a vocational curriculum.</w:t>
      </w:r>
      <w:r w:rsidR="00FE634F">
        <w:t xml:space="preserve"> </w:t>
      </w:r>
      <w:r w:rsidRPr="00B20694">
        <w:t>This tends to standardise skills training in</w:t>
      </w:r>
      <w:r w:rsidR="001761CF" w:rsidRPr="00B20694">
        <w:t xml:space="preserve"> a</w:t>
      </w:r>
      <w:r w:rsidRPr="00B20694">
        <w:t xml:space="preserve"> way which is inappropriate for diverse and constantly changing labour markets.</w:t>
      </w:r>
      <w:r w:rsidR="00FE634F">
        <w:t xml:space="preserve"> </w:t>
      </w:r>
      <w:r w:rsidRPr="00B20694">
        <w:t xml:space="preserve">Moreover it tends to separate these skills from the conceptual understanding which underpins them and which is crucial to future occupational, </w:t>
      </w:r>
      <w:r w:rsidR="001761CF" w:rsidRPr="00B20694">
        <w:t>social</w:t>
      </w:r>
      <w:r w:rsidR="00FC71BB">
        <w:t xml:space="preserve"> and educational mobility.</w:t>
      </w:r>
      <w:r w:rsidR="00FC71BB">
        <w:tab/>
      </w:r>
      <w:r w:rsidR="001761CF">
        <w:t>(</w:t>
      </w:r>
      <w:r w:rsidR="003A0A6B">
        <w:t xml:space="preserve">Kinsman 1998, </w:t>
      </w:r>
      <w:r w:rsidR="001761CF">
        <w:t>p.5)</w:t>
      </w:r>
    </w:p>
    <w:p w:rsidR="00164F64" w:rsidRDefault="003A0A6B" w:rsidP="00164F64">
      <w:pPr>
        <w:pStyle w:val="Text"/>
      </w:pPr>
      <w:r>
        <w:t>The Martin C</w:t>
      </w:r>
      <w:r w:rsidR="00C8065B">
        <w:t xml:space="preserve">ommittee was </w:t>
      </w:r>
      <w:r w:rsidR="00FC71BB">
        <w:t>aware</w:t>
      </w:r>
      <w:r w:rsidR="00C8065B">
        <w:t xml:space="preserve"> in the early </w:t>
      </w:r>
      <w:r>
        <w:t>1960s</w:t>
      </w:r>
      <w:r w:rsidR="00C8065B">
        <w:t xml:space="preserve"> </w:t>
      </w:r>
      <w:r w:rsidR="0022075C">
        <w:t>of</w:t>
      </w:r>
      <w:r w:rsidR="00C8065B">
        <w:t xml:space="preserve"> </w:t>
      </w:r>
      <w:r w:rsidR="00614AB7">
        <w:t xml:space="preserve">the </w:t>
      </w:r>
      <w:r>
        <w:t>twentieth</w:t>
      </w:r>
      <w:r w:rsidR="00DD45B4">
        <w:t xml:space="preserve"> </w:t>
      </w:r>
      <w:r w:rsidR="00614AB7">
        <w:t>century</w:t>
      </w:r>
      <w:r w:rsidR="00AB306D">
        <w:t>’</w:t>
      </w:r>
      <w:r w:rsidR="00614AB7">
        <w:t xml:space="preserve">s </w:t>
      </w:r>
      <w:r w:rsidR="00AB306D">
        <w:t>‘</w:t>
      </w:r>
      <w:r w:rsidR="00614AB7">
        <w:t>exceptional acceleration in the rate of increase in knowledge</w:t>
      </w:r>
      <w:r w:rsidR="00AB306D">
        <w:t>’</w:t>
      </w:r>
      <w:r w:rsidR="00DD45B4">
        <w:t xml:space="preserve"> (</w:t>
      </w:r>
      <w:r w:rsidR="00EF7EB2">
        <w:t xml:space="preserve">Committee on the Future of Tertiary Education in Australia </w:t>
      </w:r>
      <w:r>
        <w:t>1964</w:t>
      </w:r>
      <w:r w:rsidR="00204F8D">
        <w:t>—65</w:t>
      </w:r>
      <w:r>
        <w:t>, vol.</w:t>
      </w:r>
      <w:r w:rsidR="00164F64">
        <w:t>1, p.1</w:t>
      </w:r>
      <w:r w:rsidR="00DD45B4">
        <w:t>)</w:t>
      </w:r>
      <w:r w:rsidR="00614AB7">
        <w:t xml:space="preserve"> and technological complexity. Little could it have imagined the </w:t>
      </w:r>
      <w:r w:rsidR="00FC71BB">
        <w:t xml:space="preserve">extent of </w:t>
      </w:r>
      <w:r w:rsidR="0022075C">
        <w:t>this</w:t>
      </w:r>
      <w:r w:rsidR="00614AB7">
        <w:t xml:space="preserve"> acceleration in the second decade of the next century. Yet, the </w:t>
      </w:r>
      <w:r w:rsidR="00FF28FB">
        <w:t xml:space="preserve">functions it envisaged for </w:t>
      </w:r>
      <w:r w:rsidR="00D75C85">
        <w:t>technical colleges remain relevant</w:t>
      </w:r>
      <w:r w:rsidR="00164F64">
        <w:t xml:space="preserve">. They were to take a more practical approach than the </w:t>
      </w:r>
      <w:r w:rsidR="00164F64">
        <w:lastRenderedPageBreak/>
        <w:t xml:space="preserve">universities, whose emphasis was on research. But, </w:t>
      </w:r>
      <w:r w:rsidR="0022075C">
        <w:t xml:space="preserve">as </w:t>
      </w:r>
      <w:r w:rsidR="00164F64">
        <w:t xml:space="preserve">the report </w:t>
      </w:r>
      <w:r w:rsidR="00DD3171">
        <w:t>made clear, this did not mean achieving competence in techniques was sufficient. Knowledge of the fundamentals was essential:</w:t>
      </w:r>
    </w:p>
    <w:p w:rsidR="00C8065B" w:rsidRDefault="00C86B15" w:rsidP="00DD3171">
      <w:pPr>
        <w:pStyle w:val="Quote"/>
      </w:pPr>
      <w:r>
        <w:t>The handbook engineer has no place in the</w:t>
      </w:r>
      <w:r w:rsidR="00D75C85">
        <w:t xml:space="preserve"> </w:t>
      </w:r>
      <w:r>
        <w:t>future. The technologist of tomorrow must be capable of interpreting completely the</w:t>
      </w:r>
      <w:r w:rsidR="00D75C85">
        <w:t xml:space="preserve"> </w:t>
      </w:r>
      <w:r>
        <w:t>significance of all the elements of a complex system and of developing creative ideas for the</w:t>
      </w:r>
      <w:r w:rsidR="00D75C85">
        <w:t xml:space="preserve"> </w:t>
      </w:r>
      <w:r>
        <w:t>solution of its problems</w:t>
      </w:r>
      <w:r w:rsidR="003215A3">
        <w:t>.</w:t>
      </w:r>
      <w:r w:rsidR="008E7F71">
        <w:br/>
      </w:r>
      <w:r w:rsidR="003215A3">
        <w:tab/>
      </w:r>
      <w:r w:rsidR="00D75C85">
        <w:t>(</w:t>
      </w:r>
      <w:r w:rsidR="00EF7EB2">
        <w:t xml:space="preserve">Committee on the Future of Tertiary Education in Australia </w:t>
      </w:r>
      <w:r w:rsidR="00D75C85">
        <w:t>1964</w:t>
      </w:r>
      <w:r w:rsidR="00204F8D">
        <w:t>—65</w:t>
      </w:r>
      <w:r w:rsidR="005A565B">
        <w:t>,</w:t>
      </w:r>
      <w:r w:rsidR="003215A3">
        <w:t xml:space="preserve"> vol.</w:t>
      </w:r>
      <w:r w:rsidR="00D75C85">
        <w:t xml:space="preserve">1, </w:t>
      </w:r>
      <w:r w:rsidR="005A565B">
        <w:t>p.</w:t>
      </w:r>
      <w:r w:rsidR="00D75C85">
        <w:t>152)</w:t>
      </w:r>
    </w:p>
    <w:p w:rsidR="00C8065B" w:rsidRDefault="002829E4" w:rsidP="00B303FC">
      <w:pPr>
        <w:pStyle w:val="Text"/>
      </w:pPr>
      <w:r>
        <w:t>Martin looked to</w:t>
      </w:r>
      <w:r w:rsidR="003215A3">
        <w:t xml:space="preserve"> the</w:t>
      </w:r>
      <w:r>
        <w:t xml:space="preserve"> </w:t>
      </w:r>
      <w:r w:rsidR="003215A3">
        <w:t xml:space="preserve">approaches </w:t>
      </w:r>
      <w:r>
        <w:t>the United Kingdom and the United States</w:t>
      </w:r>
      <w:r w:rsidR="003215A3">
        <w:t xml:space="preserve"> had taken</w:t>
      </w:r>
      <w:r>
        <w:t xml:space="preserve"> to engineering education. Had he </w:t>
      </w:r>
      <w:r w:rsidR="00FF28FB">
        <w:t>also taken account of</w:t>
      </w:r>
      <w:r>
        <w:t xml:space="preserve"> German thinking, which resulted in the highly vocational (and highly regarded) </w:t>
      </w:r>
      <w:r w:rsidR="005E5478">
        <w:t>institut</w:t>
      </w:r>
      <w:r w:rsidR="00D75C85">
        <w:t>es of applied sciences</w:t>
      </w:r>
      <w:r w:rsidR="00FF28FB">
        <w:t xml:space="preserve"> (</w:t>
      </w:r>
      <w:r w:rsidR="00FF28FB" w:rsidRPr="00B303FC">
        <w:t>Fachhochschulen</w:t>
      </w:r>
      <w:r w:rsidR="00FF28FB">
        <w:t>)</w:t>
      </w:r>
      <w:r>
        <w:t xml:space="preserve">, </w:t>
      </w:r>
      <w:r w:rsidR="003215A3">
        <w:t>then perhaps</w:t>
      </w:r>
      <w:r>
        <w:t xml:space="preserve"> </w:t>
      </w:r>
      <w:r w:rsidR="00802C47">
        <w:t xml:space="preserve">the goal of parity </w:t>
      </w:r>
      <w:r w:rsidR="00A04EF7">
        <w:t xml:space="preserve">― or at least </w:t>
      </w:r>
      <w:r w:rsidR="002007E9">
        <w:t xml:space="preserve">a </w:t>
      </w:r>
      <w:r w:rsidR="00A04EF7">
        <w:t xml:space="preserve">greater stature for applied learning ― </w:t>
      </w:r>
      <w:r w:rsidR="00802C47">
        <w:t xml:space="preserve">would have proved less elusive. </w:t>
      </w:r>
      <w:r w:rsidR="00661B86">
        <w:t xml:space="preserve">This would also have needed a shift in the occupational status of </w:t>
      </w:r>
      <w:r w:rsidR="00437298">
        <w:t xml:space="preserve">the best </w:t>
      </w:r>
      <w:r w:rsidR="00661B86">
        <w:t xml:space="preserve">tradespeople toward the idea of the </w:t>
      </w:r>
      <w:r w:rsidR="00AB306D">
        <w:t>‘</w:t>
      </w:r>
      <w:r w:rsidR="00661B86">
        <w:t>master craftsman</w:t>
      </w:r>
      <w:r w:rsidR="00AB306D">
        <w:t>’</w:t>
      </w:r>
      <w:r w:rsidR="00661B86">
        <w:t xml:space="preserve">. </w:t>
      </w:r>
    </w:p>
    <w:p w:rsidR="00802C47" w:rsidRDefault="00802C47" w:rsidP="00B303FC">
      <w:pPr>
        <w:pStyle w:val="Text"/>
      </w:pPr>
      <w:r>
        <w:t>Instead</w:t>
      </w:r>
      <w:r w:rsidR="003215A3">
        <w:t>,</w:t>
      </w:r>
      <w:r>
        <w:t xml:space="preserve"> the tiered approach of the 1960 Californian Master Plan</w:t>
      </w:r>
      <w:r w:rsidR="006625F8">
        <w:t xml:space="preserve"> </w:t>
      </w:r>
      <w:r w:rsidR="00DD45B4">
        <w:t xml:space="preserve">for </w:t>
      </w:r>
      <w:r w:rsidR="00CA7BBB">
        <w:t xml:space="preserve">Higher </w:t>
      </w:r>
      <w:r w:rsidR="00DD45B4">
        <w:t xml:space="preserve">Education </w:t>
      </w:r>
      <w:r>
        <w:t xml:space="preserve">held some attraction. The plan established a </w:t>
      </w:r>
      <w:r w:rsidR="006625F8">
        <w:t xml:space="preserve">three-part </w:t>
      </w:r>
      <w:r>
        <w:t xml:space="preserve">framework </w:t>
      </w:r>
      <w:r w:rsidR="00CA7BBB">
        <w:t>where</w:t>
      </w:r>
      <w:r w:rsidR="003215A3">
        <w:t>by</w:t>
      </w:r>
      <w:r w:rsidR="00CA7BBB">
        <w:t xml:space="preserve"> the</w:t>
      </w:r>
      <w:r w:rsidR="00DD3171">
        <w:t xml:space="preserve"> </w:t>
      </w:r>
      <w:r>
        <w:t>University of California</w:t>
      </w:r>
      <w:r w:rsidR="006625F8">
        <w:t xml:space="preserve"> </w:t>
      </w:r>
      <w:r w:rsidR="00524063">
        <w:t>took</w:t>
      </w:r>
      <w:r w:rsidR="006625F8" w:rsidRPr="006625F8">
        <w:t xml:space="preserve"> the top 12</w:t>
      </w:r>
      <w:r w:rsidR="00DD45B4">
        <w:t>.5</w:t>
      </w:r>
      <w:r w:rsidR="006625F8" w:rsidRPr="006625F8">
        <w:t xml:space="preserve"> per cent of high school graduates</w:t>
      </w:r>
      <w:r w:rsidR="006625F8">
        <w:t xml:space="preserve"> and was </w:t>
      </w:r>
      <w:r>
        <w:t xml:space="preserve">the only segment able to offer </w:t>
      </w:r>
      <w:r w:rsidR="00DD45B4">
        <w:t>research doctorates</w:t>
      </w:r>
      <w:r w:rsidR="006625F8">
        <w:t xml:space="preserve">; </w:t>
      </w:r>
      <w:r>
        <w:t xml:space="preserve">the </w:t>
      </w:r>
      <w:r w:rsidR="00CA7BBB">
        <w:t xml:space="preserve">California </w:t>
      </w:r>
      <w:r>
        <w:t xml:space="preserve">State University </w:t>
      </w:r>
      <w:r w:rsidR="006625F8">
        <w:t>was</w:t>
      </w:r>
      <w:r>
        <w:t xml:space="preserve"> open to </w:t>
      </w:r>
      <w:r w:rsidR="006114E9">
        <w:t>the top third</w:t>
      </w:r>
      <w:r w:rsidR="006625F8">
        <w:t>;</w:t>
      </w:r>
      <w:r w:rsidR="006114E9">
        <w:t xml:space="preserve"> and the community colleges</w:t>
      </w:r>
      <w:r w:rsidR="00DD45B4">
        <w:t xml:space="preserve"> </w:t>
      </w:r>
      <w:r w:rsidR="00DD3171">
        <w:t xml:space="preserve">had </w:t>
      </w:r>
      <w:r w:rsidR="00DD45B4">
        <w:t>open access</w:t>
      </w:r>
      <w:r w:rsidR="00DD3171">
        <w:t>. The colleges</w:t>
      </w:r>
      <w:r w:rsidR="00AB306D">
        <w:t>’</w:t>
      </w:r>
      <w:r w:rsidR="00DD3171">
        <w:t xml:space="preserve"> </w:t>
      </w:r>
      <w:r w:rsidR="00524063">
        <w:t>primary</w:t>
      </w:r>
      <w:r w:rsidR="006625F8">
        <w:t xml:space="preserve"> mission </w:t>
      </w:r>
      <w:r w:rsidR="00DD3171">
        <w:t>was to provide</w:t>
      </w:r>
      <w:r w:rsidR="006625F8">
        <w:t xml:space="preserve"> academic and voc</w:t>
      </w:r>
      <w:r w:rsidR="00D53467">
        <w:t>ational instruction for older as well as</w:t>
      </w:r>
      <w:r w:rsidR="00DD3171">
        <w:t xml:space="preserve"> younger students. They offered </w:t>
      </w:r>
      <w:r w:rsidR="006625F8">
        <w:t>two-year programs from which graduates could transfer to universities</w:t>
      </w:r>
      <w:r w:rsidR="006114E9">
        <w:t xml:space="preserve">. Each </w:t>
      </w:r>
      <w:r w:rsidR="00DD3171">
        <w:t xml:space="preserve">part of the system </w:t>
      </w:r>
      <w:r w:rsidR="006114E9">
        <w:t>was</w:t>
      </w:r>
      <w:r w:rsidR="006114E9" w:rsidRPr="006114E9">
        <w:t xml:space="preserve"> encouraged </w:t>
      </w:r>
      <w:r>
        <w:t>to creat</w:t>
      </w:r>
      <w:r w:rsidR="0007084B">
        <w:t>e</w:t>
      </w:r>
      <w:r>
        <w:t xml:space="preserve"> its own kind of excellence </w:t>
      </w:r>
      <w:r w:rsidR="006114E9">
        <w:t xml:space="preserve">but, as </w:t>
      </w:r>
      <w:r>
        <w:t>Martin told Davies in 1975</w:t>
      </w:r>
      <w:r w:rsidR="00D53467">
        <w:t>,</w:t>
      </w:r>
      <w:r>
        <w:t xml:space="preserve"> </w:t>
      </w:r>
      <w:r w:rsidR="0069310A">
        <w:t>by offering liberal arts programs</w:t>
      </w:r>
      <w:r>
        <w:t xml:space="preserve"> </w:t>
      </w:r>
      <w:r w:rsidR="00AB306D">
        <w:t>‘</w:t>
      </w:r>
      <w:r w:rsidRPr="00802C47">
        <w:t>the Americans went wrong in trying to make their col</w:t>
      </w:r>
      <w:r w:rsidR="00D53467">
        <w:t>leges second-rate universities</w:t>
      </w:r>
      <w:r w:rsidR="003215A3">
        <w:t xml:space="preserve"> </w:t>
      </w:r>
      <w:r w:rsidR="00D53467">
        <w:t>…</w:t>
      </w:r>
      <w:r w:rsidR="003215A3">
        <w:t xml:space="preserve"> </w:t>
      </w:r>
      <w:r w:rsidRPr="00802C47">
        <w:t>they didn</w:t>
      </w:r>
      <w:r w:rsidR="00AB306D">
        <w:t>’</w:t>
      </w:r>
      <w:r w:rsidRPr="00802C47">
        <w:t xml:space="preserve">t really look at it as a training of </w:t>
      </w:r>
      <w:r w:rsidR="002007E9">
        <w:t xml:space="preserve">a </w:t>
      </w:r>
      <w:r w:rsidRPr="00802C47">
        <w:t>technological nature</w:t>
      </w:r>
      <w:r w:rsidR="00AB306D">
        <w:t>’</w:t>
      </w:r>
      <w:r w:rsidRPr="00802C47">
        <w:t xml:space="preserve"> (</w:t>
      </w:r>
      <w:r w:rsidR="003215A3">
        <w:t xml:space="preserve">cited in </w:t>
      </w:r>
      <w:r w:rsidR="006114E9">
        <w:t>Davies</w:t>
      </w:r>
      <w:r w:rsidR="005A565B">
        <w:t xml:space="preserve"> 1989</w:t>
      </w:r>
      <w:r w:rsidR="006114E9">
        <w:t>, p.94</w:t>
      </w:r>
      <w:r w:rsidRPr="00802C47">
        <w:t>)</w:t>
      </w:r>
      <w:r w:rsidR="006114E9">
        <w:t xml:space="preserve">. </w:t>
      </w:r>
    </w:p>
    <w:p w:rsidR="00156834" w:rsidRPr="001C727A" w:rsidRDefault="001C727A" w:rsidP="00B303FC">
      <w:pPr>
        <w:pStyle w:val="Text"/>
      </w:pPr>
      <w:r>
        <w:t xml:space="preserve">Nor, it transpired, did </w:t>
      </w:r>
      <w:r w:rsidR="006114E9">
        <w:t xml:space="preserve">the </w:t>
      </w:r>
      <w:r w:rsidR="00A86A39">
        <w:t>colleges of advanced education</w:t>
      </w:r>
      <w:r>
        <w:t xml:space="preserve">. They </w:t>
      </w:r>
      <w:r w:rsidR="0007084B">
        <w:t xml:space="preserve">soon stretched their </w:t>
      </w:r>
      <w:r w:rsidR="006114E9">
        <w:t xml:space="preserve">mandate </w:t>
      </w:r>
      <w:r w:rsidR="002007E9" w:rsidRPr="00563E6E">
        <w:t xml:space="preserve">from </w:t>
      </w:r>
      <w:r w:rsidR="006114E9" w:rsidRPr="00563E6E">
        <w:t>rais</w:t>
      </w:r>
      <w:r w:rsidR="002007E9" w:rsidRPr="00563E6E">
        <w:t>ing</w:t>
      </w:r>
      <w:r w:rsidR="006114E9">
        <w:t xml:space="preserve"> </w:t>
      </w:r>
      <w:r w:rsidR="00AB306D">
        <w:t>‘</w:t>
      </w:r>
      <w:r w:rsidR="006114E9">
        <w:t>the status and increasing the scope of the "humanities" side of technical college work</w:t>
      </w:r>
      <w:r w:rsidR="00AB306D">
        <w:t>’</w:t>
      </w:r>
      <w:r w:rsidR="0007084B">
        <w:t xml:space="preserve"> </w:t>
      </w:r>
      <w:r w:rsidR="00CA7BBB">
        <w:t>(</w:t>
      </w:r>
      <w:r w:rsidR="00EF7EB2">
        <w:t>Committee on the Future of Tertiary Education in Australia</w:t>
      </w:r>
      <w:r w:rsidR="00DD3171">
        <w:t xml:space="preserve"> 1964</w:t>
      </w:r>
      <w:r w:rsidR="00204F8D">
        <w:t>—65</w:t>
      </w:r>
      <w:r w:rsidR="00DD3171">
        <w:t>, vol</w:t>
      </w:r>
      <w:r w:rsidR="00A86A39">
        <w:t>.1, p.</w:t>
      </w:r>
      <w:r w:rsidR="00DD3171">
        <w:t>165)</w:t>
      </w:r>
      <w:r w:rsidR="002007E9">
        <w:t>,</w:t>
      </w:r>
      <w:r w:rsidR="00CA7BBB">
        <w:t xml:space="preserve"> </w:t>
      </w:r>
      <w:r w:rsidR="0007084B">
        <w:t xml:space="preserve">to delivering </w:t>
      </w:r>
      <w:r w:rsidR="0022075C">
        <w:t>arts courses in their own right</w:t>
      </w:r>
      <w:r w:rsidR="006114E9">
        <w:t>.</w:t>
      </w:r>
      <w:r w:rsidR="00A86A39">
        <w:t xml:space="preserve"> The Martin C</w:t>
      </w:r>
      <w:r w:rsidR="0069310A">
        <w:t>ommittee</w:t>
      </w:r>
      <w:r w:rsidR="005A565B">
        <w:t xml:space="preserve"> had</w:t>
      </w:r>
      <w:r w:rsidR="0069310A">
        <w:t xml:space="preserve"> emphasised the </w:t>
      </w:r>
      <w:r w:rsidR="006114E9">
        <w:t xml:space="preserve">imperative that students of technology learn to express their thoughts clearly and </w:t>
      </w:r>
      <w:r w:rsidR="00D53467">
        <w:t>economically,</w:t>
      </w:r>
      <w:r w:rsidR="006114E9">
        <w:t xml:space="preserve"> and to study courses such as economic geography, government, statistics, history of science and technology</w:t>
      </w:r>
      <w:r w:rsidR="00D53467">
        <w:t xml:space="preserve"> ―</w:t>
      </w:r>
      <w:r w:rsidR="006114E9">
        <w:t xml:space="preserve"> not as pure academic disciplines but </w:t>
      </w:r>
      <w:r w:rsidR="00A04EF7">
        <w:t>for</w:t>
      </w:r>
      <w:r w:rsidR="006114E9">
        <w:t xml:space="preserve"> their relevance to</w:t>
      </w:r>
      <w:r w:rsidR="00DD3171">
        <w:t xml:space="preserve"> the practical world of </w:t>
      </w:r>
      <w:r w:rsidR="006B68DD">
        <w:t>work</w:t>
      </w:r>
      <w:r w:rsidR="00DD3171">
        <w:t>.</w:t>
      </w:r>
      <w:r w:rsidR="00D53467">
        <w:t xml:space="preserve"> </w:t>
      </w:r>
      <w:r w:rsidR="00A86A39">
        <w:t>V</w:t>
      </w:r>
      <w:r w:rsidR="00A04EF7">
        <w:t>olume three</w:t>
      </w:r>
      <w:r>
        <w:t xml:space="preserve"> </w:t>
      </w:r>
      <w:r w:rsidR="00A86A39">
        <w:t xml:space="preserve">of </w:t>
      </w:r>
      <w:r>
        <w:t xml:space="preserve">the report went further, suggesting </w:t>
      </w:r>
      <w:r w:rsidR="00A86A39">
        <w:t xml:space="preserve">that </w:t>
      </w:r>
      <w:r>
        <w:t>liberal education at the diploma, and even the d</w:t>
      </w:r>
      <w:r w:rsidR="00A04EF7">
        <w:t>egree level, could be desirable</w:t>
      </w:r>
      <w:r>
        <w:t xml:space="preserve"> but </w:t>
      </w:r>
      <w:r w:rsidRPr="00B303FC">
        <w:t xml:space="preserve">only </w:t>
      </w:r>
      <w:r w:rsidR="00AB306D">
        <w:t>‘</w:t>
      </w:r>
      <w:r w:rsidRPr="001C727A">
        <w:t>if it is accepted by industry and commerce as a valuable preparation for work</w:t>
      </w:r>
      <w:r w:rsidR="00AB306D">
        <w:t>’</w:t>
      </w:r>
      <w:r>
        <w:t xml:space="preserve"> (</w:t>
      </w:r>
      <w:r w:rsidR="00EF7EB2">
        <w:t xml:space="preserve">Committee on the Future of Tertiary Education in Australia </w:t>
      </w:r>
      <w:r>
        <w:t>19</w:t>
      </w:r>
      <w:r w:rsidR="00204F8D">
        <w:t>64—</w:t>
      </w:r>
      <w:r>
        <w:t xml:space="preserve">65, </w:t>
      </w:r>
      <w:r w:rsidR="00A86A39">
        <w:t>vol.3, p.14</w:t>
      </w:r>
      <w:r>
        <w:t>)</w:t>
      </w:r>
      <w:r w:rsidR="00545799">
        <w:t xml:space="preserve">. </w:t>
      </w:r>
    </w:p>
    <w:p w:rsidR="00D53467" w:rsidRDefault="00D53467" w:rsidP="00B303FC">
      <w:pPr>
        <w:pStyle w:val="Text"/>
      </w:pPr>
      <w:r>
        <w:t xml:space="preserve">This </w:t>
      </w:r>
      <w:r w:rsidR="00545799">
        <w:t xml:space="preserve">tension </w:t>
      </w:r>
      <w:r w:rsidR="0007084B">
        <w:t>extended also to research</w:t>
      </w:r>
      <w:r>
        <w:t xml:space="preserve"> </w:t>
      </w:r>
      <w:r w:rsidR="0007084B">
        <w:t>(</w:t>
      </w:r>
      <w:r>
        <w:t xml:space="preserve">to be discussed in </w:t>
      </w:r>
      <w:r w:rsidR="0007084B">
        <w:t xml:space="preserve">the next </w:t>
      </w:r>
      <w:r>
        <w:t>chapter</w:t>
      </w:r>
      <w:r w:rsidR="0007084B">
        <w:t>). T</w:t>
      </w:r>
      <w:r w:rsidR="00545799">
        <w:t>h</w:t>
      </w:r>
      <w:r w:rsidR="00437298">
        <w:t>e c</w:t>
      </w:r>
      <w:r w:rsidR="00156834">
        <w:t xml:space="preserve">olleges </w:t>
      </w:r>
      <w:r w:rsidR="00545799">
        <w:t xml:space="preserve">came to look </w:t>
      </w:r>
      <w:r w:rsidR="00156834">
        <w:t>more lik</w:t>
      </w:r>
      <w:r w:rsidR="00A04EF7">
        <w:t>e universities, while TAFE</w:t>
      </w:r>
      <w:r w:rsidR="00A86A39">
        <w:t xml:space="preserve"> institutions</w:t>
      </w:r>
      <w:r w:rsidR="00A04EF7">
        <w:t xml:space="preserve"> were</w:t>
      </w:r>
      <w:r w:rsidR="00156834">
        <w:t xml:space="preserve"> pressed </w:t>
      </w:r>
      <w:r w:rsidR="0007084B">
        <w:t>―</w:t>
      </w:r>
      <w:r w:rsidR="00156834">
        <w:t xml:space="preserve"> until the last decade </w:t>
      </w:r>
      <w:r w:rsidR="0007084B">
        <w:t>―</w:t>
      </w:r>
      <w:r w:rsidR="00A86A39">
        <w:t xml:space="preserve"> to relinquish their para</w:t>
      </w:r>
      <w:r w:rsidR="00156834">
        <w:t xml:space="preserve">professional education. </w:t>
      </w:r>
      <w:r w:rsidR="00481643">
        <w:t>A</w:t>
      </w:r>
      <w:r w:rsidR="00156834">
        <w:t xml:space="preserve"> distinct kind of highe</w:t>
      </w:r>
      <w:r w:rsidR="00481643">
        <w:t xml:space="preserve">r education for the practically </w:t>
      </w:r>
      <w:r w:rsidR="00156834">
        <w:t xml:space="preserve">minded student with a good </w:t>
      </w:r>
      <w:r w:rsidR="00B600A5">
        <w:t xml:space="preserve">sense </w:t>
      </w:r>
      <w:r w:rsidR="00156834">
        <w:t>of his or her vocational direction was lost.</w:t>
      </w:r>
    </w:p>
    <w:p w:rsidR="00260D9F" w:rsidRDefault="00260D9F" w:rsidP="00260D9F">
      <w:pPr>
        <w:pStyle w:val="Heading2"/>
      </w:pPr>
      <w:bookmarkStart w:id="42" w:name="_Toc393293029"/>
      <w:r>
        <w:t>Professional training</w:t>
      </w:r>
      <w:bookmarkEnd w:id="42"/>
    </w:p>
    <w:p w:rsidR="00C8065B" w:rsidRDefault="00B41651" w:rsidP="00B303FC">
      <w:pPr>
        <w:pStyle w:val="Text"/>
      </w:pPr>
      <w:r>
        <w:t>Part of the enduring and confounding problem of status has its origins in the courses offered, and jealously guarded, by universities: medicine and law, from the very beginning, and then others. As Aitkin (</w:t>
      </w:r>
      <w:r w:rsidR="00143017">
        <w:t xml:space="preserve">2000, </w:t>
      </w:r>
      <w:r>
        <w:t>p.37) notes, the universities never agreed to vacate the vocational field. On the other hand,</w:t>
      </w:r>
      <w:r w:rsidR="00143017">
        <w:t xml:space="preserve"> initially at least,</w:t>
      </w:r>
      <w:r>
        <w:t xml:space="preserve"> they </w:t>
      </w:r>
      <w:r w:rsidR="00143017">
        <w:t>preferred no</w:t>
      </w:r>
      <w:r>
        <w:t>t to embrace some fields, notwithstanding ind</w:t>
      </w:r>
      <w:r w:rsidR="00A86A39">
        <w:t xml:space="preserve">ustry pressures to do so. </w:t>
      </w:r>
      <w:r w:rsidR="00AB306D">
        <w:t>‘</w:t>
      </w:r>
      <w:r w:rsidR="00A86A39">
        <w:t>Para</w:t>
      </w:r>
      <w:r>
        <w:t>medical</w:t>
      </w:r>
      <w:r w:rsidR="00AB306D">
        <w:t>’</w:t>
      </w:r>
      <w:r>
        <w:t xml:space="preserve"> </w:t>
      </w:r>
      <w:r w:rsidR="00CE20B9">
        <w:t xml:space="preserve">education </w:t>
      </w:r>
      <w:r w:rsidR="00E344F0">
        <w:t>is</w:t>
      </w:r>
      <w:r>
        <w:t xml:space="preserve"> a case in point. </w:t>
      </w:r>
    </w:p>
    <w:p w:rsidR="00D64D11" w:rsidRDefault="00CE20B9" w:rsidP="00B303FC">
      <w:pPr>
        <w:pStyle w:val="Text"/>
      </w:pPr>
      <w:r>
        <w:lastRenderedPageBreak/>
        <w:t>Reading t</w:t>
      </w:r>
      <w:r w:rsidR="00437298">
        <w:t>oday</w:t>
      </w:r>
      <w:r w:rsidR="00AB306D">
        <w:t>’</w:t>
      </w:r>
      <w:r w:rsidR="00437298">
        <w:t xml:space="preserve">s </w:t>
      </w:r>
      <w:r>
        <w:t>blurb about Cumberland College, now the University of Sydney</w:t>
      </w:r>
      <w:r w:rsidR="00AB306D">
        <w:t>’</w:t>
      </w:r>
      <w:r>
        <w:t xml:space="preserve">s Faculty of Health Sciences, </w:t>
      </w:r>
      <w:r w:rsidR="00626270">
        <w:t>it would be difficult to believe</w:t>
      </w:r>
      <w:r>
        <w:t xml:space="preserve"> that at the time Martin was conducting his inquiry, the universi</w:t>
      </w:r>
      <w:r w:rsidR="00A04EF7">
        <w:t>ty wanted nothing to do with</w:t>
      </w:r>
      <w:r>
        <w:t xml:space="preserve"> </w:t>
      </w:r>
      <w:r w:rsidRPr="00CE20B9">
        <w:t xml:space="preserve">training </w:t>
      </w:r>
      <w:r>
        <w:t>p</w:t>
      </w:r>
      <w:r w:rsidRPr="00CE20B9">
        <w:t>hysio</w:t>
      </w:r>
      <w:r>
        <w:t xml:space="preserve">therapists or </w:t>
      </w:r>
      <w:r w:rsidRPr="00CE20B9">
        <w:t>occ</w:t>
      </w:r>
      <w:r>
        <w:t>upational</w:t>
      </w:r>
      <w:r w:rsidRPr="00CE20B9">
        <w:t xml:space="preserve"> therapists</w:t>
      </w:r>
      <w:r w:rsidR="00260D9F">
        <w:t xml:space="preserve">. It </w:t>
      </w:r>
      <w:r w:rsidR="0022075C">
        <w:t>considered</w:t>
      </w:r>
      <w:r>
        <w:t xml:space="preserve"> the type of </w:t>
      </w:r>
      <w:r w:rsidR="005E58EB">
        <w:t xml:space="preserve">graduate </w:t>
      </w:r>
      <w:r w:rsidR="0022075C">
        <w:t>course these professions required</w:t>
      </w:r>
      <w:r>
        <w:t xml:space="preserve"> </w:t>
      </w:r>
      <w:r w:rsidR="005E58EB">
        <w:t xml:space="preserve">was </w:t>
      </w:r>
      <w:r w:rsidRPr="00CE20B9">
        <w:t xml:space="preserve">below </w:t>
      </w:r>
      <w:r w:rsidR="005E58EB">
        <w:t xml:space="preserve">the </w:t>
      </w:r>
      <w:r w:rsidRPr="00CE20B9">
        <w:t>level of uni</w:t>
      </w:r>
      <w:r w:rsidR="005E58EB">
        <w:t>versity teaching (Rodgers</w:t>
      </w:r>
      <w:r w:rsidR="00260D9F">
        <w:t xml:space="preserve"> 1985</w:t>
      </w:r>
      <w:r w:rsidR="005E58EB">
        <w:t xml:space="preserve">, p.11). </w:t>
      </w:r>
    </w:p>
    <w:p w:rsidR="00E344F0" w:rsidRDefault="002007E9" w:rsidP="00B303FC">
      <w:pPr>
        <w:pStyle w:val="Text"/>
      </w:pPr>
      <w:r>
        <w:t xml:space="preserve">The </w:t>
      </w:r>
      <w:r w:rsidR="005E58EB">
        <w:t>Martin</w:t>
      </w:r>
      <w:r>
        <w:t xml:space="preserve"> Committee</w:t>
      </w:r>
      <w:r w:rsidR="00AB306D">
        <w:t>’</w:t>
      </w:r>
      <w:r w:rsidR="005E58EB">
        <w:t>s conclusion was the same</w:t>
      </w:r>
      <w:r w:rsidR="00260D9F">
        <w:t xml:space="preserve">, </w:t>
      </w:r>
      <w:r w:rsidR="0022075C">
        <w:t>arguing</w:t>
      </w:r>
      <w:r w:rsidR="00260D9F">
        <w:t xml:space="preserve"> t</w:t>
      </w:r>
      <w:r w:rsidR="00626270">
        <w:t>hat much of the content in para</w:t>
      </w:r>
      <w:r w:rsidR="00260D9F">
        <w:t>medical courses was inappropriate for universities</w:t>
      </w:r>
      <w:r w:rsidR="00D64D11">
        <w:t>. The committee doubted</w:t>
      </w:r>
      <w:r w:rsidR="00626270">
        <w:t xml:space="preserve"> the wisdom of various para</w:t>
      </w:r>
      <w:r w:rsidR="00260D9F">
        <w:t xml:space="preserve">medical groups wishing to raise the status of their training courses to the level of a university degree. </w:t>
      </w:r>
      <w:r w:rsidR="0022075C">
        <w:t>It did however</w:t>
      </w:r>
      <w:r w:rsidR="00D64D11">
        <w:t xml:space="preserve"> </w:t>
      </w:r>
      <w:r w:rsidR="00626270">
        <w:t>consider</w:t>
      </w:r>
      <w:r w:rsidR="00D64D11">
        <w:t xml:space="preserve"> that</w:t>
      </w:r>
      <w:r w:rsidR="00626270">
        <w:t>,</w:t>
      </w:r>
      <w:r w:rsidR="00D64D11">
        <w:t xml:space="preserve"> while</w:t>
      </w:r>
      <w:r w:rsidR="00041295">
        <w:t xml:space="preserve"> vocational nursing training should not be provided by the universities</w:t>
      </w:r>
      <w:r w:rsidR="00D64D11">
        <w:t xml:space="preserve">, </w:t>
      </w:r>
      <w:r w:rsidR="00A04EF7">
        <w:t>colleges of n</w:t>
      </w:r>
      <w:r w:rsidR="00041295">
        <w:t xml:space="preserve">ursing should be </w:t>
      </w:r>
      <w:r w:rsidR="00D64D11">
        <w:t xml:space="preserve">further </w:t>
      </w:r>
      <w:r w:rsidR="00041295">
        <w:t>supported and that</w:t>
      </w:r>
      <w:r w:rsidR="00D64D11">
        <w:t xml:space="preserve"> </w:t>
      </w:r>
      <w:r w:rsidR="00041295">
        <w:t>universities,</w:t>
      </w:r>
      <w:r w:rsidR="00D64D11">
        <w:t xml:space="preserve"> </w:t>
      </w:r>
      <w:r w:rsidR="00041295">
        <w:t>technical colleges a</w:t>
      </w:r>
      <w:r w:rsidR="00626270">
        <w:t>nd teaching hospitals should cooperate in para</w:t>
      </w:r>
      <w:r w:rsidR="00041295">
        <w:t>medical training (</w:t>
      </w:r>
      <w:r w:rsidR="00EF7EB2">
        <w:t xml:space="preserve">Committee on the Future of Tertiary Education in Australia </w:t>
      </w:r>
      <w:r w:rsidR="00D64D11">
        <w:t>1964</w:t>
      </w:r>
      <w:r w:rsidR="00204F8D">
        <w:t>—65</w:t>
      </w:r>
      <w:r w:rsidR="00041295">
        <w:t>,</w:t>
      </w:r>
      <w:r w:rsidR="00D64D11">
        <w:t xml:space="preserve"> </w:t>
      </w:r>
      <w:r w:rsidR="00041295">
        <w:t>vol</w:t>
      </w:r>
      <w:r w:rsidR="00626270">
        <w:t>.2, p.</w:t>
      </w:r>
      <w:r w:rsidR="00041295">
        <w:t>109).</w:t>
      </w:r>
      <w:r w:rsidR="00143017">
        <w:t xml:space="preserve"> </w:t>
      </w:r>
    </w:p>
    <w:p w:rsidR="00257976" w:rsidRDefault="00321F22" w:rsidP="00B303FC">
      <w:pPr>
        <w:pStyle w:val="Text"/>
      </w:pPr>
      <w:r>
        <w:t xml:space="preserve">Cumberland emerged </w:t>
      </w:r>
      <w:r w:rsidR="00D64D11">
        <w:t xml:space="preserve">in 1973 </w:t>
      </w:r>
      <w:r>
        <w:t xml:space="preserve">as a </w:t>
      </w:r>
      <w:r w:rsidR="00FA0245">
        <w:t xml:space="preserve">specialist </w:t>
      </w:r>
      <w:r>
        <w:t xml:space="preserve">college of advanced education, coming under the umbrella of </w:t>
      </w:r>
      <w:r w:rsidR="00257976">
        <w:t xml:space="preserve">the </w:t>
      </w:r>
      <w:r w:rsidR="00AE5F8D">
        <w:t xml:space="preserve">New South Wales </w:t>
      </w:r>
      <w:r>
        <w:t>Minister for Education and Science</w:t>
      </w:r>
      <w:r w:rsidR="00257976">
        <w:t>, but with Commonwealth financial support (albeit not for the type of clinical education available in university medical schools)</w:t>
      </w:r>
      <w:r>
        <w:t>.</w:t>
      </w:r>
      <w:r w:rsidR="00257976">
        <w:t xml:space="preserve"> It offered </w:t>
      </w:r>
      <w:r w:rsidR="00AB306D">
        <w:t>‘</w:t>
      </w:r>
      <w:r w:rsidR="00257976">
        <w:t>integrated programs aimed at preparing health science professionals with both theoretical and practical competence</w:t>
      </w:r>
      <w:r w:rsidR="00AB306D">
        <w:t>’</w:t>
      </w:r>
      <w:r w:rsidR="00257976">
        <w:t xml:space="preserve"> and built affiliations with hospitals</w:t>
      </w:r>
      <w:r w:rsidR="00D1390D">
        <w:t xml:space="preserve">, </w:t>
      </w:r>
      <w:r w:rsidR="00257976">
        <w:t>community facilities and private practices to</w:t>
      </w:r>
      <w:r w:rsidR="00D1390D">
        <w:t xml:space="preserve"> be able to</w:t>
      </w:r>
      <w:r w:rsidR="00257976">
        <w:t xml:space="preserve"> </w:t>
      </w:r>
      <w:r w:rsidR="00143017">
        <w:t>provide the</w:t>
      </w:r>
      <w:r w:rsidR="00257976">
        <w:t xml:space="preserve"> clinical training</w:t>
      </w:r>
      <w:r w:rsidR="00143017">
        <w:t xml:space="preserve"> it deemed essential (Rodgers</w:t>
      </w:r>
      <w:r w:rsidR="00D64D11">
        <w:t xml:space="preserve"> 1985</w:t>
      </w:r>
      <w:r w:rsidR="00143017">
        <w:t>, p.91)</w:t>
      </w:r>
      <w:r w:rsidR="008D45EA">
        <w:t>.</w:t>
      </w:r>
      <w:r w:rsidR="00143017">
        <w:t xml:space="preserve"> Such </w:t>
      </w:r>
      <w:r w:rsidR="00257976">
        <w:t>collaboration is now the boast of t</w:t>
      </w:r>
      <w:r w:rsidR="00257976" w:rsidRPr="00257976">
        <w:t>he Faculty of Health Sciences at the University of Sydney</w:t>
      </w:r>
      <w:r w:rsidR="00257976">
        <w:t xml:space="preserve">. </w:t>
      </w:r>
      <w:r w:rsidR="0022075C">
        <w:t>In 1985</w:t>
      </w:r>
      <w:r w:rsidR="00143017">
        <w:t xml:space="preserve"> </w:t>
      </w:r>
      <w:r w:rsidR="0022075C">
        <w:t xml:space="preserve">when </w:t>
      </w:r>
      <w:r w:rsidR="00143017">
        <w:t>a history of Cumberland was written</w:t>
      </w:r>
      <w:r w:rsidR="00AE5F8D">
        <w:t>,</w:t>
      </w:r>
      <w:r w:rsidR="00143017">
        <w:t xml:space="preserve"> the college was proud </w:t>
      </w:r>
      <w:r w:rsidR="00AB306D">
        <w:t>‘</w:t>
      </w:r>
      <w:r w:rsidR="00F5439D" w:rsidRPr="00F5439D">
        <w:t xml:space="preserve">that a College of Advanced Education does not, of necessity, have to take second place in the higher education community because its legislative arrangements do </w:t>
      </w:r>
      <w:r w:rsidR="00D64D11">
        <w:t>not match those of a university</w:t>
      </w:r>
      <w:r w:rsidR="00AB306D">
        <w:t>’</w:t>
      </w:r>
      <w:r w:rsidR="00D64D11">
        <w:t xml:space="preserve"> </w:t>
      </w:r>
      <w:r w:rsidR="00F5439D" w:rsidRPr="00F5439D">
        <w:t>(</w:t>
      </w:r>
      <w:r w:rsidR="00FF634B">
        <w:t xml:space="preserve">Rodgers </w:t>
      </w:r>
      <w:r w:rsidR="00D64D11">
        <w:t>1985</w:t>
      </w:r>
      <w:r w:rsidR="00FF634B">
        <w:t xml:space="preserve">, </w:t>
      </w:r>
      <w:r w:rsidR="00AE5F8D">
        <w:t>pp.xv—</w:t>
      </w:r>
      <w:r w:rsidR="00F5439D" w:rsidRPr="00F5439D">
        <w:t>xvi)</w:t>
      </w:r>
      <w:r w:rsidR="00FF634B">
        <w:t>.</w:t>
      </w:r>
      <w:r w:rsidR="00437298">
        <w:t xml:space="preserve"> This did not mean vacating the field of research, as we will see in the next chapter.</w:t>
      </w:r>
    </w:p>
    <w:p w:rsidR="00FA0245" w:rsidRDefault="00D45584" w:rsidP="00B303FC">
      <w:pPr>
        <w:pStyle w:val="Text"/>
      </w:pPr>
      <w:r>
        <w:t xml:space="preserve">Unlike </w:t>
      </w:r>
      <w:r w:rsidR="00143017">
        <w:t xml:space="preserve">the specialist </w:t>
      </w:r>
      <w:r w:rsidR="00D1390D">
        <w:t>Cumberland</w:t>
      </w:r>
      <w:r w:rsidR="00437298">
        <w:t xml:space="preserve"> College</w:t>
      </w:r>
      <w:r w:rsidR="00D1390D">
        <w:t xml:space="preserve">, </w:t>
      </w:r>
      <w:r w:rsidR="00FF634B">
        <w:t xml:space="preserve">in Western Australia </w:t>
      </w:r>
      <w:r w:rsidR="00D64D11">
        <w:t xml:space="preserve">the 1970s saw the successful integration of </w:t>
      </w:r>
      <w:r w:rsidR="00D1390D">
        <w:t>two therap</w:t>
      </w:r>
      <w:r w:rsidR="00D64D11">
        <w:t>y schools and t</w:t>
      </w:r>
      <w:r>
        <w:t>he l</w:t>
      </w:r>
      <w:r w:rsidR="00D1390D">
        <w:t>ocal</w:t>
      </w:r>
      <w:r>
        <w:t xml:space="preserve"> branch of the</w:t>
      </w:r>
      <w:r w:rsidR="00D1390D">
        <w:t xml:space="preserve"> Australian College of Nursing into</w:t>
      </w:r>
      <w:r w:rsidR="00D64D11" w:rsidRPr="00D64D11">
        <w:t xml:space="preserve"> the Western Australian</w:t>
      </w:r>
      <w:r w:rsidR="00D64D11">
        <w:t xml:space="preserve"> Institute of Technology</w:t>
      </w:r>
      <w:r w:rsidR="00AE5F8D">
        <w:t xml:space="preserve"> (WAIT)</w:t>
      </w:r>
      <w:r w:rsidR="000C7962">
        <w:t xml:space="preserve">. WAIT </w:t>
      </w:r>
      <w:r w:rsidR="00D64D11">
        <w:t xml:space="preserve">became </w:t>
      </w:r>
      <w:r w:rsidR="00D1390D">
        <w:t>a l</w:t>
      </w:r>
      <w:r w:rsidR="00D1390D" w:rsidRPr="00D1390D">
        <w:t>arge, comprehensive institution</w:t>
      </w:r>
      <w:r w:rsidR="000C7962">
        <w:t xml:space="preserve"> </w:t>
      </w:r>
      <w:r w:rsidR="00D64D11">
        <w:t>w</w:t>
      </w:r>
      <w:r w:rsidR="000C7962">
        <w:t xml:space="preserve">ith a very broad interpretation </w:t>
      </w:r>
      <w:r w:rsidR="00D64D11">
        <w:t xml:space="preserve">of the word </w:t>
      </w:r>
      <w:r w:rsidR="00AB306D">
        <w:t>‘</w:t>
      </w:r>
      <w:r w:rsidR="00D64D11">
        <w:t>technology</w:t>
      </w:r>
      <w:r w:rsidR="00AB306D">
        <w:t>’</w:t>
      </w:r>
      <w:r w:rsidR="00D64D11">
        <w:t xml:space="preserve"> and a clear mission </w:t>
      </w:r>
      <w:r w:rsidR="00D1390D">
        <w:t xml:space="preserve">to provide advanced education that was </w:t>
      </w:r>
      <w:r w:rsidR="00383FBE">
        <w:t>an alternative to universities.</w:t>
      </w:r>
      <w:r>
        <w:t xml:space="preserve"> </w:t>
      </w:r>
      <w:r w:rsidR="00AE5F8D">
        <w:t>The</w:t>
      </w:r>
      <w:r>
        <w:t xml:space="preserve"> </w:t>
      </w:r>
      <w:r w:rsidR="00AE5F8D">
        <w:t>Western Australian Institute of Technology</w:t>
      </w:r>
      <w:r w:rsidR="00AB306D">
        <w:t>’</w:t>
      </w:r>
      <w:r w:rsidR="00AE5F8D">
        <w:t xml:space="preserve">s </w:t>
      </w:r>
      <w:r>
        <w:t>historian</w:t>
      </w:r>
      <w:r w:rsidR="00AE5F8D">
        <w:t xml:space="preserve"> </w:t>
      </w:r>
      <w:r>
        <w:t xml:space="preserve">concluded: </w:t>
      </w:r>
    </w:p>
    <w:p w:rsidR="00D45584" w:rsidRDefault="00D45584" w:rsidP="00D1390D">
      <w:pPr>
        <w:pStyle w:val="Quote"/>
      </w:pPr>
      <w:r>
        <w:t>During the 1970s the clearest example of WAIT</w:t>
      </w:r>
      <w:r w:rsidR="00AB306D">
        <w:t>’</w:t>
      </w:r>
      <w:r>
        <w:t>s role in meeting the professional needs outside university education was in the health sciences</w:t>
      </w:r>
      <w:r w:rsidR="00AE5F8D">
        <w:t xml:space="preserve"> </w:t>
      </w:r>
      <w:r w:rsidR="008E7F71">
        <w:t>…</w:t>
      </w:r>
      <w:r>
        <w:t xml:space="preserve"> the research and development achievements have been remarkable by any yardstick. Yet almost none of these fields could find a home in UWA </w:t>
      </w:r>
      <w:r w:rsidR="00FF634B">
        <w:t>[U</w:t>
      </w:r>
      <w:r w:rsidR="00AE5F8D">
        <w:t>niversity of Western Australia].</w:t>
      </w:r>
      <w:r w:rsidR="00AE5F8D">
        <w:tab/>
      </w:r>
      <w:r>
        <w:t>(</w:t>
      </w:r>
      <w:r w:rsidR="00D1390D">
        <w:t>White</w:t>
      </w:r>
      <w:r w:rsidR="000C7962">
        <w:t xml:space="preserve"> 1996</w:t>
      </w:r>
      <w:r w:rsidR="00D1390D">
        <w:t xml:space="preserve">, </w:t>
      </w:r>
      <w:r w:rsidR="00AE5F8D">
        <w:t>p.5)</w:t>
      </w:r>
    </w:p>
    <w:p w:rsidR="00515B75" w:rsidRPr="00515B75" w:rsidRDefault="00515B75" w:rsidP="008E7F71">
      <w:pPr>
        <w:pStyle w:val="Text"/>
      </w:pPr>
      <w:r w:rsidRPr="00515B75">
        <w:t>WAIT</w:t>
      </w:r>
      <w:r w:rsidR="00AB306D">
        <w:t>’</w:t>
      </w:r>
      <w:r w:rsidRPr="00515B75">
        <w:t xml:space="preserve">s </w:t>
      </w:r>
      <w:r w:rsidR="002007E9">
        <w:t>final and</w:t>
      </w:r>
      <w:r w:rsidR="005E261D">
        <w:t xml:space="preserve"> </w:t>
      </w:r>
      <w:r w:rsidRPr="00515B75">
        <w:t xml:space="preserve">determined and often undiplomatic </w:t>
      </w:r>
      <w:r>
        <w:t>director, Don Wat</w:t>
      </w:r>
      <w:r w:rsidR="00BC7479">
        <w:t xml:space="preserve">ts, </w:t>
      </w:r>
      <w:r w:rsidRPr="00515B75">
        <w:t>attributed the system</w:t>
      </w:r>
      <w:r w:rsidR="00AB306D">
        <w:t>’</w:t>
      </w:r>
      <w:r>
        <w:t xml:space="preserve">s demise </w:t>
      </w:r>
      <w:r w:rsidR="00FF634B">
        <w:t>in 19</w:t>
      </w:r>
      <w:r w:rsidR="000C7962">
        <w:t>87</w:t>
      </w:r>
      <w:r w:rsidR="00FF634B">
        <w:t xml:space="preserve"> </w:t>
      </w:r>
      <w:r>
        <w:t>to:</w:t>
      </w:r>
    </w:p>
    <w:p w:rsidR="007609A9" w:rsidRPr="00515B75" w:rsidRDefault="00651793" w:rsidP="00515B75">
      <w:pPr>
        <w:pStyle w:val="Quote"/>
      </w:pPr>
      <w:r>
        <w:t>t</w:t>
      </w:r>
      <w:r w:rsidR="00515B75" w:rsidRPr="00515B75">
        <w:t xml:space="preserve">he inability of the Commonwealth bureaucratic system to recognize </w:t>
      </w:r>
      <w:r>
        <w:t xml:space="preserve">[that] </w:t>
      </w:r>
      <w:r w:rsidR="00515B75" w:rsidRPr="00515B75">
        <w:t>the</w:t>
      </w:r>
      <w:r w:rsidR="00515B75">
        <w:t xml:space="preserve"> </w:t>
      </w:r>
      <w:r w:rsidR="00386AAB">
        <w:t>inappropriateness of the two-</w:t>
      </w:r>
      <w:r w:rsidR="00515B75" w:rsidRPr="00515B75">
        <w:t>box system of higher education or the three</w:t>
      </w:r>
      <w:r w:rsidR="00386AAB">
        <w:t>-</w:t>
      </w:r>
      <w:r w:rsidR="00515B75" w:rsidRPr="00515B75">
        <w:t>box system of tertiary education has limited the diversity of higher</w:t>
      </w:r>
      <w:r w:rsidR="00515B75">
        <w:t xml:space="preserve"> </w:t>
      </w:r>
      <w:r w:rsidR="00515B75" w:rsidRPr="00515B75">
        <w:t>education and produced the bureaucrats</w:t>
      </w:r>
      <w:r w:rsidR="00AB306D">
        <w:t>’</w:t>
      </w:r>
      <w:r w:rsidR="00515B75" w:rsidRPr="00515B75">
        <w:t xml:space="preserve"> major concern, the drive for</w:t>
      </w:r>
      <w:r w:rsidR="00515B75">
        <w:t xml:space="preserve"> </w:t>
      </w:r>
      <w:r w:rsidR="00515B75" w:rsidRPr="00515B75">
        <w:t>institutions t</w:t>
      </w:r>
      <w:r w:rsidR="00515B75">
        <w:t>o claim a place in another box</w:t>
      </w:r>
      <w:r>
        <w:t xml:space="preserve"> </w:t>
      </w:r>
      <w:r w:rsidR="008E7F71">
        <w:t>…</w:t>
      </w:r>
      <w:r>
        <w:t xml:space="preserve"> </w:t>
      </w:r>
      <w:r w:rsidR="00515B75" w:rsidRPr="00515B75">
        <w:t>The regulation of the binary system is expensive to administer. Its only</w:t>
      </w:r>
      <w:r w:rsidR="00515B75">
        <w:t xml:space="preserve"> </w:t>
      </w:r>
      <w:r w:rsidR="00515B75" w:rsidRPr="00515B75">
        <w:t>achievement in recent history has been to direct resources away from the</w:t>
      </w:r>
      <w:r w:rsidR="00515B75">
        <w:t xml:space="preserve"> </w:t>
      </w:r>
      <w:r w:rsidR="00515B75" w:rsidRPr="00515B75">
        <w:t>college student to the benefit of university students. So much for the</w:t>
      </w:r>
      <w:r w:rsidR="00515B75">
        <w:t xml:space="preserve"> </w:t>
      </w:r>
      <w:r w:rsidR="00515B75" w:rsidRPr="00515B75">
        <w:t xml:space="preserve">founding philosophy of </w:t>
      </w:r>
      <w:r w:rsidR="00AB306D">
        <w:t>‘</w:t>
      </w:r>
      <w:r w:rsidR="00515B75" w:rsidRPr="00515B75">
        <w:t>equal but different</w:t>
      </w:r>
      <w:r w:rsidR="00AB306D">
        <w:t>’</w:t>
      </w:r>
      <w:r w:rsidR="00386AAB">
        <w:t>.</w:t>
      </w:r>
      <w:r w:rsidR="00AE5F8D">
        <w:tab/>
      </w:r>
      <w:r w:rsidR="00041295">
        <w:t>(</w:t>
      </w:r>
      <w:r w:rsidR="00AE5F8D">
        <w:t xml:space="preserve">Watts cited </w:t>
      </w:r>
      <w:r w:rsidR="00515B75">
        <w:t>in Kerr</w:t>
      </w:r>
      <w:r w:rsidR="00AE5F8D">
        <w:t>, Pullman &amp; Standish</w:t>
      </w:r>
      <w:r w:rsidR="00FF634B">
        <w:t xml:space="preserve"> </w:t>
      </w:r>
      <w:r w:rsidR="000C7962">
        <w:t>1987</w:t>
      </w:r>
      <w:r w:rsidR="00515B75">
        <w:t>, p.79)</w:t>
      </w:r>
    </w:p>
    <w:p w:rsidR="008E7F71" w:rsidRDefault="008E7F71">
      <w:pPr>
        <w:spacing w:before="0" w:line="240" w:lineRule="auto"/>
        <w:rPr>
          <w:rFonts w:ascii="Times New Roman" w:hAnsi="Times New Roman"/>
          <w:sz w:val="21"/>
          <w:szCs w:val="21"/>
          <w:lang w:val="en-GB"/>
        </w:rPr>
      </w:pPr>
      <w:r>
        <w:rPr>
          <w:rFonts w:ascii="Times New Roman" w:hAnsi="Times New Roman"/>
          <w:sz w:val="21"/>
          <w:szCs w:val="21"/>
          <w:lang w:val="en-GB"/>
        </w:rPr>
        <w:br w:type="page"/>
      </w:r>
    </w:p>
    <w:p w:rsidR="00156834" w:rsidRDefault="00156834" w:rsidP="00156834">
      <w:pPr>
        <w:pStyle w:val="Heading1"/>
      </w:pPr>
      <w:bookmarkStart w:id="43" w:name="_Toc393293030"/>
      <w:r>
        <w:lastRenderedPageBreak/>
        <w:t>Research</w:t>
      </w:r>
      <w:bookmarkEnd w:id="43"/>
    </w:p>
    <w:p w:rsidR="00E67761" w:rsidRDefault="00E67761" w:rsidP="00B303FC">
      <w:pPr>
        <w:pStyle w:val="Text"/>
      </w:pPr>
      <w:r>
        <w:t xml:space="preserve">This chapter might also be titled </w:t>
      </w:r>
      <w:r w:rsidR="00AB306D">
        <w:t>‘</w:t>
      </w:r>
      <w:r w:rsidR="005620C6">
        <w:t>M</w:t>
      </w:r>
      <w:r>
        <w:t>one</w:t>
      </w:r>
      <w:r w:rsidR="005620C6">
        <w:t>y</w:t>
      </w:r>
      <w:r w:rsidR="00AB306D">
        <w:t>’</w:t>
      </w:r>
      <w:r w:rsidR="005620C6">
        <w:t>, for the debate about who doe</w:t>
      </w:r>
      <w:r>
        <w:t>s</w:t>
      </w:r>
      <w:r w:rsidR="005620C6">
        <w:t xml:space="preserve"> research</w:t>
      </w:r>
      <w:r>
        <w:t xml:space="preserve"> and what </w:t>
      </w:r>
      <w:r w:rsidR="005620C6">
        <w:t>type</w:t>
      </w:r>
      <w:r>
        <w:t xml:space="preserve"> </w:t>
      </w:r>
      <w:r w:rsidR="005620C6">
        <w:t xml:space="preserve">masks a bid for a </w:t>
      </w:r>
      <w:r w:rsidR="002007E9">
        <w:t>lar</w:t>
      </w:r>
      <w:r w:rsidR="00482F58">
        <w:t>ger</w:t>
      </w:r>
      <w:r w:rsidR="005620C6">
        <w:t xml:space="preserve"> </w:t>
      </w:r>
      <w:r w:rsidR="002007E9">
        <w:t>sl</w:t>
      </w:r>
      <w:r w:rsidR="005620C6">
        <w:t>ice of the funding pie</w:t>
      </w:r>
      <w:r>
        <w:t xml:space="preserve">. It is </w:t>
      </w:r>
      <w:r w:rsidR="005620C6">
        <w:t xml:space="preserve">a discussion </w:t>
      </w:r>
      <w:r>
        <w:t>clothed in the dichotomy of pure versus applied research</w:t>
      </w:r>
      <w:r w:rsidR="005620C6">
        <w:t xml:space="preserve"> o</w:t>
      </w:r>
      <w:r>
        <w:t xml:space="preserve">r </w:t>
      </w:r>
      <w:r w:rsidR="005620C6">
        <w:t>research</w:t>
      </w:r>
      <w:r>
        <w:t xml:space="preserve"> versus scholarship. These distinctions deserve consideration. </w:t>
      </w:r>
    </w:p>
    <w:p w:rsidR="00BB36A5" w:rsidRDefault="005A565B" w:rsidP="00B303FC">
      <w:pPr>
        <w:pStyle w:val="Text"/>
      </w:pPr>
      <w:r>
        <w:t>For th</w:t>
      </w:r>
      <w:r w:rsidR="00651793">
        <w:t>e Martin C</w:t>
      </w:r>
      <w:r w:rsidR="005620C6" w:rsidRPr="00B303FC">
        <w:t xml:space="preserve">ommittee, </w:t>
      </w:r>
      <w:r w:rsidR="00AB306D">
        <w:t>‘</w:t>
      </w:r>
      <w:r w:rsidR="005620C6" w:rsidRPr="00B303FC">
        <w:t>teaching and research are closely linked university activities, and a body</w:t>
      </w:r>
      <w:r w:rsidR="005620C6" w:rsidRPr="005620C6">
        <w:t xml:space="preserve"> concerned</w:t>
      </w:r>
      <w:r w:rsidR="005620C6">
        <w:t xml:space="preserve"> </w:t>
      </w:r>
      <w:r w:rsidR="005620C6" w:rsidRPr="005620C6">
        <w:t>with only one of them is clearly no longer a university (</w:t>
      </w:r>
      <w:r w:rsidR="00651793">
        <w:t xml:space="preserve">Committee on the Future of Tertiary Education in Australia </w:t>
      </w:r>
      <w:r w:rsidR="000C7962">
        <w:t>1964</w:t>
      </w:r>
      <w:r w:rsidR="00651793">
        <w:t>—65,</w:t>
      </w:r>
      <w:r w:rsidR="000C7962">
        <w:t xml:space="preserve"> </w:t>
      </w:r>
      <w:r w:rsidR="005620C6" w:rsidRPr="005620C6">
        <w:t>vol</w:t>
      </w:r>
      <w:r w:rsidR="00651793">
        <w:t>.</w:t>
      </w:r>
      <w:r w:rsidR="005620C6" w:rsidRPr="005620C6">
        <w:t>1, p.48)</w:t>
      </w:r>
      <w:r w:rsidR="00BC7479">
        <w:t>. T</w:t>
      </w:r>
      <w:r w:rsidR="00A50EFA">
        <w:t xml:space="preserve">he colleges were not </w:t>
      </w:r>
      <w:r w:rsidR="00482F58">
        <w:t>universities</w:t>
      </w:r>
      <w:r w:rsidR="00A50EFA">
        <w:t>.</w:t>
      </w:r>
      <w:r w:rsidR="00E27F53">
        <w:t xml:space="preserve"> </w:t>
      </w:r>
      <w:r w:rsidR="00482F58">
        <w:t>T</w:t>
      </w:r>
      <w:r w:rsidR="00BB36A5">
        <w:t>he third v</w:t>
      </w:r>
      <w:r w:rsidR="003C7624">
        <w:t xml:space="preserve">olume of the </w:t>
      </w:r>
      <w:r w:rsidR="007071A0">
        <w:t>Martin Report</w:t>
      </w:r>
      <w:r w:rsidR="00BC7479">
        <w:t xml:space="preserve"> </w:t>
      </w:r>
      <w:r w:rsidR="00BB36A5">
        <w:t>quote</w:t>
      </w:r>
      <w:r w:rsidR="00BC7479">
        <w:t>d</w:t>
      </w:r>
      <w:r w:rsidR="00BB36A5">
        <w:t xml:space="preserve"> Professor Partridge, at the time </w:t>
      </w:r>
      <w:r w:rsidR="00204F8D">
        <w:t>the D</w:t>
      </w:r>
      <w:r w:rsidR="00BB36A5" w:rsidRPr="00BB36A5">
        <w:t xml:space="preserve">irector of </w:t>
      </w:r>
      <w:r w:rsidR="00204F8D">
        <w:t>the Australian N</w:t>
      </w:r>
      <w:r w:rsidR="00651793">
        <w:t>ational University</w:t>
      </w:r>
      <w:r w:rsidR="00AB306D">
        <w:t>’</w:t>
      </w:r>
      <w:r w:rsidR="00651793">
        <w:t>s</w:t>
      </w:r>
      <w:r w:rsidR="00BB36A5" w:rsidRPr="00BB36A5">
        <w:t xml:space="preserve"> Research School of Social Sciences and</w:t>
      </w:r>
      <w:r w:rsidR="00651793">
        <w:t>,</w:t>
      </w:r>
      <w:r w:rsidR="00BB36A5" w:rsidRPr="00BB36A5">
        <w:t xml:space="preserve"> over a distinguished career</w:t>
      </w:r>
      <w:r w:rsidR="00651793">
        <w:t>,</w:t>
      </w:r>
      <w:r w:rsidR="00BB36A5" w:rsidRPr="00BB36A5">
        <w:t xml:space="preserve"> one of the prime thinkers on tertiary education</w:t>
      </w:r>
      <w:r w:rsidR="00BB36A5">
        <w:t>:</w:t>
      </w:r>
    </w:p>
    <w:p w:rsidR="005620C6" w:rsidRDefault="00BB36A5" w:rsidP="00482F58">
      <w:pPr>
        <w:pStyle w:val="Quote"/>
      </w:pPr>
      <w:r w:rsidRPr="00BB36A5">
        <w:t xml:space="preserve">The proposition that all university teachers ought to do research work will not be questioned, </w:t>
      </w:r>
      <w:r w:rsidRPr="00482F58">
        <w:t>provided that it is admit</w:t>
      </w:r>
      <w:r w:rsidR="002007E9">
        <w:t>ted that ‘</w:t>
      </w:r>
      <w:r w:rsidRPr="00482F58">
        <w:t>thinking is also research</w:t>
      </w:r>
      <w:r w:rsidR="00AB306D">
        <w:t>’</w:t>
      </w:r>
      <w:r w:rsidRPr="00482F58">
        <w:t>,</w:t>
      </w:r>
      <w:r w:rsidRPr="00BB36A5">
        <w:t xml:space="preserve"> and that not all research issues in publication or is undertaken with publication in view. Research is necessary for good teaching at least in the sense that unless a teacher thinks critically and independently about his material and has put the stamp of his own mind upon it, he is not likely to produce pupils with </w:t>
      </w:r>
      <w:r w:rsidR="00482F58">
        <w:t>independent and critical minds</w:t>
      </w:r>
      <w:r w:rsidR="00B47CBF">
        <w:t xml:space="preserve"> </w:t>
      </w:r>
      <w:r>
        <w:t>…</w:t>
      </w:r>
      <w:r w:rsidR="00B47CBF">
        <w:t xml:space="preserve"> </w:t>
      </w:r>
      <w:r w:rsidRPr="00BB36A5">
        <w:t>there are in addition many fields of research both in the natural and the social sciences which can only be carried out thoroughly and with some speed by men who can give almost the whole of their time to it</w:t>
      </w:r>
      <w:r w:rsidR="00204F8D">
        <w:t>.</w:t>
      </w:r>
      <w:r w:rsidR="008E7F71">
        <w:br/>
      </w:r>
      <w:r w:rsidR="00B47CBF">
        <w:tab/>
      </w:r>
      <w:r>
        <w:t>(</w:t>
      </w:r>
      <w:r w:rsidR="00EF7EB2">
        <w:t>Committee on the Future of Tertiary Education in Australia</w:t>
      </w:r>
      <w:r>
        <w:t xml:space="preserve">, </w:t>
      </w:r>
      <w:r w:rsidR="00651793">
        <w:t>1964—</w:t>
      </w:r>
      <w:r w:rsidR="00B47CBF">
        <w:t>65, v</w:t>
      </w:r>
      <w:r>
        <w:t>ol</w:t>
      </w:r>
      <w:r w:rsidR="00B47CBF">
        <w:t>.</w:t>
      </w:r>
      <w:r>
        <w:t xml:space="preserve"> 3, p.11)</w:t>
      </w:r>
    </w:p>
    <w:p w:rsidR="00482F58" w:rsidRDefault="00894A3E" w:rsidP="000C7962">
      <w:pPr>
        <w:pStyle w:val="Text"/>
      </w:pPr>
      <w:r>
        <w:t>Here we see the perennial ar</w:t>
      </w:r>
      <w:r w:rsidR="0096006C">
        <w:t>gument for diversity:</w:t>
      </w:r>
      <w:r w:rsidR="00386AAB">
        <w:t xml:space="preserve"> not in quality</w:t>
      </w:r>
      <w:r>
        <w:t xml:space="preserve"> but activity. Pockets of research</w:t>
      </w:r>
      <w:r>
        <w:noBreakHyphen/>
        <w:t>on</w:t>
      </w:r>
      <w:r w:rsidR="00482F58">
        <w:t xml:space="preserve">ly activity could be sanctioned but, it is reasonable to infer from </w:t>
      </w:r>
      <w:r w:rsidR="00041295">
        <w:t>Partridge</w:t>
      </w:r>
      <w:r w:rsidR="00482F58">
        <w:t>, all higher</w:t>
      </w:r>
      <w:r w:rsidR="000C7962">
        <w:t>/advanced</w:t>
      </w:r>
      <w:r w:rsidR="00482F58">
        <w:t xml:space="preserve"> education should nurture the capacity for independent thought</w:t>
      </w:r>
      <w:r w:rsidR="000C7962">
        <w:t>:</w:t>
      </w:r>
      <w:r w:rsidR="00482F58">
        <w:t xml:space="preserve"> what Gorton dubbed </w:t>
      </w:r>
      <w:r w:rsidR="00AB306D">
        <w:t>‘</w:t>
      </w:r>
      <w:r w:rsidR="00482F58">
        <w:t>scholarship</w:t>
      </w:r>
      <w:r w:rsidR="00AB306D">
        <w:t>’</w:t>
      </w:r>
      <w:r w:rsidR="00482F58">
        <w:t xml:space="preserve"> in his 1968 speech at the Canberra </w:t>
      </w:r>
      <w:r w:rsidR="00B47CBF">
        <w:t>College of Advanced Education</w:t>
      </w:r>
      <w:r w:rsidR="00482F58">
        <w:t xml:space="preserve">. By the end of the binary era, the </w:t>
      </w:r>
      <w:r w:rsidR="000C7962">
        <w:t>teaching</w:t>
      </w:r>
      <w:r w:rsidR="00B47CBF">
        <w:t>—</w:t>
      </w:r>
      <w:r w:rsidR="004808D4">
        <w:t>research divide was one of the major strains on the system</w:t>
      </w:r>
      <w:r w:rsidR="00C13E29">
        <w:t>; it remains so</w:t>
      </w:r>
      <w:r w:rsidR="004808D4">
        <w:t xml:space="preserve">. </w:t>
      </w:r>
      <w:r w:rsidR="000C7962">
        <w:t>These strains were articulated in blunt fashion a</w:t>
      </w:r>
      <w:r w:rsidR="004808D4">
        <w:t>t a seminar</w:t>
      </w:r>
      <w:r w:rsidR="000C7962">
        <w:t xml:space="preserve"> instigated by</w:t>
      </w:r>
      <w:r w:rsidR="004808D4">
        <w:t xml:space="preserve"> </w:t>
      </w:r>
      <w:r w:rsidR="000C7962" w:rsidRPr="000C7962">
        <w:rPr>
          <w:lang w:val="en-GB"/>
        </w:rPr>
        <w:t>Bob Pearce</w:t>
      </w:r>
      <w:r w:rsidR="000C7962">
        <w:rPr>
          <w:lang w:val="en-GB"/>
        </w:rPr>
        <w:t xml:space="preserve">, </w:t>
      </w:r>
      <w:r w:rsidR="002007E9">
        <w:rPr>
          <w:lang w:val="en-GB"/>
        </w:rPr>
        <w:t xml:space="preserve">the WA </w:t>
      </w:r>
      <w:r w:rsidR="00386AAB">
        <w:rPr>
          <w:lang w:val="en-GB"/>
        </w:rPr>
        <w:t>Minister for Education and</w:t>
      </w:r>
      <w:r w:rsidR="000C7962" w:rsidRPr="000C7962">
        <w:rPr>
          <w:lang w:val="en-GB"/>
        </w:rPr>
        <w:t xml:space="preserve"> Planning</w:t>
      </w:r>
      <w:r w:rsidR="00B47CBF">
        <w:rPr>
          <w:lang w:val="en-GB"/>
        </w:rPr>
        <w:t>,</w:t>
      </w:r>
      <w:r w:rsidR="000C7962">
        <w:rPr>
          <w:lang w:val="en-GB"/>
        </w:rPr>
        <w:t xml:space="preserve"> </w:t>
      </w:r>
      <w:r w:rsidR="004808D4">
        <w:t>in Perth in 1987</w:t>
      </w:r>
      <w:r w:rsidR="00B47CBF">
        <w:t>,</w:t>
      </w:r>
      <w:r w:rsidR="00B814F2">
        <w:t xml:space="preserve"> because, Pearce said, he thought the binary system </w:t>
      </w:r>
      <w:r w:rsidR="00386AAB">
        <w:t>was outmoded and</w:t>
      </w:r>
      <w:r w:rsidR="00B814F2">
        <w:t xml:space="preserve"> </w:t>
      </w:r>
      <w:r w:rsidR="00B47CBF">
        <w:t xml:space="preserve">he </w:t>
      </w:r>
      <w:r w:rsidR="00B814F2">
        <w:t xml:space="preserve">wanted a debate about what should replace it. One speaker, </w:t>
      </w:r>
      <w:r w:rsidR="004808D4">
        <w:t xml:space="preserve">Professor Richard Johnson, Special Commissioner of the Commonwealth Tertiary Education Commission, </w:t>
      </w:r>
      <w:r w:rsidR="00B814F2">
        <w:t xml:space="preserve">talked about </w:t>
      </w:r>
      <w:r w:rsidR="0096006C">
        <w:t xml:space="preserve">the value of scholarship across tertiary </w:t>
      </w:r>
      <w:r w:rsidR="00041295">
        <w:t>education</w:t>
      </w:r>
      <w:r w:rsidR="004808D4">
        <w:t>:</w:t>
      </w:r>
    </w:p>
    <w:p w:rsidR="004808D4" w:rsidRDefault="00AB306D" w:rsidP="004808D4">
      <w:pPr>
        <w:pStyle w:val="Quote"/>
      </w:pPr>
      <w:r>
        <w:t>‘</w:t>
      </w:r>
      <w:r w:rsidR="004808D4">
        <w:t>Scholarship</w:t>
      </w:r>
      <w:r>
        <w:t>’</w:t>
      </w:r>
      <w:r w:rsidR="004808D4">
        <w:t xml:space="preserve"> </w:t>
      </w:r>
      <w:r w:rsidR="0096006C">
        <w:t xml:space="preserve">[as opposed to </w:t>
      </w:r>
      <w:r>
        <w:t>‘</w:t>
      </w:r>
      <w:r w:rsidR="0096006C">
        <w:t>research</w:t>
      </w:r>
      <w:r>
        <w:t>’</w:t>
      </w:r>
      <w:r w:rsidR="0096006C">
        <w:t>] retains</w:t>
      </w:r>
      <w:r w:rsidR="004808D4">
        <w:t xml:space="preserve"> some real meaning, of strenuously staying up with the cutting edge of the subject (even if not getting out in front of the edge) and rigorously applying standards of evidence and judgement.</w:t>
      </w:r>
    </w:p>
    <w:p w:rsidR="004808D4" w:rsidRDefault="004808D4" w:rsidP="004808D4">
      <w:pPr>
        <w:pStyle w:val="Quote"/>
      </w:pPr>
      <w:r>
        <w:t xml:space="preserve">Any academic, in any sector, can do that, and should be proud to do it well, and should not feel the least loss of status in doing that. If their chief executives </w:t>
      </w:r>
      <w:r w:rsidR="00B814F2">
        <w:t xml:space="preserve">― </w:t>
      </w:r>
      <w:r>
        <w:t xml:space="preserve">Directors, Principals, Vice Chancellors </w:t>
      </w:r>
      <w:r w:rsidR="00B814F2" w:rsidRPr="00B814F2">
        <w:t xml:space="preserve">― </w:t>
      </w:r>
      <w:r>
        <w:t xml:space="preserve">would proclaim the value of this and would ensure that this scholarship flowed into inspiring teaching, and would then ensure that promotion for the good practitioners followed </w:t>
      </w:r>
      <w:r w:rsidR="00B814F2" w:rsidRPr="00B814F2">
        <w:t xml:space="preserve">― </w:t>
      </w:r>
      <w:r>
        <w:t>as it can follow now f</w:t>
      </w:r>
      <w:r w:rsidR="00B814F2">
        <w:t xml:space="preserve">or the mediocre </w:t>
      </w:r>
      <w:r w:rsidR="00AB306D">
        <w:t>‘</w:t>
      </w:r>
      <w:r w:rsidR="00B814F2">
        <w:t>researchers</w:t>
      </w:r>
      <w:r w:rsidR="00AB306D">
        <w:t>’</w:t>
      </w:r>
      <w:r w:rsidR="00B814F2">
        <w:t xml:space="preserve"> ― </w:t>
      </w:r>
      <w:r>
        <w:t xml:space="preserve">we might see a transformation of the public attitude to the funding of higher education. We tend to forget that most of those who are denying higher education the funds it needs </w:t>
      </w:r>
      <w:r w:rsidR="00B814F2">
        <w:t xml:space="preserve">― </w:t>
      </w:r>
      <w:r>
        <w:t xml:space="preserve">members of parliaments and senior bureaucrats </w:t>
      </w:r>
      <w:r w:rsidR="00B814F2" w:rsidRPr="00B814F2">
        <w:t xml:space="preserve">― </w:t>
      </w:r>
      <w:r>
        <w:t>have experienced higher education and apparently were</w:t>
      </w:r>
      <w:r w:rsidR="00B814F2">
        <w:t xml:space="preserve"> not inspired by the experience</w:t>
      </w:r>
      <w:r w:rsidR="00B47CBF">
        <w:t>.</w:t>
      </w:r>
      <w:r w:rsidR="008E7F71">
        <w:br/>
      </w:r>
      <w:r w:rsidR="00B47CBF">
        <w:tab/>
      </w:r>
      <w:r w:rsidR="00B75BF5">
        <w:t>(</w:t>
      </w:r>
      <w:r w:rsidR="00B47CBF">
        <w:t xml:space="preserve">Johnson cited </w:t>
      </w:r>
      <w:r w:rsidR="0096006C">
        <w:t xml:space="preserve">in </w:t>
      </w:r>
      <w:r w:rsidR="00B75BF5">
        <w:t>Kerr</w:t>
      </w:r>
      <w:r w:rsidR="00B814F2">
        <w:t xml:space="preserve"> 1987, </w:t>
      </w:r>
      <w:r w:rsidR="00B47CBF">
        <w:t>p.</w:t>
      </w:r>
      <w:r w:rsidR="00B75BF5">
        <w:t>67)</w:t>
      </w:r>
    </w:p>
    <w:p w:rsidR="00BC7479" w:rsidRDefault="00B75BF5" w:rsidP="00B303FC">
      <w:pPr>
        <w:pStyle w:val="Text"/>
      </w:pPr>
      <w:r>
        <w:lastRenderedPageBreak/>
        <w:t xml:space="preserve">As </w:t>
      </w:r>
      <w:r w:rsidR="00BC7479">
        <w:t xml:space="preserve">Johnson </w:t>
      </w:r>
      <w:r w:rsidR="00B47CBF">
        <w:t>commented</w:t>
      </w:r>
      <w:r w:rsidR="0096006C">
        <w:t>, research was also linked to staffing. As t</w:t>
      </w:r>
      <w:r>
        <w:t>he colleges expanded their student numbers</w:t>
      </w:r>
      <w:r w:rsidR="0096006C">
        <w:t xml:space="preserve"> and offerings</w:t>
      </w:r>
      <w:r>
        <w:t>, they need</w:t>
      </w:r>
      <w:r w:rsidR="006F05E8">
        <w:t>ed</w:t>
      </w:r>
      <w:r w:rsidR="00B47CBF">
        <w:t xml:space="preserve"> to recruit. </w:t>
      </w:r>
      <w:r>
        <w:t xml:space="preserve">This coincided with a contraction in </w:t>
      </w:r>
      <w:r w:rsidR="0096006C">
        <w:t>jobs at</w:t>
      </w:r>
      <w:r>
        <w:t xml:space="preserve"> universities</w:t>
      </w:r>
      <w:r w:rsidR="0096006C">
        <w:t>, with the result that a</w:t>
      </w:r>
      <w:r>
        <w:t xml:space="preserve">cademics </w:t>
      </w:r>
      <w:r w:rsidR="0096006C">
        <w:t xml:space="preserve">started to </w:t>
      </w:r>
      <w:r>
        <w:t>mov</w:t>
      </w:r>
      <w:r w:rsidR="0096006C">
        <w:t xml:space="preserve">e </w:t>
      </w:r>
      <w:r>
        <w:t xml:space="preserve">across the divide. They took with them expectations </w:t>
      </w:r>
      <w:r w:rsidR="0096006C">
        <w:t xml:space="preserve">that </w:t>
      </w:r>
      <w:r>
        <w:t xml:space="preserve">the conditions they were used to </w:t>
      </w:r>
      <w:r w:rsidR="0096006C">
        <w:t>―</w:t>
      </w:r>
      <w:r w:rsidR="00BC7479">
        <w:t xml:space="preserve"> study leave and </w:t>
      </w:r>
      <w:r>
        <w:t>research opportunities, for example</w:t>
      </w:r>
      <w:r w:rsidR="0096006C">
        <w:t xml:space="preserve"> ―</w:t>
      </w:r>
      <w:r>
        <w:t xml:space="preserve"> would continue. </w:t>
      </w:r>
      <w:r w:rsidR="0096006C">
        <w:t>What ensued was</w:t>
      </w:r>
      <w:r>
        <w:t xml:space="preserve"> a rising clamour for funds for </w:t>
      </w:r>
      <w:r w:rsidR="00B47CBF">
        <w:t>colleges of advanced education</w:t>
      </w:r>
      <w:r>
        <w:t xml:space="preserve"> to </w:t>
      </w:r>
      <w:r w:rsidR="00B47CBF">
        <w:t>undertake</w:t>
      </w:r>
      <w:r>
        <w:t xml:space="preserve"> </w:t>
      </w:r>
      <w:r w:rsidR="00AB306D">
        <w:t>‘</w:t>
      </w:r>
      <w:r>
        <w:t>applied</w:t>
      </w:r>
      <w:r w:rsidR="00AB306D">
        <w:t>’</w:t>
      </w:r>
      <w:r>
        <w:t xml:space="preserve"> rather than </w:t>
      </w:r>
      <w:r w:rsidR="00AB306D">
        <w:t>‘</w:t>
      </w:r>
      <w:r>
        <w:t>pure</w:t>
      </w:r>
      <w:r w:rsidR="00AB306D">
        <w:t>’</w:t>
      </w:r>
      <w:r>
        <w:t xml:space="preserve"> research. </w:t>
      </w:r>
    </w:p>
    <w:p w:rsidR="00BB36A5" w:rsidRPr="00E70FE2" w:rsidRDefault="005E261D" w:rsidP="00B303FC">
      <w:pPr>
        <w:pStyle w:val="Text"/>
      </w:pPr>
      <w:r>
        <w:t>In response, t</w:t>
      </w:r>
      <w:r w:rsidR="00B75BF5">
        <w:t>he t</w:t>
      </w:r>
      <w:r w:rsidR="00BB36A5">
        <w:t>hird report of the Australian Commission on Advanced Education</w:t>
      </w:r>
      <w:r w:rsidR="00153502">
        <w:t>,</w:t>
      </w:r>
      <w:r w:rsidR="006F05E8">
        <w:t xml:space="preserve"> </w:t>
      </w:r>
      <w:r w:rsidR="00153502">
        <w:t xml:space="preserve">published </w:t>
      </w:r>
      <w:r w:rsidR="006F05E8">
        <w:t xml:space="preserve">in </w:t>
      </w:r>
      <w:r>
        <w:t>1972</w:t>
      </w:r>
      <w:r w:rsidR="00153502">
        <w:t>,</w:t>
      </w:r>
      <w:r>
        <w:t xml:space="preserve"> </w:t>
      </w:r>
      <w:r w:rsidR="00B75BF5">
        <w:t>set out s</w:t>
      </w:r>
      <w:r w:rsidR="00BB36A5">
        <w:t xml:space="preserve">even ways of </w:t>
      </w:r>
      <w:r w:rsidR="005D3F4D">
        <w:t>undertaking</w:t>
      </w:r>
      <w:r w:rsidR="009457D9">
        <w:t xml:space="preserve"> research in colleges of advanced education</w:t>
      </w:r>
      <w:r w:rsidR="00B75BF5">
        <w:t xml:space="preserve">, </w:t>
      </w:r>
      <w:r w:rsidR="00153502">
        <w:t>emphasising</w:t>
      </w:r>
      <w:r w:rsidR="00B75BF5">
        <w:t xml:space="preserve"> research</w:t>
      </w:r>
      <w:r w:rsidR="006F05E8">
        <w:t xml:space="preserve"> in the areas of the college</w:t>
      </w:r>
      <w:r w:rsidR="00AB306D">
        <w:t>’</w:t>
      </w:r>
      <w:r w:rsidR="0096006C">
        <w:t>s</w:t>
      </w:r>
      <w:r w:rsidR="006F05E8">
        <w:t xml:space="preserve"> specialisation</w:t>
      </w:r>
      <w:r w:rsidR="00153502">
        <w:t xml:space="preserve"> and such that</w:t>
      </w:r>
      <w:r w:rsidR="00B814F2">
        <w:t xml:space="preserve"> </w:t>
      </w:r>
      <w:r w:rsidR="005D3F4D">
        <w:t xml:space="preserve">the </w:t>
      </w:r>
      <w:r w:rsidR="0096006C">
        <w:t>pract</w:t>
      </w:r>
      <w:r w:rsidR="00B75BF5">
        <w:t xml:space="preserve">ical problems of industry or urgent social and economic </w:t>
      </w:r>
      <w:r w:rsidR="00772C2F">
        <w:t>questions</w:t>
      </w:r>
      <w:r w:rsidR="00204F8D">
        <w:t xml:space="preserve"> were the focus of investigation</w:t>
      </w:r>
      <w:r w:rsidR="00153502">
        <w:t xml:space="preserve"> (quoted in Rodgers 1985, pp.145—6)</w:t>
      </w:r>
      <w:r w:rsidR="00772C2F">
        <w:t xml:space="preserve">. </w:t>
      </w:r>
      <w:r w:rsidR="005D3F4D">
        <w:t>The c</w:t>
      </w:r>
      <w:r w:rsidR="0096006C">
        <w:t xml:space="preserve">ommission </w:t>
      </w:r>
      <w:r w:rsidR="00B75BF5">
        <w:t xml:space="preserve">did not rule out </w:t>
      </w:r>
      <w:r w:rsidR="002057DF">
        <w:t>individuals</w:t>
      </w:r>
      <w:r w:rsidR="00B814F2">
        <w:t xml:space="preserve"> doing </w:t>
      </w:r>
      <w:r w:rsidR="00B75BF5">
        <w:t>research</w:t>
      </w:r>
      <w:r w:rsidR="00772C2F">
        <w:t xml:space="preserve"> </w:t>
      </w:r>
      <w:r w:rsidR="002057DF">
        <w:t>for their own</w:t>
      </w:r>
      <w:r w:rsidR="00772C2F">
        <w:t xml:space="preserve"> </w:t>
      </w:r>
      <w:r w:rsidR="006F05E8">
        <w:t>satisfaction</w:t>
      </w:r>
      <w:r w:rsidR="005D3F4D">
        <w:t xml:space="preserve"> or to acquire post</w:t>
      </w:r>
      <w:r w:rsidR="002057DF">
        <w:t xml:space="preserve">graduate </w:t>
      </w:r>
      <w:r w:rsidR="00B814F2">
        <w:t>qualifications</w:t>
      </w:r>
      <w:r w:rsidR="00153502">
        <w:t>,</w:t>
      </w:r>
      <w:r w:rsidR="00B814F2">
        <w:t xml:space="preserve"> but t</w:t>
      </w:r>
      <w:r w:rsidR="002057DF">
        <w:t xml:space="preserve">his </w:t>
      </w:r>
      <w:r w:rsidR="006F05E8">
        <w:t>activity</w:t>
      </w:r>
      <w:r w:rsidR="002057DF">
        <w:t xml:space="preserve"> was to</w:t>
      </w:r>
      <w:r w:rsidR="006F05E8">
        <w:t xml:space="preserve"> be</w:t>
      </w:r>
      <w:r w:rsidR="00B814F2">
        <w:t xml:space="preserve"> </w:t>
      </w:r>
      <w:r w:rsidR="002057DF">
        <w:t xml:space="preserve">funded </w:t>
      </w:r>
      <w:r w:rsidR="006F05E8">
        <w:t>through</w:t>
      </w:r>
      <w:r w:rsidR="002057DF">
        <w:t xml:space="preserve"> </w:t>
      </w:r>
      <w:r w:rsidR="00E70FE2">
        <w:t xml:space="preserve">the </w:t>
      </w:r>
      <w:r w:rsidR="002057DF">
        <w:t>Australi</w:t>
      </w:r>
      <w:r w:rsidR="00B814F2">
        <w:t xml:space="preserve">an Research Grants Committee or from </w:t>
      </w:r>
      <w:r w:rsidR="002057DF">
        <w:t xml:space="preserve">other </w:t>
      </w:r>
      <w:r w:rsidR="00B814F2">
        <w:t xml:space="preserve">sources such as </w:t>
      </w:r>
      <w:r w:rsidR="006F05E8">
        <w:t>industry</w:t>
      </w:r>
      <w:r w:rsidR="002057DF">
        <w:t xml:space="preserve"> or college</w:t>
      </w:r>
      <w:r w:rsidR="00B814F2">
        <w:t xml:space="preserve"> sponsorship</w:t>
      </w:r>
      <w:r w:rsidR="002057DF">
        <w:t xml:space="preserve">. It would not become part of </w:t>
      </w:r>
      <w:r w:rsidR="00B814F2">
        <w:t>the Commonwealth</w:t>
      </w:r>
      <w:r w:rsidR="00AB306D">
        <w:t>’</w:t>
      </w:r>
      <w:r w:rsidR="00B814F2">
        <w:t xml:space="preserve">s </w:t>
      </w:r>
      <w:r w:rsidR="002057DF">
        <w:t xml:space="preserve">recurrent funding and </w:t>
      </w:r>
      <w:r w:rsidR="006F05E8">
        <w:t>should</w:t>
      </w:r>
      <w:r w:rsidR="002057DF">
        <w:t xml:space="preserve"> </w:t>
      </w:r>
      <w:r w:rsidR="006F05E8">
        <w:t>n</w:t>
      </w:r>
      <w:r w:rsidR="002057DF">
        <w:t xml:space="preserve">ot duplicate </w:t>
      </w:r>
      <w:r w:rsidR="00153502">
        <w:t xml:space="preserve">the </w:t>
      </w:r>
      <w:r w:rsidR="00BB36A5" w:rsidRPr="00E70FE2">
        <w:t xml:space="preserve">expensive postgraduate research activities of universities.  </w:t>
      </w:r>
    </w:p>
    <w:p w:rsidR="00772C2F" w:rsidRDefault="006F05E8" w:rsidP="00B303FC">
      <w:pPr>
        <w:pStyle w:val="Text"/>
      </w:pPr>
      <w:r w:rsidRPr="00772C2F">
        <w:t>This was not just a battle for money. Research implied status.</w:t>
      </w:r>
      <w:r w:rsidR="00772C2F">
        <w:t xml:space="preserve"> For that reason, participants at that same 1987 seminar recommended th</w:t>
      </w:r>
      <w:r w:rsidR="00E70FE2">
        <w:t xml:space="preserve">ere should be, </w:t>
      </w:r>
      <w:r w:rsidR="00772C2F">
        <w:t xml:space="preserve">at the system level, irrespective of sector, </w:t>
      </w:r>
      <w:r w:rsidR="00AB306D">
        <w:t>‘</w:t>
      </w:r>
      <w:r w:rsidR="00772C2F">
        <w:t>equal funding for teaching and scholarship asso</w:t>
      </w:r>
      <w:r w:rsidR="00B814F2">
        <w:t>ciated with equal work</w:t>
      </w:r>
      <w:r w:rsidR="00AB306D">
        <w:t>’</w:t>
      </w:r>
      <w:r w:rsidR="00B814F2">
        <w:t>. F</w:t>
      </w:r>
      <w:r w:rsidR="00772C2F">
        <w:t xml:space="preserve">or example, in determining grants to a university and a college of advanced education for the study of engineering at degree level the unit costs per student used in the calculations should be the same. Such disparities have yet to be resolved (see Karmel </w:t>
      </w:r>
      <w:r w:rsidR="000A1D99">
        <w:t>&amp;</w:t>
      </w:r>
      <w:r w:rsidR="00772C2F">
        <w:t xml:space="preserve"> Liu</w:t>
      </w:r>
      <w:r w:rsidR="000A1D99">
        <w:t xml:space="preserve"> </w:t>
      </w:r>
      <w:r w:rsidR="00EA56D5">
        <w:t>2012</w:t>
      </w:r>
      <w:r w:rsidR="00772C2F">
        <w:t>; Dowling</w:t>
      </w:r>
      <w:r w:rsidR="00EA56D5">
        <w:t xml:space="preserve"> 2010</w:t>
      </w:r>
      <w:r w:rsidR="00772C2F">
        <w:t>).</w:t>
      </w:r>
    </w:p>
    <w:p w:rsidR="000B29CB" w:rsidRPr="000B29CB" w:rsidRDefault="00772C2F" w:rsidP="00B303FC">
      <w:pPr>
        <w:pStyle w:val="Text"/>
      </w:pPr>
      <w:r>
        <w:t>Research</w:t>
      </w:r>
      <w:r w:rsidR="000B29CB" w:rsidRPr="00772C2F">
        <w:t xml:space="preserve"> did also, as </w:t>
      </w:r>
      <w:r>
        <w:t xml:space="preserve">prominent </w:t>
      </w:r>
      <w:r w:rsidR="000B29CB" w:rsidRPr="00772C2F">
        <w:t>leaders</w:t>
      </w:r>
      <w:r w:rsidR="009457D9">
        <w:t xml:space="preserve"> of colleges of advanced education</w:t>
      </w:r>
      <w:r w:rsidR="000B29CB" w:rsidRPr="00772C2F">
        <w:t xml:space="preserve"> argued, have a place in achieving excellence. </w:t>
      </w:r>
      <w:r w:rsidR="005E261D">
        <w:t xml:space="preserve">The leaders of </w:t>
      </w:r>
      <w:r w:rsidR="000B29CB" w:rsidRPr="00772C2F">
        <w:t>Cumberland College, the only</w:t>
      </w:r>
      <w:r w:rsidR="000B29CB" w:rsidRPr="000B29CB">
        <w:t xml:space="preserve"> tertiary institution in NSW </w:t>
      </w:r>
      <w:r w:rsidR="000B29CB">
        <w:t>educating health science professionals</w:t>
      </w:r>
      <w:r w:rsidR="00153502">
        <w:t>,</w:t>
      </w:r>
      <w:r w:rsidR="000B29CB">
        <w:t xml:space="preserve"> </w:t>
      </w:r>
      <w:r w:rsidR="000B29CB" w:rsidRPr="000B29CB">
        <w:t xml:space="preserve">could not accept </w:t>
      </w:r>
      <w:r w:rsidR="000B29CB">
        <w:t xml:space="preserve">a </w:t>
      </w:r>
      <w:r w:rsidR="000B29CB" w:rsidRPr="000B29CB">
        <w:t>passive role in research</w:t>
      </w:r>
      <w:r w:rsidR="000B29CB">
        <w:t xml:space="preserve"> if </w:t>
      </w:r>
      <w:r w:rsidR="00153502">
        <w:t>the college</w:t>
      </w:r>
      <w:r w:rsidR="000B29CB">
        <w:t xml:space="preserve"> were to </w:t>
      </w:r>
      <w:r w:rsidR="00B14591">
        <w:t>remain</w:t>
      </w:r>
      <w:r w:rsidR="000B29CB">
        <w:t xml:space="preserve"> an</w:t>
      </w:r>
      <w:r w:rsidR="000B29CB" w:rsidRPr="000B29CB">
        <w:t xml:space="preserve"> effective and modern teaching institution</w:t>
      </w:r>
      <w:r w:rsidR="000B29CB">
        <w:t xml:space="preserve"> and attract the best minds to its acade</w:t>
      </w:r>
      <w:r w:rsidR="005E261D">
        <w:t>mic staff (Rodgers</w:t>
      </w:r>
      <w:r w:rsidR="000A1D99">
        <w:t xml:space="preserve"> </w:t>
      </w:r>
      <w:r w:rsidR="00EA56D5">
        <w:t>1985,</w:t>
      </w:r>
      <w:r w:rsidR="005E261D">
        <w:t xml:space="preserve"> p</w:t>
      </w:r>
      <w:r w:rsidR="00EA56D5">
        <w:t>p</w:t>
      </w:r>
      <w:r w:rsidR="005D3F4D">
        <w:t>.146—</w:t>
      </w:r>
      <w:r w:rsidR="005E261D">
        <w:t>7). At</w:t>
      </w:r>
      <w:r w:rsidR="000B29CB">
        <w:t xml:space="preserve"> </w:t>
      </w:r>
      <w:r w:rsidR="005D3F4D">
        <w:t>the Western Australian Institute of Technology</w:t>
      </w:r>
      <w:r w:rsidR="00B14591">
        <w:t xml:space="preserve"> </w:t>
      </w:r>
      <w:r w:rsidR="000B29CB">
        <w:t>in the 1980s, Don Watts built the institute</w:t>
      </w:r>
      <w:r w:rsidR="00AB306D">
        <w:t>’</w:t>
      </w:r>
      <w:r w:rsidR="000B29CB">
        <w:t xml:space="preserve">s </w:t>
      </w:r>
      <w:r w:rsidR="00B14591">
        <w:t>research</w:t>
      </w:r>
      <w:r w:rsidR="000B29CB">
        <w:t xml:space="preserve"> and development capacity. He did this not only to </w:t>
      </w:r>
      <w:r w:rsidR="000A1D99">
        <w:t xml:space="preserve">increase </w:t>
      </w:r>
      <w:r w:rsidR="00EA56D5">
        <w:t>his institution</w:t>
      </w:r>
      <w:r w:rsidR="00AB306D">
        <w:t>’</w:t>
      </w:r>
      <w:r w:rsidR="00EA56D5">
        <w:t xml:space="preserve">s </w:t>
      </w:r>
      <w:r w:rsidR="000A1D99">
        <w:t xml:space="preserve">income </w:t>
      </w:r>
      <w:r w:rsidR="00E70FE2">
        <w:t>but out of</w:t>
      </w:r>
      <w:r w:rsidR="005A565B">
        <w:t xml:space="preserve"> a</w:t>
      </w:r>
      <w:r w:rsidR="00E70FE2">
        <w:t xml:space="preserve"> firm belief </w:t>
      </w:r>
      <w:r w:rsidR="000B29CB">
        <w:t xml:space="preserve">that </w:t>
      </w:r>
      <w:r w:rsidR="005D3F4D">
        <w:t>the institution</w:t>
      </w:r>
      <w:r w:rsidR="000B29CB">
        <w:t xml:space="preserve"> must </w:t>
      </w:r>
      <w:r w:rsidR="00B14591">
        <w:t>perform</w:t>
      </w:r>
      <w:r w:rsidR="000B29CB">
        <w:t xml:space="preserve"> at the highest levels to serve </w:t>
      </w:r>
      <w:r w:rsidR="00B14591">
        <w:t>industry</w:t>
      </w:r>
      <w:r w:rsidR="000B29CB">
        <w:t xml:space="preserve">, commerce </w:t>
      </w:r>
      <w:r w:rsidR="00B14591">
        <w:t>and</w:t>
      </w:r>
      <w:r w:rsidR="000B29CB">
        <w:t xml:space="preserve"> government</w:t>
      </w:r>
      <w:r w:rsidR="00403963">
        <w:t>. This included introducing new</w:t>
      </w:r>
      <w:r w:rsidR="002007E9">
        <w:t>,</w:t>
      </w:r>
      <w:r w:rsidR="000B29CB">
        <w:t xml:space="preserve"> more </w:t>
      </w:r>
      <w:r w:rsidR="00B14591">
        <w:t>professionally</w:t>
      </w:r>
      <w:r w:rsidR="000B29CB">
        <w:t xml:space="preserve"> </w:t>
      </w:r>
      <w:r w:rsidR="00B14591">
        <w:t>oriented</w:t>
      </w:r>
      <w:r w:rsidR="002007E9">
        <w:t>,</w:t>
      </w:r>
      <w:r w:rsidR="000B29CB">
        <w:t xml:space="preserve"> approaches to </w:t>
      </w:r>
      <w:r w:rsidR="00B14591">
        <w:t>doctoral</w:t>
      </w:r>
      <w:r w:rsidR="000B29CB">
        <w:t xml:space="preserve"> work</w:t>
      </w:r>
      <w:r w:rsidR="00E70FE2">
        <w:t>. I</w:t>
      </w:r>
      <w:r w:rsidR="000B29CB">
        <w:t xml:space="preserve">n the face of implacable </w:t>
      </w:r>
      <w:r w:rsidR="00B14591">
        <w:t>opposition</w:t>
      </w:r>
      <w:r w:rsidR="000B29CB">
        <w:t xml:space="preserve"> from the </w:t>
      </w:r>
      <w:r w:rsidR="000B29CB" w:rsidRPr="000B29CB">
        <w:t>Commonwealth</w:t>
      </w:r>
      <w:r w:rsidR="00E70FE2">
        <w:t xml:space="preserve"> to his arguments for research dollars</w:t>
      </w:r>
      <w:r w:rsidR="000B29CB">
        <w:t>, Watts set about</w:t>
      </w:r>
      <w:r w:rsidR="00E70FE2">
        <w:t xml:space="preserve"> </w:t>
      </w:r>
      <w:r w:rsidR="000B29CB">
        <w:t xml:space="preserve">gaining </w:t>
      </w:r>
      <w:r w:rsidR="000B29CB" w:rsidRPr="000B29CB">
        <w:t>university status</w:t>
      </w:r>
      <w:r w:rsidR="00271F7C" w:rsidRPr="00EA56D5">
        <w:rPr>
          <w:vertAlign w:val="superscript"/>
        </w:rPr>
        <w:footnoteReference w:id="6"/>
      </w:r>
      <w:r w:rsidR="00B14591">
        <w:t xml:space="preserve"> (White</w:t>
      </w:r>
      <w:r w:rsidR="00EA56D5">
        <w:t xml:space="preserve"> 1996</w:t>
      </w:r>
      <w:r w:rsidR="005D3F4D">
        <w:t>, p.</w:t>
      </w:r>
      <w:r w:rsidR="00B14591">
        <w:t>263)</w:t>
      </w:r>
      <w:r w:rsidR="006F3BAD">
        <w:t xml:space="preserve">, </w:t>
      </w:r>
      <w:r w:rsidR="00E70FE2">
        <w:t xml:space="preserve">thus </w:t>
      </w:r>
      <w:r w:rsidR="00B14591">
        <w:t>driving a</w:t>
      </w:r>
      <w:r w:rsidR="006B68DD">
        <w:t>nother</w:t>
      </w:r>
      <w:r w:rsidR="00B14591">
        <w:t xml:space="preserve"> nail into the coffin of the binary system.</w:t>
      </w:r>
    </w:p>
    <w:p w:rsidR="00156834" w:rsidRDefault="00156834" w:rsidP="00E67761">
      <w:pPr>
        <w:spacing w:before="0" w:line="240" w:lineRule="auto"/>
        <w:rPr>
          <w:rFonts w:ascii="Tahoma" w:hAnsi="Tahoma" w:cs="Tahoma"/>
          <w:color w:val="000000"/>
          <w:kern w:val="28"/>
          <w:sz w:val="56"/>
          <w:szCs w:val="56"/>
        </w:rPr>
      </w:pPr>
      <w:r>
        <w:br w:type="page"/>
      </w:r>
    </w:p>
    <w:p w:rsidR="00113901" w:rsidRDefault="00B93865" w:rsidP="00113901">
      <w:pPr>
        <w:pStyle w:val="Heading1"/>
      </w:pPr>
      <w:bookmarkStart w:id="44" w:name="_Toc393293031"/>
      <w:r>
        <w:lastRenderedPageBreak/>
        <w:t>Governance</w:t>
      </w:r>
      <w:bookmarkEnd w:id="44"/>
    </w:p>
    <w:p w:rsidR="006B68DD" w:rsidRPr="006B68DD" w:rsidRDefault="006B68DD" w:rsidP="006B68DD">
      <w:pPr>
        <w:pStyle w:val="Text"/>
      </w:pPr>
      <w:r>
        <w:t>The Martin Report put forward recommendations for a coordinated approach to</w:t>
      </w:r>
      <w:r w:rsidR="00C2753A">
        <w:t xml:space="preserve"> </w:t>
      </w:r>
      <w:r w:rsidR="002007E9">
        <w:t>s</w:t>
      </w:r>
      <w:r w:rsidR="00C2753A">
        <w:t>tate</w:t>
      </w:r>
      <w:r>
        <w:t xml:space="preserve"> regulation of the </w:t>
      </w:r>
      <w:r w:rsidR="00C2753A">
        <w:t xml:space="preserve">proposed </w:t>
      </w:r>
      <w:r>
        <w:t xml:space="preserve">colleges </w:t>
      </w:r>
      <w:r w:rsidR="00C2753A">
        <w:t>as well as for an overarching tertiary education commission:</w:t>
      </w:r>
    </w:p>
    <w:p w:rsidR="006F3BAD" w:rsidRDefault="006A5CE3" w:rsidP="006F3BAD">
      <w:pPr>
        <w:pStyle w:val="Quote"/>
      </w:pPr>
      <w:r>
        <w:t>6.69 Successful growth in the stat</w:t>
      </w:r>
      <w:r w:rsidR="00DF5EBF">
        <w:t>ure of</w:t>
      </w:r>
      <w:r w:rsidR="00CB15C8">
        <w:t xml:space="preserve"> </w:t>
      </w:r>
      <w:r w:rsidR="00DF5EBF">
        <w:t>…</w:t>
      </w:r>
      <w:r w:rsidR="00CB15C8">
        <w:t xml:space="preserve"> </w:t>
      </w:r>
      <w:r>
        <w:t>colleges depends upon the appointment of well-qualified staff and the maintenance of academic standards. The Committee believes</w:t>
      </w:r>
      <w:r w:rsidR="00DF5EBF">
        <w:t xml:space="preserve"> </w:t>
      </w:r>
      <w:r>
        <w:t>that this can best be assured by bringing diploma-awarding colleges of appropriate standard</w:t>
      </w:r>
      <w:r w:rsidR="00DF5EBF">
        <w:t xml:space="preserve"> </w:t>
      </w:r>
      <w:r>
        <w:t>within an Institute of Colleges. To assist in this development it is suggested that each</w:t>
      </w:r>
      <w:r w:rsidR="00DF5EBF">
        <w:t xml:space="preserve"> </w:t>
      </w:r>
      <w:r>
        <w:t>state government should establish an Institute of Colleges</w:t>
      </w:r>
      <w:r w:rsidR="00CB15C8">
        <w:t xml:space="preserve"> </w:t>
      </w:r>
      <w:r w:rsidR="002007E9">
        <w:br/>
      </w:r>
      <w:r>
        <w:t xml:space="preserve">… </w:t>
      </w:r>
      <w:r w:rsidR="002007E9">
        <w:br/>
      </w:r>
      <w:r>
        <w:t>6.71</w:t>
      </w:r>
      <w:r w:rsidR="00403963">
        <w:t xml:space="preserve"> </w:t>
      </w:r>
      <w:r w:rsidR="00E11D6C">
        <w:t>The Committee envisages each Institute of Colleges as an autonomous body, each</w:t>
      </w:r>
      <w:r>
        <w:t xml:space="preserve"> </w:t>
      </w:r>
      <w:r w:rsidR="00E11D6C">
        <w:t>with its governing council, established by its state government by a special Act</w:t>
      </w:r>
      <w:r w:rsidR="005A537F">
        <w:t>.</w:t>
      </w:r>
      <w:r w:rsidR="008E7F71">
        <w:br/>
      </w:r>
      <w:r w:rsidR="005A537F">
        <w:tab/>
      </w:r>
      <w:r w:rsidR="00041295">
        <w:t>(</w:t>
      </w:r>
      <w:r w:rsidR="00EF7EB2">
        <w:t>Committee on the Future of Tertiary Education in Australia</w:t>
      </w:r>
      <w:r w:rsidR="00CB15C8">
        <w:t xml:space="preserve"> 1964—65, vol</w:t>
      </w:r>
      <w:r w:rsidR="005A537F">
        <w:t>.</w:t>
      </w:r>
      <w:r w:rsidR="00CB15C8">
        <w:t>1, p.</w:t>
      </w:r>
      <w:r w:rsidR="006F3BAD">
        <w:t>18</w:t>
      </w:r>
      <w:r w:rsidR="00CB15C8">
        <w:t>3—</w:t>
      </w:r>
      <w:r w:rsidR="006F3BAD">
        <w:t>4</w:t>
      </w:r>
      <w:r>
        <w:t>)</w:t>
      </w:r>
    </w:p>
    <w:p w:rsidR="00E11D6C" w:rsidRDefault="006A5CE3" w:rsidP="006A5CE3">
      <w:pPr>
        <w:pStyle w:val="Quote"/>
      </w:pPr>
      <w:r>
        <w:t xml:space="preserve">6.174 </w:t>
      </w:r>
      <w:r w:rsidR="00E11D6C">
        <w:t>The Committee recommends that an Australian Tertiary Education Commission</w:t>
      </w:r>
      <w:r>
        <w:t xml:space="preserve"> </w:t>
      </w:r>
      <w:r w:rsidR="00E11D6C">
        <w:t>should be created and that this commission should accept the responsibilities already</w:t>
      </w:r>
      <w:r>
        <w:t xml:space="preserve"> </w:t>
      </w:r>
      <w:r w:rsidR="00E11D6C">
        <w:t>assumed by the Australian Universities Commission in addition to the task of co-ordinating</w:t>
      </w:r>
      <w:r>
        <w:t xml:space="preserve"> </w:t>
      </w:r>
      <w:r w:rsidR="00E11D6C">
        <w:t>the activities of the Boards of Teacher Education and the Institutes of Colleges. The</w:t>
      </w:r>
      <w:r>
        <w:t xml:space="preserve"> </w:t>
      </w:r>
      <w:r w:rsidR="00E11D6C">
        <w:t>Committee envisages that the new Commission would then act as the federal statutory body</w:t>
      </w:r>
      <w:r>
        <w:t xml:space="preserve"> </w:t>
      </w:r>
      <w:r w:rsidR="00E11D6C">
        <w:t>through which Commonwealth grants would be made available to the Universities, the</w:t>
      </w:r>
      <w:r>
        <w:t xml:space="preserve"> </w:t>
      </w:r>
      <w:r w:rsidR="00E11D6C">
        <w:t>Boards and the Institutes</w:t>
      </w:r>
      <w:r w:rsidR="005A537F">
        <w:t>.</w:t>
      </w:r>
      <w:r w:rsidR="008E7F71">
        <w:br/>
      </w:r>
      <w:r w:rsidR="005A537F">
        <w:tab/>
      </w:r>
      <w:r>
        <w:t>(</w:t>
      </w:r>
      <w:r w:rsidR="00EF7EB2">
        <w:t xml:space="preserve">Committee on the Future of Tertiary Education in Australia </w:t>
      </w:r>
      <w:r w:rsidR="005A537F">
        <w:t>1964—65, vol.1</w:t>
      </w:r>
      <w:r>
        <w:t>, p.196)</w:t>
      </w:r>
    </w:p>
    <w:p w:rsidR="00F254FB" w:rsidRDefault="00C2753A" w:rsidP="008E7F71">
      <w:pPr>
        <w:pStyle w:val="Text"/>
      </w:pPr>
      <w:r>
        <w:t>Part of the</w:t>
      </w:r>
      <w:r w:rsidR="009F551C">
        <w:t xml:space="preserve"> rationale behind the </w:t>
      </w:r>
      <w:r w:rsidR="00403963">
        <w:t xml:space="preserve">institute of colleges </w:t>
      </w:r>
      <w:r>
        <w:t xml:space="preserve">was to enable </w:t>
      </w:r>
      <w:r w:rsidR="009F551C">
        <w:t xml:space="preserve">the Commonwealth </w:t>
      </w:r>
      <w:r w:rsidR="00E957E7">
        <w:t>to</w:t>
      </w:r>
      <w:r w:rsidR="009F551C">
        <w:t xml:space="preserve"> channel funds to help the states elevate their technological education</w:t>
      </w:r>
      <w:r>
        <w:t>. Nevertheless, no</w:t>
      </w:r>
      <w:r w:rsidR="006A5CE3">
        <w:t>t all</w:t>
      </w:r>
      <w:r w:rsidR="009F551C">
        <w:t xml:space="preserve"> jurisdictions</w:t>
      </w:r>
      <w:r w:rsidR="005A537F">
        <w:t xml:space="preserve"> established an organisation of this nature</w:t>
      </w:r>
      <w:r w:rsidR="006A5CE3">
        <w:t xml:space="preserve">, </w:t>
      </w:r>
      <w:r w:rsidR="007071A0">
        <w:t xml:space="preserve">an action </w:t>
      </w:r>
      <w:r w:rsidR="009F551C">
        <w:t xml:space="preserve">which </w:t>
      </w:r>
      <w:r>
        <w:t xml:space="preserve">would also </w:t>
      </w:r>
      <w:r w:rsidR="009F551C">
        <w:t xml:space="preserve">have introduced a degree of institutional autonomy. They </w:t>
      </w:r>
      <w:r w:rsidR="00286E69">
        <w:t>preferred</w:t>
      </w:r>
      <w:r w:rsidR="009F551C">
        <w:t xml:space="preserve"> </w:t>
      </w:r>
      <w:r w:rsidR="00E957E7">
        <w:t xml:space="preserve">to </w:t>
      </w:r>
      <w:r w:rsidR="006A5CE3">
        <w:t>retain</w:t>
      </w:r>
      <w:r w:rsidR="00D95722">
        <w:t xml:space="preserve"> </w:t>
      </w:r>
      <w:r w:rsidR="006A5CE3">
        <w:t xml:space="preserve">government control. </w:t>
      </w:r>
      <w:r w:rsidR="00F254FB">
        <w:t xml:space="preserve">As a result, tertiary education </w:t>
      </w:r>
      <w:r w:rsidR="00956ACB">
        <w:t>developed</w:t>
      </w:r>
      <w:r w:rsidR="00F254FB">
        <w:t xml:space="preserve"> different hues in the various states.</w:t>
      </w:r>
    </w:p>
    <w:p w:rsidR="00E27F53" w:rsidRDefault="00956ACB" w:rsidP="008E7F71">
      <w:pPr>
        <w:pStyle w:val="Text"/>
      </w:pPr>
      <w:r>
        <w:t>Nor did the Commonwealth G</w:t>
      </w:r>
      <w:r w:rsidR="006A5CE3">
        <w:t>overnme</w:t>
      </w:r>
      <w:r w:rsidR="00D95722">
        <w:t xml:space="preserve">nt accept recommendation 6.174. Instead it decided to establish </w:t>
      </w:r>
      <w:r w:rsidR="00AB306D">
        <w:t>‘</w:t>
      </w:r>
      <w:r w:rsidR="00E27F53">
        <w:t xml:space="preserve">a separate advisory committee to which </w:t>
      </w:r>
      <w:r w:rsidR="006A5CE3">
        <w:t>proposals</w:t>
      </w:r>
      <w:r>
        <w:t xml:space="preserve"> </w:t>
      </w:r>
      <w:r w:rsidR="006A5CE3">
        <w:t>…</w:t>
      </w:r>
      <w:r>
        <w:t xml:space="preserve"> </w:t>
      </w:r>
      <w:r w:rsidR="00E27F53">
        <w:t>will be referred, and which will make recommendations to the Commonwealth as to the distribution of Commonwealth funds</w:t>
      </w:r>
      <w:r w:rsidR="00AB306D">
        <w:t>’</w:t>
      </w:r>
      <w:r w:rsidR="00D95722">
        <w:t xml:space="preserve"> (</w:t>
      </w:r>
      <w:r>
        <w:t xml:space="preserve">Australia. Senate, </w:t>
      </w:r>
      <w:r>
        <w:rPr>
          <w:i/>
        </w:rPr>
        <w:t xml:space="preserve">Debates, </w:t>
      </w:r>
      <w:r>
        <w:t>24</w:t>
      </w:r>
      <w:r w:rsidR="006A5CE3" w:rsidRPr="006A5CE3">
        <w:t xml:space="preserve"> </w:t>
      </w:r>
      <w:r w:rsidR="00D95722">
        <w:t>March 1965)</w:t>
      </w:r>
      <w:r w:rsidR="00B93865">
        <w:t>. Gallagher</w:t>
      </w:r>
      <w:r w:rsidR="00132F64">
        <w:t xml:space="preserve"> (1982, p.180) </w:t>
      </w:r>
      <w:r w:rsidR="00B93865">
        <w:t>explains that the Commonwealth was reluc</w:t>
      </w:r>
      <w:r>
        <w:t>tant to encroach on an area of s</w:t>
      </w:r>
      <w:r w:rsidR="00B93865">
        <w:t xml:space="preserve">tate </w:t>
      </w:r>
      <w:r w:rsidR="00132F64">
        <w:t xml:space="preserve">responsibility. Nor did it want to relinquish its own control over the new developments in advanced education. </w:t>
      </w:r>
      <w:r w:rsidR="00F254FB">
        <w:t xml:space="preserve">It wanted to hear direct from universities and the </w:t>
      </w:r>
      <w:r w:rsidR="00403963">
        <w:t>colleges of advanced education</w:t>
      </w:r>
      <w:r w:rsidR="00F254FB">
        <w:t xml:space="preserve">, not via a commission sitting </w:t>
      </w:r>
      <w:r w:rsidR="00AB306D">
        <w:t>‘</w:t>
      </w:r>
      <w:r w:rsidR="00F254FB">
        <w:t>on top of the lot</w:t>
      </w:r>
      <w:r w:rsidR="00AB306D">
        <w:t>’</w:t>
      </w:r>
      <w:r w:rsidR="00F254FB">
        <w:t>, as Gorton put it (Gallagher 1</w:t>
      </w:r>
      <w:r w:rsidR="00286E69">
        <w:t>9</w:t>
      </w:r>
      <w:r w:rsidR="00F254FB">
        <w:t>82, p.193).</w:t>
      </w:r>
      <w:r w:rsidR="006442D7">
        <w:t xml:space="preserve"> </w:t>
      </w:r>
    </w:p>
    <w:p w:rsidR="00DF5EBF" w:rsidRDefault="00DF5EBF" w:rsidP="008E7F71">
      <w:pPr>
        <w:pStyle w:val="Text"/>
        <w:ind w:right="141"/>
      </w:pPr>
      <w:r>
        <w:t xml:space="preserve">In his second reading speech on </w:t>
      </w:r>
      <w:r w:rsidR="000D1087">
        <w:t>the States</w:t>
      </w:r>
      <w:r w:rsidR="000D1087" w:rsidRPr="000D1087">
        <w:t xml:space="preserve"> G</w:t>
      </w:r>
      <w:r w:rsidR="000D1087">
        <w:t>rants</w:t>
      </w:r>
      <w:r w:rsidR="000D1087" w:rsidRPr="000D1087">
        <w:t xml:space="preserve"> (A</w:t>
      </w:r>
      <w:r w:rsidR="000D1087">
        <w:t>dvanced Education) Bill in Novemb</w:t>
      </w:r>
      <w:r>
        <w:t xml:space="preserve">er 1965, Gorton announced:  </w:t>
      </w:r>
    </w:p>
    <w:p w:rsidR="00DF5EBF" w:rsidRDefault="00DF5EBF" w:rsidP="00DF5EBF">
      <w:pPr>
        <w:pStyle w:val="Quote"/>
        <w:rPr>
          <w:lang w:val="en-US"/>
        </w:rPr>
      </w:pPr>
      <w:r w:rsidRPr="00DF5EBF">
        <w:rPr>
          <w:lang w:val="en-US"/>
        </w:rPr>
        <w:t>The Commonwealth has been gratified to receive the wholehearted support of all of the States in this development of the new</w:t>
      </w:r>
      <w:r w:rsidR="00386AAB">
        <w:rPr>
          <w:lang w:val="en-US"/>
        </w:rPr>
        <w:t xml:space="preserve"> Colleges of Advanced Education</w:t>
      </w:r>
      <w:r w:rsidR="00403963">
        <w:rPr>
          <w:lang w:val="en-US"/>
        </w:rPr>
        <w:t xml:space="preserve"> </w:t>
      </w:r>
      <w:r>
        <w:rPr>
          <w:lang w:val="en-US"/>
        </w:rPr>
        <w:t>…</w:t>
      </w:r>
      <w:r w:rsidR="00403963">
        <w:rPr>
          <w:lang w:val="en-US"/>
        </w:rPr>
        <w:t xml:space="preserve"> </w:t>
      </w:r>
      <w:r>
        <w:rPr>
          <w:lang w:val="en-US"/>
        </w:rPr>
        <w:t xml:space="preserve">We have appointed a highly qualified Advisory Committee under the chairmanship </w:t>
      </w:r>
      <w:r w:rsidRPr="00DF5EBF">
        <w:rPr>
          <w:lang w:val="en-US"/>
        </w:rPr>
        <w:t xml:space="preserve">of </w:t>
      </w:r>
      <w:r w:rsidRPr="00DF5EBF">
        <w:rPr>
          <w:bCs/>
          <w:lang w:val="en-US"/>
        </w:rPr>
        <w:t>Dr. I.</w:t>
      </w:r>
      <w:r w:rsidRPr="00DF5EBF">
        <w:rPr>
          <w:lang w:val="en-US"/>
        </w:rPr>
        <w:t>W</w:t>
      </w:r>
      <w:r>
        <w:rPr>
          <w:lang w:val="en-US"/>
        </w:rPr>
        <w:t>. Wark to advise us on proposals which will come from the States as part of the Committee</w:t>
      </w:r>
      <w:r w:rsidR="00AB306D">
        <w:rPr>
          <w:lang w:val="en-US"/>
        </w:rPr>
        <w:t>’</w:t>
      </w:r>
      <w:r>
        <w:rPr>
          <w:lang w:val="en-US"/>
        </w:rPr>
        <w:t>s more general task of promoting the balanced development of non-university tertiary institutions in Australia.</w:t>
      </w:r>
      <w:r w:rsidR="008E7F71">
        <w:rPr>
          <w:lang w:val="en-US"/>
        </w:rPr>
        <w:br/>
      </w:r>
      <w:r w:rsidR="00956ACB">
        <w:tab/>
        <w:t xml:space="preserve">(Australia. Senate, </w:t>
      </w:r>
      <w:r w:rsidR="00956ACB">
        <w:rPr>
          <w:i/>
        </w:rPr>
        <w:t xml:space="preserve">Debates, </w:t>
      </w:r>
      <w:r w:rsidR="00C2753A" w:rsidRPr="00C2753A">
        <w:t xml:space="preserve">25 </w:t>
      </w:r>
      <w:r w:rsidR="00094818" w:rsidRPr="00C2753A">
        <w:t>N</w:t>
      </w:r>
      <w:r w:rsidR="00094818">
        <w:t>ovember</w:t>
      </w:r>
      <w:r w:rsidR="00956ACB">
        <w:t xml:space="preserve"> 1965)</w:t>
      </w:r>
    </w:p>
    <w:p w:rsidR="00523FC2" w:rsidRDefault="00DF5EBF" w:rsidP="008E7F71">
      <w:pPr>
        <w:pStyle w:val="Text"/>
        <w:ind w:right="-143"/>
      </w:pPr>
      <w:r>
        <w:t xml:space="preserve">On behalf </w:t>
      </w:r>
      <w:r w:rsidR="00A04EF7">
        <w:t>of the Opposition, Kim Beazley s</w:t>
      </w:r>
      <w:r>
        <w:t>enior wished th</w:t>
      </w:r>
      <w:r w:rsidR="00523FC2">
        <w:t>e</w:t>
      </w:r>
      <w:r w:rsidRPr="00DF5EBF">
        <w:t xml:space="preserve"> </w:t>
      </w:r>
      <w:r w:rsidR="000D1087">
        <w:t>b</w:t>
      </w:r>
      <w:r w:rsidRPr="00DF5EBF">
        <w:t>ill a successful passage</w:t>
      </w:r>
      <w:r w:rsidR="0037517C">
        <w:t xml:space="preserve"> (</w:t>
      </w:r>
      <w:r w:rsidR="00914D13">
        <w:t xml:space="preserve">Australia. </w:t>
      </w:r>
      <w:r w:rsidR="00A54804">
        <w:t>House of Representatives</w:t>
      </w:r>
      <w:r w:rsidR="00914D13">
        <w:t xml:space="preserve">, </w:t>
      </w:r>
      <w:r w:rsidR="00914D13">
        <w:rPr>
          <w:i/>
        </w:rPr>
        <w:t>Debates,</w:t>
      </w:r>
      <w:r w:rsidR="00A54804">
        <w:rPr>
          <w:i/>
        </w:rPr>
        <w:t xml:space="preserve"> </w:t>
      </w:r>
      <w:r w:rsidR="00A54804" w:rsidRPr="00A54804">
        <w:t>24</w:t>
      </w:r>
      <w:r w:rsidR="00914D13" w:rsidRPr="00A54804">
        <w:t xml:space="preserve"> N</w:t>
      </w:r>
      <w:r w:rsidR="00914D13">
        <w:t>ovember</w:t>
      </w:r>
      <w:r w:rsidR="00A54804">
        <w:t xml:space="preserve"> </w:t>
      </w:r>
      <w:r w:rsidR="00914D13">
        <w:t>1965</w:t>
      </w:r>
      <w:r w:rsidR="0037517C">
        <w:t>)</w:t>
      </w:r>
      <w:r w:rsidR="00E764C0">
        <w:t xml:space="preserve"> but urged</w:t>
      </w:r>
      <w:r w:rsidR="00041295">
        <w:t xml:space="preserve"> </w:t>
      </w:r>
      <w:r w:rsidR="00041295" w:rsidRPr="00DF5EBF">
        <w:t>the</w:t>
      </w:r>
      <w:r w:rsidRPr="00DF5EBF">
        <w:t xml:space="preserve"> Commonwealth</w:t>
      </w:r>
      <w:r w:rsidR="00E764C0">
        <w:t xml:space="preserve"> to</w:t>
      </w:r>
      <w:r w:rsidR="00914D13">
        <w:t xml:space="preserve"> use its influence with </w:t>
      </w:r>
      <w:r w:rsidR="00914D13">
        <w:lastRenderedPageBreak/>
        <w:t>the s</w:t>
      </w:r>
      <w:r w:rsidRPr="00DF5EBF">
        <w:t xml:space="preserve">tates </w:t>
      </w:r>
      <w:r w:rsidR="00E764C0">
        <w:t xml:space="preserve">to </w:t>
      </w:r>
      <w:r w:rsidR="00403963">
        <w:t>ensure that</w:t>
      </w:r>
      <w:r w:rsidR="00E764C0">
        <w:t xml:space="preserve"> the </w:t>
      </w:r>
      <w:r w:rsidRPr="00DF5EBF">
        <w:t>new form of tertiary education</w:t>
      </w:r>
      <w:r w:rsidR="00E764C0">
        <w:t xml:space="preserve"> actually came into ex</w:t>
      </w:r>
      <w:r w:rsidRPr="00DF5EBF">
        <w:t xml:space="preserve">istence. </w:t>
      </w:r>
      <w:r w:rsidR="006442D7">
        <w:t>The two bodies establishe</w:t>
      </w:r>
      <w:r w:rsidR="00E957E7">
        <w:t>d to oversee institutions in this new</w:t>
      </w:r>
      <w:r w:rsidR="006442D7">
        <w:t xml:space="preserve"> binary system, the Australian Universities Commission</w:t>
      </w:r>
      <w:r w:rsidR="0042322E">
        <w:t xml:space="preserve"> (AUC)</w:t>
      </w:r>
      <w:r w:rsidR="006442D7">
        <w:t xml:space="preserve"> and the Commonwealth Advisory Committee on Advanced Education (</w:t>
      </w:r>
      <w:r w:rsidR="0042322E">
        <w:t>CACAE or</w:t>
      </w:r>
      <w:r w:rsidR="00286E69">
        <w:t xml:space="preserve"> </w:t>
      </w:r>
      <w:r w:rsidR="006442D7">
        <w:t xml:space="preserve">Wark Committee), found it difficult to </w:t>
      </w:r>
      <w:r w:rsidR="00914D13">
        <w:t>fulfil their remit</w:t>
      </w:r>
      <w:r w:rsidR="00286E69">
        <w:t>. Wark</w:t>
      </w:r>
      <w:r w:rsidR="006442D7">
        <w:t xml:space="preserve"> became a strong advocate for the </w:t>
      </w:r>
      <w:r w:rsidR="00914D13">
        <w:t>colleges of advanced education</w:t>
      </w:r>
      <w:r w:rsidR="006442D7">
        <w:t xml:space="preserve">, arguing that they take on more of the vocational load </w:t>
      </w:r>
      <w:r w:rsidR="00914D13">
        <w:t xml:space="preserve">located </w:t>
      </w:r>
      <w:r w:rsidR="006442D7">
        <w:t xml:space="preserve">in universities, </w:t>
      </w:r>
      <w:r w:rsidR="00286E69">
        <w:t>making</w:t>
      </w:r>
      <w:r w:rsidR="006442D7">
        <w:t xml:space="preserve"> the university sector more and more anxious about competition from the colleges.</w:t>
      </w:r>
    </w:p>
    <w:p w:rsidR="00523FC2" w:rsidRDefault="00E957E7" w:rsidP="00DF5EBF">
      <w:pPr>
        <w:pStyle w:val="Text"/>
      </w:pPr>
      <w:r>
        <w:t xml:space="preserve">The lack of coordination in the system was a matter of debate in </w:t>
      </w:r>
      <w:r w:rsidR="00914D13">
        <w:t>p</w:t>
      </w:r>
      <w:r w:rsidR="00523FC2">
        <w:t xml:space="preserve">arliament </w:t>
      </w:r>
      <w:r>
        <w:t xml:space="preserve">as early as </w:t>
      </w:r>
      <w:r w:rsidR="000D1087">
        <w:t>1967</w:t>
      </w:r>
      <w:r>
        <w:t>.</w:t>
      </w:r>
      <w:r w:rsidR="000D1087">
        <w:t xml:space="preserve"> </w:t>
      </w:r>
      <w:r>
        <w:t>T</w:t>
      </w:r>
      <w:r w:rsidR="00523FC2">
        <w:t xml:space="preserve">he Leader </w:t>
      </w:r>
      <w:r w:rsidR="000D1087">
        <w:t>of</w:t>
      </w:r>
      <w:r w:rsidR="00523FC2">
        <w:t xml:space="preserve"> the Opposition</w:t>
      </w:r>
      <w:r w:rsidR="00A17AC2">
        <w:t>, Gough</w:t>
      </w:r>
      <w:r w:rsidR="00E764C0">
        <w:t xml:space="preserve"> </w:t>
      </w:r>
      <w:r w:rsidR="00523FC2">
        <w:t>Whitlam</w:t>
      </w:r>
      <w:r w:rsidR="00A17AC2">
        <w:t>,</w:t>
      </w:r>
      <w:r>
        <w:t xml:space="preserve"> lamented</w:t>
      </w:r>
      <w:r w:rsidR="00523FC2">
        <w:t xml:space="preserve">: </w:t>
      </w:r>
    </w:p>
    <w:p w:rsidR="00523FC2" w:rsidRDefault="00523FC2" w:rsidP="00143C78">
      <w:pPr>
        <w:pStyle w:val="Quote"/>
      </w:pPr>
      <w:r w:rsidRPr="00523FC2">
        <w:t xml:space="preserve">The </w:t>
      </w:r>
      <w:r w:rsidR="007071A0">
        <w:t>Martin Report</w:t>
      </w:r>
      <w:r w:rsidR="00AB306D">
        <w:t>’</w:t>
      </w:r>
      <w:r w:rsidRPr="00523FC2">
        <w:t>s emphasis on the transfor</w:t>
      </w:r>
      <w:r w:rsidR="00386AAB">
        <w:t xml:space="preserve">mation of existing institutions </w:t>
      </w:r>
      <w:r w:rsidRPr="00523FC2">
        <w:t>which were educationally inadequate has virtually disappeared. So have the proposals for the establishment of new-type institutions. All that remains is a set of decisions for distributing Commonwealth finance for</w:t>
      </w:r>
      <w:r w:rsidR="00143C78">
        <w:t xml:space="preserve"> building and capital equipment</w:t>
      </w:r>
      <w:r w:rsidR="00914D13">
        <w:t>.</w:t>
      </w:r>
      <w:r w:rsidR="00D111C9">
        <w:tab/>
      </w:r>
      <w:r w:rsidR="00914D13">
        <w:t xml:space="preserve">(Australia. House of Representatives, </w:t>
      </w:r>
      <w:r w:rsidR="00914D13">
        <w:rPr>
          <w:i/>
        </w:rPr>
        <w:t>Debates</w:t>
      </w:r>
      <w:r w:rsidR="00143C78" w:rsidRPr="00143C78">
        <w:rPr>
          <w:lang w:val="en-US"/>
        </w:rPr>
        <w:t>, 16 May 1967</w:t>
      </w:r>
      <w:r w:rsidR="000A1D99">
        <w:t>)</w:t>
      </w:r>
    </w:p>
    <w:p w:rsidR="00523FC2" w:rsidRDefault="00143C78" w:rsidP="00DF5EBF">
      <w:pPr>
        <w:pStyle w:val="Text"/>
      </w:pPr>
      <w:r>
        <w:t>Labor</w:t>
      </w:r>
      <w:r w:rsidR="00AB306D">
        <w:t>’</w:t>
      </w:r>
      <w:r>
        <w:t xml:space="preserve">s education spokesman </w:t>
      </w:r>
      <w:r w:rsidR="00523FC2">
        <w:t>Kim Beazley</w:t>
      </w:r>
      <w:r w:rsidR="005107B1">
        <w:t xml:space="preserve"> s</w:t>
      </w:r>
      <w:r w:rsidR="00D714BF">
        <w:t>enior</w:t>
      </w:r>
      <w:r w:rsidR="00523FC2">
        <w:t xml:space="preserve"> </w:t>
      </w:r>
      <w:r w:rsidR="00286E69">
        <w:t>joined in</w:t>
      </w:r>
      <w:r w:rsidR="00523FC2">
        <w:t xml:space="preserve">: </w:t>
      </w:r>
    </w:p>
    <w:p w:rsidR="00523FC2" w:rsidRDefault="00523FC2" w:rsidP="00523FC2">
      <w:pPr>
        <w:pStyle w:val="Quote"/>
      </w:pPr>
      <w:r w:rsidRPr="00523FC2">
        <w:t xml:space="preserve">Can we stop guessing at a worthwhile alternative to traditional university study and </w:t>
      </w:r>
      <w:r w:rsidR="00041295" w:rsidRPr="00523FC2">
        <w:t>provide enough</w:t>
      </w:r>
      <w:r w:rsidRPr="00523FC2">
        <w:t xml:space="preserve"> university studies or create something new and systematically thought out in tertiary education? Can we end the obsolescence of so many technical colleges that are inadequate to meet the desiderata outlined by the Martin Committee</w:t>
      </w:r>
      <w:r w:rsidR="000D1087">
        <w:t>?</w:t>
      </w:r>
      <w:r w:rsidRPr="00523FC2">
        <w:t xml:space="preserve"> Our tertiary education problems cannot be solved by merely building and equipping lower status limited i</w:t>
      </w:r>
      <w:r w:rsidR="000D1087">
        <w:t>nstitutions, and grant</w:t>
      </w:r>
      <w:r w:rsidRPr="00523FC2">
        <w:t xml:space="preserve">s should not be used for this purpose. What is needed is a co-ordinated Commonwealth policy covering universities, teachers colleges, institutes of advanced technology, advanced education colleges and </w:t>
      </w:r>
      <w:r w:rsidR="000D1087">
        <w:t>vocational courses and colleges</w:t>
      </w:r>
      <w:r w:rsidR="00403963">
        <w:t xml:space="preserve"> … </w:t>
      </w:r>
      <w:r w:rsidRPr="00523FC2">
        <w:t>There is a very real need to end some aspects of the sharp division between universities, institutes of technology and teachers colleges; and there is the unsolved problem of the status and standing of advanced colleges</w:t>
      </w:r>
      <w:r>
        <w:t>.</w:t>
      </w:r>
      <w:r w:rsidR="0087331A">
        <w:rPr>
          <w:rStyle w:val="FootnoteReference"/>
        </w:rPr>
        <w:footnoteReference w:id="7"/>
      </w:r>
      <w:r w:rsidR="008E7F71">
        <w:br/>
      </w:r>
      <w:r w:rsidR="00D111C9">
        <w:tab/>
      </w:r>
      <w:r w:rsidR="00A17AC2" w:rsidRPr="00822F47">
        <w:t>(</w:t>
      </w:r>
      <w:r w:rsidR="00D111C9" w:rsidRPr="00822F47">
        <w:t xml:space="preserve">Australia. </w:t>
      </w:r>
      <w:r w:rsidR="00822F47">
        <w:t>House of Representatives</w:t>
      </w:r>
      <w:r w:rsidR="00D111C9" w:rsidRPr="00822F47">
        <w:t xml:space="preserve">, </w:t>
      </w:r>
      <w:r w:rsidR="00D111C9" w:rsidRPr="00822F47">
        <w:rPr>
          <w:i/>
        </w:rPr>
        <w:t>Debates</w:t>
      </w:r>
      <w:r w:rsidR="00D111C9" w:rsidRPr="00822F47">
        <w:rPr>
          <w:lang w:val="en-US"/>
        </w:rPr>
        <w:t>, 16 May 1967</w:t>
      </w:r>
      <w:r w:rsidR="00A17AC2" w:rsidRPr="00822F47">
        <w:t>)</w:t>
      </w:r>
    </w:p>
    <w:p w:rsidR="000C6427" w:rsidRPr="000C6427" w:rsidRDefault="00523FC2" w:rsidP="008E7F71">
      <w:pPr>
        <w:pStyle w:val="Text"/>
      </w:pPr>
      <w:r w:rsidRPr="000C6427">
        <w:t>That status was undermined</w:t>
      </w:r>
      <w:r w:rsidR="00E957E7">
        <w:t xml:space="preserve"> not</w:t>
      </w:r>
      <w:r w:rsidRPr="000C6427">
        <w:t xml:space="preserve"> </w:t>
      </w:r>
      <w:r w:rsidR="00E957E7">
        <w:t xml:space="preserve">only by </w:t>
      </w:r>
      <w:r w:rsidR="000C6427" w:rsidRPr="000C6427">
        <w:t xml:space="preserve">different regulatory regimes </w:t>
      </w:r>
      <w:r w:rsidR="00E957E7">
        <w:t xml:space="preserve">but also by opposing </w:t>
      </w:r>
      <w:r w:rsidR="000C6427" w:rsidRPr="000C6427">
        <w:t>mentalities. Richardson</w:t>
      </w:r>
      <w:r w:rsidR="00AB306D">
        <w:t>’</w:t>
      </w:r>
      <w:r w:rsidR="000C6427" w:rsidRPr="000C6427">
        <w:t>s account</w:t>
      </w:r>
      <w:r w:rsidR="000D1087">
        <w:t xml:space="preserve"> (</w:t>
      </w:r>
      <w:r w:rsidR="00143C78">
        <w:t>1979</w:t>
      </w:r>
      <w:r w:rsidR="00A17AC2">
        <w:t xml:space="preserve">, </w:t>
      </w:r>
      <w:r w:rsidR="000D1087">
        <w:t>p.13)</w:t>
      </w:r>
      <w:r w:rsidR="000C6427" w:rsidRPr="000C6427">
        <w:t xml:space="preserve"> of the first years of the </w:t>
      </w:r>
      <w:r w:rsidR="00D111C9">
        <w:t>Canberra College of Advanced Education</w:t>
      </w:r>
      <w:r w:rsidR="000C6427" w:rsidRPr="000C6427">
        <w:t xml:space="preserve"> highlights the tensions surround</w:t>
      </w:r>
      <w:r w:rsidR="000D1087">
        <w:t xml:space="preserve">ing </w:t>
      </w:r>
      <w:r w:rsidR="000C6427" w:rsidRPr="000C6427">
        <w:t xml:space="preserve">the endeavour of </w:t>
      </w:r>
      <w:r w:rsidR="006B3261">
        <w:t>introducing</w:t>
      </w:r>
      <w:r w:rsidR="000C6427" w:rsidRPr="000C6427">
        <w:t xml:space="preserve"> </w:t>
      </w:r>
      <w:r w:rsidR="000D1087">
        <w:t>a</w:t>
      </w:r>
      <w:r w:rsidR="000C6427" w:rsidRPr="000C6427">
        <w:t xml:space="preserve"> new concept in tertiary education: </w:t>
      </w:r>
    </w:p>
    <w:p w:rsidR="000C6427" w:rsidRPr="000C6427" w:rsidRDefault="000C6427" w:rsidP="000C6427">
      <w:pPr>
        <w:pStyle w:val="Quote"/>
      </w:pPr>
      <w:r w:rsidRPr="000C6427">
        <w:t>academia had ideas about autonomy and government of tertiary education establishments …</w:t>
      </w:r>
      <w:r w:rsidR="00D111C9">
        <w:t xml:space="preserve"> </w:t>
      </w:r>
      <w:r w:rsidRPr="000C6427">
        <w:t>which were at cross purposes with those of education officers with their experience of tight departmental control and external development and monitoring of curricula which had prevailed in technical education</w:t>
      </w:r>
      <w:r w:rsidR="00D111C9">
        <w:t xml:space="preserve"> </w:t>
      </w:r>
      <w:r w:rsidR="00403963">
        <w:t xml:space="preserve">… </w:t>
      </w:r>
      <w:r w:rsidR="000D1087">
        <w:t>for more than a century.</w:t>
      </w:r>
    </w:p>
    <w:p w:rsidR="00E03829" w:rsidRPr="00E03829" w:rsidRDefault="00143C78" w:rsidP="008E7F71">
      <w:pPr>
        <w:pStyle w:val="Text"/>
      </w:pPr>
      <w:r>
        <w:t xml:space="preserve">The </w:t>
      </w:r>
      <w:r w:rsidR="00D111C9">
        <w:t>colleges of advanced education</w:t>
      </w:r>
      <w:r>
        <w:t xml:space="preserve"> had to conte</w:t>
      </w:r>
      <w:r w:rsidR="00E957E7">
        <w:t>nd with two layers of bureaucracy</w:t>
      </w:r>
      <w:r>
        <w:t xml:space="preserve">. The Commonwealth provided money but the states still exercised control over much of their operations. </w:t>
      </w:r>
      <w:r w:rsidR="00D2148A">
        <w:t xml:space="preserve">Peter Botsman, a former teacher and academic, </w:t>
      </w:r>
      <w:r w:rsidR="00E03829" w:rsidRPr="00E03829">
        <w:t>became head of Kelvin</w:t>
      </w:r>
      <w:r w:rsidR="004E1021">
        <w:t xml:space="preserve"> G</w:t>
      </w:r>
      <w:r w:rsidR="00E03829" w:rsidRPr="00E03829">
        <w:t>rove</w:t>
      </w:r>
      <w:r w:rsidR="00E03829">
        <w:t xml:space="preserve"> College of Advanced Education (previously a teachers college)</w:t>
      </w:r>
      <w:r w:rsidR="00E03829" w:rsidRPr="00E03829">
        <w:t xml:space="preserve"> in May 1975. Asked how he thought</w:t>
      </w:r>
      <w:r w:rsidR="00D111C9">
        <w:t xml:space="preserve"> he would approach running the c</w:t>
      </w:r>
      <w:r w:rsidR="00E03829" w:rsidRPr="00E03829">
        <w:t xml:space="preserve">ollege, he replied: </w:t>
      </w:r>
      <w:r w:rsidR="00AB306D">
        <w:t>‘</w:t>
      </w:r>
      <w:r w:rsidR="00E03829" w:rsidRPr="00D2148A">
        <w:t xml:space="preserve">When you say </w:t>
      </w:r>
      <w:r w:rsidR="00D2148A" w:rsidRPr="00D2148A">
        <w:t>“</w:t>
      </w:r>
      <w:r w:rsidR="00E03829" w:rsidRPr="00D2148A">
        <w:t>run the College</w:t>
      </w:r>
      <w:r w:rsidR="00D2148A" w:rsidRPr="00D2148A">
        <w:t>”</w:t>
      </w:r>
      <w:r w:rsidR="00E03829" w:rsidRPr="00D2148A">
        <w:t>, I suppose identifyi</w:t>
      </w:r>
      <w:r w:rsidR="00D2148A" w:rsidRPr="00D2148A">
        <w:t>ng needs would be more accurate</w:t>
      </w:r>
      <w:r w:rsidR="00AB306D">
        <w:t>’</w:t>
      </w:r>
      <w:r w:rsidR="00D2148A" w:rsidRPr="00D2148A">
        <w:t>. Botsman found the mindset of his own staff</w:t>
      </w:r>
      <w:r w:rsidR="00694516">
        <w:t>,</w:t>
      </w:r>
      <w:r w:rsidR="00D2148A" w:rsidRPr="00D2148A">
        <w:t xml:space="preserve"> used to being part of the Department of Education</w:t>
      </w:r>
      <w:r w:rsidR="00694516">
        <w:t>,</w:t>
      </w:r>
      <w:r w:rsidR="00403963">
        <w:t xml:space="preserve"> parochial and entrenched. </w:t>
      </w:r>
      <w:r w:rsidR="00D2148A" w:rsidRPr="00D2148A">
        <w:t xml:space="preserve">More frustrating was having to deal with the consequences of government fiat, like </w:t>
      </w:r>
      <w:r w:rsidR="00AB306D">
        <w:t>‘</w:t>
      </w:r>
      <w:r w:rsidR="00D2148A" w:rsidRPr="00D2148A">
        <w:t>when we got lumbered with this blasted amalgamation that made Brisbane CAE</w:t>
      </w:r>
      <w:r w:rsidR="00AB306D">
        <w:t>’</w:t>
      </w:r>
      <w:r w:rsidR="00D2148A" w:rsidRPr="00D2148A">
        <w:t xml:space="preserve">. </w:t>
      </w:r>
      <w:r w:rsidR="00694516">
        <w:t xml:space="preserve">Botsman </w:t>
      </w:r>
      <w:r w:rsidR="00D2148A" w:rsidRPr="00D2148A">
        <w:t xml:space="preserve">learned to watch parliamentary movements in Canberra and to invite politicians to his college to lobby </w:t>
      </w:r>
      <w:r w:rsidR="00D2148A">
        <w:t>―</w:t>
      </w:r>
      <w:r w:rsidR="00D2148A" w:rsidRPr="00D2148A">
        <w:t xml:space="preserve"> successfully </w:t>
      </w:r>
      <w:r w:rsidR="00D2148A">
        <w:t>―</w:t>
      </w:r>
      <w:r w:rsidR="00D2148A" w:rsidRPr="00D2148A">
        <w:t xml:space="preserve"> for more mon</w:t>
      </w:r>
      <w:r w:rsidR="00694516">
        <w:t xml:space="preserve">ey </w:t>
      </w:r>
      <w:r w:rsidR="00D111C9">
        <w:t>(Pechey 1992</w:t>
      </w:r>
      <w:r w:rsidR="007071A0">
        <w:t>,</w:t>
      </w:r>
      <w:r w:rsidR="00D111C9">
        <w:t xml:space="preserve"> pp.165—</w:t>
      </w:r>
      <w:r w:rsidR="00D2148A" w:rsidRPr="00D2148A">
        <w:t>72</w:t>
      </w:r>
      <w:r w:rsidR="00E03829" w:rsidRPr="00D2148A">
        <w:t>)</w:t>
      </w:r>
      <w:r w:rsidR="00694516">
        <w:t>.</w:t>
      </w:r>
    </w:p>
    <w:p w:rsidR="005361F3" w:rsidRDefault="00E03829" w:rsidP="008E7F71">
      <w:pPr>
        <w:pStyle w:val="Text"/>
      </w:pPr>
      <w:r>
        <w:lastRenderedPageBreak/>
        <w:t xml:space="preserve">Following the </w:t>
      </w:r>
      <w:r w:rsidR="00A86EBA">
        <w:t xml:space="preserve">1969 </w:t>
      </w:r>
      <w:r w:rsidR="00403963">
        <w:t>Wiltshire I</w:t>
      </w:r>
      <w:r>
        <w:t xml:space="preserve">nquiry into </w:t>
      </w:r>
      <w:r w:rsidR="00403963">
        <w:t xml:space="preserve">Academic Awards </w:t>
      </w:r>
      <w:r>
        <w:t xml:space="preserve">in </w:t>
      </w:r>
      <w:r w:rsidR="00403963">
        <w:t>Colleges of Advanced Education</w:t>
      </w:r>
      <w:r>
        <w:t xml:space="preserve">, a national and state system of course accreditation was introduced. </w:t>
      </w:r>
      <w:r w:rsidR="000C6427" w:rsidRPr="000C6427">
        <w:t>Colleges</w:t>
      </w:r>
      <w:r w:rsidR="001B2A8A">
        <w:t xml:space="preserve"> </w:t>
      </w:r>
      <w:r>
        <w:t>had</w:t>
      </w:r>
      <w:r w:rsidR="000C6427" w:rsidRPr="000C6427">
        <w:t xml:space="preserve"> to</w:t>
      </w:r>
      <w:r w:rsidR="000C6427">
        <w:t xml:space="preserve"> get approval for their courses and the resources they required, the </w:t>
      </w:r>
      <w:r w:rsidR="000C6427" w:rsidRPr="000C6427">
        <w:t xml:space="preserve">proposed number of students, </w:t>
      </w:r>
      <w:r w:rsidR="000C6427">
        <w:t xml:space="preserve">the </w:t>
      </w:r>
      <w:r w:rsidR="000C6427" w:rsidRPr="000C6427">
        <w:t xml:space="preserve">levels of skill and knowledge to be reached, </w:t>
      </w:r>
      <w:r w:rsidR="000C6427">
        <w:t xml:space="preserve">and the </w:t>
      </w:r>
      <w:r w:rsidR="000C6427" w:rsidRPr="000C6427">
        <w:t>staff employed</w:t>
      </w:r>
      <w:r w:rsidR="000C6427">
        <w:t xml:space="preserve">. </w:t>
      </w:r>
      <w:r w:rsidR="00A17AC2">
        <w:t>T</w:t>
      </w:r>
      <w:r w:rsidR="00A86EBA">
        <w:t>his</w:t>
      </w:r>
      <w:r w:rsidR="000C6427">
        <w:t xml:space="preserve"> </w:t>
      </w:r>
      <w:r w:rsidR="00A86EBA">
        <w:t xml:space="preserve">extra administrative burden caused </w:t>
      </w:r>
      <w:r w:rsidR="000C6427">
        <w:t xml:space="preserve">added resentment </w:t>
      </w:r>
      <w:r w:rsidR="00E957E7">
        <w:t xml:space="preserve">because </w:t>
      </w:r>
      <w:r w:rsidR="000C6427">
        <w:t xml:space="preserve">universities </w:t>
      </w:r>
      <w:r w:rsidR="00E957E7">
        <w:t>were not subject</w:t>
      </w:r>
      <w:r w:rsidR="000C6427">
        <w:t xml:space="preserve"> to </w:t>
      </w:r>
      <w:r w:rsidR="00892A24">
        <w:t>such</w:t>
      </w:r>
      <w:r w:rsidR="000C6427">
        <w:t xml:space="preserve"> external supervision (</w:t>
      </w:r>
      <w:r w:rsidR="00A17AC2">
        <w:t xml:space="preserve">Anderson </w:t>
      </w:r>
      <w:r w:rsidR="00892A24">
        <w:t>1981</w:t>
      </w:r>
      <w:r w:rsidR="00A17AC2">
        <w:t xml:space="preserve">, </w:t>
      </w:r>
      <w:r w:rsidR="000C6427">
        <w:t xml:space="preserve">p.31). </w:t>
      </w:r>
    </w:p>
    <w:p w:rsidR="00E03829" w:rsidRDefault="00E764C0" w:rsidP="008E7F71">
      <w:pPr>
        <w:pStyle w:val="Text"/>
      </w:pPr>
      <w:r>
        <w:t>Reviewing</w:t>
      </w:r>
      <w:r w:rsidR="00B1415D" w:rsidRPr="00A86EBA">
        <w:t xml:space="preserve"> the pros and cons of course accreditation in Australian </w:t>
      </w:r>
      <w:r w:rsidR="009457D9">
        <w:t>college</w:t>
      </w:r>
      <w:r w:rsidR="00B1415D" w:rsidRPr="00A86EBA">
        <w:t>s</w:t>
      </w:r>
      <w:r w:rsidR="009457D9">
        <w:t xml:space="preserve"> of advanced education</w:t>
      </w:r>
      <w:r w:rsidR="00B1415D" w:rsidRPr="00A86EBA">
        <w:t xml:space="preserve">, Houston and Harman concluded in favour of </w:t>
      </w:r>
      <w:r w:rsidR="00A86EBA" w:rsidRPr="00A86EBA">
        <w:t xml:space="preserve">the </w:t>
      </w:r>
      <w:r w:rsidR="00B1415D" w:rsidRPr="00A86EBA">
        <w:t>system</w:t>
      </w:r>
      <w:r w:rsidR="00A86EBA" w:rsidRPr="00A86EBA">
        <w:t xml:space="preserve">, noting that </w:t>
      </w:r>
      <w:r w:rsidR="00041295" w:rsidRPr="00A86EBA">
        <w:t>Wiltshire</w:t>
      </w:r>
      <w:r w:rsidR="00AB306D">
        <w:t>’</w:t>
      </w:r>
      <w:r w:rsidR="00041295" w:rsidRPr="00A86EBA">
        <w:t>s</w:t>
      </w:r>
      <w:r w:rsidR="00A86EBA" w:rsidRPr="00A86EBA">
        <w:t xml:space="preserve"> aim had been to</w:t>
      </w:r>
      <w:r w:rsidR="00B1415D" w:rsidRPr="00A86EBA">
        <w:t xml:space="preserve"> </w:t>
      </w:r>
      <w:r w:rsidR="00892A24">
        <w:t xml:space="preserve">enhance the reputation of the </w:t>
      </w:r>
      <w:r w:rsidR="00D111C9" w:rsidRPr="00A86EBA">
        <w:t xml:space="preserve">system </w:t>
      </w:r>
      <w:r w:rsidR="00D111C9">
        <w:t>of colleges of advanced education</w:t>
      </w:r>
      <w:r w:rsidR="00B1415D" w:rsidRPr="00A86EBA">
        <w:t xml:space="preserve"> (</w:t>
      </w:r>
      <w:r w:rsidR="00403963" w:rsidRPr="00A86EBA">
        <w:t xml:space="preserve">Houston </w:t>
      </w:r>
      <w:r w:rsidR="00403963">
        <w:t>&amp;</w:t>
      </w:r>
      <w:r w:rsidR="00403963" w:rsidRPr="00A86EBA">
        <w:t xml:space="preserve"> Harman </w:t>
      </w:r>
      <w:r w:rsidR="004226BF">
        <w:t>1978</w:t>
      </w:r>
      <w:r w:rsidR="00A17AC2">
        <w:t>, p.</w:t>
      </w:r>
      <w:r w:rsidR="00B1415D" w:rsidRPr="00A86EBA">
        <w:t>57).</w:t>
      </w:r>
      <w:r w:rsidR="00694516">
        <w:t xml:space="preserve"> </w:t>
      </w:r>
      <w:r w:rsidR="00B1415D" w:rsidRPr="00A86EBA">
        <w:t xml:space="preserve">They </w:t>
      </w:r>
      <w:r w:rsidR="00892A24">
        <w:t xml:space="preserve">did not think the </w:t>
      </w:r>
      <w:r w:rsidR="00AB306D">
        <w:t>‘</w:t>
      </w:r>
      <w:r w:rsidR="00E03829" w:rsidRPr="00E764C0">
        <w:t>competent and committed</w:t>
      </w:r>
      <w:r w:rsidR="00AB306D">
        <w:t>’</w:t>
      </w:r>
      <w:r w:rsidR="00E03829" w:rsidRPr="00E764C0">
        <w:t xml:space="preserve"> </w:t>
      </w:r>
      <w:r w:rsidR="00892A24" w:rsidRPr="00E764C0">
        <w:t xml:space="preserve">had anything to </w:t>
      </w:r>
      <w:r w:rsidR="00E03829" w:rsidRPr="00E764C0">
        <w:t xml:space="preserve">fear </w:t>
      </w:r>
      <w:r w:rsidR="00892A24" w:rsidRPr="00E764C0">
        <w:t>from accreditation</w:t>
      </w:r>
      <w:r w:rsidR="00E03829" w:rsidRPr="00E764C0">
        <w:t xml:space="preserve"> (</w:t>
      </w:r>
      <w:r w:rsidR="00FA34F0">
        <w:t xml:space="preserve">1978, </w:t>
      </w:r>
      <w:r w:rsidR="00694516">
        <w:t>p.</w:t>
      </w:r>
      <w:r w:rsidR="00E03829" w:rsidRPr="00E764C0">
        <w:t>61)</w:t>
      </w:r>
      <w:r w:rsidR="00694516">
        <w:t xml:space="preserve">. Furthermore, as the </w:t>
      </w:r>
      <w:r w:rsidR="00E03829" w:rsidRPr="00A86EBA">
        <w:t>chief officer of the UK accreditation body</w:t>
      </w:r>
      <w:r w:rsidR="00694516">
        <w:t xml:space="preserve"> had observed, given </w:t>
      </w:r>
      <w:r w:rsidR="00892A24">
        <w:t xml:space="preserve">the </w:t>
      </w:r>
      <w:r w:rsidR="003A740B">
        <w:t xml:space="preserve">success </w:t>
      </w:r>
      <w:r w:rsidR="00694516">
        <w:t>o</w:t>
      </w:r>
      <w:r w:rsidR="00892A24">
        <w:t xml:space="preserve">f college course </w:t>
      </w:r>
      <w:r w:rsidR="003A740B" w:rsidRPr="003A740B">
        <w:t>validation</w:t>
      </w:r>
      <w:r w:rsidR="00694516">
        <w:t>,</w:t>
      </w:r>
      <w:r w:rsidR="00892A24">
        <w:t xml:space="preserve"> it was not </w:t>
      </w:r>
      <w:r w:rsidR="00694516">
        <w:t>good enough to argue against it</w:t>
      </w:r>
      <w:r w:rsidR="00892A24">
        <w:t xml:space="preserve"> just becau</w:t>
      </w:r>
      <w:r w:rsidR="00E03829" w:rsidRPr="00A86EBA">
        <w:t xml:space="preserve">se </w:t>
      </w:r>
      <w:r w:rsidR="00892A24">
        <w:t xml:space="preserve">it did not apply to </w:t>
      </w:r>
      <w:r w:rsidR="00E03829" w:rsidRPr="00A86EBA">
        <w:t>universities</w:t>
      </w:r>
      <w:r w:rsidR="00D111C9">
        <w:t xml:space="preserve"> </w:t>
      </w:r>
      <w:r w:rsidR="00892A24">
        <w:t>(p.66)</w:t>
      </w:r>
      <w:r w:rsidR="00E03829" w:rsidRPr="00A86EBA">
        <w:t>.</w:t>
      </w:r>
      <w:r w:rsidR="006B3261">
        <w:t>T</w:t>
      </w:r>
      <w:r w:rsidR="00A86EBA">
        <w:t xml:space="preserve">he race to be equal overshadowed the quest for difference. </w:t>
      </w:r>
    </w:p>
    <w:p w:rsidR="006A5CE3" w:rsidRPr="0087331A" w:rsidRDefault="00EB2621" w:rsidP="008E7F71">
      <w:pPr>
        <w:pStyle w:val="Text"/>
      </w:pPr>
      <w:r w:rsidRPr="00EB2621">
        <w:t>Changes in</w:t>
      </w:r>
      <w:r>
        <w:t xml:space="preserve"> the</w:t>
      </w:r>
      <w:r w:rsidRPr="00EB2621">
        <w:t xml:space="preserve"> economic climate </w:t>
      </w:r>
      <w:r w:rsidR="001A555D">
        <w:t xml:space="preserve">through the 1970s </w:t>
      </w:r>
      <w:r w:rsidRPr="00EB2621">
        <w:t>and a fall in the demand for some courses, in particular teaching</w:t>
      </w:r>
      <w:r w:rsidR="001A555D">
        <w:t xml:space="preserve">, put the squeeze on funding and gave rise to calls for greater accountability, which administrators </w:t>
      </w:r>
      <w:r w:rsidR="009457D9">
        <w:t xml:space="preserve">of colleges of advanced education </w:t>
      </w:r>
      <w:r w:rsidR="001A555D">
        <w:t>felt further constrain</w:t>
      </w:r>
      <w:r w:rsidR="00A04EF7">
        <w:t xml:space="preserve">ed </w:t>
      </w:r>
      <w:r w:rsidR="001A555D">
        <w:t>t</w:t>
      </w:r>
      <w:r w:rsidR="00A04EF7">
        <w:t>hem</w:t>
      </w:r>
      <w:r w:rsidR="004A4FE5">
        <w:t xml:space="preserve">, </w:t>
      </w:r>
      <w:r w:rsidR="004A4FE5" w:rsidRPr="00403963">
        <w:rPr>
          <w:szCs w:val="19"/>
        </w:rPr>
        <w:t>as Lindsay Barker</w:t>
      </w:r>
      <w:r w:rsidR="004A4FE5">
        <w:t xml:space="preserve">, </w:t>
      </w:r>
      <w:r w:rsidR="004A4FE5" w:rsidRPr="004A4FE5">
        <w:rPr>
          <w:szCs w:val="19"/>
        </w:rPr>
        <w:t>Director of Darling Downs Institute of Advanced Education noted</w:t>
      </w:r>
      <w:r w:rsidR="00A86EBA" w:rsidRPr="004A4FE5">
        <w:rPr>
          <w:szCs w:val="19"/>
        </w:rPr>
        <w:t>:</w:t>
      </w:r>
    </w:p>
    <w:p w:rsidR="00745F48" w:rsidRDefault="00745F48" w:rsidP="0087331A">
      <w:pPr>
        <w:pStyle w:val="Quote"/>
      </w:pPr>
      <w:r>
        <w:t>the result</w:t>
      </w:r>
      <w:r w:rsidR="001B2A8A">
        <w:t xml:space="preserve"> </w:t>
      </w:r>
      <w:r>
        <w:t xml:space="preserve">now </w:t>
      </w:r>
      <w:r w:rsidR="001B2A8A">
        <w:t xml:space="preserve">[in 1981] </w:t>
      </w:r>
      <w:r>
        <w:t>is that Australian post-secondary education is enmeshed in a web of bureaucratic control and political expediency from which it will emerge mangled and drained, unless there is</w:t>
      </w:r>
      <w:r w:rsidR="006B3261">
        <w:t xml:space="preserve"> a</w:t>
      </w:r>
      <w:r>
        <w:t xml:space="preserve"> resur</w:t>
      </w:r>
      <w:r w:rsidR="001B2A8A">
        <w:t>g</w:t>
      </w:r>
      <w:r w:rsidR="004A4FE5">
        <w:t>ence of institutional vitality.</w:t>
      </w:r>
      <w:r w:rsidR="00FE634F">
        <w:tab/>
      </w:r>
      <w:r w:rsidR="004A4FE5">
        <w:t>(</w:t>
      </w:r>
      <w:r w:rsidR="007071A0">
        <w:t xml:space="preserve">Cited </w:t>
      </w:r>
      <w:r w:rsidR="004A4FE5">
        <w:t>in Hore &amp; Chippendale 1981,</w:t>
      </w:r>
      <w:r w:rsidR="001B2A8A">
        <w:t xml:space="preserve"> p.</w:t>
      </w:r>
      <w:r>
        <w:t>204)</w:t>
      </w:r>
    </w:p>
    <w:p w:rsidR="00A13E6E" w:rsidRDefault="004A4FE5" w:rsidP="008E7F71">
      <w:pPr>
        <w:pStyle w:val="Text"/>
      </w:pPr>
      <w:r>
        <w:t>The Williams C</w:t>
      </w:r>
      <w:r w:rsidR="00DD6469">
        <w:t>ommittee (</w:t>
      </w:r>
      <w:r>
        <w:t xml:space="preserve">Committee of Inquiry into Education and Training </w:t>
      </w:r>
      <w:r w:rsidR="001A555D">
        <w:t xml:space="preserve">1979, </w:t>
      </w:r>
      <w:r w:rsidR="00DD6469">
        <w:t>p.269</w:t>
      </w:r>
      <w:r w:rsidR="0087331A" w:rsidRPr="0087331A">
        <w:t>) had foreshadowed th</w:t>
      </w:r>
      <w:r w:rsidR="001B2A8A">
        <w:t xml:space="preserve">is problem, recommending </w:t>
      </w:r>
      <w:r w:rsidR="00DD6469">
        <w:t>th</w:t>
      </w:r>
      <w:r w:rsidR="0087331A" w:rsidRPr="0087331A">
        <w:t>at</w:t>
      </w:r>
      <w:r>
        <w:t>,</w:t>
      </w:r>
      <w:r w:rsidR="0087331A" w:rsidRPr="0087331A">
        <w:t xml:space="preserve"> while all colleges of</w:t>
      </w:r>
      <w:r>
        <w:t xml:space="preserve"> advanced education still be co</w:t>
      </w:r>
      <w:r w:rsidR="0087331A" w:rsidRPr="0087331A">
        <w:t>ordinated at</w:t>
      </w:r>
      <w:r w:rsidR="0087331A">
        <w:t xml:space="preserve"> </w:t>
      </w:r>
      <w:r w:rsidR="005613B8">
        <w:t>s</w:t>
      </w:r>
      <w:r w:rsidR="0087331A" w:rsidRPr="0087331A">
        <w:t xml:space="preserve">tate level, </w:t>
      </w:r>
      <w:r w:rsidR="00AB306D">
        <w:t>‘</w:t>
      </w:r>
      <w:r w:rsidR="0087331A" w:rsidRPr="0087331A">
        <w:t>the State authorities acknowledge the administrative strength and maturity of individual institutions within their systems and allow them a greater degree of acade</w:t>
      </w:r>
      <w:r>
        <w:t>mic and administrative freedom</w:t>
      </w:r>
      <w:r w:rsidR="00AB306D">
        <w:t>’</w:t>
      </w:r>
      <w:r>
        <w:t xml:space="preserve"> —</w:t>
      </w:r>
      <w:r w:rsidR="0087331A" w:rsidRPr="0087331A">
        <w:t xml:space="preserve"> shades of today</w:t>
      </w:r>
      <w:r w:rsidR="00AB306D">
        <w:t>’</w:t>
      </w:r>
      <w:r w:rsidR="0087331A" w:rsidRPr="0087331A">
        <w:t xml:space="preserve">s notion of </w:t>
      </w:r>
      <w:r w:rsidR="00AB306D">
        <w:t>‘</w:t>
      </w:r>
      <w:r w:rsidR="0087331A" w:rsidRPr="0087331A">
        <w:t>earned autonomy</w:t>
      </w:r>
      <w:r w:rsidR="00AB306D">
        <w:t>’</w:t>
      </w:r>
      <w:r>
        <w:t>.</w:t>
      </w:r>
      <w:r w:rsidR="00DD6469">
        <w:rPr>
          <w:rStyle w:val="FootnoteReference"/>
        </w:rPr>
        <w:footnoteReference w:id="8"/>
      </w:r>
      <w:r w:rsidR="00DD6469">
        <w:t xml:space="preserve"> </w:t>
      </w:r>
    </w:p>
    <w:p w:rsidR="001C63A0" w:rsidRPr="001C63A0" w:rsidRDefault="00403963" w:rsidP="008E7F71">
      <w:pPr>
        <w:pStyle w:val="Text"/>
        <w:ind w:right="-143"/>
      </w:pPr>
      <w:r>
        <w:t>The Williams</w:t>
      </w:r>
      <w:r w:rsidR="004A4FE5">
        <w:t xml:space="preserve"> </w:t>
      </w:r>
      <w:r w:rsidR="00345FEC">
        <w:t xml:space="preserve">Committee </w:t>
      </w:r>
      <w:r w:rsidR="0042322E">
        <w:t>(1979, p.260</w:t>
      </w:r>
      <w:r w:rsidR="00271978">
        <w:t xml:space="preserve">) </w:t>
      </w:r>
      <w:r w:rsidR="0042322E">
        <w:t xml:space="preserve">also </w:t>
      </w:r>
      <w:r w:rsidR="00321CA3">
        <w:t xml:space="preserve">commented on </w:t>
      </w:r>
      <w:r w:rsidR="00271978">
        <w:t>one of the</w:t>
      </w:r>
      <w:r w:rsidR="00321CA3">
        <w:t xml:space="preserve"> task</w:t>
      </w:r>
      <w:r w:rsidR="00271978">
        <w:t>s of</w:t>
      </w:r>
      <w:r w:rsidR="00321CA3">
        <w:t xml:space="preserve"> </w:t>
      </w:r>
      <w:r w:rsidR="0042322E">
        <w:t>the new body</w:t>
      </w:r>
      <w:r w:rsidR="00271978">
        <w:t>,</w:t>
      </w:r>
      <w:r w:rsidR="0042322E">
        <w:t xml:space="preserve"> </w:t>
      </w:r>
      <w:r w:rsidR="00286E69">
        <w:t xml:space="preserve">the Commonwealth </w:t>
      </w:r>
      <w:r w:rsidR="00286E69" w:rsidRPr="0042322E">
        <w:t>Tertiary Education Commission</w:t>
      </w:r>
      <w:r w:rsidR="00286E69">
        <w:t xml:space="preserve"> (</w:t>
      </w:r>
      <w:r w:rsidR="004A4FE5">
        <w:t>CTEC</w:t>
      </w:r>
      <w:r w:rsidR="00271978">
        <w:t>)</w:t>
      </w:r>
      <w:r w:rsidR="003C0CB4">
        <w:t>,</w:t>
      </w:r>
      <w:r w:rsidR="00271978">
        <w:rPr>
          <w:rStyle w:val="FootnoteReference"/>
        </w:rPr>
        <w:footnoteReference w:id="9"/>
      </w:r>
      <w:r w:rsidR="00386AAB">
        <w:t xml:space="preserve"> </w:t>
      </w:r>
      <w:r w:rsidR="00271978">
        <w:t>that of</w:t>
      </w:r>
      <w:r w:rsidR="0042322E">
        <w:t xml:space="preserve"> </w:t>
      </w:r>
      <w:r w:rsidR="00271978">
        <w:t>maintaining</w:t>
      </w:r>
      <w:r w:rsidR="0042322E">
        <w:t xml:space="preserve"> </w:t>
      </w:r>
      <w:r w:rsidR="00271978">
        <w:t>close</w:t>
      </w:r>
      <w:r w:rsidR="0042322E" w:rsidRPr="0042322E">
        <w:t xml:space="preserve"> control o</w:t>
      </w:r>
      <w:r w:rsidR="00271978">
        <w:t>ver</w:t>
      </w:r>
      <w:r w:rsidR="0042322E" w:rsidRPr="0042322E">
        <w:t xml:space="preserve"> the balance</w:t>
      </w:r>
      <w:r w:rsidR="0042322E">
        <w:t xml:space="preserve"> </w:t>
      </w:r>
      <w:r w:rsidR="0042322E" w:rsidRPr="0042322E">
        <w:t>between degree, diploma and associate diploma enrolments</w:t>
      </w:r>
      <w:r w:rsidR="0042322E">
        <w:t xml:space="preserve"> and avoid</w:t>
      </w:r>
      <w:r w:rsidR="003C0CB4">
        <w:t>ing</w:t>
      </w:r>
      <w:r w:rsidR="0042322E">
        <w:t xml:space="preserve"> a</w:t>
      </w:r>
      <w:r w:rsidR="0042322E" w:rsidRPr="0042322E">
        <w:t>cademic</w:t>
      </w:r>
      <w:r w:rsidR="0042322E">
        <w:t xml:space="preserve"> drift in the</w:t>
      </w:r>
      <w:r w:rsidR="008E7F71">
        <w:t> </w:t>
      </w:r>
      <w:r w:rsidR="0042322E">
        <w:t xml:space="preserve">colleges. </w:t>
      </w:r>
      <w:r w:rsidR="00C13E29">
        <w:t>John Dawkins abolished t</w:t>
      </w:r>
      <w:r w:rsidR="0042322E" w:rsidRPr="0042322E">
        <w:t xml:space="preserve">he Tertiary Education Commission </w:t>
      </w:r>
      <w:r w:rsidR="00C13E29">
        <w:t>i</w:t>
      </w:r>
      <w:r w:rsidR="00C13E29" w:rsidRPr="00C13E29">
        <w:t>n 1987</w:t>
      </w:r>
      <w:r w:rsidR="00C13E29">
        <w:t xml:space="preserve">, thereby gaining </w:t>
      </w:r>
      <w:r w:rsidR="00C13E29" w:rsidRPr="00C13E29">
        <w:t xml:space="preserve">direct </w:t>
      </w:r>
      <w:r w:rsidR="00C13E29">
        <w:t xml:space="preserve">policy </w:t>
      </w:r>
      <w:r w:rsidR="003C0CB4">
        <w:t xml:space="preserve">control </w:t>
      </w:r>
      <w:r w:rsidR="00C13E29">
        <w:t>over the sector and heralding the dismantling</w:t>
      </w:r>
      <w:r w:rsidR="003C0CB4">
        <w:t xml:space="preserve"> of the binary system (Croucher et al.</w:t>
      </w:r>
      <w:r w:rsidR="00C13E29">
        <w:t xml:space="preserve"> 2013, p.1)</w:t>
      </w:r>
      <w:r w:rsidR="00C13E29" w:rsidRPr="00C13E29">
        <w:t>.</w:t>
      </w:r>
      <w:r w:rsidR="0042322E">
        <w:t xml:space="preserve"> </w:t>
      </w:r>
      <w:r w:rsidR="001C63A0">
        <w:t xml:space="preserve">Today, senior university administrators </w:t>
      </w:r>
      <w:r w:rsidR="00286E69">
        <w:t>see</w:t>
      </w:r>
      <w:r w:rsidR="001C63A0">
        <w:t xml:space="preserve"> </w:t>
      </w:r>
      <w:r w:rsidR="003C0CB4">
        <w:t xml:space="preserve">the Commonwealth </w:t>
      </w:r>
      <w:r w:rsidR="003C0CB4" w:rsidRPr="0042322E">
        <w:t>Tertiary Education Commission</w:t>
      </w:r>
      <w:r w:rsidR="0023575E">
        <w:t>, a</w:t>
      </w:r>
      <w:r w:rsidR="008E7F71">
        <w:t> </w:t>
      </w:r>
      <w:r w:rsidR="0023575E">
        <w:t>statutory body which reported d</w:t>
      </w:r>
      <w:r w:rsidR="003C0CB4">
        <w:t>irectly to parliament (</w:t>
      </w:r>
      <w:r w:rsidR="00FE634F">
        <w:t>McIntyre</w:t>
      </w:r>
      <w:r w:rsidR="003C0CB4">
        <w:t xml:space="preserve"> et al. in Croucher et al.</w:t>
      </w:r>
      <w:r w:rsidR="0023575E">
        <w:t xml:space="preserve"> 2013, p.18)</w:t>
      </w:r>
      <w:r w:rsidR="001C63A0">
        <w:t xml:space="preserve"> as</w:t>
      </w:r>
      <w:r w:rsidR="008E7F71">
        <w:t> </w:t>
      </w:r>
      <w:r w:rsidR="001C63A0">
        <w:t>a model worth revisiting.</w:t>
      </w:r>
      <w:r w:rsidR="00C13E29" w:rsidRPr="00C13E29">
        <w:t xml:space="preserve"> </w:t>
      </w:r>
      <w:r w:rsidR="001C63A0">
        <w:t>Marginson</w:t>
      </w:r>
      <w:r w:rsidR="00321CA3">
        <w:t xml:space="preserve"> (2012)</w:t>
      </w:r>
      <w:r w:rsidR="001C63A0">
        <w:t>, for example, suggested that</w:t>
      </w:r>
      <w:r w:rsidR="00386AAB">
        <w:t xml:space="preserve"> </w:t>
      </w:r>
      <w:r w:rsidR="00A406CC">
        <w:t xml:space="preserve">the </w:t>
      </w:r>
      <w:r w:rsidR="0023575E">
        <w:t>C</w:t>
      </w:r>
      <w:r w:rsidR="00A406CC">
        <w:t xml:space="preserve">ommonwealth </w:t>
      </w:r>
      <w:r w:rsidR="0023575E">
        <w:t>T</w:t>
      </w:r>
      <w:r w:rsidR="00A406CC">
        <w:t xml:space="preserve">ertiary </w:t>
      </w:r>
      <w:r w:rsidR="0023575E">
        <w:t>E</w:t>
      </w:r>
      <w:r w:rsidR="00A406CC">
        <w:t xml:space="preserve">ducation </w:t>
      </w:r>
      <w:r w:rsidR="0023575E">
        <w:t>C</w:t>
      </w:r>
      <w:r w:rsidR="00A406CC">
        <w:t>ommission</w:t>
      </w:r>
      <w:r w:rsidR="0023575E">
        <w:t xml:space="preserve"> was able to build up</w:t>
      </w:r>
      <w:r w:rsidR="001C63A0" w:rsidRPr="001C63A0">
        <w:t xml:space="preserve"> strong exp</w:t>
      </w:r>
      <w:r w:rsidR="00321CA3">
        <w:t xml:space="preserve">ertise, </w:t>
      </w:r>
      <w:r w:rsidR="001C63A0" w:rsidRPr="001C63A0">
        <w:t>encourage public di</w:t>
      </w:r>
      <w:r w:rsidR="00321CA3">
        <w:t>scussion and t</w:t>
      </w:r>
      <w:r w:rsidR="0023575E">
        <w:t>ake</w:t>
      </w:r>
      <w:r w:rsidR="00321CA3">
        <w:t xml:space="preserve"> the </w:t>
      </w:r>
      <w:r w:rsidR="001C63A0">
        <w:t>long view. Moreover</w:t>
      </w:r>
      <w:r w:rsidR="0023575E">
        <w:t>,</w:t>
      </w:r>
      <w:r w:rsidR="001C63A0">
        <w:t xml:space="preserve"> it did try to tackle the big issue of unifying policy on higher and vocational education. Its downfall, he </w:t>
      </w:r>
      <w:r w:rsidR="003C0CB4">
        <w:t>claimed</w:t>
      </w:r>
      <w:r w:rsidR="001C63A0">
        <w:t>, was to get too close to the sector it was meant to regulate</w:t>
      </w:r>
      <w:r w:rsidR="0023575E">
        <w:t xml:space="preserve"> </w:t>
      </w:r>
      <w:r w:rsidR="003F2755">
        <w:t>―</w:t>
      </w:r>
      <w:r w:rsidR="0023575E">
        <w:t xml:space="preserve"> evidenced in 1987 when t</w:t>
      </w:r>
      <w:r w:rsidR="003C0CB4">
        <w:t>he Australian Vice-Chancellors C</w:t>
      </w:r>
      <w:r w:rsidR="0023575E">
        <w:t xml:space="preserve">ommittee </w:t>
      </w:r>
      <w:r w:rsidR="003C0CB4">
        <w:t>argued for</w:t>
      </w:r>
      <w:r w:rsidR="0023575E">
        <w:t xml:space="preserve"> its retention</w:t>
      </w:r>
      <w:r w:rsidR="00386AAB">
        <w:t>.</w:t>
      </w:r>
    </w:p>
    <w:p w:rsidR="00845EC3" w:rsidRDefault="00845EC3" w:rsidP="00845EC3">
      <w:pPr>
        <w:pStyle w:val="Heading2"/>
      </w:pPr>
      <w:bookmarkStart w:id="45" w:name="_Toc393293032"/>
      <w:r w:rsidRPr="00760B58">
        <w:t xml:space="preserve">The influence of </w:t>
      </w:r>
      <w:r>
        <w:t>employers</w:t>
      </w:r>
      <w:bookmarkEnd w:id="45"/>
    </w:p>
    <w:p w:rsidR="00845EC3" w:rsidRDefault="00845EC3" w:rsidP="008E7F71">
      <w:pPr>
        <w:pStyle w:val="Text"/>
      </w:pPr>
      <w:r>
        <w:t xml:space="preserve">As well as contending with government regulation, higher education providers, both universities and the colleges, had to take </w:t>
      </w:r>
      <w:r w:rsidR="00321CA3">
        <w:t xml:space="preserve">into </w:t>
      </w:r>
      <w:r>
        <w:t xml:space="preserve">account the views of employers. These were not always welcome. </w:t>
      </w:r>
      <w:r>
        <w:lastRenderedPageBreak/>
        <w:t xml:space="preserve">Houston and Harman (1978) found that academics in both university and </w:t>
      </w:r>
      <w:r w:rsidR="009457D9">
        <w:t>college of advanced education</w:t>
      </w:r>
      <w:r>
        <w:t xml:space="preserve"> engineering schools viewed the influence of the Institution</w:t>
      </w:r>
      <w:r w:rsidR="00694516">
        <w:t xml:space="preserve"> </w:t>
      </w:r>
      <w:r>
        <w:t xml:space="preserve">of Engineers on the curriculum </w:t>
      </w:r>
      <w:r w:rsidR="00386AAB">
        <w:t xml:space="preserve">as </w:t>
      </w:r>
      <w:r>
        <w:t xml:space="preserve">undesirable and a restriction </w:t>
      </w:r>
      <w:r w:rsidR="003C0CB4">
        <w:t>to</w:t>
      </w:r>
      <w:r>
        <w:t xml:space="preserve"> their autonomy, noting for example that the decision by the profession to </w:t>
      </w:r>
      <w:r w:rsidR="00A04EF7">
        <w:t xml:space="preserve">accept </w:t>
      </w:r>
      <w:r>
        <w:t xml:space="preserve">only students who had done an approved four-year course had significant implications for education budgets. </w:t>
      </w:r>
      <w:r w:rsidR="00042BA2">
        <w:t xml:space="preserve">This resulted in what has become an enduring debate about </w:t>
      </w:r>
      <w:r w:rsidR="003C3CF0">
        <w:t>credential</w:t>
      </w:r>
      <w:r w:rsidR="003C0CB4">
        <w:t>i</w:t>
      </w:r>
      <w:r w:rsidR="003C3CF0">
        <w:t>sm</w:t>
      </w:r>
      <w:r w:rsidR="00042BA2">
        <w:t xml:space="preserve">. The Williams </w:t>
      </w:r>
      <w:r w:rsidR="007071A0">
        <w:t xml:space="preserve">Report </w:t>
      </w:r>
      <w:r w:rsidR="00042BA2">
        <w:t xml:space="preserve">devoted a chapter to the issue, </w:t>
      </w:r>
      <w:r w:rsidR="00D27368">
        <w:t xml:space="preserve">which had been </w:t>
      </w:r>
      <w:r w:rsidR="00042BA2">
        <w:t xml:space="preserve">raised </w:t>
      </w:r>
      <w:r w:rsidR="003E7A5D">
        <w:t xml:space="preserve">in </w:t>
      </w:r>
      <w:r w:rsidR="003E7A5D" w:rsidRPr="00EC62D4">
        <w:t>a 1976 r</w:t>
      </w:r>
      <w:r w:rsidR="00042BA2" w:rsidRPr="00EC62D4">
        <w:t xml:space="preserve">eview </w:t>
      </w:r>
      <w:r w:rsidR="003E7A5D" w:rsidRPr="00EC62D4">
        <w:t>by the Organisation for Economic Co-operation and Development (OECD</w:t>
      </w:r>
      <w:r w:rsidR="00563E6E" w:rsidRPr="00EC62D4">
        <w:t>; Committee of Inquiry into Education and Training 1979, p.464</w:t>
      </w:r>
      <w:r w:rsidR="003E7A5D" w:rsidRPr="00EC62D4">
        <w:t xml:space="preserve">) </w:t>
      </w:r>
      <w:r w:rsidR="00042BA2" w:rsidRPr="00EC62D4">
        <w:t xml:space="preserve">of </w:t>
      </w:r>
      <w:r w:rsidR="003E7A5D" w:rsidRPr="00EC62D4">
        <w:t xml:space="preserve">educational policy in </w:t>
      </w:r>
      <w:r w:rsidR="00042BA2" w:rsidRPr="00EC62D4">
        <w:t>Australia. Credentialism</w:t>
      </w:r>
      <w:r w:rsidR="00042BA2" w:rsidRPr="003C3CF0">
        <w:t xml:space="preserve"> was defined as </w:t>
      </w:r>
      <w:r w:rsidR="00AB306D">
        <w:t>‘</w:t>
      </w:r>
      <w:r w:rsidR="00042BA2" w:rsidRPr="003C3CF0">
        <w:t>the raising of educational qualifications required by employers for particular jobs even though the content has changed little</w:t>
      </w:r>
      <w:r w:rsidR="00AB306D">
        <w:t>’</w:t>
      </w:r>
      <w:r w:rsidR="00042BA2" w:rsidRPr="003C3CF0">
        <w:t xml:space="preserve">. </w:t>
      </w:r>
      <w:r w:rsidR="001C5A94" w:rsidRPr="003C3CF0">
        <w:t xml:space="preserve">In 1979 </w:t>
      </w:r>
      <w:r w:rsidR="003C3CF0" w:rsidRPr="003C3CF0">
        <w:t>Wi</w:t>
      </w:r>
      <w:r w:rsidR="001C5A94" w:rsidRPr="003C3CF0">
        <w:t xml:space="preserve">lliams doubted that </w:t>
      </w:r>
      <w:r w:rsidR="00042BA2" w:rsidRPr="003C3CF0">
        <w:t>the pressure to obtain certain</w:t>
      </w:r>
      <w:r w:rsidR="001C5A94" w:rsidRPr="003C3CF0">
        <w:t xml:space="preserve"> </w:t>
      </w:r>
      <w:r w:rsidR="00042BA2" w:rsidRPr="003C3CF0">
        <w:t xml:space="preserve">kinds of credentials </w:t>
      </w:r>
      <w:r w:rsidR="001C5A94" w:rsidRPr="003C3CF0">
        <w:t xml:space="preserve">was </w:t>
      </w:r>
      <w:r w:rsidR="00042BA2" w:rsidRPr="003C3CF0">
        <w:t>result</w:t>
      </w:r>
      <w:r w:rsidR="001C5A94" w:rsidRPr="003C3CF0">
        <w:t xml:space="preserve">ing </w:t>
      </w:r>
      <w:r w:rsidR="00042BA2" w:rsidRPr="003C3CF0">
        <w:t>in a shortage of suitable applicants for</w:t>
      </w:r>
      <w:r w:rsidR="001C5A94" w:rsidRPr="003C3CF0">
        <w:t xml:space="preserve"> </w:t>
      </w:r>
      <w:r w:rsidR="00042BA2" w:rsidRPr="003C3CF0">
        <w:t>alt</w:t>
      </w:r>
      <w:r w:rsidR="00D27368">
        <w:t xml:space="preserve">ernative types of education and </w:t>
      </w:r>
      <w:r w:rsidR="00042BA2" w:rsidRPr="003C3CF0">
        <w:t>training such as apprenticeships</w:t>
      </w:r>
      <w:r w:rsidR="001C5A94" w:rsidRPr="003C3CF0">
        <w:t xml:space="preserve"> </w:t>
      </w:r>
      <w:r w:rsidR="003C3CF0">
        <w:t>(</w:t>
      </w:r>
      <w:r w:rsidR="003E7A5D">
        <w:t>Committee of Inquiry into Education and Training</w:t>
      </w:r>
      <w:r w:rsidR="003C3CF0">
        <w:t xml:space="preserve"> 1979, </w:t>
      </w:r>
      <w:r w:rsidR="003E7A5D">
        <w:t xml:space="preserve">p.464). </w:t>
      </w:r>
      <w:r w:rsidR="003C3CF0" w:rsidRPr="003C3CF0">
        <w:t>However, i</w:t>
      </w:r>
      <w:r w:rsidR="001C5A94" w:rsidRPr="003C3CF0">
        <w:t>n 201</w:t>
      </w:r>
      <w:r w:rsidR="00D27368">
        <w:t>4</w:t>
      </w:r>
      <w:r w:rsidR="001C5A94" w:rsidRPr="003C3CF0">
        <w:t xml:space="preserve">, </w:t>
      </w:r>
      <w:r w:rsidR="00D27368">
        <w:t xml:space="preserve">according to </w:t>
      </w:r>
      <w:r w:rsidR="001C5A94" w:rsidRPr="00D27368">
        <w:rPr>
          <w:i/>
        </w:rPr>
        <w:t>The Australian</w:t>
      </w:r>
      <w:r w:rsidR="001C5A94" w:rsidRPr="003C3CF0">
        <w:t xml:space="preserve"> newspaper</w:t>
      </w:r>
      <w:r w:rsidR="00D27368">
        <w:t xml:space="preserve">, the </w:t>
      </w:r>
      <w:r w:rsidR="001C5A94" w:rsidRPr="003C3CF0">
        <w:t xml:space="preserve">Commonwealth Employment Department </w:t>
      </w:r>
      <w:r w:rsidR="00D27368">
        <w:t xml:space="preserve">was </w:t>
      </w:r>
      <w:r w:rsidR="00AD2D6D">
        <w:t>worri</w:t>
      </w:r>
      <w:r w:rsidR="00D27368">
        <w:t xml:space="preserve">ed </w:t>
      </w:r>
      <w:r w:rsidR="001C5A94" w:rsidRPr="003C3CF0">
        <w:t>about university expansion</w:t>
      </w:r>
      <w:r w:rsidR="00D27368">
        <w:t xml:space="preserve"> because</w:t>
      </w:r>
      <w:r w:rsidR="001C5A94" w:rsidRPr="003C3CF0">
        <w:t xml:space="preserve"> </w:t>
      </w:r>
      <w:r w:rsidR="00AB306D">
        <w:t>‘</w:t>
      </w:r>
      <w:r w:rsidR="001C5A94" w:rsidRPr="003C3CF0">
        <w:t xml:space="preserve">domestic training numbers for technicians and trades workers </w:t>
      </w:r>
      <w:r w:rsidR="008E7F71">
        <w:t>…</w:t>
      </w:r>
      <w:r w:rsidR="001C5A94" w:rsidRPr="003C3CF0">
        <w:t xml:space="preserve"> have stagnated over the last two years </w:t>
      </w:r>
      <w:r w:rsidR="003C3CF0" w:rsidRPr="003C3CF0">
        <w:t>[</w:t>
      </w:r>
      <w:r w:rsidR="001C5A94" w:rsidRPr="003C3CF0">
        <w:t>despite the fact that</w:t>
      </w:r>
      <w:r w:rsidR="003C3CF0" w:rsidRPr="003C3CF0">
        <w:t>]</w:t>
      </w:r>
      <w:r w:rsidR="001C5A94" w:rsidRPr="003C3CF0">
        <w:t xml:space="preserve"> persiste</w:t>
      </w:r>
      <w:r w:rsidR="003C3CF0" w:rsidRPr="003C3CF0">
        <w:t>nt shortages are more apparent [among]</w:t>
      </w:r>
      <w:r w:rsidR="001C5A94" w:rsidRPr="003C3CF0">
        <w:t xml:space="preserve"> technicians a</w:t>
      </w:r>
      <w:r w:rsidR="003C3CF0" w:rsidRPr="003C3CF0">
        <w:t>nd trades than for professions</w:t>
      </w:r>
      <w:r w:rsidR="00AB306D">
        <w:t>’</w:t>
      </w:r>
      <w:r w:rsidR="003E7A5D">
        <w:t xml:space="preserve"> (Lane</w:t>
      </w:r>
      <w:r w:rsidR="00D27368">
        <w:t xml:space="preserve"> 2014a)</w:t>
      </w:r>
      <w:r w:rsidR="003E7A5D">
        <w:t xml:space="preserve">. </w:t>
      </w:r>
      <w:r w:rsidR="003C3CF0" w:rsidRPr="003C3CF0">
        <w:t xml:space="preserve">In response, the sociologist Frank Furedi urged a greater </w:t>
      </w:r>
      <w:r w:rsidR="00AB306D">
        <w:t>‘</w:t>
      </w:r>
      <w:r w:rsidR="003C3CF0" w:rsidRPr="003C3CF0">
        <w:t>cultural valuation for technical training and education</w:t>
      </w:r>
      <w:r w:rsidR="00AB306D">
        <w:t>’</w:t>
      </w:r>
      <w:r w:rsidR="003C3CF0" w:rsidRPr="003C3CF0">
        <w:t xml:space="preserve"> rather than the provision of more university places</w:t>
      </w:r>
      <w:r w:rsidR="003E7A5D">
        <w:t xml:space="preserve"> (</w:t>
      </w:r>
      <w:r w:rsidR="007071A0">
        <w:t xml:space="preserve">Cited in </w:t>
      </w:r>
      <w:r w:rsidR="003E7A5D">
        <w:t>Lane</w:t>
      </w:r>
      <w:r w:rsidR="00D27368">
        <w:t xml:space="preserve"> 2014b)</w:t>
      </w:r>
      <w:r w:rsidR="003C3CF0" w:rsidRPr="003C3CF0">
        <w:t xml:space="preserve">. </w:t>
      </w:r>
      <w:r w:rsidR="003165B4">
        <w:t>As well as depending on employers willing to take on apprentices, this would need a major shift</w:t>
      </w:r>
      <w:r w:rsidR="00386AAB">
        <w:t xml:space="preserve"> in how secondary students are channelled into post-school pathways: </w:t>
      </w:r>
      <w:r w:rsidR="003165B4">
        <w:t>today</w:t>
      </w:r>
      <w:r w:rsidR="00AB306D">
        <w:t>’</w:t>
      </w:r>
      <w:r w:rsidR="00386AAB">
        <w:t>s</w:t>
      </w:r>
      <w:r w:rsidR="003165B4">
        <w:t xml:space="preserve"> candidates for the trades and universities come from different pools of people. </w:t>
      </w:r>
    </w:p>
    <w:p w:rsidR="00042BA2" w:rsidRDefault="003E7A5D" w:rsidP="008E7F71">
      <w:pPr>
        <w:pStyle w:val="Text"/>
      </w:pPr>
      <w:r>
        <w:t>The Martin C</w:t>
      </w:r>
      <w:r w:rsidR="00845EC3">
        <w:t xml:space="preserve">ommittee was </w:t>
      </w:r>
      <w:r w:rsidR="003C3CF0">
        <w:t xml:space="preserve">trying to </w:t>
      </w:r>
      <w:r w:rsidR="00D27368">
        <w:t>encourage esteem</w:t>
      </w:r>
      <w:r w:rsidR="003165B4">
        <w:t xml:space="preserve"> for </w:t>
      </w:r>
      <w:r w:rsidR="00AB306D">
        <w:t>‘</w:t>
      </w:r>
      <w:r w:rsidR="003165B4">
        <w:t>technological</w:t>
      </w:r>
      <w:r w:rsidR="00AB306D">
        <w:t>’</w:t>
      </w:r>
      <w:r w:rsidR="003165B4">
        <w:t xml:space="preserve"> education</w:t>
      </w:r>
      <w:r w:rsidR="003C3CF0">
        <w:t xml:space="preserve">, and in so doing took </w:t>
      </w:r>
      <w:r w:rsidR="00845EC3">
        <w:t xml:space="preserve">account </w:t>
      </w:r>
      <w:r w:rsidR="003C3CF0">
        <w:t xml:space="preserve">of </w:t>
      </w:r>
      <w:r w:rsidR="00845EC3">
        <w:t>the needs of employers. It drew heavily on the e</w:t>
      </w:r>
      <w:r w:rsidR="00386AAB">
        <w:t>ngineering profession to help</w:t>
      </w:r>
      <w:r w:rsidR="00845EC3">
        <w:t xml:space="preserve"> reach its </w:t>
      </w:r>
      <w:r w:rsidR="00AB306D">
        <w:t>‘</w:t>
      </w:r>
      <w:r w:rsidR="00845EC3" w:rsidRPr="00863DF6">
        <w:t>conclusions about the educational</w:t>
      </w:r>
      <w:r w:rsidR="00845EC3">
        <w:t xml:space="preserve"> </w:t>
      </w:r>
      <w:r w:rsidR="00845EC3" w:rsidRPr="00863DF6">
        <w:t>structure necessary for the proper technological development of the country</w:t>
      </w:r>
      <w:r w:rsidR="00AB306D">
        <w:t>’</w:t>
      </w:r>
      <w:r w:rsidR="00845EC3">
        <w:t xml:space="preserve"> (</w:t>
      </w:r>
      <w:r w:rsidR="00EF7EB2" w:rsidRPr="003E7A5D">
        <w:rPr>
          <w:szCs w:val="19"/>
        </w:rPr>
        <w:t xml:space="preserve">Committee on the Future of Tertiary Education in Australia </w:t>
      </w:r>
      <w:r>
        <w:t>1964</w:t>
      </w:r>
      <w:r w:rsidR="00204F8D">
        <w:t>—65</w:t>
      </w:r>
      <w:r>
        <w:t>, vol.1, p.</w:t>
      </w:r>
      <w:r w:rsidR="00845EC3">
        <w:t xml:space="preserve">129). </w:t>
      </w:r>
      <w:r w:rsidR="00AD2D6D">
        <w:t>Subsequently, t</w:t>
      </w:r>
      <w:r w:rsidR="00042BA2" w:rsidRPr="00042BA2">
        <w:t xml:space="preserve">he </w:t>
      </w:r>
      <w:r w:rsidR="00345FEC">
        <w:t>Commonwealth Advisory Committee on Advanced Education</w:t>
      </w:r>
      <w:r w:rsidR="00042BA2">
        <w:t xml:space="preserve"> </w:t>
      </w:r>
      <w:r w:rsidR="00AD2D6D">
        <w:t xml:space="preserve">consistently </w:t>
      </w:r>
      <w:r w:rsidR="00042BA2">
        <w:t>emphasise</w:t>
      </w:r>
      <w:r w:rsidR="00AD2D6D">
        <w:t>d</w:t>
      </w:r>
      <w:r w:rsidR="00042BA2">
        <w:t xml:space="preserve"> the need for colleges to</w:t>
      </w:r>
      <w:r w:rsidR="005F0DCE">
        <w:t xml:space="preserve"> </w:t>
      </w:r>
      <w:r w:rsidR="00AB306D">
        <w:t>‘</w:t>
      </w:r>
      <w:r w:rsidR="00042BA2" w:rsidRPr="00042BA2">
        <w:t>arrange a more direct and intimate relationship</w:t>
      </w:r>
      <w:r w:rsidR="00042BA2">
        <w:t xml:space="preserve"> </w:t>
      </w:r>
      <w:r w:rsidR="00042BA2" w:rsidRPr="00042BA2">
        <w:t>with industry an</w:t>
      </w:r>
      <w:r w:rsidR="00042BA2">
        <w:t>d other relevant organisations</w:t>
      </w:r>
      <w:r w:rsidR="00AB306D">
        <w:t>’</w:t>
      </w:r>
      <w:r w:rsidR="00042BA2">
        <w:t xml:space="preserve"> (</w:t>
      </w:r>
      <w:r w:rsidR="00345FEC">
        <w:t xml:space="preserve">Committee of Inquiry into Education and Training </w:t>
      </w:r>
      <w:r w:rsidR="00042BA2">
        <w:t xml:space="preserve">1979, p.218). </w:t>
      </w:r>
    </w:p>
    <w:p w:rsidR="00845EC3" w:rsidRDefault="00845EC3" w:rsidP="008E7F71">
      <w:pPr>
        <w:pStyle w:val="Text"/>
      </w:pPr>
      <w:r>
        <w:t xml:space="preserve">The </w:t>
      </w:r>
      <w:r w:rsidR="007071A0">
        <w:t>Martin Report</w:t>
      </w:r>
      <w:r w:rsidR="00694516">
        <w:t xml:space="preserve"> also suggested that </w:t>
      </w:r>
      <w:r w:rsidR="00042BA2">
        <w:t xml:space="preserve">the </w:t>
      </w:r>
      <w:r w:rsidR="00345FEC">
        <w:t>Institution of Engineers</w:t>
      </w:r>
      <w:r w:rsidR="00AB306D">
        <w:t>’</w:t>
      </w:r>
      <w:r w:rsidR="00FE634F">
        <w:t xml:space="preserve"> </w:t>
      </w:r>
      <w:r>
        <w:t xml:space="preserve">influence on the curriculum should </w:t>
      </w:r>
      <w:r w:rsidRPr="00190587">
        <w:t xml:space="preserve">in turn </w:t>
      </w:r>
      <w:r>
        <w:t xml:space="preserve">result </w:t>
      </w:r>
      <w:r w:rsidR="00FA34F0">
        <w:t>in the</w:t>
      </w:r>
      <w:r w:rsidR="00345FEC">
        <w:t>ir</w:t>
      </w:r>
      <w:r w:rsidR="00FA34F0">
        <w:t xml:space="preserve"> displaying a</w:t>
      </w:r>
      <w:r>
        <w:t xml:space="preserve"> sense of </w:t>
      </w:r>
      <w:r w:rsidRPr="00190587">
        <w:t xml:space="preserve">responsibility to the </w:t>
      </w:r>
      <w:r>
        <w:t xml:space="preserve">broader </w:t>
      </w:r>
      <w:r w:rsidRPr="00190587">
        <w:t>community</w:t>
      </w:r>
      <w:r>
        <w:t xml:space="preserve"> (</w:t>
      </w:r>
      <w:r w:rsidR="00FA34F0" w:rsidRPr="00FA34F0">
        <w:rPr>
          <w:szCs w:val="19"/>
        </w:rPr>
        <w:t>Committee on the Future of Tertiary Education in Australia</w:t>
      </w:r>
      <w:r w:rsidR="00204F8D">
        <w:rPr>
          <w:szCs w:val="19"/>
        </w:rPr>
        <w:t xml:space="preserve"> 1964—65</w:t>
      </w:r>
      <w:r w:rsidR="00FA34F0">
        <w:rPr>
          <w:szCs w:val="19"/>
        </w:rPr>
        <w:t>, v</w:t>
      </w:r>
      <w:r w:rsidR="005F0DCE">
        <w:rPr>
          <w:szCs w:val="19"/>
        </w:rPr>
        <w:t>ol. 1</w:t>
      </w:r>
      <w:r w:rsidR="00FA34F0">
        <w:rPr>
          <w:szCs w:val="19"/>
        </w:rPr>
        <w:t>,</w:t>
      </w:r>
      <w:r w:rsidR="00FA34F0">
        <w:t xml:space="preserve"> p.</w:t>
      </w:r>
      <w:r>
        <w:t xml:space="preserve">132) and that the </w:t>
      </w:r>
      <w:r w:rsidR="007071A0">
        <w:t>organisation</w:t>
      </w:r>
      <w:r>
        <w:t xml:space="preserve"> should not </w:t>
      </w:r>
      <w:r w:rsidR="00FA34F0">
        <w:t>obstruct</w:t>
      </w:r>
      <w:r>
        <w:t xml:space="preserve"> experimentation in engineering courses (p.140).</w:t>
      </w:r>
    </w:p>
    <w:p w:rsidR="00845EC3" w:rsidRDefault="00845EC3" w:rsidP="008E7F71">
      <w:pPr>
        <w:pStyle w:val="Text"/>
      </w:pPr>
      <w:r>
        <w:t>Here was an instance where the autonomy of educationalists had to be balanced with employers, but in a system of quid pro quo. Houston and Harman suggested, for example, that external examiners were a</w:t>
      </w:r>
      <w:r w:rsidR="00694516">
        <w:t xml:space="preserve"> possible </w:t>
      </w:r>
      <w:r>
        <w:t xml:space="preserve">mechanism for quality control </w:t>
      </w:r>
      <w:r w:rsidR="0054737C">
        <w:t>(</w:t>
      </w:r>
      <w:r w:rsidR="00FA34F0">
        <w:t xml:space="preserve">1978, </w:t>
      </w:r>
      <w:r w:rsidR="0054737C">
        <w:t xml:space="preserve">p.65). </w:t>
      </w:r>
      <w:r w:rsidR="000E7F4C">
        <w:t xml:space="preserve">These are live issues in </w:t>
      </w:r>
      <w:r w:rsidR="008F0E4E">
        <w:t xml:space="preserve">the present </w:t>
      </w:r>
      <w:r w:rsidR="000E7F4C">
        <w:t>vocational education sector, where a</w:t>
      </w:r>
      <w:r w:rsidR="000E7F4C" w:rsidRPr="000E7F4C">
        <w:t xml:space="preserve"> lack of systemic validation and moderation </w:t>
      </w:r>
      <w:r w:rsidR="000E7F4C">
        <w:t xml:space="preserve">has reduced </w:t>
      </w:r>
      <w:r w:rsidR="000E7F4C" w:rsidRPr="000E7F4C">
        <w:t>confidence in the accuracy of assessments.</w:t>
      </w:r>
      <w:r w:rsidR="000E7F4C">
        <w:t xml:space="preserve"> Halliday Wynes and Misko</w:t>
      </w:r>
      <w:r w:rsidR="0054737C">
        <w:t xml:space="preserve"> (2013, p.34)</w:t>
      </w:r>
      <w:r w:rsidR="000E7F4C">
        <w:t xml:space="preserve"> have </w:t>
      </w:r>
      <w:r w:rsidR="0054737C">
        <w:t xml:space="preserve">recently </w:t>
      </w:r>
      <w:r w:rsidR="000E7F4C">
        <w:t xml:space="preserve">suggested that the </w:t>
      </w:r>
      <w:r w:rsidR="000E7F4C" w:rsidRPr="000E7F4C">
        <w:t>regular involvem</w:t>
      </w:r>
      <w:r w:rsidR="0054737C">
        <w:t>ent of employers in assessments</w:t>
      </w:r>
      <w:r w:rsidR="000E7F4C" w:rsidRPr="000E7F4C">
        <w:t xml:space="preserve"> </w:t>
      </w:r>
      <w:r w:rsidR="0054737C">
        <w:t xml:space="preserve">should be encouraged. </w:t>
      </w:r>
    </w:p>
    <w:p w:rsidR="008F0E4E" w:rsidRPr="00A86EBA" w:rsidRDefault="008F0E4E" w:rsidP="008E7F71">
      <w:pPr>
        <w:pStyle w:val="Text"/>
      </w:pPr>
      <w:r>
        <w:t xml:space="preserve">Returning to engineering, </w:t>
      </w:r>
      <w:r w:rsidR="00611EA2">
        <w:t xml:space="preserve">the </w:t>
      </w:r>
      <w:r w:rsidR="00E764C0">
        <w:t xml:space="preserve">oversight of qualifications remains inconsistent across tertiary education, with the </w:t>
      </w:r>
      <w:r w:rsidR="00E764C0" w:rsidRPr="00E764C0">
        <w:t xml:space="preserve">VET </w:t>
      </w:r>
      <w:r w:rsidR="00E764C0">
        <w:t>sector</w:t>
      </w:r>
      <w:r w:rsidR="00AB306D">
        <w:t>’</w:t>
      </w:r>
      <w:r w:rsidR="00E764C0">
        <w:t>s training p</w:t>
      </w:r>
      <w:r w:rsidR="00E764C0" w:rsidRPr="00E764C0">
        <w:t>ackages</w:t>
      </w:r>
      <w:r w:rsidR="00E764C0">
        <w:t xml:space="preserve"> being specified by </w:t>
      </w:r>
      <w:r w:rsidR="00611EA2" w:rsidRPr="00E764C0">
        <w:t>industry skills councils</w:t>
      </w:r>
      <w:r w:rsidR="00611EA2">
        <w:t xml:space="preserve"> </w:t>
      </w:r>
      <w:r w:rsidR="00E764C0">
        <w:t xml:space="preserve">and </w:t>
      </w:r>
      <w:r w:rsidR="00E764C0" w:rsidRPr="00E764C0">
        <w:t>hig</w:t>
      </w:r>
      <w:r w:rsidR="00E764C0">
        <w:t>her education qualifications by</w:t>
      </w:r>
      <w:r w:rsidR="00E764C0" w:rsidRPr="00E764C0">
        <w:t xml:space="preserve"> engineering faculties</w:t>
      </w:r>
      <w:r w:rsidR="00E764C0">
        <w:t>, which are influence</w:t>
      </w:r>
      <w:r w:rsidR="00694516">
        <w:t>d</w:t>
      </w:r>
      <w:r w:rsidR="00E764C0">
        <w:t xml:space="preserve"> by </w:t>
      </w:r>
      <w:r w:rsidR="00B16FEC">
        <w:t xml:space="preserve">the </w:t>
      </w:r>
      <w:r w:rsidR="00E764C0" w:rsidRPr="00E764C0">
        <w:t>accreditation requirement</w:t>
      </w:r>
      <w:r w:rsidR="00694516">
        <w:t>s</w:t>
      </w:r>
      <w:r w:rsidR="00E764C0" w:rsidRPr="00E764C0">
        <w:t xml:space="preserve"> of the professional body,</w:t>
      </w:r>
      <w:r w:rsidR="00E764C0">
        <w:t xml:space="preserve"> </w:t>
      </w:r>
      <w:r w:rsidR="00E764C0" w:rsidRPr="00E764C0">
        <w:t>Engineers Australia</w:t>
      </w:r>
      <w:r w:rsidR="00694516">
        <w:t xml:space="preserve"> (Dowling 2010, p.41)</w:t>
      </w:r>
      <w:r w:rsidR="00E764C0" w:rsidRPr="00E764C0">
        <w:t>.</w:t>
      </w:r>
      <w:r w:rsidR="00E764C0">
        <w:t xml:space="preserve"> This brings us to the issue of transfer. </w:t>
      </w:r>
    </w:p>
    <w:p w:rsidR="00A13E6E" w:rsidRDefault="00A13E6E">
      <w:pPr>
        <w:spacing w:before="0" w:line="240" w:lineRule="auto"/>
      </w:pPr>
      <w:r>
        <w:br w:type="page"/>
      </w:r>
    </w:p>
    <w:p w:rsidR="00AF0D6C" w:rsidRDefault="00AF0D6C" w:rsidP="00AF0D6C">
      <w:pPr>
        <w:pStyle w:val="Heading1"/>
      </w:pPr>
      <w:bookmarkStart w:id="46" w:name="_Toc393293033"/>
      <w:r>
        <w:lastRenderedPageBreak/>
        <w:t>Transfer</w:t>
      </w:r>
      <w:bookmarkEnd w:id="46"/>
    </w:p>
    <w:p w:rsidR="00250005" w:rsidRPr="00250005" w:rsidRDefault="00250005" w:rsidP="007F5D19">
      <w:pPr>
        <w:pStyle w:val="Text"/>
        <w:ind w:right="283"/>
      </w:pPr>
      <w:r w:rsidRPr="00250005">
        <w:t>An important premise of the binary system was that student</w:t>
      </w:r>
      <w:r>
        <w:t>s</w:t>
      </w:r>
      <w:r w:rsidRPr="00250005">
        <w:t xml:space="preserve"> would be able to move from one part to another. </w:t>
      </w:r>
    </w:p>
    <w:p w:rsidR="00C341AB" w:rsidRPr="00DD6469" w:rsidRDefault="00AF0D6C" w:rsidP="00C11BD4">
      <w:pPr>
        <w:pStyle w:val="Quote"/>
      </w:pPr>
      <w:r w:rsidRPr="00DD6469">
        <w:t>There may be some question as to whether</w:t>
      </w:r>
      <w:r w:rsidR="00611EA2">
        <w:t xml:space="preserve"> </w:t>
      </w:r>
      <w:r w:rsidR="00C11BD4">
        <w:t>…</w:t>
      </w:r>
      <w:r w:rsidR="00611EA2">
        <w:t xml:space="preserve"> </w:t>
      </w:r>
      <w:r w:rsidR="00C11BD4">
        <w:t>the colleges</w:t>
      </w:r>
      <w:r w:rsidR="00611EA2">
        <w:t xml:space="preserve"> </w:t>
      </w:r>
      <w:r w:rsidR="00C11BD4">
        <w:t>…</w:t>
      </w:r>
      <w:r w:rsidRPr="00DD6469">
        <w:t xml:space="preserve"> ought to be able to grant degrees, but part of the Committee</w:t>
      </w:r>
      <w:r w:rsidR="00AB306D">
        <w:t>’</w:t>
      </w:r>
      <w:r w:rsidRPr="00DD6469">
        <w:t>s report is the emphasis upon transference from the colleges to the universities and transference from the universities to the colleges. This is a most important part of its recommendations, because people mature at different times. People come into their intellectual stride at different times, so that a person may be going apparently slowly at some institute and come into his intellectual flowering and be capable of going on further than it was anticipated he might do. On the other hand, some person may be at a university and apparently doing well and come to the end, virtually, of his intellectual course</w:t>
      </w:r>
      <w:r w:rsidR="00611EA2">
        <w:t xml:space="preserve"> </w:t>
      </w:r>
      <w:r w:rsidR="00C11BD4">
        <w:t>…</w:t>
      </w:r>
      <w:r w:rsidR="00611EA2">
        <w:t xml:space="preserve"> </w:t>
      </w:r>
      <w:r w:rsidRPr="00DD6469">
        <w:t>Such a person ought to be able to transfer to one of the colleges and end up with a diploma, so that he may make the utmost of his ability.</w:t>
      </w:r>
      <w:r w:rsidR="00C11BD4">
        <w:t xml:space="preserve"> </w:t>
      </w:r>
      <w:r w:rsidR="00345FEC">
        <w:tab/>
      </w:r>
      <w:r w:rsidR="00321CA3">
        <w:t>(</w:t>
      </w:r>
      <w:r w:rsidR="00611EA2">
        <w:t xml:space="preserve">Australia. </w:t>
      </w:r>
      <w:r w:rsidR="00C55291">
        <w:t xml:space="preserve">Senate, </w:t>
      </w:r>
      <w:r w:rsidR="00C55291">
        <w:rPr>
          <w:i/>
        </w:rPr>
        <w:t>Debates</w:t>
      </w:r>
      <w:r w:rsidR="004F3C72">
        <w:t xml:space="preserve">, 11 May </w:t>
      </w:r>
      <w:r w:rsidR="00C55291">
        <w:t>19</w:t>
      </w:r>
      <w:r w:rsidR="004F3C72">
        <w:t>65</w:t>
      </w:r>
      <w:r w:rsidR="00321CA3">
        <w:t>)</w:t>
      </w:r>
    </w:p>
    <w:p w:rsidR="008A4276" w:rsidRPr="00DD6469" w:rsidRDefault="008A4276" w:rsidP="007F5D19">
      <w:pPr>
        <w:pStyle w:val="Text"/>
      </w:pPr>
      <w:r w:rsidRPr="00DD6469">
        <w:t>Critics of</w:t>
      </w:r>
      <w:r w:rsidR="00321CA3">
        <w:t xml:space="preserve"> the bina</w:t>
      </w:r>
      <w:r w:rsidR="00C55291">
        <w:t>ry system asked how the Martin C</w:t>
      </w:r>
      <w:r w:rsidR="00321CA3">
        <w:t>ommittee thought it</w:t>
      </w:r>
      <w:r w:rsidRPr="00DD6469">
        <w:t xml:space="preserve"> possible to distinguish between a practical and an academic mind and therefore to channel students in the right direction</w:t>
      </w:r>
      <w:r w:rsidR="00D06BF7">
        <w:t xml:space="preserve"> (Davies</w:t>
      </w:r>
      <w:r w:rsidR="004A7BAB">
        <w:t xml:space="preserve"> 1989,</w:t>
      </w:r>
      <w:r w:rsidR="00D06BF7">
        <w:t xml:space="preserve"> pp</w:t>
      </w:r>
      <w:r w:rsidR="00C55291">
        <w:t>.152—</w:t>
      </w:r>
      <w:r w:rsidR="00D06BF7">
        <w:t xml:space="preserve">3). </w:t>
      </w:r>
      <w:r w:rsidRPr="00DD6469">
        <w:t>Such critique ignores the committee</w:t>
      </w:r>
      <w:r w:rsidR="00AB306D">
        <w:t>’</w:t>
      </w:r>
      <w:r w:rsidR="003F0A15">
        <w:t>s effort</w:t>
      </w:r>
      <w:r w:rsidRPr="00DD6469">
        <w:t xml:space="preserve"> to break down the stereotypes and to create a system that could accommodate people</w:t>
      </w:r>
      <w:r w:rsidR="00AB306D">
        <w:t>’</w:t>
      </w:r>
      <w:r w:rsidRPr="00DD6469">
        <w:t>s personal, vocational a</w:t>
      </w:r>
      <w:r w:rsidR="00376E81">
        <w:t>nd changing interests. Take this</w:t>
      </w:r>
      <w:r w:rsidRPr="00DD6469">
        <w:t xml:space="preserve"> passage: </w:t>
      </w:r>
    </w:p>
    <w:p w:rsidR="007E1F75" w:rsidRDefault="008A4276" w:rsidP="00D06BF7">
      <w:pPr>
        <w:pStyle w:val="Quote"/>
      </w:pPr>
      <w:r w:rsidRPr="00D06BF7">
        <w:t>there is a danger of higher education becoming identified in the minds of the community with university education, and of a university degree becoming the single symbol of intellectual aptitude. Ability is a complex human quality; and emphasis on university studies to the exclusion of others in higher education is</w:t>
      </w:r>
      <w:r w:rsidR="00C55291">
        <w:t xml:space="preserve"> wasteful of much human talent.</w:t>
      </w:r>
      <w:r w:rsidR="007F5D19">
        <w:br/>
      </w:r>
      <w:r w:rsidR="00C55291">
        <w:tab/>
      </w:r>
      <w:r w:rsidR="00D06BF7">
        <w:t>(</w:t>
      </w:r>
      <w:r w:rsidR="00EF7EB2">
        <w:t xml:space="preserve">Committee on the Future of Tertiary Education in Australia </w:t>
      </w:r>
      <w:r w:rsidR="004A7BAB">
        <w:t>1964</w:t>
      </w:r>
      <w:r w:rsidR="00204F8D">
        <w:t>—65</w:t>
      </w:r>
      <w:r w:rsidR="00C55291">
        <w:t>,</w:t>
      </w:r>
      <w:r w:rsidR="004A7BAB">
        <w:t xml:space="preserve"> </w:t>
      </w:r>
      <w:r w:rsidR="00C55291">
        <w:t>vol.</w:t>
      </w:r>
      <w:r w:rsidRPr="00D06BF7">
        <w:t>1</w:t>
      </w:r>
      <w:r w:rsidR="00D06BF7">
        <w:t>, p.</w:t>
      </w:r>
      <w:r w:rsidRPr="00D06BF7">
        <w:t>175</w:t>
      </w:r>
      <w:r w:rsidR="00D06BF7">
        <w:t>)</w:t>
      </w:r>
    </w:p>
    <w:p w:rsidR="008315D5" w:rsidRPr="008315D5" w:rsidRDefault="008315D5" w:rsidP="007F5D19">
      <w:pPr>
        <w:pStyle w:val="Text"/>
      </w:pPr>
      <w:r w:rsidRPr="008315D5">
        <w:t>When Martin spoke to Hazel de Berg in 1972, he regretted that transfer had proved so difficult:</w:t>
      </w:r>
    </w:p>
    <w:p w:rsidR="008315D5" w:rsidRPr="008315D5" w:rsidRDefault="008315D5" w:rsidP="008315D5">
      <w:pPr>
        <w:pStyle w:val="Quote"/>
      </w:pPr>
      <w:r w:rsidRPr="008315D5">
        <w:t>if a man showed promise as a research man or was likely to show promise at higher levels than were provided by the CAEs, then he was to have the right of transferring across to a university without loss of time. Unfortunately this interchange, which could be very valuable, between universities and colleges of advanced education has not been achieved to any great measure.</w:t>
      </w:r>
    </w:p>
    <w:p w:rsidR="008315D5" w:rsidRDefault="00FF02AC" w:rsidP="007F5D19">
      <w:pPr>
        <w:pStyle w:val="Text"/>
      </w:pPr>
      <w:r>
        <w:t xml:space="preserve">Looking back </w:t>
      </w:r>
      <w:r w:rsidR="00C55291">
        <w:t xml:space="preserve">in 1993 </w:t>
      </w:r>
      <w:r>
        <w:t>on the binary system, Don McNicol, Vice</w:t>
      </w:r>
      <w:r w:rsidR="00C55291">
        <w:t>-</w:t>
      </w:r>
      <w:r>
        <w:t xml:space="preserve">Chancellor of the University of Sydney, </w:t>
      </w:r>
      <w:r w:rsidR="008315D5">
        <w:t xml:space="preserve">listed </w:t>
      </w:r>
      <w:r w:rsidR="00386AAB">
        <w:t xml:space="preserve">the difficulties in </w:t>
      </w:r>
      <w:r w:rsidR="008315D5" w:rsidRPr="008315D5">
        <w:t>transfer</w:t>
      </w:r>
      <w:r w:rsidR="00386AAB">
        <w:t>ring</w:t>
      </w:r>
      <w:r w:rsidR="008315D5" w:rsidRPr="008315D5">
        <w:t xml:space="preserve"> credit </w:t>
      </w:r>
      <w:r w:rsidR="00321CA3">
        <w:t>from the</w:t>
      </w:r>
      <w:r w:rsidR="008315D5" w:rsidRPr="008315D5">
        <w:t xml:space="preserve"> college sector to university</w:t>
      </w:r>
      <w:r w:rsidR="008315D5">
        <w:t>: i</w:t>
      </w:r>
      <w:r w:rsidR="008315D5" w:rsidRPr="008315D5">
        <w:t>ncompatibilities i</w:t>
      </w:r>
      <w:r w:rsidR="008315D5">
        <w:t>n th</w:t>
      </w:r>
      <w:r w:rsidR="008315D5" w:rsidRPr="008315D5">
        <w:t>e curriculum</w:t>
      </w:r>
      <w:r w:rsidR="00321CA3">
        <w:t>;</w:t>
      </w:r>
      <w:r w:rsidR="008315D5" w:rsidRPr="008315D5">
        <w:t xml:space="preserve"> lack o</w:t>
      </w:r>
      <w:r w:rsidR="008315D5">
        <w:t>f</w:t>
      </w:r>
      <w:r w:rsidR="008315D5" w:rsidRPr="008315D5">
        <w:t xml:space="preserve"> enforceable polic</w:t>
      </w:r>
      <w:r w:rsidR="008315D5">
        <w:t>i</w:t>
      </w:r>
      <w:r w:rsidR="008315D5" w:rsidRPr="008315D5">
        <w:t>es on credit trans</w:t>
      </w:r>
      <w:r w:rsidR="008315D5">
        <w:t>fe</w:t>
      </w:r>
      <w:r w:rsidR="008315D5" w:rsidRPr="008315D5">
        <w:t>r</w:t>
      </w:r>
      <w:r w:rsidR="00321CA3">
        <w:t>;</w:t>
      </w:r>
      <w:r w:rsidR="008315D5" w:rsidRPr="008315D5">
        <w:t xml:space="preserve"> and university suspicion of the standards of college course</w:t>
      </w:r>
      <w:r w:rsidR="008315D5">
        <w:t>s (</w:t>
      </w:r>
      <w:r w:rsidR="00C55291">
        <w:t xml:space="preserve">cited </w:t>
      </w:r>
      <w:r w:rsidR="008315D5">
        <w:t>in Meek</w:t>
      </w:r>
      <w:r w:rsidR="004A7BAB">
        <w:t xml:space="preserve"> </w:t>
      </w:r>
      <w:r w:rsidR="00C55291">
        <w:t xml:space="preserve">&amp; Harman </w:t>
      </w:r>
      <w:r w:rsidR="004A7BAB">
        <w:t>1993</w:t>
      </w:r>
      <w:r w:rsidR="00C55291">
        <w:t>, p.</w:t>
      </w:r>
      <w:r w:rsidR="008315D5">
        <w:t xml:space="preserve">23). We have not learned from history. These remain the obstacles to transfer from VET to higher </w:t>
      </w:r>
      <w:r w:rsidR="00041295">
        <w:t>education in</w:t>
      </w:r>
      <w:r w:rsidR="008315D5">
        <w:t xml:space="preserve"> the current tertiary environment (</w:t>
      </w:r>
      <w:r w:rsidR="006B3261">
        <w:t>see Watson</w:t>
      </w:r>
      <w:r w:rsidR="00C55291">
        <w:t>, Hagel &amp; Chesters</w:t>
      </w:r>
      <w:r w:rsidR="00976937">
        <w:t xml:space="preserve"> </w:t>
      </w:r>
      <w:r w:rsidR="004A7BAB">
        <w:t>2013</w:t>
      </w:r>
      <w:r w:rsidR="00C55291">
        <w:t>;</w:t>
      </w:r>
      <w:r w:rsidR="006B3261">
        <w:t xml:space="preserve"> Dowling</w:t>
      </w:r>
      <w:r w:rsidR="004A7BAB">
        <w:t xml:space="preserve"> 2010</w:t>
      </w:r>
      <w:r w:rsidR="008315D5">
        <w:t>)</w:t>
      </w:r>
      <w:r w:rsidR="004A7BAB">
        <w:t>.</w:t>
      </w:r>
      <w:r w:rsidR="003F0A15" w:rsidRPr="00CD3FBA">
        <w:t xml:space="preserve"> </w:t>
      </w:r>
      <w:r w:rsidR="00CD3FBA" w:rsidRPr="00CD3FBA">
        <w:t xml:space="preserve">Unfortunately, </w:t>
      </w:r>
      <w:r w:rsidR="008315D5">
        <w:t xml:space="preserve">therefore, </w:t>
      </w:r>
      <w:r w:rsidR="00CD3FBA" w:rsidRPr="00CD3FBA">
        <w:t>this chapter can only re</w:t>
      </w:r>
      <w:r w:rsidR="007071A0">
        <w:t>s</w:t>
      </w:r>
      <w:r w:rsidR="00250005">
        <w:t xml:space="preserve">tate </w:t>
      </w:r>
      <w:r w:rsidR="00345FEC">
        <w:t xml:space="preserve">the </w:t>
      </w:r>
      <w:r w:rsidR="00CD3FBA" w:rsidRPr="00CD3FBA">
        <w:t xml:space="preserve">familiar barriers to transfer and reiterate the importance </w:t>
      </w:r>
      <w:r w:rsidR="00810EC0" w:rsidRPr="00CD3FBA">
        <w:t xml:space="preserve">in a mass tertiary education system </w:t>
      </w:r>
      <w:r w:rsidR="00CD3FBA" w:rsidRPr="00CD3FBA">
        <w:t xml:space="preserve">of overcoming these. </w:t>
      </w:r>
    </w:p>
    <w:p w:rsidR="00302038" w:rsidRPr="00302038" w:rsidRDefault="00302038" w:rsidP="007F5D19">
      <w:pPr>
        <w:pStyle w:val="Text"/>
      </w:pPr>
      <w:r>
        <w:t xml:space="preserve">A significant </w:t>
      </w:r>
      <w:r w:rsidR="00CD3FBA">
        <w:t xml:space="preserve">cause of the problem </w:t>
      </w:r>
      <w:r>
        <w:t>remains institutional structures</w:t>
      </w:r>
      <w:r w:rsidR="004619A2">
        <w:t>: it is in the very nature of systems and organisations of lower status to strive for higher status (</w:t>
      </w:r>
      <w:r w:rsidR="008315D5">
        <w:t>Moses</w:t>
      </w:r>
      <w:r w:rsidR="004619A2">
        <w:t xml:space="preserve"> in Meek</w:t>
      </w:r>
      <w:r w:rsidR="00810EC0">
        <w:t xml:space="preserve"> &amp; Harman </w:t>
      </w:r>
      <w:r w:rsidR="004A7BAB">
        <w:t>1993</w:t>
      </w:r>
      <w:r w:rsidR="004619A2">
        <w:t xml:space="preserve">, </w:t>
      </w:r>
      <w:r w:rsidR="00810EC0">
        <w:t>p.</w:t>
      </w:r>
      <w:r w:rsidR="004619A2">
        <w:t>12).</w:t>
      </w:r>
      <w:r w:rsidR="00810EC0">
        <w:t xml:space="preserve"> </w:t>
      </w:r>
      <w:r w:rsidR="00345FEC">
        <w:t>A</w:t>
      </w:r>
      <w:r>
        <w:t xml:space="preserve"> </w:t>
      </w:r>
      <w:r w:rsidR="00124BEB">
        <w:t xml:space="preserve">1980 </w:t>
      </w:r>
      <w:r w:rsidRPr="00302038">
        <w:t xml:space="preserve">Toowoomba </w:t>
      </w:r>
      <w:r>
        <w:t xml:space="preserve">conference </w:t>
      </w:r>
      <w:r w:rsidR="00124BEB">
        <w:t xml:space="preserve">on </w:t>
      </w:r>
      <w:r w:rsidR="00D714BF">
        <w:t xml:space="preserve">the </w:t>
      </w:r>
      <w:r w:rsidR="004619A2">
        <w:t>n</w:t>
      </w:r>
      <w:r w:rsidR="00124BEB">
        <w:t xml:space="preserve">ew </w:t>
      </w:r>
      <w:r w:rsidR="004619A2">
        <w:t>t</w:t>
      </w:r>
      <w:r w:rsidR="00124BEB">
        <w:t xml:space="preserve">ertiary </w:t>
      </w:r>
      <w:r w:rsidR="004619A2">
        <w:t>e</w:t>
      </w:r>
      <w:r w:rsidR="00124BEB">
        <w:t>ra</w:t>
      </w:r>
      <w:r w:rsidR="004619A2">
        <w:t xml:space="preserve"> </w:t>
      </w:r>
      <w:r w:rsidR="00124BEB">
        <w:t xml:space="preserve">recorded: </w:t>
      </w:r>
    </w:p>
    <w:p w:rsidR="00124BEB" w:rsidRDefault="00302038" w:rsidP="00124BEB">
      <w:pPr>
        <w:pStyle w:val="Quote"/>
      </w:pPr>
      <w:r w:rsidRPr="00124BEB">
        <w:t>the widespread dissatisfaction of many en</w:t>
      </w:r>
      <w:r w:rsidR="00124BEB" w:rsidRPr="00124BEB">
        <w:t>ga</w:t>
      </w:r>
      <w:r w:rsidRPr="00124BEB">
        <w:t xml:space="preserve">ged in Australian </w:t>
      </w:r>
      <w:r w:rsidR="00124BEB" w:rsidRPr="00124BEB">
        <w:t>tertiary</w:t>
      </w:r>
      <w:r w:rsidRPr="00124BEB">
        <w:t xml:space="preserve"> ed</w:t>
      </w:r>
      <w:r w:rsidR="00124BEB" w:rsidRPr="00124BEB">
        <w:t>ucation with the rigidity of its</w:t>
      </w:r>
      <w:r w:rsidRPr="00124BEB">
        <w:t xml:space="preserve"> </w:t>
      </w:r>
      <w:r w:rsidR="00124BEB" w:rsidRPr="00124BEB">
        <w:t>existing</w:t>
      </w:r>
      <w:r w:rsidRPr="00124BEB">
        <w:t xml:space="preserve"> pattern of organisation, which promotes inf</w:t>
      </w:r>
      <w:r w:rsidR="00124BEB" w:rsidRPr="00124BEB">
        <w:t>lexible and anachronistic inter</w:t>
      </w:r>
      <w:r w:rsidR="00810EC0">
        <w:t>-</w:t>
      </w:r>
      <w:r w:rsidRPr="00124BEB">
        <w:lastRenderedPageBreak/>
        <w:t>institutional and in</w:t>
      </w:r>
      <w:r w:rsidR="00124BEB" w:rsidRPr="00124BEB">
        <w:t>t</w:t>
      </w:r>
      <w:r w:rsidRPr="00124BEB">
        <w:t xml:space="preserve">er-sectoral barriers, and the highly negative implications of this for the educational </w:t>
      </w:r>
      <w:r w:rsidR="00124BEB" w:rsidRPr="00124BEB">
        <w:t>aspirations</w:t>
      </w:r>
      <w:r w:rsidRPr="00124BEB">
        <w:t xml:space="preserve"> o</w:t>
      </w:r>
      <w:r w:rsidR="00124BEB">
        <w:t>f</w:t>
      </w:r>
      <w:r w:rsidRPr="00124BEB">
        <w:t xml:space="preserve"> the Australian community</w:t>
      </w:r>
      <w:r w:rsidR="00345FEC">
        <w:t>.</w:t>
      </w:r>
      <w:r w:rsidR="00345FEC">
        <w:tab/>
      </w:r>
      <w:r w:rsidR="006B3261">
        <w:t xml:space="preserve"> (</w:t>
      </w:r>
      <w:r w:rsidR="004619A2">
        <w:t>Hore</w:t>
      </w:r>
      <w:r w:rsidR="00810EC0">
        <w:t xml:space="preserve"> &amp; Chippendale</w:t>
      </w:r>
      <w:r w:rsidR="004A7BAB">
        <w:t xml:space="preserve"> 1981</w:t>
      </w:r>
      <w:r w:rsidR="00EE68CC">
        <w:t>, p.</w:t>
      </w:r>
      <w:r w:rsidR="004619A2">
        <w:t>201</w:t>
      </w:r>
      <w:r w:rsidR="00345FEC">
        <w:t>)</w:t>
      </w:r>
    </w:p>
    <w:p w:rsidR="0030366C" w:rsidRDefault="002716F5" w:rsidP="007F5D19">
      <w:pPr>
        <w:pStyle w:val="Text"/>
      </w:pPr>
      <w:r>
        <w:t xml:space="preserve">In reappraising </w:t>
      </w:r>
      <w:r w:rsidR="00043298">
        <w:t>California</w:t>
      </w:r>
      <w:r w:rsidR="00AB306D">
        <w:t>’</w:t>
      </w:r>
      <w:r w:rsidR="00A75147">
        <w:t>s</w:t>
      </w:r>
      <w:r w:rsidR="00043298">
        <w:t xml:space="preserve"> </w:t>
      </w:r>
      <w:r w:rsidR="00B72EE0">
        <w:t>M</w:t>
      </w:r>
      <w:r w:rsidR="004619A2">
        <w:t>aster Plan</w:t>
      </w:r>
      <w:r w:rsidR="00043298">
        <w:t xml:space="preserve"> for Higher Education</w:t>
      </w:r>
      <w:r w:rsidR="004A7BAB">
        <w:t xml:space="preserve"> (1960)</w:t>
      </w:r>
      <w:r w:rsidR="0030366C">
        <w:t xml:space="preserve"> ―</w:t>
      </w:r>
      <w:r w:rsidR="004619A2">
        <w:t xml:space="preserve"> one of the </w:t>
      </w:r>
      <w:r w:rsidR="0030366C">
        <w:t>influences on the binary system ―</w:t>
      </w:r>
      <w:r w:rsidR="004619A2">
        <w:t xml:space="preserve"> </w:t>
      </w:r>
      <w:r w:rsidR="0030366C">
        <w:t xml:space="preserve">Berkeley </w:t>
      </w:r>
      <w:r w:rsidR="00B72EE0">
        <w:t>senior resea</w:t>
      </w:r>
      <w:r>
        <w:t>r</w:t>
      </w:r>
      <w:r w:rsidR="00B72EE0">
        <w:t xml:space="preserve">ch fellow </w:t>
      </w:r>
      <w:r w:rsidR="009C669D">
        <w:t xml:space="preserve">John </w:t>
      </w:r>
      <w:r w:rsidR="0030366C">
        <w:t>Douglass</w:t>
      </w:r>
      <w:r w:rsidR="00FE634F">
        <w:t xml:space="preserve"> </w:t>
      </w:r>
      <w:r w:rsidR="004A7BAB">
        <w:t>suggested</w:t>
      </w:r>
      <w:r w:rsidR="0030366C">
        <w:t xml:space="preserve">: </w:t>
      </w:r>
    </w:p>
    <w:p w:rsidR="0030366C" w:rsidRPr="0030366C" w:rsidRDefault="00043298" w:rsidP="0030366C">
      <w:pPr>
        <w:pStyle w:val="Quote"/>
      </w:pPr>
      <w:r w:rsidRPr="0030366C">
        <w:t>its</w:t>
      </w:r>
      <w:r w:rsidR="00B72EE0" w:rsidRPr="0030366C">
        <w:t xml:space="preserve"> great contribution </w:t>
      </w:r>
      <w:r w:rsidR="00130A25" w:rsidRPr="0030366C">
        <w:t xml:space="preserve">was </w:t>
      </w:r>
      <w:r w:rsidR="00B72EE0" w:rsidRPr="0030366C">
        <w:t>to hold the line on mission differentiation between the community colleges, the state university system a</w:t>
      </w:r>
      <w:r w:rsidR="0030366C">
        <w:t>nd the University of California</w:t>
      </w:r>
      <w:r w:rsidR="004A7BAB" w:rsidRPr="0030366C">
        <w:t>,</w:t>
      </w:r>
      <w:r w:rsidR="002716F5" w:rsidRPr="0030366C">
        <w:t xml:space="preserve"> thereby sustaining a strong network of colleges and universities</w:t>
      </w:r>
      <w:r w:rsidR="009C669D">
        <w:t>.</w:t>
      </w:r>
      <w:r w:rsidR="002716F5" w:rsidRPr="0030366C">
        <w:t xml:space="preserve"> </w:t>
      </w:r>
      <w:r w:rsidR="00345FEC">
        <w:tab/>
      </w:r>
      <w:r w:rsidR="00345FEC" w:rsidRPr="00345FEC">
        <w:rPr>
          <w:szCs w:val="17"/>
        </w:rPr>
        <w:t>(Quoted in Maclay 2003, p.1)</w:t>
      </w:r>
    </w:p>
    <w:p w:rsidR="00EE5726" w:rsidRDefault="00EE5726" w:rsidP="007F5D19">
      <w:pPr>
        <w:pStyle w:val="Text"/>
        <w:ind w:right="141"/>
      </w:pPr>
      <w:r>
        <w:t>This differentiation is underscored by legislated transfer arrangements, which require each institution to make transfer a priority and community colleges to have a core curriculum in general education to facilitate transfer and credit for the subjects undertaken.</w:t>
      </w:r>
    </w:p>
    <w:p w:rsidR="00623339" w:rsidRDefault="002716F5" w:rsidP="007F5D19">
      <w:pPr>
        <w:pStyle w:val="Text"/>
      </w:pPr>
      <w:r>
        <w:t>However, t</w:t>
      </w:r>
      <w:r w:rsidR="00124BEB" w:rsidRPr="00124BEB">
        <w:t>he experience of</w:t>
      </w:r>
      <w:r w:rsidR="00124BEB">
        <w:t xml:space="preserve"> </w:t>
      </w:r>
      <w:r w:rsidR="00124BEB" w:rsidRPr="00124BEB">
        <w:t>the community colleg</w:t>
      </w:r>
      <w:r w:rsidR="00124BEB">
        <w:t>e</w:t>
      </w:r>
      <w:r w:rsidR="00124BEB" w:rsidRPr="00124BEB">
        <w:t xml:space="preserve"> system in California</w:t>
      </w:r>
      <w:r>
        <w:t xml:space="preserve"> </w:t>
      </w:r>
      <w:r w:rsidR="00124BEB">
        <w:t xml:space="preserve">over the last </w:t>
      </w:r>
      <w:r w:rsidR="00043298">
        <w:t>50</w:t>
      </w:r>
      <w:r>
        <w:t xml:space="preserve"> years </w:t>
      </w:r>
      <w:r w:rsidR="00753485">
        <w:t xml:space="preserve">is not all good news. Douglass </w:t>
      </w:r>
      <w:r w:rsidR="00623339">
        <w:t xml:space="preserve">(2011) </w:t>
      </w:r>
      <w:r w:rsidR="00753485">
        <w:t xml:space="preserve">now argues that it is time </w:t>
      </w:r>
      <w:r w:rsidR="00623339">
        <w:t xml:space="preserve">for California </w:t>
      </w:r>
      <w:r w:rsidR="00AB306D">
        <w:t>‘</w:t>
      </w:r>
      <w:r w:rsidR="00623339" w:rsidRPr="00623339">
        <w:t>to innovate and to re-imagine a higher education system that has barely changed in five decades</w:t>
      </w:r>
      <w:r w:rsidR="00AB306D">
        <w:t>’</w:t>
      </w:r>
      <w:r w:rsidR="00623339">
        <w:t>. He has suggested following the Florida experiment</w:t>
      </w:r>
      <w:r w:rsidR="00E408B6">
        <w:t>,</w:t>
      </w:r>
      <w:r w:rsidR="00623339">
        <w:t xml:space="preserve"> where some community colleges offer degrees in areas </w:t>
      </w:r>
      <w:r w:rsidR="00E408B6">
        <w:t xml:space="preserve">in which </w:t>
      </w:r>
      <w:r w:rsidR="00623339">
        <w:t>the universities prefer not to go, degrees that train people for real jobs, in nursing and teaching</w:t>
      </w:r>
      <w:r w:rsidR="00E408B6">
        <w:t>,</w:t>
      </w:r>
      <w:r w:rsidR="00623339">
        <w:t xml:space="preserve"> for example. There are echoes of Martin here. </w:t>
      </w:r>
    </w:p>
    <w:p w:rsidR="00124BEB" w:rsidRDefault="0072747F" w:rsidP="007F5D19">
      <w:pPr>
        <w:pStyle w:val="Text"/>
      </w:pPr>
      <w:r>
        <w:t>Douglass suggests o</w:t>
      </w:r>
      <w:r w:rsidR="00623339">
        <w:t xml:space="preserve">ther </w:t>
      </w:r>
      <w:r w:rsidR="00623339" w:rsidRPr="00623339">
        <w:t>community colleges could focus their curriculum on getting students transferr</w:t>
      </w:r>
      <w:r w:rsidR="00623339">
        <w:t xml:space="preserve">ed to four-year degree programs or </w:t>
      </w:r>
      <w:r>
        <w:t>offer remedial education</w:t>
      </w:r>
      <w:r w:rsidR="00623339" w:rsidRPr="00623339">
        <w:t>.</w:t>
      </w:r>
      <w:r w:rsidR="00623339">
        <w:t xml:space="preserve"> This </w:t>
      </w:r>
      <w:r>
        <w:t xml:space="preserve">underlines </w:t>
      </w:r>
      <w:r w:rsidR="00623339">
        <w:t xml:space="preserve">another </w:t>
      </w:r>
      <w:r w:rsidR="002716F5">
        <w:t>problem for successful transfer</w:t>
      </w:r>
      <w:r w:rsidR="00623339">
        <w:t xml:space="preserve"> and completion</w:t>
      </w:r>
      <w:r w:rsidR="00124BEB">
        <w:t>, namely</w:t>
      </w:r>
      <w:r w:rsidR="00E408B6">
        <w:t>,</w:t>
      </w:r>
      <w:r w:rsidR="00124BEB">
        <w:t xml:space="preserve"> the calibre of entrants. </w:t>
      </w:r>
      <w:r w:rsidR="00E408B6">
        <w:t>With its over</w:t>
      </w:r>
      <w:r w:rsidR="00500FC0">
        <w:t>riding focus on providing access</w:t>
      </w:r>
      <w:r w:rsidR="002716F5">
        <w:t xml:space="preserve">, </w:t>
      </w:r>
      <w:r w:rsidR="00286E69">
        <w:t>California</w:t>
      </w:r>
      <w:r w:rsidR="00AB306D">
        <w:t>’</w:t>
      </w:r>
      <w:r w:rsidR="00286E69">
        <w:t>s</w:t>
      </w:r>
      <w:r>
        <w:t xml:space="preserve"> community colleges have not produced many students who succeed in higher education</w:t>
      </w:r>
      <w:r w:rsidR="007071A0">
        <w:t>:</w:t>
      </w:r>
      <w:r>
        <w:t xml:space="preserve"> </w:t>
      </w:r>
      <w:r w:rsidRPr="0072747F">
        <w:t>some studies show</w:t>
      </w:r>
      <w:r>
        <w:t xml:space="preserve"> only 18 per cent</w:t>
      </w:r>
      <w:r w:rsidRPr="0072747F">
        <w:t xml:space="preserve"> of </w:t>
      </w:r>
      <w:r>
        <w:t>community college entrants</w:t>
      </w:r>
      <w:r w:rsidRPr="0072747F">
        <w:t xml:space="preserve"> earn a degree, compared with a </w:t>
      </w:r>
      <w:r>
        <w:t>graduation rate of more than 45 per cent</w:t>
      </w:r>
      <w:r w:rsidRPr="0072747F">
        <w:t xml:space="preserve"> for California State University and about</w:t>
      </w:r>
      <w:r>
        <w:t xml:space="preserve"> 90 per cent</w:t>
      </w:r>
      <w:r w:rsidRPr="0072747F">
        <w:t xml:space="preserve"> for University of California</w:t>
      </w:r>
      <w:r w:rsidR="00E408B6">
        <w:t xml:space="preserve"> (Douglass</w:t>
      </w:r>
      <w:r w:rsidR="00286E69">
        <w:t xml:space="preserve"> 2011)</w:t>
      </w:r>
      <w:r w:rsidR="00392E04">
        <w:t xml:space="preserve">. This points to a system trying to do too much for too many and to the importance of applying the Robbins principle </w:t>
      </w:r>
      <w:r w:rsidR="003F235F">
        <w:t xml:space="preserve">of making higher education places </w:t>
      </w:r>
      <w:r w:rsidR="00AB306D">
        <w:t>‘</w:t>
      </w:r>
      <w:r w:rsidR="003F235F" w:rsidRPr="003F235F">
        <w:t>available to all who are qualified by ability and attainment to</w:t>
      </w:r>
      <w:r w:rsidR="003F235F">
        <w:t xml:space="preserve"> pursue them and who wish to do</w:t>
      </w:r>
      <w:r w:rsidR="00AB306D">
        <w:t>’</w:t>
      </w:r>
      <w:r>
        <w:t xml:space="preserve"> </w:t>
      </w:r>
      <w:r w:rsidR="00043298">
        <w:t>(</w:t>
      </w:r>
      <w:r w:rsidRPr="0072747F">
        <w:t>Willets 2013</w:t>
      </w:r>
      <w:r w:rsidR="00286E69">
        <w:t>,</w:t>
      </w:r>
      <w:r w:rsidR="00E408B6">
        <w:t xml:space="preserve"> </w:t>
      </w:r>
      <w:r w:rsidRPr="0072747F">
        <w:t>p.16</w:t>
      </w:r>
      <w:r w:rsidR="001F3EA7">
        <w:t>).</w:t>
      </w:r>
    </w:p>
    <w:p w:rsidR="00C33C76" w:rsidRPr="007B00BC" w:rsidRDefault="009B6FA8" w:rsidP="007F5D19">
      <w:pPr>
        <w:pStyle w:val="Text"/>
      </w:pPr>
      <w:r>
        <w:t xml:space="preserve">The question then becomes how to judge the criteria of ability and attainment. </w:t>
      </w:r>
      <w:r w:rsidR="004619A2">
        <w:t xml:space="preserve">Transfer systems have also faltered on </w:t>
      </w:r>
      <w:r w:rsidR="00E408B6">
        <w:t>the academic—</w:t>
      </w:r>
      <w:r w:rsidR="00DC1135">
        <w:t xml:space="preserve">practical divide. </w:t>
      </w:r>
      <w:r w:rsidRPr="009B6FA8">
        <w:t>Today this is seen most acutely in the clash between competency</w:t>
      </w:r>
      <w:r w:rsidR="00345FEC">
        <w:t>-</w:t>
      </w:r>
      <w:r w:rsidRPr="009B6FA8">
        <w:t xml:space="preserve"> and curriculum-based approaches</w:t>
      </w:r>
      <w:r w:rsidR="00345FEC">
        <w:t>,</w:t>
      </w:r>
      <w:r>
        <w:t xml:space="preserve"> but also </w:t>
      </w:r>
      <w:r w:rsidR="00345FEC">
        <w:t>in relation to</w:t>
      </w:r>
      <w:r>
        <w:t xml:space="preserve"> how best to recognise prior learning</w:t>
      </w:r>
      <w:r w:rsidRPr="009B6FA8">
        <w:t>.</w:t>
      </w:r>
      <w:r w:rsidR="00D877B2" w:rsidRPr="00D877B2">
        <w:t xml:space="preserve"> </w:t>
      </w:r>
      <w:r w:rsidR="00D877B2" w:rsidRPr="00130A25">
        <w:t xml:space="preserve">Under the binary policy </w:t>
      </w:r>
      <w:r w:rsidR="00130A25">
        <w:t>―</w:t>
      </w:r>
      <w:r w:rsidR="00D877B2" w:rsidRPr="00130A25">
        <w:t xml:space="preserve"> formulated </w:t>
      </w:r>
      <w:r w:rsidR="009E2A4E" w:rsidRPr="00130A25">
        <w:t xml:space="preserve">at the beginning of a move towards universal secondary schooling in Australia </w:t>
      </w:r>
      <w:r w:rsidR="00130A25">
        <w:t>―</w:t>
      </w:r>
      <w:r w:rsidR="009E2A4E" w:rsidRPr="00130A25">
        <w:t xml:space="preserve"> entry into advanced education </w:t>
      </w:r>
      <w:r w:rsidR="00130A25">
        <w:t xml:space="preserve">did require a </w:t>
      </w:r>
      <w:r w:rsidR="00041295" w:rsidRPr="00130A25">
        <w:t>matriculation</w:t>
      </w:r>
      <w:r w:rsidR="009E2A4E" w:rsidRPr="00130A25">
        <w:t xml:space="preserve"> score but could </w:t>
      </w:r>
      <w:r w:rsidR="00D877B2" w:rsidRPr="00D877B2">
        <w:t>take account of practical experience and maturity (Davies</w:t>
      </w:r>
      <w:r w:rsidR="0072747F">
        <w:t xml:space="preserve"> 1989, p.</w:t>
      </w:r>
      <w:r w:rsidR="00D877B2" w:rsidRPr="00D877B2">
        <w:t>149)</w:t>
      </w:r>
      <w:r w:rsidR="009E2A4E">
        <w:t>. Like other elements of the policy</w:t>
      </w:r>
      <w:r w:rsidR="00E408B6">
        <w:t>,</w:t>
      </w:r>
      <w:r w:rsidR="009E2A4E">
        <w:t xml:space="preserve"> these entry requirements were not clearly articulated and came to be interpreted as inferior.</w:t>
      </w:r>
      <w:r w:rsidR="00FE634F">
        <w:t xml:space="preserve"> </w:t>
      </w:r>
    </w:p>
    <w:p w:rsidR="00F21D41" w:rsidRPr="00F21D41" w:rsidRDefault="009B6FA8" w:rsidP="007F5D19">
      <w:pPr>
        <w:pStyle w:val="Text"/>
      </w:pPr>
      <w:r>
        <w:t>Another way to look at this is from the point of view of the purpose of the educational endeavour. The</w:t>
      </w:r>
      <w:r w:rsidR="00055F6A">
        <w:t xml:space="preserve"> initial</w:t>
      </w:r>
      <w:r>
        <w:t xml:space="preserve"> idea of the colleges </w:t>
      </w:r>
      <w:r w:rsidR="007071A0">
        <w:t xml:space="preserve">of advanced education </w:t>
      </w:r>
      <w:r>
        <w:t xml:space="preserve">was to provide </w:t>
      </w:r>
      <w:r w:rsidR="00055F6A">
        <w:t xml:space="preserve">advanced </w:t>
      </w:r>
      <w:r>
        <w:t xml:space="preserve">vocational education that led to </w:t>
      </w:r>
      <w:r w:rsidR="007071A0">
        <w:t xml:space="preserve">the </w:t>
      </w:r>
      <w:r>
        <w:t>jobs needed in industry</w:t>
      </w:r>
      <w:r w:rsidR="00055F6A">
        <w:t xml:space="preserve">, with </w:t>
      </w:r>
      <w:r>
        <w:t>transfer</w:t>
      </w:r>
      <w:r w:rsidR="00055F6A">
        <w:t xml:space="preserve"> available to </w:t>
      </w:r>
      <w:r>
        <w:t xml:space="preserve">those able and wanting to pursue higher learning </w:t>
      </w:r>
      <w:r w:rsidR="009E2A4E">
        <w:t xml:space="preserve">at </w:t>
      </w:r>
      <w:r>
        <w:t xml:space="preserve">university. </w:t>
      </w:r>
      <w:r w:rsidR="00F21D41">
        <w:t>I</w:t>
      </w:r>
      <w:r w:rsidR="00F21D41" w:rsidRPr="00F21D41">
        <w:t xml:space="preserve">n 1969, Professor Partridge had </w:t>
      </w:r>
      <w:r w:rsidR="00F21D41">
        <w:t xml:space="preserve">even </w:t>
      </w:r>
      <w:r w:rsidR="00F21D41" w:rsidRPr="00F21D41">
        <w:t>aired the possibility of diverting dental science, architecture, engineering and law from universities to other tertiary institutions (Gallagher</w:t>
      </w:r>
      <w:r w:rsidR="00F21D41">
        <w:t xml:space="preserve"> 1982,</w:t>
      </w:r>
      <w:r w:rsidR="00345FEC">
        <w:t xml:space="preserve"> p.</w:t>
      </w:r>
      <w:r w:rsidR="00F21D41" w:rsidRPr="00F21D41">
        <w:t xml:space="preserve">199). Then for many there would be no need to transfer. </w:t>
      </w:r>
    </w:p>
    <w:p w:rsidR="009E2A4E" w:rsidRDefault="00C33C76" w:rsidP="007F5D19">
      <w:pPr>
        <w:pStyle w:val="Text"/>
      </w:pPr>
      <w:r>
        <w:t>By the end of the 1970s, the nature of</w:t>
      </w:r>
      <w:r w:rsidR="007B00BC">
        <w:t xml:space="preserve"> student demand was changing, with more adults looking to upg</w:t>
      </w:r>
      <w:r w:rsidR="00E408B6">
        <w:t>rade their qualifications or re</w:t>
      </w:r>
      <w:r w:rsidR="007B00BC">
        <w:t>skill</w:t>
      </w:r>
      <w:r w:rsidR="00055F6A">
        <w:t>, necessitating new entrance criteria and, as t</w:t>
      </w:r>
      <w:r w:rsidR="007B00BC">
        <w:t xml:space="preserve">he Williams </w:t>
      </w:r>
      <w:r w:rsidR="000D6B0B">
        <w:t xml:space="preserve">Report </w:t>
      </w:r>
      <w:r w:rsidR="007B00BC">
        <w:t>(</w:t>
      </w:r>
      <w:r w:rsidR="00E408B6">
        <w:t xml:space="preserve">Committee of Inquiry into Education and Training </w:t>
      </w:r>
      <w:r w:rsidR="001F3EA7">
        <w:t>1979</w:t>
      </w:r>
      <w:r w:rsidR="001D59F1">
        <w:t>, p.</w:t>
      </w:r>
      <w:r w:rsidR="007B00BC">
        <w:t xml:space="preserve">277) </w:t>
      </w:r>
      <w:r w:rsidR="00055F6A">
        <w:t xml:space="preserve">noted, </w:t>
      </w:r>
      <w:r w:rsidR="000D6B0B">
        <w:t>the</w:t>
      </w:r>
      <w:r w:rsidR="007B00BC" w:rsidRPr="007B00BC">
        <w:t xml:space="preserve"> need</w:t>
      </w:r>
      <w:r w:rsidR="00055F6A">
        <w:t xml:space="preserve"> </w:t>
      </w:r>
      <w:r w:rsidR="007B00BC" w:rsidRPr="007B00BC">
        <w:t xml:space="preserve">to adapt financial </w:t>
      </w:r>
      <w:r w:rsidR="007B00BC" w:rsidRPr="007B00BC">
        <w:lastRenderedPageBreak/>
        <w:t xml:space="preserve">procedures to </w:t>
      </w:r>
      <w:r w:rsidR="009E2A4E">
        <w:t>deal with</w:t>
      </w:r>
      <w:r w:rsidR="007B00BC" w:rsidRPr="007B00BC">
        <w:t xml:space="preserve"> </w:t>
      </w:r>
      <w:r w:rsidR="000D6B0B">
        <w:t xml:space="preserve">the </w:t>
      </w:r>
      <w:r w:rsidR="007B00BC" w:rsidRPr="007B00BC">
        <w:t>problems of</w:t>
      </w:r>
      <w:r w:rsidR="00055F6A">
        <w:t xml:space="preserve"> </w:t>
      </w:r>
      <w:r w:rsidR="007B00BC" w:rsidRPr="007B00BC">
        <w:t xml:space="preserve">recurrent and refresher education. </w:t>
      </w:r>
      <w:r w:rsidR="009E2A4E">
        <w:t xml:space="preserve">By 1987, the </w:t>
      </w:r>
      <w:r w:rsidR="0054625F" w:rsidRPr="00E0659E">
        <w:rPr>
          <w:i/>
        </w:rPr>
        <w:t>W(h</w:t>
      </w:r>
      <w:r w:rsidR="001F3EA7" w:rsidRPr="00E0659E">
        <w:rPr>
          <w:i/>
        </w:rPr>
        <w:t>)</w:t>
      </w:r>
      <w:r w:rsidR="0054625F" w:rsidRPr="00E0659E">
        <w:rPr>
          <w:i/>
        </w:rPr>
        <w:t>ither Binary</w:t>
      </w:r>
      <w:r w:rsidR="001F3EA7" w:rsidRPr="00E0659E">
        <w:rPr>
          <w:i/>
        </w:rPr>
        <w:t>?</w:t>
      </w:r>
      <w:r w:rsidR="00D714BF">
        <w:t xml:space="preserve"> </w:t>
      </w:r>
      <w:r w:rsidR="0054625F">
        <w:t>seminar in Perth</w:t>
      </w:r>
      <w:r w:rsidR="009E2A4E">
        <w:t xml:space="preserve"> was suggesting:</w:t>
      </w:r>
    </w:p>
    <w:p w:rsidR="009E2A4E" w:rsidRPr="009E2A4E" w:rsidRDefault="009E2A4E" w:rsidP="009E2A4E">
      <w:pPr>
        <w:pStyle w:val="Quote"/>
      </w:pPr>
      <w:r w:rsidRPr="009E2A4E">
        <w:t>Funding by function and within agreed institutional profile statements would assist the promotion of credit transfer especially in geographically remote areas where it would be wasteful to establish higher education and TAFE programmes in the same field of stud</w:t>
      </w:r>
      <w:r w:rsidR="00E408B6">
        <w:t>y each with marginal enrolments.</w:t>
      </w:r>
      <w:r w:rsidR="00E408B6">
        <w:tab/>
      </w:r>
      <w:r w:rsidR="001F3EA7">
        <w:t xml:space="preserve">(Kerr, </w:t>
      </w:r>
      <w:r w:rsidR="00E408B6">
        <w:t>Pullman &amp; Standish 1987, p.12)</w:t>
      </w:r>
    </w:p>
    <w:p w:rsidR="000D6B0B" w:rsidRDefault="00130A25" w:rsidP="007F5D19">
      <w:pPr>
        <w:pStyle w:val="Text"/>
      </w:pPr>
      <w:r>
        <w:t xml:space="preserve">As well as catering to regional demands, it was hoped that </w:t>
      </w:r>
      <w:r w:rsidR="00055F6A" w:rsidRPr="00055F6A">
        <w:t>greater specialisiation in higher degrees aimed at producing professional leaders rather than research academics</w:t>
      </w:r>
      <w:r>
        <w:t xml:space="preserve"> could overcome the sectoral barriers</w:t>
      </w:r>
      <w:r w:rsidR="00055F6A" w:rsidRPr="00055F6A">
        <w:t xml:space="preserve">. </w:t>
      </w:r>
      <w:r w:rsidR="0054625F">
        <w:t>At the</w:t>
      </w:r>
      <w:r w:rsidR="003C785E">
        <w:t xml:space="preserve"> same Perth</w:t>
      </w:r>
      <w:r w:rsidR="0054625F">
        <w:t xml:space="preserve"> seminar, Professor Johnson</w:t>
      </w:r>
      <w:r w:rsidR="003C785E">
        <w:t xml:space="preserve"> of the </w:t>
      </w:r>
      <w:r w:rsidR="003C785E" w:rsidRPr="003C785E">
        <w:t>Commonwealth Tertiary Education Commission</w:t>
      </w:r>
      <w:r w:rsidR="003C785E">
        <w:t xml:space="preserve"> spoke about the possibility </w:t>
      </w:r>
      <w:r w:rsidR="000D6B0B">
        <w:t>of</w:t>
      </w:r>
      <w:r w:rsidR="0054625F">
        <w:t xml:space="preserve"> programs equivalent to the PhD </w:t>
      </w:r>
      <w:r w:rsidR="003C785E">
        <w:t xml:space="preserve">being </w:t>
      </w:r>
      <w:r w:rsidR="0054625F">
        <w:t xml:space="preserve">delivered in both universities and </w:t>
      </w:r>
      <w:r w:rsidR="00E408B6">
        <w:t>colleges of advanced education (Kerr</w:t>
      </w:r>
      <w:r w:rsidR="00C26318">
        <w:t>, Pullman &amp; Standish 1987, pp.67—</w:t>
      </w:r>
      <w:r w:rsidR="0054625F">
        <w:t xml:space="preserve">8). </w:t>
      </w:r>
      <w:r w:rsidR="003C785E">
        <w:t>Today we have t</w:t>
      </w:r>
      <w:r w:rsidR="00A04EF7">
        <w:t>he professional d</w:t>
      </w:r>
      <w:r w:rsidR="003C785E" w:rsidRPr="003C785E">
        <w:t xml:space="preserve">octorate, </w:t>
      </w:r>
      <w:r w:rsidR="00990A07">
        <w:t xml:space="preserve">which according to </w:t>
      </w:r>
      <w:r w:rsidR="003C785E" w:rsidRPr="003C785E">
        <w:t>the University of Canberra website</w:t>
      </w:r>
      <w:r w:rsidR="00990A07">
        <w:t>, while highly regarded, still</w:t>
      </w:r>
      <w:r w:rsidR="000D6B0B">
        <w:t>:</w:t>
      </w:r>
    </w:p>
    <w:p w:rsidR="003C785E" w:rsidRPr="003C785E" w:rsidRDefault="003C785E" w:rsidP="000D6B0B">
      <w:pPr>
        <w:pStyle w:val="Quote"/>
      </w:pPr>
      <w:r w:rsidRPr="00990A07">
        <w:t>perhaps ranks a little below the PhD in pure research Universities</w:t>
      </w:r>
      <w:r w:rsidR="00990A07" w:rsidRPr="00990A07">
        <w:t xml:space="preserve"> [while]</w:t>
      </w:r>
      <w:r w:rsidRPr="00990A07">
        <w:t xml:space="preserve"> it often ranks more highly in workplaces. This is because the research done in a Professional Doctorate is usually more applied research with an emphasis on practical outcomes </w:t>
      </w:r>
      <w:r w:rsidR="00C26318">
        <w:t>&lt;</w:t>
      </w:r>
      <w:hyperlink r:id="rId18" w:history="1">
        <w:r w:rsidR="000D6B0B" w:rsidRPr="00CD5E09">
          <w:rPr>
            <w:rStyle w:val="Hyperlink"/>
          </w:rPr>
          <w:t>http://www.canberra.edu.au/ faculties/busgovlaw/study-with-bgl/research-courses</w:t>
        </w:r>
      </w:hyperlink>
      <w:r w:rsidR="00C26318">
        <w:t>&gt;</w:t>
      </w:r>
      <w:r w:rsidR="004A1109" w:rsidRPr="00990A07">
        <w:t>.</w:t>
      </w:r>
    </w:p>
    <w:p w:rsidR="00F21D41" w:rsidRDefault="003C785E" w:rsidP="007F5D19">
      <w:pPr>
        <w:pStyle w:val="Text"/>
      </w:pPr>
      <w:r>
        <w:t>So</w:t>
      </w:r>
      <w:r w:rsidR="004A1109">
        <w:t xml:space="preserve"> we return to parity of esteem, an issue that surely must be tackled again</w:t>
      </w:r>
      <w:r w:rsidR="00C26318">
        <w:t xml:space="preserve">, </w:t>
      </w:r>
      <w:r w:rsidR="000D6B0B">
        <w:t>particularly</w:t>
      </w:r>
      <w:r w:rsidR="004A1109">
        <w:t xml:space="preserve"> in times of budgetary constrain</w:t>
      </w:r>
      <w:r w:rsidR="00C26318">
        <w:t>t</w:t>
      </w:r>
      <w:r w:rsidR="004A1109">
        <w:t xml:space="preserve"> </w:t>
      </w:r>
      <w:r w:rsidR="000D6B0B">
        <w:t xml:space="preserve">and when </w:t>
      </w:r>
      <w:r w:rsidR="00F21D41">
        <w:t xml:space="preserve">the supply of </w:t>
      </w:r>
      <w:r w:rsidR="000C221B">
        <w:t>doctorates</w:t>
      </w:r>
      <w:r w:rsidR="00F21D41">
        <w:t xml:space="preserve"> is outstripping demand in much of the developed world</w:t>
      </w:r>
      <w:r w:rsidR="004A1109">
        <w:t xml:space="preserve"> </w:t>
      </w:r>
      <w:r w:rsidR="00C26318">
        <w:t>(</w:t>
      </w:r>
      <w:r w:rsidR="002245F6" w:rsidRPr="002245F6">
        <w:rPr>
          <w:szCs w:val="19"/>
        </w:rPr>
        <w:t>Cyranoski</w:t>
      </w:r>
      <w:r w:rsidR="002245F6">
        <w:t xml:space="preserve"> </w:t>
      </w:r>
      <w:r w:rsidR="002245F6" w:rsidRPr="002245F6">
        <w:rPr>
          <w:szCs w:val="19"/>
        </w:rPr>
        <w:t>et al</w:t>
      </w:r>
      <w:r w:rsidR="002245F6">
        <w:t>.</w:t>
      </w:r>
      <w:r w:rsidR="00A033A2" w:rsidRPr="00A033A2">
        <w:t xml:space="preserve"> 2011)</w:t>
      </w:r>
      <w:r w:rsidR="00A033A2">
        <w:t>.</w:t>
      </w:r>
      <w:r w:rsidR="00A033A2" w:rsidRPr="00A033A2">
        <w:t xml:space="preserve"> </w:t>
      </w:r>
      <w:r w:rsidR="0054625F">
        <w:t xml:space="preserve">This </w:t>
      </w:r>
      <w:r w:rsidR="00A033A2">
        <w:t xml:space="preserve">imbalance is encouraging scrutiny </w:t>
      </w:r>
      <w:r w:rsidR="00744D15">
        <w:t>of</w:t>
      </w:r>
      <w:r w:rsidR="0054625F">
        <w:t xml:space="preserve"> the purpose of </w:t>
      </w:r>
      <w:r w:rsidR="004A1109">
        <w:t>higher research degrees and the job prospects for graduates</w:t>
      </w:r>
      <w:r w:rsidR="0054625F">
        <w:t xml:space="preserve">. </w:t>
      </w:r>
    </w:p>
    <w:p w:rsidR="00F21D41" w:rsidRDefault="00F21D41" w:rsidP="003C785E">
      <w:pPr>
        <w:spacing w:before="0" w:line="240" w:lineRule="auto"/>
      </w:pPr>
      <w:r>
        <w:br w:type="page"/>
      </w:r>
    </w:p>
    <w:p w:rsidR="002E31DB" w:rsidRDefault="003E3FDD" w:rsidP="002E31DB">
      <w:pPr>
        <w:pStyle w:val="Heading1"/>
      </w:pPr>
      <w:bookmarkStart w:id="47" w:name="_Toc393293034"/>
      <w:r>
        <w:lastRenderedPageBreak/>
        <w:t>Lessons from the past</w:t>
      </w:r>
      <w:bookmarkEnd w:id="47"/>
    </w:p>
    <w:p w:rsidR="007D1F20" w:rsidRPr="007D1F20" w:rsidRDefault="007D1F20" w:rsidP="007D1F20">
      <w:pPr>
        <w:pStyle w:val="Text"/>
      </w:pPr>
      <w:r>
        <w:t xml:space="preserve">Looking back </w:t>
      </w:r>
      <w:r w:rsidR="000D6B0B">
        <w:t xml:space="preserve">in 1993 </w:t>
      </w:r>
      <w:r>
        <w:t xml:space="preserve">at the binary experiment, the Vice-Chancellor of the University of Western Sydney, Brian Smith, concluded: </w:t>
      </w:r>
    </w:p>
    <w:p w:rsidR="006E2C72" w:rsidRDefault="007D1F20" w:rsidP="00E0659E">
      <w:pPr>
        <w:pStyle w:val="Quote"/>
      </w:pPr>
      <w:r>
        <w:t>i</w:t>
      </w:r>
      <w:r w:rsidR="006E2C72">
        <w:t>n the overall development of higher education in Australia the CAE experience has been important and enduring. The advanced education values of providing access, seeking to assist those who are not necessarily in the top echelon of entrants, catering for a wide diversity of careers and professions, working closely with community, professional, industrial and business groups are important and must be represented strongly in any fut</w:t>
      </w:r>
      <w:r w:rsidR="00C26318">
        <w:t>ure system of higher education.</w:t>
      </w:r>
      <w:r w:rsidR="007F5D19">
        <w:br/>
      </w:r>
      <w:r w:rsidR="00C26318">
        <w:tab/>
        <w:t>(</w:t>
      </w:r>
      <w:r w:rsidR="000D6B0B">
        <w:t xml:space="preserve">Cited </w:t>
      </w:r>
      <w:r w:rsidR="00275BB8">
        <w:t>in Meek</w:t>
      </w:r>
      <w:r w:rsidR="00C26318">
        <w:t xml:space="preserve"> &amp; Harman</w:t>
      </w:r>
      <w:r w:rsidR="00E03241">
        <w:t xml:space="preserve"> 1993, p.</w:t>
      </w:r>
      <w:r w:rsidR="00275BB8">
        <w:t xml:space="preserve"> 177)</w:t>
      </w:r>
    </w:p>
    <w:p w:rsidR="00333A46" w:rsidRDefault="000C221B" w:rsidP="007F5D19">
      <w:pPr>
        <w:pStyle w:val="Text"/>
      </w:pPr>
      <w:r>
        <w:t>The v</w:t>
      </w:r>
      <w:r w:rsidR="00A03060">
        <w:t>alues</w:t>
      </w:r>
      <w:r w:rsidR="00333A46">
        <w:t xml:space="preserve"> of access, diversity and community relevance pertain in an era approaching universal</w:t>
      </w:r>
      <w:r w:rsidR="00A03060">
        <w:t xml:space="preserve"> tertiary education. </w:t>
      </w:r>
      <w:r w:rsidR="008F407F">
        <w:t xml:space="preserve">In </w:t>
      </w:r>
      <w:r w:rsidR="00A03060">
        <w:t>today</w:t>
      </w:r>
      <w:r w:rsidR="00AB306D">
        <w:t>’</w:t>
      </w:r>
      <w:r w:rsidR="00A03060">
        <w:t>s demand-</w:t>
      </w:r>
      <w:r w:rsidR="008F407F">
        <w:t xml:space="preserve">driven, fee-based system, the satisfaction of </w:t>
      </w:r>
      <w:r w:rsidR="00A03060">
        <w:t>students</w:t>
      </w:r>
      <w:r w:rsidR="008F407F">
        <w:t xml:space="preserve"> in their courses and their </w:t>
      </w:r>
      <w:r w:rsidR="00A03060">
        <w:t>prospects</w:t>
      </w:r>
      <w:r w:rsidR="008F407F">
        <w:t xml:space="preserve"> is a</w:t>
      </w:r>
      <w:r w:rsidR="00A03060">
        <w:t>nother</w:t>
      </w:r>
      <w:r w:rsidR="008F407F">
        <w:t xml:space="preserve"> crucial </w:t>
      </w:r>
      <w:r w:rsidR="00A03060">
        <w:t>element</w:t>
      </w:r>
      <w:r w:rsidR="008F407F">
        <w:t>.</w:t>
      </w:r>
      <w:r w:rsidR="00E03241">
        <w:t xml:space="preserve"> Nor was it ignored in the binary era.</w:t>
      </w:r>
      <w:r w:rsidR="008F407F">
        <w:t xml:space="preserve"> </w:t>
      </w:r>
      <w:r w:rsidR="00DD75ED">
        <w:t>Moses (in</w:t>
      </w:r>
      <w:r w:rsidR="007F5D19">
        <w:t> </w:t>
      </w:r>
      <w:r w:rsidR="00DD75ED">
        <w:t xml:space="preserve">Meek </w:t>
      </w:r>
      <w:r w:rsidR="003A32AF">
        <w:t xml:space="preserve">&amp; Harman </w:t>
      </w:r>
      <w:r w:rsidR="00E03241">
        <w:t>1993</w:t>
      </w:r>
      <w:r w:rsidR="003A32AF">
        <w:t>, pp.13—</w:t>
      </w:r>
      <w:r w:rsidR="00DD75ED">
        <w:t>14), looking at the satisfaction of college and university students with their education</w:t>
      </w:r>
      <w:r>
        <w:t>,</w:t>
      </w:r>
      <w:r w:rsidR="00DD75ED">
        <w:t xml:space="preserve"> found the binary system </w:t>
      </w:r>
      <w:r w:rsidR="00A03060">
        <w:t xml:space="preserve">did manage to </w:t>
      </w:r>
      <w:r w:rsidR="00744D15">
        <w:t xml:space="preserve">meet the expectations of </w:t>
      </w:r>
      <w:r w:rsidR="00A03060">
        <w:t xml:space="preserve">an expanded cohort of learners. </w:t>
      </w:r>
      <w:r w:rsidR="00E03241">
        <w:t>She quote</w:t>
      </w:r>
      <w:r w:rsidR="00744D15">
        <w:t>s</w:t>
      </w:r>
      <w:r w:rsidR="00742A00">
        <w:t xml:space="preserve"> from reviews of </w:t>
      </w:r>
      <w:r w:rsidR="00A03060">
        <w:t>engineering</w:t>
      </w:r>
      <w:r w:rsidR="00742A00">
        <w:t xml:space="preserve"> and accounting</w:t>
      </w:r>
      <w:r w:rsidR="00C210BE">
        <w:t xml:space="preserve"> courses</w:t>
      </w:r>
      <w:r w:rsidR="00742A00">
        <w:t xml:space="preserve"> </w:t>
      </w:r>
      <w:r w:rsidR="00A03060">
        <w:t xml:space="preserve">in which </w:t>
      </w:r>
      <w:r w:rsidR="00742A00">
        <w:t xml:space="preserve">college </w:t>
      </w:r>
      <w:r w:rsidR="00A03060">
        <w:t>students</w:t>
      </w:r>
      <w:r w:rsidR="00742A00">
        <w:t xml:space="preserve"> </w:t>
      </w:r>
      <w:r w:rsidR="00333A46">
        <w:t xml:space="preserve">said they found </w:t>
      </w:r>
      <w:r w:rsidR="00A03060">
        <w:t>less</w:t>
      </w:r>
      <w:r w:rsidR="00742A00">
        <w:t xml:space="preserve"> discrepancy between the</w:t>
      </w:r>
      <w:r w:rsidR="00A03060">
        <w:t xml:space="preserve"> engineering</w:t>
      </w:r>
      <w:r w:rsidR="00742A00">
        <w:t xml:space="preserve"> education they received and what they wanted,</w:t>
      </w:r>
      <w:r w:rsidR="00A03060">
        <w:t xml:space="preserve"> had more exposure to </w:t>
      </w:r>
      <w:r w:rsidR="00742A00">
        <w:t>skills</w:t>
      </w:r>
      <w:r w:rsidR="000D6B0B">
        <w:t>,</w:t>
      </w:r>
      <w:r w:rsidR="00A03060">
        <w:t xml:space="preserve"> knowledge</w:t>
      </w:r>
      <w:r w:rsidR="00742A00">
        <w:t xml:space="preserve"> and </w:t>
      </w:r>
      <w:r w:rsidR="00A03060">
        <w:t>techniques and a</w:t>
      </w:r>
      <w:r w:rsidR="00FE634F">
        <w:t xml:space="preserve"> </w:t>
      </w:r>
      <w:r w:rsidR="00742A00">
        <w:t xml:space="preserve">better </w:t>
      </w:r>
      <w:r w:rsidR="00A03060">
        <w:t>balance in the curriculum than did</w:t>
      </w:r>
      <w:r w:rsidR="00742A00">
        <w:t xml:space="preserve"> uni</w:t>
      </w:r>
      <w:r w:rsidR="00A03060">
        <w:t xml:space="preserve">versity students. The college students also </w:t>
      </w:r>
      <w:r w:rsidR="00742A00">
        <w:t>said their lecture</w:t>
      </w:r>
      <w:r w:rsidR="00A03060">
        <w:t>r</w:t>
      </w:r>
      <w:r w:rsidR="00742A00">
        <w:t xml:space="preserve">s </w:t>
      </w:r>
      <w:r w:rsidR="00A03060">
        <w:t>stimulated</w:t>
      </w:r>
      <w:r w:rsidR="00742A00">
        <w:t xml:space="preserve"> intellectual </w:t>
      </w:r>
      <w:r w:rsidR="00A03060">
        <w:t>curiosity.</w:t>
      </w:r>
      <w:r w:rsidR="00FE634F">
        <w:t xml:space="preserve"> </w:t>
      </w:r>
    </w:p>
    <w:p w:rsidR="00742A00" w:rsidRDefault="00333A46" w:rsidP="00B303FC">
      <w:pPr>
        <w:pStyle w:val="Text"/>
      </w:pPr>
      <w:r>
        <w:t xml:space="preserve">As </w:t>
      </w:r>
      <w:r w:rsidR="00744D15">
        <w:t xml:space="preserve">Moses points </w:t>
      </w:r>
      <w:r w:rsidR="00A03060">
        <w:t>out</w:t>
      </w:r>
      <w:r>
        <w:t>,</w:t>
      </w:r>
      <w:r w:rsidR="00A03060">
        <w:t xml:space="preserve"> satisfaction with the</w:t>
      </w:r>
      <w:r>
        <w:t>ir</w:t>
      </w:r>
      <w:r w:rsidR="00A03060">
        <w:t xml:space="preserve"> course</w:t>
      </w:r>
      <w:r>
        <w:t>s</w:t>
      </w:r>
      <w:r w:rsidR="00A03060">
        <w:t xml:space="preserve"> do</w:t>
      </w:r>
      <w:r>
        <w:t>es</w:t>
      </w:r>
      <w:r w:rsidR="00A03060">
        <w:t xml:space="preserve"> not mea</w:t>
      </w:r>
      <w:r w:rsidR="00742A00">
        <w:t>n</w:t>
      </w:r>
      <w:r w:rsidR="00A03060">
        <w:t xml:space="preserve"> students became competent p</w:t>
      </w:r>
      <w:r>
        <w:t xml:space="preserve">rofessionals. </w:t>
      </w:r>
      <w:r w:rsidR="00E03241">
        <w:t>Yet t</w:t>
      </w:r>
      <w:r>
        <w:t>he best colleges</w:t>
      </w:r>
      <w:r w:rsidR="00742A00">
        <w:t xml:space="preserve"> were </w:t>
      </w:r>
      <w:r w:rsidR="00A03060">
        <w:t>also delivering</w:t>
      </w:r>
      <w:r w:rsidR="00742A00">
        <w:t xml:space="preserve"> the grad</w:t>
      </w:r>
      <w:r w:rsidR="003B74DE">
        <w:t xml:space="preserve">uates the labour market wanted: two </w:t>
      </w:r>
      <w:r w:rsidR="00C210BE">
        <w:t>Canberra College of Advanced Education</w:t>
      </w:r>
      <w:r w:rsidR="003B74DE">
        <w:t xml:space="preserve"> graduates in secretarial studies </w:t>
      </w:r>
      <w:r>
        <w:t xml:space="preserve">― yes, times have changed ― </w:t>
      </w:r>
      <w:r w:rsidR="003B74DE">
        <w:t>were appointed as personal secretaries to permanent heads in the Australian Public Service (Richardson</w:t>
      </w:r>
      <w:r w:rsidR="007C42C4">
        <w:t xml:space="preserve"> </w:t>
      </w:r>
      <w:r w:rsidR="00E03241">
        <w:t>1979</w:t>
      </w:r>
      <w:r w:rsidR="003B74DE">
        <w:t>, p.216)</w:t>
      </w:r>
      <w:r>
        <w:t xml:space="preserve"> </w:t>
      </w:r>
      <w:r w:rsidR="003B74DE">
        <w:t>and WAIT</w:t>
      </w:r>
      <w:r w:rsidR="00AB306D">
        <w:t>’</w:t>
      </w:r>
      <w:r w:rsidR="003B74DE">
        <w:t>s pharmacists went on to occupy senior positions in government and in Perth</w:t>
      </w:r>
      <w:r w:rsidR="00AB306D">
        <w:t>’</w:t>
      </w:r>
      <w:r w:rsidR="003B74DE">
        <w:t>s major hospitals (White</w:t>
      </w:r>
      <w:r w:rsidR="00E03241">
        <w:t xml:space="preserve"> 1996</w:t>
      </w:r>
      <w:r w:rsidR="00C210BE">
        <w:t>, pp.9—</w:t>
      </w:r>
      <w:r w:rsidR="003B74DE">
        <w:t>10).</w:t>
      </w:r>
    </w:p>
    <w:p w:rsidR="003B74DE" w:rsidRDefault="003B74DE" w:rsidP="00B303FC">
      <w:pPr>
        <w:pStyle w:val="Text"/>
      </w:pPr>
      <w:r w:rsidRPr="003B74DE">
        <w:t xml:space="preserve">Despite these successes in producing </w:t>
      </w:r>
      <w:r w:rsidR="00333A46">
        <w:t xml:space="preserve">higher education </w:t>
      </w:r>
      <w:r w:rsidRPr="003B74DE">
        <w:t xml:space="preserve">graduates who </w:t>
      </w:r>
      <w:r w:rsidR="00333A46">
        <w:t>found</w:t>
      </w:r>
      <w:r w:rsidRPr="003B74DE">
        <w:t xml:space="preserve"> jobs</w:t>
      </w:r>
      <w:r w:rsidR="00333A46">
        <w:t xml:space="preserve"> in their vocational orientations</w:t>
      </w:r>
      <w:r w:rsidRPr="003B74DE">
        <w:t xml:space="preserve">, the system broke down as the institutions within it strove for uniformity. </w:t>
      </w:r>
      <w:r w:rsidR="00747B02">
        <w:t xml:space="preserve">Davies records that </w:t>
      </w:r>
      <w:r>
        <w:t>Martin was t</w:t>
      </w:r>
      <w:r w:rsidRPr="0055071C">
        <w:t>old</w:t>
      </w:r>
      <w:r w:rsidR="000D6B0B" w:rsidRPr="0055071C">
        <w:t xml:space="preserve"> when on a study tour</w:t>
      </w:r>
      <w:r w:rsidRPr="0055071C">
        <w:t xml:space="preserve"> in</w:t>
      </w:r>
      <w:r>
        <w:t xml:space="preserve"> Washington, </w:t>
      </w:r>
      <w:r w:rsidR="00AB306D">
        <w:t>‘</w:t>
      </w:r>
      <w:r>
        <w:t>the instinct of these lower-level institutes if left to their own devices is to grow horizontally and vertically</w:t>
      </w:r>
      <w:r w:rsidR="00AB306D">
        <w:t>’</w:t>
      </w:r>
      <w:r>
        <w:t xml:space="preserve">. It was dog eat dog </w:t>
      </w:r>
      <w:r w:rsidR="00AB306D">
        <w:t>‘</w:t>
      </w:r>
      <w:r>
        <w:t>unless the division</w:t>
      </w:r>
      <w:r w:rsidR="0041307D">
        <w:t xml:space="preserve"> of labour between the junior college, the State college and the university, is a</w:t>
      </w:r>
      <w:r>
        <w:t xml:space="preserve"> good and tenable</w:t>
      </w:r>
      <w:r w:rsidR="0041307D">
        <w:t xml:space="preserve"> one</w:t>
      </w:r>
      <w:r w:rsidR="00AB306D">
        <w:t>’</w:t>
      </w:r>
      <w:r w:rsidR="0041307D">
        <w:t xml:space="preserve"> as was the case in California</w:t>
      </w:r>
      <w:r>
        <w:t xml:space="preserve"> (Davies</w:t>
      </w:r>
      <w:r w:rsidR="00E03241">
        <w:t xml:space="preserve"> 1989,</w:t>
      </w:r>
      <w:r>
        <w:t xml:space="preserve"> </w:t>
      </w:r>
      <w:r w:rsidR="00665E8D">
        <w:t>p.</w:t>
      </w:r>
      <w:r>
        <w:t>172)</w:t>
      </w:r>
      <w:r w:rsidR="00916A3E">
        <w:t>.</w:t>
      </w:r>
      <w:r>
        <w:t xml:space="preserve"> </w:t>
      </w:r>
    </w:p>
    <w:p w:rsidR="0041307D" w:rsidRDefault="0041307D" w:rsidP="00B303FC">
      <w:pPr>
        <w:pStyle w:val="Text"/>
      </w:pPr>
      <w:r>
        <w:t>In Australia, there were ambiguities in the binary policy</w:t>
      </w:r>
      <w:r w:rsidR="000C221B" w:rsidRPr="000C221B">
        <w:t xml:space="preserve"> </w:t>
      </w:r>
      <w:r w:rsidR="000C221B">
        <w:t>from the very beginning</w:t>
      </w:r>
      <w:r>
        <w:t>, although the aim was clear: to find an affordable way to provide access to higher education to all who were capable, as well as to n</w:t>
      </w:r>
      <w:r w:rsidR="00A04EF7">
        <w:t>urture the best in universities</w:t>
      </w:r>
      <w:r>
        <w:t xml:space="preserve"> in terms of higher learning and research. That demanded a two-pronged approach but it became a tiered one, moving </w:t>
      </w:r>
      <w:r w:rsidR="003A56FC">
        <w:t xml:space="preserve">incrementally </w:t>
      </w:r>
      <w:r>
        <w:t>from one t</w:t>
      </w:r>
      <w:r w:rsidR="003A56FC">
        <w:t xml:space="preserve">hat was </w:t>
      </w:r>
      <w:r w:rsidR="00AB306D">
        <w:t>‘</w:t>
      </w:r>
      <w:r w:rsidR="003A56FC">
        <w:t>equal but different</w:t>
      </w:r>
      <w:r w:rsidR="00AB306D">
        <w:t>’</w:t>
      </w:r>
      <w:r w:rsidR="003A56FC">
        <w:t>, to</w:t>
      </w:r>
      <w:r>
        <w:t xml:space="preserve"> one that was not equal but </w:t>
      </w:r>
      <w:r w:rsidR="00665E8D">
        <w:t xml:space="preserve">was </w:t>
      </w:r>
      <w:r>
        <w:t>cheaper</w:t>
      </w:r>
      <w:r w:rsidR="00C210BE">
        <w:t>,</w:t>
      </w:r>
      <w:r>
        <w:t xml:space="preserve"> to one that was different but not by much (Smith </w:t>
      </w:r>
      <w:r w:rsidR="00665E8D">
        <w:t>in Meek</w:t>
      </w:r>
      <w:r w:rsidR="00C210BE">
        <w:t xml:space="preserve"> &amp; Harman 1993, pp.174—</w:t>
      </w:r>
      <w:r>
        <w:t xml:space="preserve">6). </w:t>
      </w:r>
    </w:p>
    <w:p w:rsidR="0041307D" w:rsidRDefault="0041307D" w:rsidP="00B303FC">
      <w:pPr>
        <w:pStyle w:val="Text"/>
      </w:pPr>
      <w:r>
        <w:t xml:space="preserve">Had Martin followed the Californian plan more closely he may have recommended more prescriptive </w:t>
      </w:r>
      <w:r w:rsidR="00395FCB">
        <w:t xml:space="preserve">legislation to guide the implementation of a new kind of higher education. But even had he done so, there was no guarantee his recommendation would have been accepted. While the Commonwealth </w:t>
      </w:r>
      <w:r w:rsidR="00C210BE">
        <w:t>G</w:t>
      </w:r>
      <w:r w:rsidR="00395FCB">
        <w:t xml:space="preserve">overnment was prepared to </w:t>
      </w:r>
      <w:r w:rsidR="00665E8D">
        <w:t xml:space="preserve">be </w:t>
      </w:r>
      <w:r w:rsidR="00395FCB">
        <w:t>magnanimous when it came to funding, it tr</w:t>
      </w:r>
      <w:r w:rsidR="00744D15">
        <w:t xml:space="preserve">od very warily when it </w:t>
      </w:r>
      <w:r w:rsidR="00744D15">
        <w:lastRenderedPageBreak/>
        <w:t>came to s</w:t>
      </w:r>
      <w:r w:rsidR="00395FCB">
        <w:t>tates</w:t>
      </w:r>
      <w:r w:rsidR="00AB306D">
        <w:t>’</w:t>
      </w:r>
      <w:r w:rsidR="00395FCB">
        <w:t xml:space="preserve"> rights. And Gorton moved away from the Menzies model of a University Commission at some distance from government to a more direct oversight of the colleges. </w:t>
      </w:r>
    </w:p>
    <w:p w:rsidR="00EC2A2F" w:rsidRDefault="001F341F" w:rsidP="00B303FC">
      <w:pPr>
        <w:pStyle w:val="Text"/>
      </w:pPr>
      <w:r>
        <w:t>G</w:t>
      </w:r>
      <w:r w:rsidR="00395FCB">
        <w:t xml:space="preserve">overnment regulation was needed to set parameters, not to </w:t>
      </w:r>
      <w:r w:rsidR="00C210BE">
        <w:t>become</w:t>
      </w:r>
      <w:r w:rsidR="00395FCB">
        <w:t xml:space="preserve"> involved</w:t>
      </w:r>
      <w:r>
        <w:t>, as was the case during the binary years,</w:t>
      </w:r>
      <w:r w:rsidR="00395FCB">
        <w:t xml:space="preserve"> in the day-to-day operations of the in</w:t>
      </w:r>
      <w:r w:rsidR="00665E8D">
        <w:t xml:space="preserve">stitutions. As Davies concluded, </w:t>
      </w:r>
      <w:r w:rsidR="00AB306D">
        <w:t>‘</w:t>
      </w:r>
      <w:r w:rsidR="00665E8D">
        <w:t>i</w:t>
      </w:r>
      <w:r w:rsidR="00395FCB">
        <w:t>nstitutional</w:t>
      </w:r>
      <w:r w:rsidR="00EC2A2F">
        <w:t xml:space="preserve"> </w:t>
      </w:r>
      <w:r w:rsidR="00395FCB">
        <w:t>autonomy is</w:t>
      </w:r>
      <w:r w:rsidR="00EC2A2F">
        <w:t xml:space="preserve"> important to foster </w:t>
      </w:r>
      <w:r w:rsidR="00395FCB">
        <w:t>differentiation a</w:t>
      </w:r>
      <w:r w:rsidR="00EC2A2F">
        <w:t>n</w:t>
      </w:r>
      <w:r w:rsidR="00395FCB">
        <w:t>d to meet</w:t>
      </w:r>
      <w:r w:rsidR="00EC2A2F">
        <w:t xml:space="preserve"> community needs</w:t>
      </w:r>
      <w:r w:rsidR="00395FCB">
        <w:t xml:space="preserve">; regulation can help to </w:t>
      </w:r>
      <w:r w:rsidR="00EC2A2F">
        <w:t xml:space="preserve">coordinate </w:t>
      </w:r>
      <w:r w:rsidR="00395FCB">
        <w:t xml:space="preserve">a </w:t>
      </w:r>
      <w:r w:rsidR="00EC2A2F">
        <w:t xml:space="preserve">system of </w:t>
      </w:r>
      <w:r w:rsidR="00395FCB">
        <w:t>institutions</w:t>
      </w:r>
      <w:r w:rsidR="00FC7B3B">
        <w:t xml:space="preserve"> </w:t>
      </w:r>
      <w:r w:rsidR="00EC2A2F">
        <w:t xml:space="preserve">of </w:t>
      </w:r>
      <w:r w:rsidR="00395FCB">
        <w:t>different standards</w:t>
      </w:r>
      <w:r w:rsidR="00AB306D">
        <w:t>’</w:t>
      </w:r>
      <w:r w:rsidR="007B0B02">
        <w:t xml:space="preserve"> (</w:t>
      </w:r>
      <w:r w:rsidR="000E181C">
        <w:t xml:space="preserve">1989, </w:t>
      </w:r>
      <w:r w:rsidR="007B0B02">
        <w:t>p.</w:t>
      </w:r>
      <w:r w:rsidR="00EC2A2F">
        <w:t>176</w:t>
      </w:r>
      <w:r w:rsidR="007B0B02">
        <w:t xml:space="preserve">). </w:t>
      </w:r>
    </w:p>
    <w:p w:rsidR="007B0B02" w:rsidRDefault="007B0B02" w:rsidP="00B303FC">
      <w:pPr>
        <w:pStyle w:val="Text"/>
      </w:pPr>
      <w:r>
        <w:t xml:space="preserve">The way these institutions are funded also matters </w:t>
      </w:r>
      <w:r w:rsidR="00665E8D">
        <w:t>―</w:t>
      </w:r>
      <w:r>
        <w:t xml:space="preserve"> impoverished </w:t>
      </w:r>
      <w:r w:rsidR="00665E8D">
        <w:t>colle</w:t>
      </w:r>
      <w:r>
        <w:t>ges struggle</w:t>
      </w:r>
      <w:r w:rsidR="00665E8D">
        <w:t>d</w:t>
      </w:r>
      <w:r>
        <w:t xml:space="preserve"> to achieve their mandates. I</w:t>
      </w:r>
      <w:r w:rsidR="002E7707">
        <w:t>nitially</w:t>
      </w:r>
      <w:r>
        <w:t>, the binary system in Australia</w:t>
      </w:r>
      <w:r w:rsidR="002E7707">
        <w:t xml:space="preserve"> had generous funding</w:t>
      </w:r>
      <w:r w:rsidR="00C210BE">
        <w:t>,</w:t>
      </w:r>
      <w:r w:rsidR="002E7707">
        <w:t xml:space="preserve"> although Gorton always expected the </w:t>
      </w:r>
      <w:r>
        <w:t>advanced</w:t>
      </w:r>
      <w:r w:rsidR="002E7707">
        <w:t xml:space="preserve"> education sector </w:t>
      </w:r>
      <w:r>
        <w:t>t</w:t>
      </w:r>
      <w:r w:rsidR="002E7707">
        <w:t xml:space="preserve">o be </w:t>
      </w:r>
      <w:r>
        <w:t xml:space="preserve">cheaper. He envisaged </w:t>
      </w:r>
      <w:r w:rsidR="00665E8D">
        <w:t xml:space="preserve">the expansion of college education would free up funds for a smaller set of universities to continue their dual function of academic teaching and </w:t>
      </w:r>
      <w:r>
        <w:t>research</w:t>
      </w:r>
      <w:r w:rsidR="00665E8D">
        <w:t>. In fact, t</w:t>
      </w:r>
      <w:r>
        <w:t>he expansion spawned too many college</w:t>
      </w:r>
      <w:r w:rsidR="00C210BE">
        <w:t>s, especially once the teachers</w:t>
      </w:r>
      <w:r>
        <w:t xml:space="preserve"> colleges </w:t>
      </w:r>
      <w:r w:rsidR="00C210BE">
        <w:t>joined</w:t>
      </w:r>
      <w:r>
        <w:t xml:space="preserve"> the system in the 1970s</w:t>
      </w:r>
      <w:r w:rsidR="00C210BE">
        <w:t>,</w:t>
      </w:r>
      <w:r>
        <w:t xml:space="preserve"> just as the demographic conditions changed the demand for their offerings. With universities also squeezed, many started to encroach on the disciplines being offered in the colleges, which in turn </w:t>
      </w:r>
      <w:r w:rsidR="00C210BE">
        <w:t>began</w:t>
      </w:r>
      <w:r>
        <w:t xml:space="preserve"> to e</w:t>
      </w:r>
      <w:r w:rsidR="00C210BE">
        <w:t>nvy</w:t>
      </w:r>
      <w:r>
        <w:t xml:space="preserve"> research funds. Differentiation was lost in the scramble for a cut of </w:t>
      </w:r>
      <w:r w:rsidR="004D6321">
        <w:t>the funding</w:t>
      </w:r>
      <w:r>
        <w:t xml:space="preserve"> pie. </w:t>
      </w:r>
    </w:p>
    <w:p w:rsidR="00621564" w:rsidRDefault="00FA3597" w:rsidP="00B303FC">
      <w:pPr>
        <w:pStyle w:val="Text"/>
      </w:pPr>
      <w:r>
        <w:t xml:space="preserve">While the goal of parity of esteem was not reached, the idea of a mass higher education </w:t>
      </w:r>
      <w:r w:rsidR="00621564">
        <w:t>system organised to distinguish</w:t>
      </w:r>
      <w:r>
        <w:t xml:space="preserve"> between educating a growing part of the workforce</w:t>
      </w:r>
      <w:r w:rsidR="00665E8D">
        <w:t xml:space="preserve"> </w:t>
      </w:r>
      <w:r w:rsidR="00747B02">
        <w:t xml:space="preserve">on </w:t>
      </w:r>
      <w:r w:rsidR="000D6B0B">
        <w:t xml:space="preserve">the </w:t>
      </w:r>
      <w:r w:rsidR="00747B02">
        <w:t xml:space="preserve">one hand </w:t>
      </w:r>
      <w:r w:rsidR="00665E8D">
        <w:t xml:space="preserve">and </w:t>
      </w:r>
      <w:r>
        <w:t xml:space="preserve">fostering excellence in research </w:t>
      </w:r>
      <w:r w:rsidR="000D6B0B">
        <w:t xml:space="preserve">on the other </w:t>
      </w:r>
      <w:r>
        <w:t xml:space="preserve">is worth consideration. One lesson from the earlier binary experiment is to avoid false dichotomies </w:t>
      </w:r>
      <w:r w:rsidR="00A04EF7">
        <w:t>in</w:t>
      </w:r>
      <w:r>
        <w:t xml:space="preserve"> research.</w:t>
      </w:r>
      <w:r w:rsidR="00621564">
        <w:t xml:space="preserve"> Speaking of science in the inaugural Wark Lecture, </w:t>
      </w:r>
      <w:r w:rsidR="000C221B">
        <w:t xml:space="preserve">the </w:t>
      </w:r>
      <w:r w:rsidR="00621564">
        <w:t>chemical physicist, Lloyd Rees</w:t>
      </w:r>
      <w:r w:rsidR="000273E9">
        <w:t xml:space="preserve"> (1987, pp</w:t>
      </w:r>
      <w:r w:rsidR="000C221B">
        <w:t>.</w:t>
      </w:r>
      <w:r w:rsidR="000273E9">
        <w:t>7—8)</w:t>
      </w:r>
      <w:r w:rsidR="00621564">
        <w:t>, explained:</w:t>
      </w:r>
    </w:p>
    <w:p w:rsidR="00621564" w:rsidRPr="00744D15" w:rsidRDefault="00621564" w:rsidP="00744D15">
      <w:pPr>
        <w:pStyle w:val="Quote"/>
      </w:pPr>
      <w:r w:rsidRPr="00744D15">
        <w:t xml:space="preserve">Research is characterized by unpredictability; it is the exploration of the unknown, qualifications, such as </w:t>
      </w:r>
      <w:r w:rsidR="00AB306D">
        <w:t>‘</w:t>
      </w:r>
      <w:r w:rsidRPr="00744D15">
        <w:t>pure</w:t>
      </w:r>
      <w:r w:rsidR="00AB306D">
        <w:t>’</w:t>
      </w:r>
      <w:r w:rsidRPr="00744D15">
        <w:t xml:space="preserve">, </w:t>
      </w:r>
      <w:r w:rsidR="00AB306D">
        <w:t>‘</w:t>
      </w:r>
      <w:r w:rsidRPr="00744D15">
        <w:t>applied</w:t>
      </w:r>
      <w:r w:rsidR="00AB306D">
        <w:t>’</w:t>
      </w:r>
      <w:r w:rsidRPr="00744D15">
        <w:t xml:space="preserve">, </w:t>
      </w:r>
      <w:r w:rsidR="00AB306D">
        <w:t>‘</w:t>
      </w:r>
      <w:r w:rsidRPr="00744D15">
        <w:t>basic</w:t>
      </w:r>
      <w:r w:rsidR="00AB306D">
        <w:t>’</w:t>
      </w:r>
      <w:r w:rsidRPr="00744D15">
        <w:t xml:space="preserve">, </w:t>
      </w:r>
      <w:r w:rsidR="00AB306D">
        <w:t>‘</w:t>
      </w:r>
      <w:r w:rsidRPr="00744D15">
        <w:t>committed</w:t>
      </w:r>
      <w:r w:rsidR="00AB306D">
        <w:t>’</w:t>
      </w:r>
      <w:r w:rsidRPr="00744D15">
        <w:t xml:space="preserve"> do not alter these statements</w:t>
      </w:r>
      <w:r w:rsidR="000273E9">
        <w:t xml:space="preserve"> </w:t>
      </w:r>
      <w:r w:rsidRPr="00744D15">
        <w:t>…</w:t>
      </w:r>
      <w:r w:rsidR="000273E9">
        <w:t xml:space="preserve"> </w:t>
      </w:r>
      <w:r w:rsidRPr="00744D15">
        <w:t>Non-research science may require the exercise of considerable ingenuity, which is the clever manipulation of existing knowledge to achieve a r</w:t>
      </w:r>
      <w:r w:rsidR="000273E9">
        <w:t>ecognizable technical goal.</w:t>
      </w:r>
    </w:p>
    <w:p w:rsidR="006C5195" w:rsidRDefault="00665E8D" w:rsidP="008451E6">
      <w:pPr>
        <w:pStyle w:val="Text"/>
        <w:ind w:right="-143"/>
      </w:pPr>
      <w:r>
        <w:t>Attila Brungs, t</w:t>
      </w:r>
      <w:r w:rsidR="000273E9">
        <w:t>he incoming Vice-</w:t>
      </w:r>
      <w:r w:rsidR="00621564">
        <w:t>Chancellor of the University of Technology</w:t>
      </w:r>
      <w:r w:rsidR="000D6B0B">
        <w:t>,</w:t>
      </w:r>
      <w:r w:rsidR="00621564">
        <w:t xml:space="preserve"> Sydney </w:t>
      </w:r>
      <w:r w:rsidR="008841A3">
        <w:t>―</w:t>
      </w:r>
      <w:r w:rsidR="00621564">
        <w:t xml:space="preserve"> an institution that</w:t>
      </w:r>
      <w:r w:rsidR="008451E6">
        <w:t> </w:t>
      </w:r>
      <w:r w:rsidR="00621564">
        <w:t>grew out of the Sydney Technical School</w:t>
      </w:r>
      <w:r w:rsidR="000273E9">
        <w:t>,</w:t>
      </w:r>
      <w:r w:rsidR="00621564">
        <w:t xml:space="preserve"> established in 1891</w:t>
      </w:r>
      <w:r w:rsidR="008841A3">
        <w:t>―</w:t>
      </w:r>
      <w:r w:rsidR="00621564">
        <w:t xml:space="preserve"> also does not like the term </w:t>
      </w:r>
      <w:r w:rsidR="00AB306D">
        <w:t>‘</w:t>
      </w:r>
      <w:r w:rsidR="00621564">
        <w:t>applied research</w:t>
      </w:r>
      <w:r w:rsidR="00AB306D">
        <w:t>’</w:t>
      </w:r>
      <w:r w:rsidR="00DA4A0D">
        <w:t xml:space="preserve"> as it </w:t>
      </w:r>
      <w:r w:rsidR="00AB306D">
        <w:t>‘</w:t>
      </w:r>
      <w:r w:rsidR="00621564">
        <w:t>gives connotations that you</w:t>
      </w:r>
      <w:r w:rsidR="00AB306D">
        <w:t>’</w:t>
      </w:r>
      <w:r w:rsidR="00621564">
        <w:t>re down one end of the research spect</w:t>
      </w:r>
      <w:r w:rsidR="000C221B">
        <w:t>rum. You can do basic research [which]</w:t>
      </w:r>
      <w:r w:rsidR="00621564">
        <w:t xml:space="preserve"> has impact, and has an intention of impact as well</w:t>
      </w:r>
      <w:r w:rsidR="00AB306D">
        <w:t>’</w:t>
      </w:r>
      <w:r w:rsidR="00621564">
        <w:t xml:space="preserve"> (</w:t>
      </w:r>
      <w:r w:rsidR="000E181C">
        <w:t>quoted</w:t>
      </w:r>
      <w:r w:rsidR="00DA4A0D">
        <w:t xml:space="preserve"> in </w:t>
      </w:r>
      <w:r w:rsidR="00621564">
        <w:t>Ross</w:t>
      </w:r>
      <w:r w:rsidR="000E181C">
        <w:t xml:space="preserve"> </w:t>
      </w:r>
      <w:r w:rsidR="00621564">
        <w:t>2013)</w:t>
      </w:r>
      <w:r w:rsidR="00DA4A0D">
        <w:t>.</w:t>
      </w:r>
      <w:r w:rsidR="00621564">
        <w:t xml:space="preserve"> </w:t>
      </w:r>
    </w:p>
    <w:p w:rsidR="0055611E" w:rsidRDefault="00665E8D" w:rsidP="00B303FC">
      <w:pPr>
        <w:pStyle w:val="Text"/>
      </w:pPr>
      <w:r>
        <w:t xml:space="preserve">To avoid these </w:t>
      </w:r>
      <w:r w:rsidR="006C5195">
        <w:t xml:space="preserve">semantics, it may be useful to revive the word </w:t>
      </w:r>
      <w:r w:rsidR="00AB306D">
        <w:t>‘</w:t>
      </w:r>
      <w:r w:rsidR="006C5195">
        <w:t>scholarship</w:t>
      </w:r>
      <w:r w:rsidR="00AB306D">
        <w:t>’</w:t>
      </w:r>
      <w:r w:rsidR="006C5195">
        <w:t xml:space="preserve"> and recognise, as Professor </w:t>
      </w:r>
      <w:r w:rsidR="008B5646">
        <w:t xml:space="preserve">Johnson pointed out (see </w:t>
      </w:r>
      <w:r w:rsidR="008B5646" w:rsidRPr="00DA6A80">
        <w:t>p.23</w:t>
      </w:r>
      <w:r w:rsidR="006C5195">
        <w:t xml:space="preserve">), that this is an inherent part of all higher education. This might avoid the emergence of a second-tier </w:t>
      </w:r>
      <w:r w:rsidR="00AB306D">
        <w:t>‘</w:t>
      </w:r>
      <w:r w:rsidR="006C5195">
        <w:t>teaching only</w:t>
      </w:r>
      <w:r w:rsidR="00AB306D">
        <w:t>’</w:t>
      </w:r>
      <w:r w:rsidR="006C5195">
        <w:t xml:space="preserve"> institution</w:t>
      </w:r>
      <w:r w:rsidR="000273E9">
        <w:t>, which</w:t>
      </w:r>
      <w:r w:rsidR="006C5195">
        <w:t xml:space="preserve"> without scholarly practice</w:t>
      </w:r>
      <w:r w:rsidR="00747B02">
        <w:t xml:space="preserve"> (critical reflection and the dissemination of knowledge)</w:t>
      </w:r>
      <w:r w:rsidR="006C5195">
        <w:rPr>
          <w:rStyle w:val="FootnoteReference"/>
        </w:rPr>
        <w:footnoteReference w:id="10"/>
      </w:r>
      <w:r w:rsidR="0055611E">
        <w:t xml:space="preserve"> </w:t>
      </w:r>
      <w:r w:rsidR="006C5195">
        <w:t xml:space="preserve">is unlikely to cultivate the creative minds needed in the </w:t>
      </w:r>
      <w:r w:rsidR="000273E9">
        <w:t>twenty-first-</w:t>
      </w:r>
      <w:r w:rsidR="006C5195">
        <w:t xml:space="preserve">century workforce. </w:t>
      </w:r>
      <w:r w:rsidR="0055611E">
        <w:t xml:space="preserve">That practice can be nurtured by strong </w:t>
      </w:r>
      <w:r w:rsidR="006E5820">
        <w:t>collaborations with industry, the professions and</w:t>
      </w:r>
      <w:r w:rsidR="000273E9">
        <w:t xml:space="preserve"> the</w:t>
      </w:r>
      <w:r w:rsidR="006E5820">
        <w:t xml:space="preserve"> broader community, which </w:t>
      </w:r>
      <w:r w:rsidR="00744D15">
        <w:t xml:space="preserve">could even </w:t>
      </w:r>
      <w:r w:rsidR="006E5820">
        <w:t>bring the added benefit of greater appreciation of this</w:t>
      </w:r>
      <w:r w:rsidR="00744D15">
        <w:t xml:space="preserve"> scholarly</w:t>
      </w:r>
      <w:r w:rsidR="006E5820">
        <w:t xml:space="preserve"> function within higher education, whether it be oriented towards discovering or applying knowledge. </w:t>
      </w:r>
    </w:p>
    <w:p w:rsidR="008313BC" w:rsidRDefault="006C5195" w:rsidP="00FB48B2">
      <w:pPr>
        <w:pStyle w:val="Text"/>
      </w:pPr>
      <w:r>
        <w:t xml:space="preserve">This does </w:t>
      </w:r>
      <w:r w:rsidR="006E5820">
        <w:t xml:space="preserve">not fully </w:t>
      </w:r>
      <w:r w:rsidR="00086668">
        <w:t xml:space="preserve">address the question of </w:t>
      </w:r>
      <w:r w:rsidR="006E5820">
        <w:t>public</w:t>
      </w:r>
      <w:r w:rsidR="00086668">
        <w:t xml:space="preserve"> funding</w:t>
      </w:r>
      <w:r w:rsidR="000273E9">
        <w:t xml:space="preserve"> for research </w:t>
      </w:r>
      <w:r w:rsidR="006E5820">
        <w:t>in higher educat</w:t>
      </w:r>
      <w:r w:rsidR="00041295">
        <w:t>i</w:t>
      </w:r>
      <w:r w:rsidR="006E5820">
        <w:t>on</w:t>
      </w:r>
      <w:r w:rsidR="00086668">
        <w:t xml:space="preserve">. The </w:t>
      </w:r>
      <w:r w:rsidR="000D6B0B">
        <w:t xml:space="preserve">experience of the </w:t>
      </w:r>
      <w:r w:rsidR="009457D9">
        <w:t>colleges of advanced education</w:t>
      </w:r>
      <w:r w:rsidR="00086668">
        <w:t xml:space="preserve"> showed that drawing an arbitrary line between research and non-research institutions was neither possible nor desirable. Nor do f</w:t>
      </w:r>
      <w:r w:rsidR="008841A3" w:rsidRPr="008841A3">
        <w:t xml:space="preserve">unding models that </w:t>
      </w:r>
      <w:r w:rsidR="00A6129D">
        <w:t>elevate</w:t>
      </w:r>
      <w:r w:rsidR="008841A3" w:rsidRPr="008841A3">
        <w:t xml:space="preserve"> research </w:t>
      </w:r>
      <w:r w:rsidR="00A6129D">
        <w:t>above</w:t>
      </w:r>
      <w:r w:rsidR="008841A3" w:rsidRPr="008841A3">
        <w:t xml:space="preserve"> teaching </w:t>
      </w:r>
      <w:r w:rsidR="00086668">
        <w:t>promote</w:t>
      </w:r>
      <w:r w:rsidR="008313BC">
        <w:t xml:space="preserve"> excellence across the system</w:t>
      </w:r>
      <w:r w:rsidR="00086668">
        <w:t>. That said, differentiation is essential</w:t>
      </w:r>
      <w:r w:rsidR="00A6129D">
        <w:t>,</w:t>
      </w:r>
      <w:r w:rsidR="00086668">
        <w:t xml:space="preserve"> </w:t>
      </w:r>
      <w:r w:rsidR="008313BC">
        <w:t>as Peter Karmel argued in the 1992 Sir Robert Menzies Oration</w:t>
      </w:r>
      <w:r w:rsidR="00FB48B2">
        <w:t xml:space="preserve">, </w:t>
      </w:r>
      <w:r w:rsidR="00AB306D">
        <w:t>‘</w:t>
      </w:r>
      <w:r w:rsidR="008313BC">
        <w:t xml:space="preserve">concentration of advanced </w:t>
      </w:r>
      <w:r w:rsidR="008313BC">
        <w:lastRenderedPageBreak/>
        <w:t>learning and research should be promoted among a limited number of universities for each major field of study</w:t>
      </w:r>
      <w:r w:rsidR="00A6129D">
        <w:t xml:space="preserve"> </w:t>
      </w:r>
      <w:r w:rsidR="008313BC">
        <w:t>…</w:t>
      </w:r>
      <w:r w:rsidR="00A6129D">
        <w:t xml:space="preserve"> </w:t>
      </w:r>
      <w:r w:rsidR="008313BC">
        <w:t>It is certainly not clever to spread resources too thinly</w:t>
      </w:r>
      <w:r w:rsidR="00AB306D">
        <w:t>’</w:t>
      </w:r>
      <w:r w:rsidR="000E181C">
        <w:t xml:space="preserve"> </w:t>
      </w:r>
      <w:r w:rsidR="00FB48B2">
        <w:t>(</w:t>
      </w:r>
      <w:r w:rsidR="000E181C">
        <w:t>p.14</w:t>
      </w:r>
      <w:r w:rsidR="00FB48B2">
        <w:t>)</w:t>
      </w:r>
      <w:r w:rsidR="008313BC">
        <w:t xml:space="preserve">. </w:t>
      </w:r>
    </w:p>
    <w:p w:rsidR="00E66C88" w:rsidRDefault="008313BC" w:rsidP="00B303FC">
      <w:pPr>
        <w:pStyle w:val="Text"/>
      </w:pPr>
      <w:r>
        <w:t xml:space="preserve">In that oration, Karmel also lamented </w:t>
      </w:r>
      <w:r w:rsidR="000D6B0B">
        <w:t>the</w:t>
      </w:r>
      <w:r>
        <w:t xml:space="preserve"> obsession with the size of universities (a </w:t>
      </w:r>
      <w:r w:rsidR="009D192A">
        <w:t xml:space="preserve">product of amalgamations of many </w:t>
      </w:r>
      <w:r w:rsidR="00A6129D">
        <w:t>colleges of advanced education,</w:t>
      </w:r>
      <w:r w:rsidR="009D192A">
        <w:t xml:space="preserve"> then</w:t>
      </w:r>
      <w:r w:rsidR="008B5646">
        <w:t xml:space="preserve"> a</w:t>
      </w:r>
      <w:r w:rsidR="009D192A">
        <w:t xml:space="preserve"> mandat</w:t>
      </w:r>
      <w:r w:rsidR="008B5646">
        <w:t>e under the Dawkins reforms). Karmel</w:t>
      </w:r>
      <w:r w:rsidR="009D192A">
        <w:t xml:space="preserve"> recalled</w:t>
      </w:r>
      <w:r w:rsidR="008B5646">
        <w:t xml:space="preserve"> that</w:t>
      </w:r>
      <w:r w:rsidR="00744D15">
        <w:t xml:space="preserve"> the </w:t>
      </w:r>
      <w:r w:rsidR="007071A0">
        <w:t>Martin Report</w:t>
      </w:r>
      <w:r w:rsidR="009D192A">
        <w:t xml:space="preserve"> had commented</w:t>
      </w:r>
      <w:r w:rsidR="00A6129D">
        <w:t xml:space="preserve"> that</w:t>
      </w:r>
      <w:r w:rsidR="009D192A">
        <w:t xml:space="preserve"> </w:t>
      </w:r>
      <w:r w:rsidR="00AB306D">
        <w:t>‘</w:t>
      </w:r>
      <w:r>
        <w:t xml:space="preserve">the appropriate size for a university is a question which is rarely </w:t>
      </w:r>
      <w:r w:rsidR="009D192A">
        <w:t>considered rationally</w:t>
      </w:r>
      <w:r w:rsidR="00AB306D">
        <w:t>’</w:t>
      </w:r>
      <w:r w:rsidR="009D192A">
        <w:t xml:space="preserve"> and went on to consider the </w:t>
      </w:r>
      <w:r>
        <w:t xml:space="preserve">advantages </w:t>
      </w:r>
      <w:r w:rsidR="009D192A">
        <w:t>(</w:t>
      </w:r>
      <w:r w:rsidR="00A6129D">
        <w:t>for example,</w:t>
      </w:r>
      <w:r w:rsidR="009D192A">
        <w:t xml:space="preserve"> economies of scale) </w:t>
      </w:r>
      <w:r>
        <w:t>and disadvantages</w:t>
      </w:r>
      <w:r w:rsidR="009D192A">
        <w:t xml:space="preserve"> (</w:t>
      </w:r>
      <w:r w:rsidR="00A6129D">
        <w:t>for example,</w:t>
      </w:r>
      <w:r w:rsidR="009D192A">
        <w:t xml:space="preserve"> impersonality, disunity)</w:t>
      </w:r>
      <w:r>
        <w:t xml:space="preserve"> of large institutions</w:t>
      </w:r>
      <w:r w:rsidR="009D192A">
        <w:t xml:space="preserve">. Karmel advised universities to find their niche and governments to </w:t>
      </w:r>
      <w:r w:rsidR="00041295">
        <w:t>step back</w:t>
      </w:r>
      <w:r w:rsidR="009D192A">
        <w:t xml:space="preserve"> from intervention in matters of fees, student numbers and teaching profiles as well as from </w:t>
      </w:r>
      <w:r w:rsidR="00AB306D">
        <w:t>‘</w:t>
      </w:r>
      <w:r w:rsidR="009D192A">
        <w:t>the tyranny of publicly announced funding formulae</w:t>
      </w:r>
      <w:r w:rsidR="00AB306D">
        <w:t>’</w:t>
      </w:r>
      <w:r w:rsidR="00FB48B2">
        <w:t xml:space="preserve"> (</w:t>
      </w:r>
      <w:r w:rsidR="000E181C">
        <w:t>p.13</w:t>
      </w:r>
      <w:r w:rsidR="00FB48B2">
        <w:t>)</w:t>
      </w:r>
      <w:r w:rsidR="009D192A">
        <w:t xml:space="preserve"> and standardised methods of quality assurance. The </w:t>
      </w:r>
      <w:r w:rsidR="009D192A" w:rsidRPr="000C221B">
        <w:t>quid pro quo</w:t>
      </w:r>
      <w:r w:rsidR="009D192A">
        <w:t xml:space="preserve"> must be</w:t>
      </w:r>
      <w:r w:rsidR="00E66C88">
        <w:t xml:space="preserve"> more tightly defined purposes with funding to match. </w:t>
      </w:r>
    </w:p>
    <w:p w:rsidR="00E66C88" w:rsidRDefault="00E66C88" w:rsidP="00B303FC">
      <w:pPr>
        <w:pStyle w:val="Text"/>
      </w:pPr>
      <w:r>
        <w:t xml:space="preserve">Institutions are </w:t>
      </w:r>
      <w:r w:rsidR="00FC7EF8">
        <w:t>already behaving in this manner</w:t>
      </w:r>
      <w:r w:rsidR="00721A59">
        <w:t>.</w:t>
      </w:r>
      <w:r w:rsidR="00DA0D5C" w:rsidRPr="00DA0D5C">
        <w:t xml:space="preserve"> The Melbourne </w:t>
      </w:r>
      <w:r w:rsidR="00921939">
        <w:t xml:space="preserve">Curriculum </w:t>
      </w:r>
      <w:r w:rsidR="00DA0D5C" w:rsidRPr="00DA0D5C">
        <w:t xml:space="preserve">has </w:t>
      </w:r>
      <w:r w:rsidR="00024F4B">
        <w:t xml:space="preserve">moved away from the </w:t>
      </w:r>
      <w:r w:rsidR="00A6129D">
        <w:t xml:space="preserve">Australian </w:t>
      </w:r>
      <w:r w:rsidR="00DA0D5C" w:rsidRPr="00DA0D5C">
        <w:t>tradition</w:t>
      </w:r>
      <w:r w:rsidR="00DA0D5C">
        <w:t xml:space="preserve"> </w:t>
      </w:r>
      <w:r w:rsidR="00DA0D5C" w:rsidRPr="00DA0D5C">
        <w:t xml:space="preserve">of undergraduate professional training in order to give students the opportunity to discover other ways of thinking and new areas of interest </w:t>
      </w:r>
      <w:r w:rsidR="00024F4B">
        <w:t xml:space="preserve">within broad bachelor programs </w:t>
      </w:r>
      <w:r w:rsidR="00DA0D5C" w:rsidRPr="00DA0D5C">
        <w:t>(Davis</w:t>
      </w:r>
      <w:r w:rsidR="00DA0D5C">
        <w:t xml:space="preserve"> 2010</w:t>
      </w:r>
      <w:r w:rsidR="00DA0D5C" w:rsidRPr="00DA0D5C">
        <w:t xml:space="preserve">, </w:t>
      </w:r>
      <w:r w:rsidR="00DA0D5C">
        <w:t>p.</w:t>
      </w:r>
      <w:r w:rsidR="00DA0D5C" w:rsidRPr="00DA0D5C">
        <w:t xml:space="preserve">4). </w:t>
      </w:r>
      <w:r w:rsidR="004D6321">
        <w:t>This approach lengthens the educational process, adding to both the individual</w:t>
      </w:r>
      <w:r w:rsidR="00AB306D">
        <w:t>’</w:t>
      </w:r>
      <w:r w:rsidR="004D6321">
        <w:t xml:space="preserve">s tuition costs and time out from the </w:t>
      </w:r>
      <w:r w:rsidR="004D6321" w:rsidRPr="004D6321">
        <w:t>workforce.</w:t>
      </w:r>
      <w:r w:rsidR="00721A59">
        <w:t xml:space="preserve"> </w:t>
      </w:r>
      <w:r w:rsidR="00B04EA9">
        <w:t xml:space="preserve">In 2013, </w:t>
      </w:r>
      <w:r>
        <w:t>Monash</w:t>
      </w:r>
      <w:r w:rsidR="00B04EA9">
        <w:t xml:space="preserve"> University, established in the first wave of university expansion,</w:t>
      </w:r>
      <w:r>
        <w:t xml:space="preserve"> relinquished its </w:t>
      </w:r>
      <w:r w:rsidRPr="00E66C88">
        <w:t xml:space="preserve">Gippsland campus </w:t>
      </w:r>
      <w:r w:rsidR="008B5646">
        <w:t>to concentrate</w:t>
      </w:r>
      <w:r w:rsidR="00B04EA9">
        <w:t xml:space="preserve"> its </w:t>
      </w:r>
      <w:r w:rsidR="008B5646">
        <w:t xml:space="preserve">efforts on </w:t>
      </w:r>
      <w:r w:rsidR="00B04EA9">
        <w:t xml:space="preserve">being a </w:t>
      </w:r>
      <w:r w:rsidR="00FA564B">
        <w:t>research</w:t>
      </w:r>
      <w:r w:rsidR="00B04EA9">
        <w:t xml:space="preserve">-intensive university. The campus became part of </w:t>
      </w:r>
      <w:r>
        <w:t xml:space="preserve">the </w:t>
      </w:r>
      <w:r w:rsidRPr="00E66C88">
        <w:t>University of Ballarat</w:t>
      </w:r>
      <w:r w:rsidR="00A6129D">
        <w:t>,</w:t>
      </w:r>
      <w:r w:rsidRPr="00E66C88">
        <w:t xml:space="preserve"> </w:t>
      </w:r>
      <w:r>
        <w:t xml:space="preserve">which in turn has </w:t>
      </w:r>
      <w:r w:rsidRPr="00E66C88">
        <w:t>form</w:t>
      </w:r>
      <w:r>
        <w:t xml:space="preserve">ed a new institution, </w:t>
      </w:r>
      <w:r w:rsidRPr="00E66C88">
        <w:t>Federation University Australia</w:t>
      </w:r>
      <w:r w:rsidR="00FA564B">
        <w:t xml:space="preserve">, which </w:t>
      </w:r>
      <w:r w:rsidR="00AB306D">
        <w:t>‘</w:t>
      </w:r>
      <w:r w:rsidR="00FA564B" w:rsidRPr="00FA564B">
        <w:t>will provide educational options more closely aligned to the needs of local employers, and enhanced opportunities for local students to remain in the region for university study through flexible entry requirements and articulation</w:t>
      </w:r>
      <w:r w:rsidR="00FA564B">
        <w:t xml:space="preserve"> </w:t>
      </w:r>
      <w:r w:rsidR="00FA564B" w:rsidRPr="00FA564B">
        <w:t>from regional TAFEs</w:t>
      </w:r>
      <w:r w:rsidR="00AB306D">
        <w:t>’</w:t>
      </w:r>
      <w:r w:rsidR="00FA564B" w:rsidRPr="00FA564B">
        <w:t>.</w:t>
      </w:r>
      <w:r>
        <w:t xml:space="preserve"> </w:t>
      </w:r>
      <w:r w:rsidR="00FA564B">
        <w:t>Also in 2013 t</w:t>
      </w:r>
      <w:r>
        <w:t xml:space="preserve">he University of Canberra led the way </w:t>
      </w:r>
      <w:r w:rsidR="000C221B">
        <w:t>for</w:t>
      </w:r>
      <w:r>
        <w:t xml:space="preserve"> an</w:t>
      </w:r>
      <w:r w:rsidRPr="00E66C88">
        <w:t xml:space="preserve"> Australian Polytechnic Network (APN)</w:t>
      </w:r>
      <w:r w:rsidR="000C221B">
        <w:t>,</w:t>
      </w:r>
      <w:r w:rsidRPr="00E66C88">
        <w:t xml:space="preserve"> </w:t>
      </w:r>
      <w:r>
        <w:t>compris</w:t>
      </w:r>
      <w:r w:rsidR="00024F4B">
        <w:t>ing</w:t>
      </w:r>
      <w:r w:rsidRPr="00E66C88">
        <w:t xml:space="preserve"> the University of Canberra, Melbourne</w:t>
      </w:r>
      <w:r w:rsidR="00AB306D">
        <w:t>’</w:t>
      </w:r>
      <w:r w:rsidRPr="00E66C88">
        <w:t>s Holmesglen Institute, Northern Sydney Institute, South Western Sydney Institute and Brisbane</w:t>
      </w:r>
      <w:r w:rsidR="00AB306D">
        <w:t>’</w:t>
      </w:r>
      <w:r w:rsidRPr="00E66C88">
        <w:t>s Metropolitan South Institute of TAFE.</w:t>
      </w:r>
      <w:r>
        <w:t xml:space="preserve"> </w:t>
      </w:r>
    </w:p>
    <w:p w:rsidR="00E66C88" w:rsidRDefault="006F504A" w:rsidP="00B303FC">
      <w:pPr>
        <w:pStyle w:val="Text"/>
      </w:pPr>
      <w:r>
        <w:t>As the necessity of near-universal attainment of qualifications above Year 12 comes into view, it is time to establish clear</w:t>
      </w:r>
      <w:r w:rsidR="000E181C">
        <w:t xml:space="preserve"> </w:t>
      </w:r>
      <w:r>
        <w:t>terminology, understood by practitioners, regulators and consumers alike. Without it</w:t>
      </w:r>
      <w:r w:rsidR="001F38BF">
        <w:t>,</w:t>
      </w:r>
      <w:r>
        <w:t xml:space="preserve"> scope creep and status wars will continue. </w:t>
      </w:r>
    </w:p>
    <w:p w:rsidR="008B5646" w:rsidRDefault="008B5646" w:rsidP="00B303FC">
      <w:pPr>
        <w:pStyle w:val="Text"/>
      </w:pPr>
      <w:r>
        <w:t xml:space="preserve">Kinsman, thinking in 1998 about this persistent problem, argued for a definition </w:t>
      </w:r>
      <w:r w:rsidR="000D6B0B">
        <w:t>that</w:t>
      </w:r>
      <w:r>
        <w:t xml:space="preserve"> stemmed from the </w:t>
      </w:r>
      <w:r w:rsidR="00C01DB5">
        <w:t>kind of knowledge and learning with which tertiary education should be concerned.</w:t>
      </w:r>
      <w:r>
        <w:t xml:space="preserve"> She quoted </w:t>
      </w:r>
      <w:r w:rsidR="00585180">
        <w:t xml:space="preserve">from an OECD seminar: </w:t>
      </w:r>
    </w:p>
    <w:p w:rsidR="00C01DB5" w:rsidRDefault="00C01DB5" w:rsidP="00585180">
      <w:pPr>
        <w:pStyle w:val="Quote"/>
      </w:pPr>
      <w:r>
        <w:t>A general principle of tertiary education should be that it helps all students develop independence and creativity in thinking, curiosity and initiative and attitudes and dispositions which may prove to be particularly beneficial in periods of change, when adaptability implies initiative and entrepreneurship. This provides an argument for curiosity-based, student-centred learning that goes beyond conventional distinctions between general and vocational,</w:t>
      </w:r>
      <w:r w:rsidR="00585180">
        <w:t xml:space="preserve"> university and non-university.</w:t>
      </w:r>
      <w:r w:rsidR="001F38BF">
        <w:tab/>
      </w:r>
      <w:r>
        <w:t>(</w:t>
      </w:r>
      <w:r w:rsidR="00585180">
        <w:t xml:space="preserve">Wagner </w:t>
      </w:r>
      <w:r w:rsidR="008B5646">
        <w:t>in Kinsman, p.</w:t>
      </w:r>
      <w:r w:rsidR="00585180">
        <w:t>3</w:t>
      </w:r>
      <w:r>
        <w:t xml:space="preserve">) </w:t>
      </w:r>
    </w:p>
    <w:p w:rsidR="00374B51" w:rsidRDefault="008841A3" w:rsidP="00B303FC">
      <w:pPr>
        <w:pStyle w:val="Text"/>
      </w:pPr>
      <w:r>
        <w:t xml:space="preserve">Names </w:t>
      </w:r>
      <w:r w:rsidR="001F38BF">
        <w:t>be</w:t>
      </w:r>
      <w:r w:rsidR="006F504A">
        <w:t xml:space="preserve">came </w:t>
      </w:r>
      <w:r w:rsidR="001F38BF">
        <w:t>important</w:t>
      </w:r>
      <w:r w:rsidR="006F504A">
        <w:t xml:space="preserve"> in the binary system</w:t>
      </w:r>
      <w:r>
        <w:t>.</w:t>
      </w:r>
      <w:r w:rsidR="006F504A">
        <w:t xml:space="preserve"> </w:t>
      </w:r>
      <w:r w:rsidR="009F551C">
        <w:t>As Gallagher (1982, p.187) noted</w:t>
      </w:r>
      <w:r w:rsidR="001F38BF">
        <w:t>,</w:t>
      </w:r>
      <w:r w:rsidR="009F551C">
        <w:t xml:space="preserve"> Martin</w:t>
      </w:r>
      <w:r w:rsidR="00AB306D">
        <w:t>’</w:t>
      </w:r>
      <w:r w:rsidR="009F551C">
        <w:t xml:space="preserve">s </w:t>
      </w:r>
      <w:r w:rsidR="00AB306D">
        <w:t>‘</w:t>
      </w:r>
      <w:r w:rsidR="009F551C">
        <w:t>difficulty of classifying non-university institutions was to be an important influence in the range and diversity of institution</w:t>
      </w:r>
      <w:r w:rsidR="000D6B0B">
        <w:t>s</w:t>
      </w:r>
      <w:r w:rsidR="009F551C">
        <w:t xml:space="preserve"> which came to form the pattern of the CAE sector</w:t>
      </w:r>
      <w:r w:rsidR="001F38BF">
        <w:t xml:space="preserve"> </w:t>
      </w:r>
      <w:r w:rsidR="009F551C">
        <w:t>…</w:t>
      </w:r>
      <w:r w:rsidR="001F38BF">
        <w:t xml:space="preserve"> </w:t>
      </w:r>
      <w:r w:rsidR="009F551C">
        <w:t>and contributed to the difficulty of distinguishing between the functions of a univer</w:t>
      </w:r>
      <w:r w:rsidR="001F38BF">
        <w:t>sity and a CAE</w:t>
      </w:r>
      <w:r w:rsidR="00AB306D">
        <w:t>’</w:t>
      </w:r>
      <w:r w:rsidR="001F38BF">
        <w:t xml:space="preserve">. </w:t>
      </w:r>
      <w:r w:rsidR="006F504A">
        <w:t xml:space="preserve">Today, the distinction between a university and a college </w:t>
      </w:r>
      <w:r w:rsidR="00343062">
        <w:t xml:space="preserve">of advanced education </w:t>
      </w:r>
      <w:r w:rsidR="006F504A">
        <w:t xml:space="preserve">has gone. </w:t>
      </w:r>
      <w:r w:rsidR="00041295">
        <w:t>Instead,</w:t>
      </w:r>
      <w:r w:rsidR="006F504A">
        <w:t xml:space="preserve"> the confusion lies with dual-sector or mixed-sector institutions</w:t>
      </w:r>
      <w:r w:rsidR="00343062">
        <w:t xml:space="preserve"> and the rise of other types of higher education providers</w:t>
      </w:r>
      <w:r w:rsidR="00374B51">
        <w:t>. In a demand-driv</w:t>
      </w:r>
      <w:r w:rsidR="006F504A">
        <w:t xml:space="preserve">en system </w:t>
      </w:r>
      <w:r w:rsidR="00343062">
        <w:t xml:space="preserve">it is as important as ever that </w:t>
      </w:r>
      <w:r w:rsidR="006F504A">
        <w:t>students understand what they are signing up for and where the</w:t>
      </w:r>
      <w:r w:rsidR="00D714BF">
        <w:t>ir</w:t>
      </w:r>
      <w:r w:rsidR="006F504A">
        <w:t xml:space="preserve"> decisions will take them</w:t>
      </w:r>
      <w:r w:rsidR="00343062">
        <w:t>,</w:t>
      </w:r>
      <w:r w:rsidR="00041295">
        <w:t xml:space="preserve"> which the great majority</w:t>
      </w:r>
      <w:r w:rsidR="00343062">
        <w:t xml:space="preserve"> hopes</w:t>
      </w:r>
      <w:r w:rsidR="00041295">
        <w:t xml:space="preserve"> will be a pathway to a good job. </w:t>
      </w:r>
      <w:r w:rsidR="001F38BF">
        <w:lastRenderedPageBreak/>
        <w:t>As David Willetts, UK Minister of State for U</w:t>
      </w:r>
      <w:r w:rsidR="00374B51">
        <w:t>niversities a</w:t>
      </w:r>
      <w:r w:rsidR="001F38BF">
        <w:t>nd S</w:t>
      </w:r>
      <w:r w:rsidR="00374B51">
        <w:t xml:space="preserve">cience, </w:t>
      </w:r>
      <w:r w:rsidR="00744D15">
        <w:t xml:space="preserve">harking back to Robbins </w:t>
      </w:r>
      <w:r w:rsidR="00374B51">
        <w:t xml:space="preserve">recently </w:t>
      </w:r>
      <w:r w:rsidR="00744D15">
        <w:t>re</w:t>
      </w:r>
      <w:r w:rsidR="00374B51">
        <w:t>asserted</w:t>
      </w:r>
      <w:r w:rsidR="00FA564B">
        <w:t xml:space="preserve"> (</w:t>
      </w:r>
      <w:r w:rsidR="000E181C">
        <w:t>2013</w:t>
      </w:r>
      <w:r w:rsidR="001F38BF">
        <w:t>,</w:t>
      </w:r>
      <w:r w:rsidR="00FB48B2">
        <w:t xml:space="preserve"> </w:t>
      </w:r>
      <w:r w:rsidR="00FA564B">
        <w:t>p.14)</w:t>
      </w:r>
      <w:r w:rsidR="00374B51">
        <w:t xml:space="preserve">, we must not continue to undervalue </w:t>
      </w:r>
      <w:r w:rsidR="00AB306D">
        <w:t>‘</w:t>
      </w:r>
      <w:r w:rsidR="00374B51">
        <w:t>instruction in skills</w:t>
      </w:r>
      <w:r w:rsidR="00AB306D">
        <w:t>’</w:t>
      </w:r>
      <w:r w:rsidR="00374B51">
        <w:t xml:space="preserve">. </w:t>
      </w:r>
    </w:p>
    <w:p w:rsidR="00374B51" w:rsidRDefault="00374B51" w:rsidP="008451E6">
      <w:pPr>
        <w:pStyle w:val="Text"/>
        <w:ind w:right="141"/>
      </w:pPr>
      <w:r>
        <w:t>Some students will want to change tack; some workers will have to change professions or gain additional skills. This makes it imperative that the impediments to transfer between institutions be removed. Watson</w:t>
      </w:r>
      <w:r w:rsidR="0031252C">
        <w:t>, Hagel and Chesters</w:t>
      </w:r>
      <w:r w:rsidR="00FB48B2">
        <w:t xml:space="preserve"> (</w:t>
      </w:r>
      <w:r w:rsidR="000E181C">
        <w:t>2013</w:t>
      </w:r>
      <w:r w:rsidR="00FB48B2">
        <w:t>)</w:t>
      </w:r>
      <w:r w:rsidR="0031252C">
        <w:t xml:space="preserve"> have</w:t>
      </w:r>
      <w:r>
        <w:t xml:space="preserve"> shown that this requires institutional commitment. The Californian model suggests </w:t>
      </w:r>
      <w:r w:rsidR="000C221B">
        <w:t xml:space="preserve">that </w:t>
      </w:r>
      <w:r>
        <w:t xml:space="preserve">a legislative requirement may be the way to achieve such commitment. </w:t>
      </w:r>
    </w:p>
    <w:p w:rsidR="001257CA" w:rsidRDefault="00563E6E" w:rsidP="00FC7B3B">
      <w:pPr>
        <w:pStyle w:val="Text"/>
      </w:pPr>
      <w:r>
        <w:t xml:space="preserve">Achieving any such change will </w:t>
      </w:r>
      <w:r w:rsidR="00374B51">
        <w:t xml:space="preserve">depend on </w:t>
      </w:r>
      <w:r>
        <w:t xml:space="preserve">all those involved in the system — regulators and funders at both Commonwealth and state level, the educational institutions and the professions — adopting </w:t>
      </w:r>
      <w:r w:rsidR="000C221B">
        <w:t>a new mentality</w:t>
      </w:r>
      <w:r>
        <w:t xml:space="preserve">. </w:t>
      </w:r>
      <w:r w:rsidR="001257CA">
        <w:t xml:space="preserve">A fundamental reorientation of the system also relies on the </w:t>
      </w:r>
      <w:r w:rsidR="0055611E">
        <w:t>recognition that not al</w:t>
      </w:r>
      <w:r w:rsidR="00FC54F8">
        <w:t>l forms of higher education have the same purpose</w:t>
      </w:r>
      <w:r w:rsidR="00744D15">
        <w:t xml:space="preserve"> or need the same funding</w:t>
      </w:r>
      <w:r w:rsidR="0055611E">
        <w:t xml:space="preserve"> but that they do deserve </w:t>
      </w:r>
      <w:r w:rsidR="00343062">
        <w:t>adequate public support to pursue excellence in their particular educational pursuits</w:t>
      </w:r>
      <w:r w:rsidR="0055611E">
        <w:t xml:space="preserve">. </w:t>
      </w:r>
    </w:p>
    <w:p w:rsidR="000379FF" w:rsidRDefault="00AC4143" w:rsidP="00FC7B3B">
      <w:pPr>
        <w:pStyle w:val="Text"/>
        <w:rPr>
          <w:rStyle w:val="definition"/>
          <w:rFonts w:ascii="Georgia" w:hAnsi="Georgia" w:cs="Arial"/>
          <w:color w:val="333333"/>
          <w:sz w:val="18"/>
          <w:szCs w:val="18"/>
        </w:rPr>
      </w:pPr>
      <w:r>
        <w:t xml:space="preserve">In </w:t>
      </w:r>
      <w:r w:rsidR="0055611E">
        <w:t>Toowoomba in 198</w:t>
      </w:r>
      <w:r w:rsidR="00747B02">
        <w:t>1</w:t>
      </w:r>
      <w:r w:rsidR="0055611E">
        <w:t xml:space="preserve">, </w:t>
      </w:r>
      <w:r>
        <w:t>participants wanted a</w:t>
      </w:r>
      <w:r w:rsidR="00446503">
        <w:t xml:space="preserve"> shift</w:t>
      </w:r>
      <w:r w:rsidR="0055611E">
        <w:t xml:space="preserve"> </w:t>
      </w:r>
      <w:r w:rsidR="006E5820">
        <w:t>from</w:t>
      </w:r>
      <w:r w:rsidR="0031252C">
        <w:t xml:space="preserve"> </w:t>
      </w:r>
      <w:r w:rsidR="00AB306D">
        <w:t>‘</w:t>
      </w:r>
      <w:r w:rsidR="0031252C">
        <w:t>empires</w:t>
      </w:r>
      <w:r w:rsidR="00AB306D">
        <w:t>’</w:t>
      </w:r>
      <w:r w:rsidR="0031252C">
        <w:t xml:space="preserve"> to </w:t>
      </w:r>
      <w:r w:rsidR="00AB306D">
        <w:t>‘</w:t>
      </w:r>
      <w:r w:rsidR="0031252C">
        <w:t>education</w:t>
      </w:r>
      <w:r w:rsidR="00AB306D">
        <w:t>’</w:t>
      </w:r>
      <w:r w:rsidR="0031252C">
        <w:t xml:space="preserve"> (Hore &amp; Chippendale 1981</w:t>
      </w:r>
      <w:r w:rsidR="000C221B">
        <w:t>, p.</w:t>
      </w:r>
      <w:r w:rsidR="006E5820">
        <w:t>232</w:t>
      </w:r>
      <w:r w:rsidR="00446503">
        <w:t>).</w:t>
      </w:r>
      <w:r>
        <w:t xml:space="preserve"> In 2013</w:t>
      </w:r>
      <w:r w:rsidR="006E5820">
        <w:t xml:space="preserve"> </w:t>
      </w:r>
      <w:r w:rsidR="00FE40B2">
        <w:t>Lee Dow</w:t>
      </w:r>
      <w:r w:rsidRPr="00AC4143">
        <w:t xml:space="preserve"> and Brait</w:t>
      </w:r>
      <w:r>
        <w:t>hwaite</w:t>
      </w:r>
      <w:r w:rsidRPr="00AC4143">
        <w:t xml:space="preserve"> </w:t>
      </w:r>
      <w:r w:rsidR="0031252C">
        <w:t>(p.</w:t>
      </w:r>
      <w:r>
        <w:t xml:space="preserve">44) </w:t>
      </w:r>
      <w:r w:rsidRPr="00AC4143">
        <w:t xml:space="preserve">called for </w:t>
      </w:r>
      <w:r w:rsidR="00AB306D">
        <w:t>‘</w:t>
      </w:r>
      <w:r w:rsidRPr="00AC4143">
        <w:t>a mission-based compact process [which] allows for open and frank discussion about a provider</w:t>
      </w:r>
      <w:r w:rsidR="00AB306D">
        <w:t>’</w:t>
      </w:r>
      <w:r w:rsidRPr="00AC4143">
        <w:t>s mission, strengths and challenges</w:t>
      </w:r>
      <w:r w:rsidR="00AB306D">
        <w:t>’</w:t>
      </w:r>
      <w:r w:rsidRPr="00AC4143">
        <w:t>.</w:t>
      </w:r>
      <w:r>
        <w:t xml:space="preserve"> That discussion will benefit from an </w:t>
      </w:r>
      <w:r w:rsidR="001257CA">
        <w:t xml:space="preserve">historical perspective, </w:t>
      </w:r>
      <w:r w:rsidR="00F637C8">
        <w:t xml:space="preserve">which shows the perils of </w:t>
      </w:r>
      <w:r w:rsidR="00AB306D">
        <w:t>‘</w:t>
      </w:r>
      <w:r w:rsidR="00FC54F8">
        <w:t xml:space="preserve">freezing </w:t>
      </w:r>
      <w:r w:rsidR="00F637C8">
        <w:t xml:space="preserve">institutions into established </w:t>
      </w:r>
      <w:r w:rsidR="00FC7B3B">
        <w:t>hierarchies</w:t>
      </w:r>
      <w:r w:rsidR="00AB306D">
        <w:t>’</w:t>
      </w:r>
      <w:r w:rsidR="00FC7B3B">
        <w:t xml:space="preserve"> </w:t>
      </w:r>
      <w:r w:rsidR="0031252C">
        <w:t>(Robbins</w:t>
      </w:r>
      <w:r w:rsidR="008C259E">
        <w:t xml:space="preserve"> cited</w:t>
      </w:r>
      <w:r w:rsidR="0031252C">
        <w:t xml:space="preserve"> in Willetts</w:t>
      </w:r>
      <w:r w:rsidR="008C259E">
        <w:t xml:space="preserve"> 2013, </w:t>
      </w:r>
      <w:r w:rsidR="008C259E" w:rsidRPr="00EC62D4">
        <w:t>p.</w:t>
      </w:r>
      <w:r w:rsidR="00F637C8" w:rsidRPr="00EC62D4">
        <w:t>16)</w:t>
      </w:r>
      <w:r w:rsidR="000D6B0B" w:rsidRPr="00EC62D4">
        <w:t>. It</w:t>
      </w:r>
      <w:r w:rsidR="00EC62D4" w:rsidRPr="00EC62D4">
        <w:t xml:space="preserve"> </w:t>
      </w:r>
      <w:r w:rsidR="001257CA" w:rsidRPr="00EC62D4">
        <w:t>mu</w:t>
      </w:r>
      <w:r w:rsidR="001257CA">
        <w:t>st also adopt</w:t>
      </w:r>
      <w:r>
        <w:t xml:space="preserve"> </w:t>
      </w:r>
      <w:r w:rsidR="00F637C8">
        <w:t xml:space="preserve">a common set of definitions </w:t>
      </w:r>
      <w:r w:rsidR="005210E6">
        <w:t>underpinned by</w:t>
      </w:r>
      <w:r w:rsidR="00FC7B3B">
        <w:t xml:space="preserve"> a</w:t>
      </w:r>
      <w:r w:rsidR="00F637C8">
        <w:t xml:space="preserve"> united effort to develop a culture of learning</w:t>
      </w:r>
      <w:r w:rsidR="001257CA">
        <w:t xml:space="preserve"> and scholarship across the tertiary education sector</w:t>
      </w:r>
      <w:r w:rsidR="00F637C8">
        <w:t xml:space="preserve">. </w:t>
      </w:r>
    </w:p>
    <w:p w:rsidR="00446503" w:rsidRDefault="00446503" w:rsidP="00B303FC">
      <w:pPr>
        <w:pStyle w:val="Text"/>
        <w:rPr>
          <w:sz w:val="17"/>
        </w:rPr>
      </w:pPr>
      <w:r>
        <w:rPr>
          <w:sz w:val="17"/>
        </w:rPr>
        <w:br w:type="page"/>
      </w:r>
    </w:p>
    <w:p w:rsidR="00AC5308" w:rsidRDefault="00AC5308" w:rsidP="00E0659E">
      <w:pPr>
        <w:pStyle w:val="Heading1"/>
      </w:pPr>
      <w:bookmarkStart w:id="48" w:name="_Toc393293035"/>
      <w:r>
        <w:lastRenderedPageBreak/>
        <w:t>In conclusion: towards a differentiated system</w:t>
      </w:r>
      <w:bookmarkEnd w:id="48"/>
    </w:p>
    <w:p w:rsidR="00886A19" w:rsidRDefault="00FE425F" w:rsidP="00081C96">
      <w:pPr>
        <w:pStyle w:val="Text"/>
      </w:pPr>
      <w:r w:rsidRPr="00FE425F">
        <w:t>In 2014 various factors are coalescing in a way that calls for structural change in late secondary and tertiary education.</w:t>
      </w:r>
      <w:r w:rsidR="006364CC">
        <w:t xml:space="preserve"> </w:t>
      </w:r>
      <w:r w:rsidR="00886A19" w:rsidRPr="00886A19">
        <w:t xml:space="preserve">These factors include some </w:t>
      </w:r>
      <w:r w:rsidR="0031252C">
        <w:t xml:space="preserve">of the </w:t>
      </w:r>
      <w:r w:rsidR="00886A19" w:rsidRPr="00886A19">
        <w:t>familiar challeng</w:t>
      </w:r>
      <w:r w:rsidR="008C259E">
        <w:t xml:space="preserve">es faced by education systems: </w:t>
      </w:r>
      <w:r w:rsidR="00886A19" w:rsidRPr="00886A19">
        <w:t xml:space="preserve">a finite budget, changing skills demands, youth unemployment; and some newer ones: the fundamental shift in the way information is disseminated and knowledge produced, a global jobs market and an international education industry. </w:t>
      </w:r>
    </w:p>
    <w:p w:rsidR="006364CC" w:rsidRDefault="00886A19" w:rsidP="00081C96">
      <w:pPr>
        <w:pStyle w:val="Text"/>
      </w:pPr>
      <w:r>
        <w:t>Like their counterparts today, p</w:t>
      </w:r>
      <w:r w:rsidR="0031252C">
        <w:t>olicy-</w:t>
      </w:r>
      <w:r w:rsidR="006364CC">
        <w:t xml:space="preserve">makers </w:t>
      </w:r>
      <w:r w:rsidR="0031252C">
        <w:t>50</w:t>
      </w:r>
      <w:r w:rsidR="006364CC">
        <w:t xml:space="preserve"> years ago were seized by the same dual challenge of expanding tertiary education and containing costs.</w:t>
      </w:r>
      <w:r w:rsidR="00E0659E">
        <w:t xml:space="preserve"> Their idea was to </w:t>
      </w:r>
      <w:r>
        <w:t xml:space="preserve">build </w:t>
      </w:r>
      <w:r w:rsidR="00E0659E">
        <w:t>a differe</w:t>
      </w:r>
      <w:r w:rsidR="008C259E">
        <w:t>ntiated system</w:t>
      </w:r>
      <w:r w:rsidR="00FE425F">
        <w:t xml:space="preserve">. </w:t>
      </w:r>
      <w:r w:rsidR="00FE425F" w:rsidRPr="00FE425F">
        <w:t>They decided on a binary system, whose implementation foundered, in considerable measure because of a failure to shift conventional attitudes and structure</w:t>
      </w:r>
      <w:r w:rsidR="00E0659E">
        <w:t xml:space="preserve">. </w:t>
      </w:r>
    </w:p>
    <w:p w:rsidR="00081C96" w:rsidRDefault="00886A19" w:rsidP="00081C96">
      <w:pPr>
        <w:pStyle w:val="Text"/>
      </w:pPr>
      <w:r>
        <w:t xml:space="preserve">The current debate is centred on </w:t>
      </w:r>
      <w:r w:rsidR="001D4776">
        <w:t xml:space="preserve">who should pay for an expanding </w:t>
      </w:r>
      <w:r>
        <w:t>system.</w:t>
      </w:r>
      <w:r w:rsidR="001D4776">
        <w:t xml:space="preserve"> </w:t>
      </w:r>
      <w:r w:rsidR="00FE425F">
        <w:t>T</w:t>
      </w:r>
      <w:r w:rsidR="00FE425F" w:rsidRPr="00FE425F">
        <w:t>his is a crucial question but one that must be accompanied by consideration of its architecture</w:t>
      </w:r>
      <w:r w:rsidR="00AC5308">
        <w:t>.</w:t>
      </w:r>
      <w:r w:rsidR="006364CC">
        <w:t xml:space="preserve"> To stimulate such thinking, ideas distilled from the roundtable conducted as part of this project are set out in the </w:t>
      </w:r>
      <w:r w:rsidR="00CC70C1">
        <w:t xml:space="preserve">companion </w:t>
      </w:r>
      <w:r w:rsidR="006364CC">
        <w:t>paper</w:t>
      </w:r>
      <w:r w:rsidR="001F341F">
        <w:t xml:space="preserve"> (</w:t>
      </w:r>
      <w:r w:rsidR="001F341F" w:rsidRPr="001F341F">
        <w:rPr>
          <w:i/>
        </w:rPr>
        <w:t>Wh</w:t>
      </w:r>
      <w:r w:rsidR="00CC70C1">
        <w:rPr>
          <w:i/>
        </w:rPr>
        <w:t>at next for tertiary education? S</w:t>
      </w:r>
      <w:r w:rsidR="001F341F" w:rsidRPr="001F341F">
        <w:rPr>
          <w:i/>
        </w:rPr>
        <w:t>ome preliminary sketches</w:t>
      </w:r>
      <w:r w:rsidR="001F341F">
        <w:t>)</w:t>
      </w:r>
      <w:r w:rsidR="006364CC">
        <w:t xml:space="preserve">. </w:t>
      </w:r>
      <w:r w:rsidR="00E83D4F">
        <w:t>The paper</w:t>
      </w:r>
      <w:r w:rsidR="001F341F">
        <w:t xml:space="preserve"> suggests</w:t>
      </w:r>
      <w:r w:rsidR="001D4776" w:rsidRPr="001D4776">
        <w:t xml:space="preserve"> a more staged tertiary progression</w:t>
      </w:r>
      <w:r w:rsidR="00E83D4F">
        <w:t>:</w:t>
      </w:r>
      <w:r w:rsidR="001D4776" w:rsidRPr="001D4776">
        <w:t xml:space="preserve"> either from comprehensive teaching institutions to universities offering professionally oriented education or more research-intense activity</w:t>
      </w:r>
      <w:r w:rsidR="00E83D4F">
        <w:t>;</w:t>
      </w:r>
      <w:r w:rsidR="001D4776" w:rsidRPr="001D4776">
        <w:t xml:space="preserve"> or within vertically integrated institutions that offer education and tr</w:t>
      </w:r>
      <w:r w:rsidR="00CC70C1">
        <w:t>aining from certificate to post</w:t>
      </w:r>
      <w:r w:rsidR="001D4776" w:rsidRPr="001D4776">
        <w:t xml:space="preserve">graduate levels for a family of occupations. All elements would be underpinned by research and scholarship and creative uses of the technology that is transforming how we learn. </w:t>
      </w:r>
      <w:r w:rsidR="00081C96">
        <w:t xml:space="preserve">Public funds for research </w:t>
      </w:r>
      <w:r w:rsidR="001D4776">
        <w:t>and teaching would be decoupled, with more concentrated research infrastructure support</w:t>
      </w:r>
      <w:r w:rsidR="001F341F">
        <w:t xml:space="preserve"> and acknowledgment that all tertiary teachers need to engage in scholarly practice</w:t>
      </w:r>
      <w:r w:rsidR="001D4776">
        <w:t>.</w:t>
      </w:r>
    </w:p>
    <w:p w:rsidR="00AC5308" w:rsidRDefault="001D4776" w:rsidP="00081C96">
      <w:pPr>
        <w:pStyle w:val="Text"/>
      </w:pPr>
      <w:r w:rsidRPr="001D4776">
        <w:t>The system would</w:t>
      </w:r>
      <w:r>
        <w:t xml:space="preserve"> have to properly</w:t>
      </w:r>
      <w:r w:rsidRPr="001D4776">
        <w:t xml:space="preserve"> support those </w:t>
      </w:r>
      <w:r w:rsidR="00C15345">
        <w:t>with</w:t>
      </w:r>
      <w:r w:rsidRPr="001D4776">
        <w:t xml:space="preserve"> the capability and the desire to move from one part to another</w:t>
      </w:r>
      <w:r w:rsidR="00C15345">
        <w:t xml:space="preserve">. </w:t>
      </w:r>
      <w:r w:rsidR="00AC5308">
        <w:t>Its differentiation would be achieved</w:t>
      </w:r>
      <w:r w:rsidR="00AC5308" w:rsidRPr="00C17BD7">
        <w:t xml:space="preserve"> by </w:t>
      </w:r>
      <w:r w:rsidR="00AC5308">
        <w:t xml:space="preserve">nurturing </w:t>
      </w:r>
      <w:r w:rsidR="00AC5308" w:rsidRPr="00C17BD7">
        <w:t xml:space="preserve">greater status </w:t>
      </w:r>
      <w:r w:rsidR="00AC5308">
        <w:t xml:space="preserve">for </w:t>
      </w:r>
      <w:r w:rsidR="00AC5308" w:rsidRPr="00C17BD7">
        <w:t>applied learning and</w:t>
      </w:r>
      <w:r w:rsidR="00AC5308">
        <w:t xml:space="preserve"> for</w:t>
      </w:r>
      <w:r w:rsidR="00AC5308" w:rsidRPr="00C17BD7">
        <w:t xml:space="preserve"> middle-level qualifications and their occupations. </w:t>
      </w:r>
      <w:r w:rsidR="00081C96">
        <w:t>T</w:t>
      </w:r>
      <w:r w:rsidR="00AC5308">
        <w:t xml:space="preserve">hat would require </w:t>
      </w:r>
      <w:r w:rsidR="00CC70C1">
        <w:t>co</w:t>
      </w:r>
      <w:r w:rsidR="0027131F">
        <w:t xml:space="preserve">ordinated </w:t>
      </w:r>
      <w:r w:rsidR="00AC5308">
        <w:t>governance structures that did not encourage competition to reach the top of a single pyramid but instead rewarded</w:t>
      </w:r>
      <w:r w:rsidR="00AC5308" w:rsidRPr="00C17BD7">
        <w:t xml:space="preserve"> partnership</w:t>
      </w:r>
      <w:r w:rsidR="00AC5308">
        <w:t xml:space="preserve">s within the system and beyond </w:t>
      </w:r>
      <w:r w:rsidR="00AC5308" w:rsidRPr="00C17BD7">
        <w:t>to achieve innovation and productivity</w:t>
      </w:r>
      <w:r w:rsidR="00AC5308">
        <w:t xml:space="preserve"> or</w:t>
      </w:r>
      <w:r w:rsidR="00081C96">
        <w:t>,</w:t>
      </w:r>
      <w:r w:rsidR="00AC5308">
        <w:t xml:space="preserve"> as Martin put it</w:t>
      </w:r>
      <w:r w:rsidR="00081C96">
        <w:t>,</w:t>
      </w:r>
      <w:r w:rsidR="00AC5308">
        <w:t xml:space="preserve"> to e</w:t>
      </w:r>
      <w:r w:rsidR="00AC5308" w:rsidRPr="00D03C15">
        <w:t>nsur</w:t>
      </w:r>
      <w:r w:rsidR="00AC5308">
        <w:t>e</w:t>
      </w:r>
      <w:r w:rsidR="00AC5308" w:rsidRPr="00D03C15">
        <w:t xml:space="preserve"> </w:t>
      </w:r>
      <w:r w:rsidR="00AB306D">
        <w:t>‘</w:t>
      </w:r>
      <w:r w:rsidR="00AC5308" w:rsidRPr="00D03C15">
        <w:t>that Australia makes a worthwhile contribution to the advancement of knowledge and of achievement</w:t>
      </w:r>
      <w:r w:rsidR="00AB306D">
        <w:t>’</w:t>
      </w:r>
      <w:r w:rsidR="00AC5308" w:rsidRPr="00D03C15">
        <w:t xml:space="preserve"> (</w:t>
      </w:r>
      <w:r w:rsidR="00EF7EB2">
        <w:t>Committee on the Future of Tertiary Education in Australia</w:t>
      </w:r>
      <w:r w:rsidR="00AC5308" w:rsidRPr="00D03C15">
        <w:t xml:space="preserve"> 1964</w:t>
      </w:r>
      <w:r w:rsidR="00204F8D">
        <w:t>—65,</w:t>
      </w:r>
      <w:r w:rsidR="00AC5308" w:rsidRPr="00D03C15">
        <w:t xml:space="preserve"> </w:t>
      </w:r>
      <w:r w:rsidR="00CC70C1">
        <w:t>vol.</w:t>
      </w:r>
      <w:r w:rsidR="00AC5308" w:rsidRPr="00D03C15">
        <w:t>1, p.1</w:t>
      </w:r>
      <w:r w:rsidR="00081C96">
        <w:t>).</w:t>
      </w:r>
    </w:p>
    <w:p w:rsidR="00AC5308" w:rsidRPr="00081C96" w:rsidRDefault="00AC5308" w:rsidP="00081C96">
      <w:pPr>
        <w:pStyle w:val="Text"/>
      </w:pPr>
      <w:r>
        <w:br w:type="page"/>
      </w:r>
    </w:p>
    <w:p w:rsidR="00A50895" w:rsidRDefault="00A50895" w:rsidP="00E25169">
      <w:pPr>
        <w:pStyle w:val="Heading1"/>
      </w:pPr>
      <w:bookmarkStart w:id="49" w:name="_Toc393293036"/>
      <w:r>
        <w:lastRenderedPageBreak/>
        <w:t>References</w:t>
      </w:r>
      <w:bookmarkEnd w:id="38"/>
      <w:bookmarkEnd w:id="39"/>
      <w:bookmarkEnd w:id="40"/>
      <w:bookmarkEnd w:id="49"/>
    </w:p>
    <w:p w:rsidR="00352721" w:rsidRDefault="00CC70C1" w:rsidP="00FD7C0D">
      <w:pPr>
        <w:pStyle w:val="References"/>
      </w:pPr>
      <w:r>
        <w:t>Advanced Education Council</w:t>
      </w:r>
      <w:r w:rsidR="00352721">
        <w:t xml:space="preserve"> 1982</w:t>
      </w:r>
      <w:r>
        <w:t xml:space="preserve">, </w:t>
      </w:r>
      <w:r w:rsidR="00352721" w:rsidRPr="00352721">
        <w:rPr>
          <w:i/>
        </w:rPr>
        <w:t>Future perspectives for advanced education: a discussion paper</w:t>
      </w:r>
      <w:r w:rsidR="00352721">
        <w:rPr>
          <w:i/>
        </w:rPr>
        <w:t xml:space="preserve">, </w:t>
      </w:r>
      <w:r>
        <w:t xml:space="preserve">AEC, </w:t>
      </w:r>
      <w:r w:rsidR="00352721" w:rsidRPr="00352721">
        <w:t>Canberra</w:t>
      </w:r>
      <w:r>
        <w:t>.</w:t>
      </w:r>
    </w:p>
    <w:p w:rsidR="00B41651" w:rsidRDefault="00B41651" w:rsidP="00B41651">
      <w:pPr>
        <w:pStyle w:val="References"/>
      </w:pPr>
      <w:r>
        <w:t>Aitkin, D 2000</w:t>
      </w:r>
      <w:r w:rsidR="00CC70C1">
        <w:t>,</w:t>
      </w:r>
      <w:r>
        <w:t xml:space="preserve"> </w:t>
      </w:r>
      <w:r w:rsidR="00AB306D">
        <w:t>‘</w:t>
      </w:r>
      <w:r>
        <w:t xml:space="preserve">Higher </w:t>
      </w:r>
      <w:r w:rsidR="00CC70C1">
        <w:t>education: a short history of change</w:t>
      </w:r>
      <w:r w:rsidR="00AB306D">
        <w:t>’</w:t>
      </w:r>
      <w:r>
        <w:t xml:space="preserve">, </w:t>
      </w:r>
      <w:r w:rsidRPr="00B41651">
        <w:rPr>
          <w:i/>
        </w:rPr>
        <w:t>Australian Academic &amp; Research Libraries</w:t>
      </w:r>
      <w:r>
        <w:t xml:space="preserve">, </w:t>
      </w:r>
      <w:r w:rsidR="00CC70C1">
        <w:t>vol.31, no.</w:t>
      </w:r>
      <w:r>
        <w:t xml:space="preserve">3, </w:t>
      </w:r>
      <w:r w:rsidR="00CC70C1">
        <w:t>pp.31—</w:t>
      </w:r>
      <w:r>
        <w:t>42,</w:t>
      </w:r>
      <w:r w:rsidRPr="00B41651">
        <w:t xml:space="preserve"> </w:t>
      </w:r>
      <w:r w:rsidR="00CC70C1">
        <w:t xml:space="preserve">viewed 2 January 2014, </w:t>
      </w:r>
      <w:r>
        <w:t>&lt;</w:t>
      </w:r>
      <w:hyperlink r:id="rId19" w:history="1">
        <w:r w:rsidRPr="000921E5">
          <w:rPr>
            <w:rStyle w:val="Hyperlink"/>
            <w:sz w:val="18"/>
          </w:rPr>
          <w:t>http://dx.doi.org/10.1080/00048623.2000.10755126</w:t>
        </w:r>
      </w:hyperlink>
      <w:r>
        <w:t>&gt;</w:t>
      </w:r>
      <w:r w:rsidR="00CC70C1">
        <w:t>.</w:t>
      </w:r>
      <w:r>
        <w:t xml:space="preserve"> </w:t>
      </w:r>
    </w:p>
    <w:p w:rsidR="005361F3" w:rsidRDefault="005361F3" w:rsidP="00A50895">
      <w:pPr>
        <w:pStyle w:val="References"/>
      </w:pPr>
      <w:r>
        <w:t>Anderson, N 1981</w:t>
      </w:r>
      <w:r w:rsidR="00CC70C1">
        <w:t>,</w:t>
      </w:r>
      <w:r>
        <w:t xml:space="preserve"> </w:t>
      </w:r>
      <w:r w:rsidR="004E1021">
        <w:rPr>
          <w:i/>
        </w:rPr>
        <w:t>Kelvin G</w:t>
      </w:r>
      <w:r w:rsidR="000C6427" w:rsidRPr="005361F3">
        <w:rPr>
          <w:i/>
        </w:rPr>
        <w:t>rove forty years</w:t>
      </w:r>
      <w:r>
        <w:t xml:space="preserve">, </w:t>
      </w:r>
      <w:r w:rsidR="0057524F" w:rsidRPr="0057524F">
        <w:t>Kelvin Grove College of Advanced Education</w:t>
      </w:r>
      <w:r w:rsidR="00524F8E">
        <w:t>,</w:t>
      </w:r>
      <w:r w:rsidR="0057524F" w:rsidRPr="0057524F">
        <w:t xml:space="preserve"> </w:t>
      </w:r>
      <w:r>
        <w:t>Milton, Queensland</w:t>
      </w:r>
      <w:r w:rsidR="00D9359C">
        <w:t>.</w:t>
      </w:r>
    </w:p>
    <w:p w:rsidR="00651D01" w:rsidRDefault="00651D01" w:rsidP="00524F8E">
      <w:pPr>
        <w:pStyle w:val="References"/>
        <w:ind w:right="-143"/>
      </w:pPr>
      <w:r>
        <w:t xml:space="preserve">Australia, House of Representatives, </w:t>
      </w:r>
      <w:r w:rsidRPr="00651D01">
        <w:rPr>
          <w:i/>
        </w:rPr>
        <w:t>Debates</w:t>
      </w:r>
      <w:r>
        <w:t xml:space="preserve"> 1962, Chamber speech (Robert Menzies), 1 May 1962, Commonwealth of Australia, Canberra. </w:t>
      </w:r>
    </w:p>
    <w:p w:rsidR="00A54804" w:rsidRDefault="00E83D4F" w:rsidP="00524F8E">
      <w:pPr>
        <w:pStyle w:val="References"/>
        <w:ind w:right="-143"/>
      </w:pPr>
      <w:r>
        <w:t xml:space="preserve">Australia. </w:t>
      </w:r>
      <w:r w:rsidR="00A54804">
        <w:t>House of Rep</w:t>
      </w:r>
      <w:r>
        <w:t>resentative</w:t>
      </w:r>
      <w:r w:rsidR="00A54804">
        <w:t>s</w:t>
      </w:r>
      <w:r>
        <w:t>,</w:t>
      </w:r>
      <w:r w:rsidR="00A54804">
        <w:t xml:space="preserve"> </w:t>
      </w:r>
      <w:r w:rsidRPr="00E83D4F">
        <w:rPr>
          <w:i/>
        </w:rPr>
        <w:t>Debate</w:t>
      </w:r>
      <w:r>
        <w:rPr>
          <w:i/>
        </w:rPr>
        <w:t>s</w:t>
      </w:r>
      <w:r>
        <w:t xml:space="preserve"> 1965, </w:t>
      </w:r>
      <w:r w:rsidR="00A616F2">
        <w:t>‘</w:t>
      </w:r>
      <w:r>
        <w:t>States Grants (Advanced Education) Bill 1965</w:t>
      </w:r>
      <w:r w:rsidR="00A616F2">
        <w:t>’</w:t>
      </w:r>
      <w:r>
        <w:t>,</w:t>
      </w:r>
      <w:r w:rsidR="00A54804">
        <w:t xml:space="preserve"> Second Reading, 24 November 1965</w:t>
      </w:r>
      <w:r w:rsidR="00524F8E">
        <w:t>,</w:t>
      </w:r>
      <w:r w:rsidR="006D33B9">
        <w:t xml:space="preserve"> </w:t>
      </w:r>
      <w:r w:rsidR="004B2009" w:rsidRPr="001257CA">
        <w:t>viewed</w:t>
      </w:r>
      <w:r w:rsidR="001257CA">
        <w:t xml:space="preserve"> 29 July 2014, </w:t>
      </w:r>
      <w:r w:rsidR="004B2009">
        <w:t xml:space="preserve"> </w:t>
      </w:r>
      <w:r w:rsidR="001257CA">
        <w:t>&lt;</w:t>
      </w:r>
      <w:r w:rsidR="001257CA" w:rsidRPr="001257CA">
        <w:t>http://parlinfo.aph.gov.au/parlInfo/search/display/display.w3p;adv=yes;db=HANSARD80;id=hansard80%2Fhansardr80%2F1965-11-24%2F0109;orderBy=_fragment_number,doc_date-rev;page=0;query=Dataset%3Ahansardr,hansardr80%20Decade%3A%221960s%22%20Year%3A%22</w:t>
      </w:r>
      <w:r w:rsidR="001257CA">
        <w:t>1965%22;rec=10;resCount=Default&gt;.</w:t>
      </w:r>
    </w:p>
    <w:p w:rsidR="009A7261" w:rsidRDefault="009A7261" w:rsidP="009A7261">
      <w:pPr>
        <w:pStyle w:val="References"/>
      </w:pPr>
      <w:r>
        <w:t xml:space="preserve">Australia. House of Representatives, </w:t>
      </w:r>
      <w:r>
        <w:rPr>
          <w:i/>
        </w:rPr>
        <w:t xml:space="preserve">Debates </w:t>
      </w:r>
      <w:r>
        <w:t xml:space="preserve">1967, </w:t>
      </w:r>
      <w:r w:rsidR="004B2009">
        <w:t>‘</w:t>
      </w:r>
      <w:r w:rsidRPr="00AA0D0C">
        <w:t>States Grants (Ad</w:t>
      </w:r>
      <w:r>
        <w:t>vanced Education) Bill 1967</w:t>
      </w:r>
      <w:r w:rsidR="004B2009">
        <w:t>’</w:t>
      </w:r>
      <w:r>
        <w:t>,</w:t>
      </w:r>
      <w:r w:rsidRPr="00AA0D0C">
        <w:t xml:space="preserve"> Second Reading</w:t>
      </w:r>
      <w:r>
        <w:t xml:space="preserve"> (EG Whitlam), 16 May 1967, viewed 29 April 2014,</w:t>
      </w:r>
      <w:r w:rsidR="00524F8E">
        <w:t xml:space="preserve"> </w:t>
      </w:r>
      <w:r>
        <w:t>&lt;</w:t>
      </w:r>
      <w:hyperlink r:id="rId20" w:history="1">
        <w:r w:rsidR="00524F8E" w:rsidRPr="00DF6E2C">
          <w:rPr>
            <w:rStyle w:val="Hyperlink"/>
            <w:sz w:val="18"/>
          </w:rPr>
          <w:t>http://parlinfo.aph.gov.au/parlInfo/ search/display/display.w3p;adv=yes;db=HANSARD80;id=hansard80%2Fhansardr80%2F1967-05-16%2F0127;orderBy=customrank;page=0;query=Content%3A%22Wark%20Committee%22%20Date%3A01%2F03%2F1965%20%3E%3E%2012%2F12%2F1970%20Dataset%3Ahansardr,hansardr80;rec=9;resCount=Default</w:t>
        </w:r>
      </w:hyperlink>
      <w:r>
        <w:t>&gt;.</w:t>
      </w:r>
    </w:p>
    <w:p w:rsidR="00A616F2" w:rsidRPr="00AA0D0C" w:rsidRDefault="00A616F2" w:rsidP="00A616F2">
      <w:pPr>
        <w:pStyle w:val="References"/>
      </w:pPr>
      <w:r>
        <w:t xml:space="preserve">Australia. Senate, </w:t>
      </w:r>
      <w:r>
        <w:rPr>
          <w:i/>
        </w:rPr>
        <w:t>Debates</w:t>
      </w:r>
      <w:r>
        <w:t xml:space="preserve"> 1965, ‘</w:t>
      </w:r>
      <w:r w:rsidRPr="00AA0D0C">
        <w:t>States Grants (Advanced Education) Bill 1965</w:t>
      </w:r>
      <w:r>
        <w:t>’,</w:t>
      </w:r>
      <w:r w:rsidRPr="00AA0D0C">
        <w:t xml:space="preserve"> Second Reading</w:t>
      </w:r>
      <w:r>
        <w:t>,</w:t>
      </w:r>
      <w:r w:rsidRPr="00AA0D0C">
        <w:t xml:space="preserve"> 25</w:t>
      </w:r>
      <w:r>
        <w:t> </w:t>
      </w:r>
      <w:r w:rsidRPr="00AA0D0C">
        <w:t>November</w:t>
      </w:r>
      <w:r>
        <w:t>,</w:t>
      </w:r>
      <w:r w:rsidRPr="00AA0D0C">
        <w:t xml:space="preserve"> </w:t>
      </w:r>
      <w:r>
        <w:t xml:space="preserve">J </w:t>
      </w:r>
      <w:r w:rsidRPr="00C63AE8">
        <w:t>Gorton</w:t>
      </w:r>
      <w:r w:rsidR="00651D01">
        <w:t>, viewed 29 April 201</w:t>
      </w:r>
      <w:r>
        <w:t xml:space="preserve">4, </w:t>
      </w:r>
      <w:r w:rsidRPr="00AA0D0C">
        <w:t>&lt;</w:t>
      </w:r>
      <w:hyperlink r:id="rId21" w:history="1">
        <w:r w:rsidRPr="00DF6E2C">
          <w:rPr>
            <w:rStyle w:val="Hyperlink"/>
            <w:sz w:val="18"/>
          </w:rPr>
          <w:t>http://parlinfo.aph.gov.au/parlI</w:t>
        </w:r>
        <w:r w:rsidRPr="00DF6E2C">
          <w:rPr>
            <w:rStyle w:val="Hyperlink"/>
            <w:i/>
            <w:sz w:val="18"/>
          </w:rPr>
          <w:t>Debates</w:t>
        </w:r>
        <w:r w:rsidRPr="00DF6E2C">
          <w:rPr>
            <w:rStyle w:val="Hyperlink"/>
            <w:sz w:val="18"/>
          </w:rPr>
          <w:t>nfo/search/ display/display.w3p;adv=yes;orderBy=customrank;page=0;query=Content%3A%22tertiary%20education%22%20AuthorSpeakerReporter%3AGorton%20Date%3A04%2F03%2F1965%20%3E%3E%2030%2F12%2F1965%20Dataset%3Ahansards,hansards80;rec=1;resCount=Default</w:t>
        </w:r>
      </w:hyperlink>
      <w:r w:rsidRPr="00AA0D0C">
        <w:t>&gt;</w:t>
      </w:r>
      <w:r>
        <w:t>.</w:t>
      </w:r>
    </w:p>
    <w:p w:rsidR="00D9359C" w:rsidRDefault="00D9359C" w:rsidP="00D9359C">
      <w:pPr>
        <w:pStyle w:val="References"/>
      </w:pPr>
      <w:r>
        <w:t xml:space="preserve">Australia. Senate, </w:t>
      </w:r>
      <w:r>
        <w:rPr>
          <w:i/>
        </w:rPr>
        <w:t xml:space="preserve">Debates </w:t>
      </w:r>
      <w:r w:rsidRPr="00C63AE8">
        <w:t>1965</w:t>
      </w:r>
      <w:r>
        <w:t xml:space="preserve">, </w:t>
      </w:r>
      <w:r w:rsidR="00AB306D">
        <w:t>‘</w:t>
      </w:r>
      <w:r>
        <w:t>Tertiary e</w:t>
      </w:r>
      <w:r w:rsidRPr="00AA0D0C">
        <w:t>duca</w:t>
      </w:r>
      <w:r w:rsidR="00F5035D">
        <w:t>tion in Australia</w:t>
      </w:r>
      <w:r w:rsidR="00AB306D">
        <w:t>’</w:t>
      </w:r>
      <w:r w:rsidR="00F5035D">
        <w:t>, Ministerial s</w:t>
      </w:r>
      <w:r w:rsidRPr="00AA0D0C">
        <w:t>tatement</w:t>
      </w:r>
      <w:r w:rsidR="00A72FC8">
        <w:t xml:space="preserve"> (J Gorton)</w:t>
      </w:r>
      <w:r w:rsidRPr="00AA0D0C">
        <w:t>, 24 March 1965</w:t>
      </w:r>
      <w:r>
        <w:t>, viewed 29 April 2014,</w:t>
      </w:r>
      <w:r w:rsidRPr="00AA0D0C">
        <w:t xml:space="preserve"> </w:t>
      </w:r>
      <w:r>
        <w:t>&lt;</w:t>
      </w:r>
      <w:hyperlink r:id="rId22" w:history="1">
        <w:r w:rsidR="00524F8E" w:rsidRPr="00DF6E2C">
          <w:rPr>
            <w:rStyle w:val="Hyperlink"/>
            <w:sz w:val="18"/>
          </w:rPr>
          <w:t>http://parlinfo.aph.gov.au/parlInfo/search/display/display.w3p; adv=yes;orderBy=customrank;page=0;query=Content%3A%22tertiary%20education%22%20AuthorSpeakerReporter%3AGorton%20Date%3A04%2F03%2F1965%20%3E%3E%2030%2F12%2F1965%20Dataset%3Ahansards,hansards80;rec=13;resCount=Default</w:t>
        </w:r>
      </w:hyperlink>
      <w:r>
        <w:t>&gt;.</w:t>
      </w:r>
    </w:p>
    <w:p w:rsidR="00315314" w:rsidRDefault="005210E6" w:rsidP="00315314">
      <w:pPr>
        <w:pStyle w:val="References"/>
      </w:pPr>
      <w:r>
        <w:t>Australia.</w:t>
      </w:r>
      <w:r w:rsidR="00315314">
        <w:t xml:space="preserve"> Senate,</w:t>
      </w:r>
      <w:r w:rsidR="00FE634F">
        <w:t xml:space="preserve"> </w:t>
      </w:r>
      <w:r w:rsidR="00315314" w:rsidRPr="00315314">
        <w:rPr>
          <w:i/>
        </w:rPr>
        <w:t>Debates</w:t>
      </w:r>
      <w:r w:rsidR="00315314">
        <w:t xml:space="preserve"> 1965, </w:t>
      </w:r>
      <w:r w:rsidR="00AB306D">
        <w:t>‘</w:t>
      </w:r>
      <w:r w:rsidR="00315314">
        <w:t>Tertiary e</w:t>
      </w:r>
      <w:r w:rsidR="00315314" w:rsidRPr="00AA0D0C">
        <w:t>duca</w:t>
      </w:r>
      <w:r w:rsidR="00315314">
        <w:t>tion in Australia</w:t>
      </w:r>
      <w:r w:rsidR="00AB306D">
        <w:t>’</w:t>
      </w:r>
      <w:r w:rsidR="00315314">
        <w:t>, Ministerial s</w:t>
      </w:r>
      <w:r w:rsidR="00315314" w:rsidRPr="00AA0D0C">
        <w:t>tatement</w:t>
      </w:r>
      <w:r w:rsidR="00315314">
        <w:t xml:space="preserve"> (J </w:t>
      </w:r>
      <w:r w:rsidR="00315314" w:rsidRPr="00315314">
        <w:t>Ormonde</w:t>
      </w:r>
      <w:r w:rsidR="00315314">
        <w:t>) 4 May 1965, viewed 29 April 2014, &lt;</w:t>
      </w:r>
      <w:r w:rsidR="00315314" w:rsidRPr="00AA0D0C">
        <w:t>http://parlinfo.aph.gov.au/parlInfo/search/display/display.w3p;adv=yes;</w:t>
      </w:r>
      <w:r w:rsidR="00524F8E">
        <w:t xml:space="preserve"> </w:t>
      </w:r>
      <w:r w:rsidR="00315314" w:rsidRPr="00AA0D0C">
        <w:t>db=HANSARD80;id=hansard80%2Fhansards80%2F1965-05-04%2F0117;orderBy=customrank;page=0;query=</w:t>
      </w:r>
      <w:r w:rsidR="00524F8E">
        <w:t xml:space="preserve"> </w:t>
      </w:r>
      <w:r w:rsidR="00315314" w:rsidRPr="00AA0D0C">
        <w:t>Content%3A%22tertiary%20education%22%20AuthorSpeakerReporter%3AGorton%20Date%3A04%2F03%2F1965%20%3E%3E%2030%2F12%2F1965%20Dataset%3Ahansards,hansards80;rec=12;resCount=Default</w:t>
      </w:r>
      <w:r w:rsidR="00315314">
        <w:t>&gt;.</w:t>
      </w:r>
    </w:p>
    <w:p w:rsidR="005F0DCE" w:rsidRPr="00753D56" w:rsidRDefault="005F0DCE" w:rsidP="00D9359C">
      <w:pPr>
        <w:pStyle w:val="References"/>
      </w:pPr>
      <w:r>
        <w:t xml:space="preserve">Australia. Senate, </w:t>
      </w:r>
      <w:r>
        <w:rPr>
          <w:i/>
        </w:rPr>
        <w:t xml:space="preserve">Debates </w:t>
      </w:r>
      <w:r w:rsidRPr="00753D56">
        <w:t xml:space="preserve">1965, </w:t>
      </w:r>
      <w:r w:rsidR="00AB306D">
        <w:t>‘</w:t>
      </w:r>
      <w:r w:rsidRPr="00753D56">
        <w:t>Tertiary education in Australia</w:t>
      </w:r>
      <w:r w:rsidR="00A616F2">
        <w:t>’</w:t>
      </w:r>
      <w:r w:rsidRPr="00753D56">
        <w:t>, Ministerial statement (L Murphy) 11 May, viewed 2 May 2014</w:t>
      </w:r>
      <w:r w:rsidR="00753D56">
        <w:t>,</w:t>
      </w:r>
      <w:r w:rsidRPr="00753D56">
        <w:t xml:space="preserve"> &lt;http://parlinfo.aph.gov.au/parlInfo/download/hansard80/hansards80/1965-05-11/</w:t>
      </w:r>
      <w:r w:rsidR="00524F8E">
        <w:t xml:space="preserve"> </w:t>
      </w:r>
      <w:r w:rsidRPr="00753D56">
        <w:t>toc_pdf/19650511_senate_25_s28.pdf;fileType=application%2Fpdf#search=%221960s%201965%2005%2011%22</w:t>
      </w:r>
      <w:r w:rsidR="00753D56" w:rsidRPr="00753D56">
        <w:t>&gt;</w:t>
      </w:r>
      <w:r w:rsidR="00524F8E">
        <w:t>.</w:t>
      </w:r>
    </w:p>
    <w:p w:rsidR="00E0122A" w:rsidRDefault="00E0122A" w:rsidP="00E0122A">
      <w:pPr>
        <w:pStyle w:val="References"/>
      </w:pPr>
      <w:r>
        <w:t xml:space="preserve">Australian Public Service Commission 2007, </w:t>
      </w:r>
      <w:r w:rsidRPr="00FD7C0D">
        <w:rPr>
          <w:i/>
        </w:rPr>
        <w:t>Tackling wicked problems</w:t>
      </w:r>
      <w:r>
        <w:rPr>
          <w:i/>
        </w:rPr>
        <w:t>:</w:t>
      </w:r>
      <w:r w:rsidRPr="00FD7C0D">
        <w:rPr>
          <w:i/>
        </w:rPr>
        <w:t xml:space="preserve"> a public policy perspective</w:t>
      </w:r>
      <w:r>
        <w:t>, APSC, Canberra</w:t>
      </w:r>
      <w:r w:rsidR="00157613">
        <w:t>.</w:t>
      </w:r>
    </w:p>
    <w:p w:rsidR="00157613" w:rsidRPr="00906E13" w:rsidRDefault="00157613" w:rsidP="00A54804">
      <w:pPr>
        <w:pStyle w:val="References"/>
      </w:pPr>
      <w:r>
        <w:t>Beddie, F 2014</w:t>
      </w:r>
      <w:r w:rsidR="00906E13">
        <w:t xml:space="preserve">, </w:t>
      </w:r>
      <w:r w:rsidR="00EE1229" w:rsidRPr="00EE1229">
        <w:rPr>
          <w:i/>
        </w:rPr>
        <w:t>What next for tertiary education? Some preliminary sketches</w:t>
      </w:r>
      <w:r w:rsidR="00EE1229">
        <w:t xml:space="preserve">, </w:t>
      </w:r>
      <w:r w:rsidR="00906E13">
        <w:t>NCVER, Adelaide.</w:t>
      </w:r>
    </w:p>
    <w:p w:rsidR="002716F5" w:rsidRDefault="002716F5" w:rsidP="00A50895">
      <w:pPr>
        <w:pStyle w:val="References"/>
      </w:pPr>
      <w:r>
        <w:t>Burdman, P 2008</w:t>
      </w:r>
      <w:r w:rsidR="00EE1229">
        <w:t>,</w:t>
      </w:r>
      <w:r>
        <w:t xml:space="preserve"> </w:t>
      </w:r>
      <w:r w:rsidR="00AB306D">
        <w:t>‘</w:t>
      </w:r>
      <w:r w:rsidRPr="002716F5">
        <w:t>Does California</w:t>
      </w:r>
      <w:r w:rsidR="00AB306D">
        <w:t>’</w:t>
      </w:r>
      <w:r w:rsidRPr="002716F5">
        <w:t xml:space="preserve">s </w:t>
      </w:r>
      <w:r w:rsidR="006D33B9" w:rsidRPr="002716F5">
        <w:t>master plan still work</w:t>
      </w:r>
      <w:r w:rsidRPr="002716F5">
        <w:t>? Separate higher education systems pursue different mandates, while participation and graduation rates decline</w:t>
      </w:r>
      <w:r w:rsidR="00AB306D">
        <w:t>’</w:t>
      </w:r>
      <w:r w:rsidR="00392E04">
        <w:t xml:space="preserve">, </w:t>
      </w:r>
      <w:r w:rsidR="00392E04" w:rsidRPr="00392E04">
        <w:rPr>
          <w:i/>
        </w:rPr>
        <w:t>National Cross Talk</w:t>
      </w:r>
      <w:r w:rsidR="00392E04">
        <w:t>,</w:t>
      </w:r>
      <w:r w:rsidRPr="002716F5">
        <w:t xml:space="preserve"> </w:t>
      </w:r>
      <w:r w:rsidR="00392E04" w:rsidRPr="00392E04">
        <w:t>The National Center for Public Policy and Higher Education</w:t>
      </w:r>
      <w:r w:rsidR="006D33B9">
        <w:t>,</w:t>
      </w:r>
      <w:r w:rsidR="00392E04">
        <w:t xml:space="preserve"> </w:t>
      </w:r>
      <w:r w:rsidR="00A60CA4">
        <w:t>viewed July 2014</w:t>
      </w:r>
      <w:r w:rsidR="006D33B9" w:rsidRPr="00A60CA4">
        <w:t>,</w:t>
      </w:r>
      <w:r w:rsidR="006D33B9">
        <w:t xml:space="preserve"> &lt;</w:t>
      </w:r>
      <w:hyperlink r:id="rId23" w:history="1">
        <w:r w:rsidR="00FC71BB" w:rsidRPr="007D5D27">
          <w:rPr>
            <w:rStyle w:val="Hyperlink"/>
            <w:sz w:val="18"/>
          </w:rPr>
          <w:t>http://www.highereducation.org/crosstalk/ctbook/pdfbook/MasterPlanBookLayout.pdf</w:t>
        </w:r>
      </w:hyperlink>
      <w:r w:rsidR="006D33B9">
        <w:rPr>
          <w:rStyle w:val="Hyperlink"/>
          <w:sz w:val="18"/>
        </w:rPr>
        <w:t>&gt;.</w:t>
      </w:r>
    </w:p>
    <w:p w:rsidR="00250005" w:rsidRDefault="00250005" w:rsidP="00250005">
      <w:pPr>
        <w:pStyle w:val="References"/>
      </w:pPr>
      <w:r>
        <w:t>California State Department of Education</w:t>
      </w:r>
      <w:r w:rsidR="006D33B9">
        <w:t xml:space="preserve"> 1960</w:t>
      </w:r>
      <w:r>
        <w:t xml:space="preserve">, </w:t>
      </w:r>
      <w:r w:rsidRPr="00250005">
        <w:rPr>
          <w:i/>
        </w:rPr>
        <w:t xml:space="preserve">A </w:t>
      </w:r>
      <w:r w:rsidR="00A616F2" w:rsidRPr="00250005">
        <w:rPr>
          <w:i/>
        </w:rPr>
        <w:t xml:space="preserve">master plan for higher education </w:t>
      </w:r>
      <w:r w:rsidRPr="00250005">
        <w:rPr>
          <w:i/>
        </w:rPr>
        <w:t>in California 1960</w:t>
      </w:r>
      <w:r w:rsidR="006D33B9">
        <w:rPr>
          <w:i/>
        </w:rPr>
        <w:t>—</w:t>
      </w:r>
      <w:r w:rsidRPr="00250005">
        <w:rPr>
          <w:i/>
        </w:rPr>
        <w:t>1975</w:t>
      </w:r>
      <w:r>
        <w:t>, Sacramento</w:t>
      </w:r>
      <w:r w:rsidR="006D33B9">
        <w:t>.</w:t>
      </w:r>
    </w:p>
    <w:p w:rsidR="00FC71BB" w:rsidRDefault="00FC71BB" w:rsidP="00250005">
      <w:pPr>
        <w:pStyle w:val="References"/>
      </w:pPr>
      <w:r w:rsidRPr="00AD2D6D">
        <w:t xml:space="preserve">Callan, V </w:t>
      </w:r>
      <w:r>
        <w:t xml:space="preserve">&amp; </w:t>
      </w:r>
      <w:r w:rsidRPr="00AD2D6D">
        <w:t xml:space="preserve">Bowman, K 2013, </w:t>
      </w:r>
      <w:r w:rsidRPr="00AD2D6D">
        <w:rPr>
          <w:i/>
        </w:rPr>
        <w:t>Issues for VET providers delivering associate and bachelor degrees: literature review</w:t>
      </w:r>
      <w:r w:rsidRPr="00AD2D6D">
        <w:t>, National Vocational Education and Training Research Program occasional paper, NCVER, Adelaide</w:t>
      </w:r>
      <w:r w:rsidR="009A7261">
        <w:t>.</w:t>
      </w:r>
    </w:p>
    <w:p w:rsidR="008C259E" w:rsidRPr="00FE634F" w:rsidRDefault="008C259E" w:rsidP="00A50895">
      <w:pPr>
        <w:pStyle w:val="References"/>
      </w:pPr>
      <w:r>
        <w:t xml:space="preserve">Committee of Inquiry into Awards in Colleges of Advanced Education 1969, </w:t>
      </w:r>
      <w:r w:rsidR="00FE634F">
        <w:rPr>
          <w:i/>
        </w:rPr>
        <w:t>Academic awards in advanced education: report</w:t>
      </w:r>
      <w:r w:rsidR="00FE634F">
        <w:t xml:space="preserve"> (Wiltshire Inquiry), AGPS, Canberra.</w:t>
      </w:r>
    </w:p>
    <w:p w:rsidR="009A7261" w:rsidRDefault="009A7261" w:rsidP="009A7261">
      <w:pPr>
        <w:pStyle w:val="References"/>
      </w:pPr>
      <w:r w:rsidRPr="009A7261">
        <w:t>Committee of Inquiry into Education and Training</w:t>
      </w:r>
      <w:r>
        <w:t xml:space="preserve"> </w:t>
      </w:r>
      <w:r w:rsidRPr="009A7261">
        <w:t>1979</w:t>
      </w:r>
      <w:r w:rsidRPr="00DA5B45">
        <w:rPr>
          <w:i/>
        </w:rPr>
        <w:t xml:space="preserve">, Education, training and employment: </w:t>
      </w:r>
      <w:r w:rsidRPr="006D33B9">
        <w:rPr>
          <w:i/>
        </w:rPr>
        <w:t>report of the Committee of Inquiry into Education and Training</w:t>
      </w:r>
      <w:r w:rsidRPr="009A7261">
        <w:t xml:space="preserve"> (Williams report)</w:t>
      </w:r>
      <w:r w:rsidRPr="00DA5B45">
        <w:rPr>
          <w:i/>
        </w:rPr>
        <w:t xml:space="preserve">, </w:t>
      </w:r>
      <w:r w:rsidRPr="00DA5B45">
        <w:t>Australian Government Publishing Service, Canberra</w:t>
      </w:r>
      <w:r>
        <w:t>.</w:t>
      </w:r>
    </w:p>
    <w:p w:rsidR="00E83D4F" w:rsidRDefault="00E83D4F" w:rsidP="00E83D4F">
      <w:pPr>
        <w:pStyle w:val="References"/>
      </w:pPr>
      <w:r w:rsidRPr="0057524F">
        <w:lastRenderedPageBreak/>
        <w:t>Committee on Australian Universities</w:t>
      </w:r>
      <w:r>
        <w:t xml:space="preserve"> </w:t>
      </w:r>
      <w:r w:rsidRPr="0057524F">
        <w:t xml:space="preserve">1957, Report of the Committee on Australian Universities </w:t>
      </w:r>
      <w:r>
        <w:t>(</w:t>
      </w:r>
      <w:r w:rsidRPr="0057524F">
        <w:t>Murray Report</w:t>
      </w:r>
      <w:r>
        <w:t>)</w:t>
      </w:r>
      <w:r w:rsidRPr="0057524F">
        <w:t>, Government Printer, Canberra</w:t>
      </w:r>
      <w:r>
        <w:t>.</w:t>
      </w:r>
    </w:p>
    <w:p w:rsidR="00521456" w:rsidRDefault="00521456" w:rsidP="00521456">
      <w:pPr>
        <w:pStyle w:val="References"/>
      </w:pPr>
      <w:r>
        <w:t>Committee on the Future of Tertiary Education in Australia 1964</w:t>
      </w:r>
      <w:r w:rsidR="002245F6">
        <w:t>—</w:t>
      </w:r>
      <w:r w:rsidR="00FF6B86">
        <w:t>65</w:t>
      </w:r>
      <w:r>
        <w:t xml:space="preserve">, </w:t>
      </w:r>
      <w:r w:rsidR="00FF6B86">
        <w:rPr>
          <w:i/>
        </w:rPr>
        <w:t>Tertiary e</w:t>
      </w:r>
      <w:r w:rsidRPr="00521456">
        <w:rPr>
          <w:i/>
        </w:rPr>
        <w:t>ducation in Australia</w:t>
      </w:r>
      <w:r w:rsidR="002245F6">
        <w:rPr>
          <w:i/>
        </w:rPr>
        <w:t>: report to the Australian Universities Commission</w:t>
      </w:r>
      <w:r w:rsidR="00FF6B86">
        <w:t xml:space="preserve"> (the Martin Report), 3 vols, </w:t>
      </w:r>
      <w:r>
        <w:t>Commonwealth of Australia, Melbourne</w:t>
      </w:r>
      <w:r w:rsidR="002245F6">
        <w:t>.</w:t>
      </w:r>
      <w:r>
        <w:t xml:space="preserve"> </w:t>
      </w:r>
    </w:p>
    <w:p w:rsidR="00B91886" w:rsidRDefault="00B91886" w:rsidP="00FF220B">
      <w:pPr>
        <w:pStyle w:val="References"/>
      </w:pPr>
      <w:r w:rsidRPr="00B91886">
        <w:t>Committee on Higher Education</w:t>
      </w:r>
      <w:r w:rsidR="002245F6">
        <w:t xml:space="preserve"> (UK)</w:t>
      </w:r>
      <w:r w:rsidRPr="00B91886">
        <w:t xml:space="preserve"> </w:t>
      </w:r>
      <w:r>
        <w:t xml:space="preserve">1963, </w:t>
      </w:r>
      <w:r w:rsidR="002245F6">
        <w:rPr>
          <w:i/>
        </w:rPr>
        <w:t>Higher e</w:t>
      </w:r>
      <w:r w:rsidRPr="00B91886">
        <w:rPr>
          <w:i/>
        </w:rPr>
        <w:t>ducation</w:t>
      </w:r>
      <w:r w:rsidR="002245F6">
        <w:t xml:space="preserve"> (Robbins report), HMSO, London.</w:t>
      </w:r>
    </w:p>
    <w:p w:rsidR="00FF220B" w:rsidRPr="00FF220B" w:rsidRDefault="00FF220B" w:rsidP="00FF220B">
      <w:pPr>
        <w:pStyle w:val="References"/>
      </w:pPr>
      <w:r>
        <w:t>Croucher, G, Marginson, S, Norton, A</w:t>
      </w:r>
      <w:r w:rsidR="009270AD">
        <w:t xml:space="preserve"> &amp;</w:t>
      </w:r>
      <w:r>
        <w:t xml:space="preserve"> Wells</w:t>
      </w:r>
      <w:r w:rsidR="009270AD">
        <w:t>,</w:t>
      </w:r>
      <w:r>
        <w:t xml:space="preserve"> J (eds) 2013, </w:t>
      </w:r>
      <w:r w:rsidRPr="009270AD">
        <w:rPr>
          <w:i/>
        </w:rPr>
        <w:t xml:space="preserve">The Dawkins </w:t>
      </w:r>
      <w:r w:rsidR="002245F6" w:rsidRPr="009270AD">
        <w:rPr>
          <w:i/>
        </w:rPr>
        <w:t>revolution 25 years on</w:t>
      </w:r>
      <w:r>
        <w:t>, Melbourne University Press</w:t>
      </w:r>
      <w:r w:rsidR="002245F6">
        <w:t>, Melbourne.</w:t>
      </w:r>
    </w:p>
    <w:p w:rsidR="0054625F" w:rsidRPr="0054625F" w:rsidRDefault="0054625F" w:rsidP="00521456">
      <w:pPr>
        <w:pStyle w:val="References"/>
      </w:pPr>
      <w:r>
        <w:t xml:space="preserve">Cyranoski, D, </w:t>
      </w:r>
      <w:r w:rsidRPr="0054625F">
        <w:t>Gilbert</w:t>
      </w:r>
      <w:r>
        <w:t>,</w:t>
      </w:r>
      <w:r w:rsidRPr="0054625F">
        <w:t xml:space="preserve"> </w:t>
      </w:r>
      <w:r>
        <w:t>N</w:t>
      </w:r>
      <w:r w:rsidRPr="0054625F">
        <w:t>,</w:t>
      </w:r>
      <w:r w:rsidR="00FE634F">
        <w:t xml:space="preserve"> </w:t>
      </w:r>
      <w:r w:rsidRPr="0054625F">
        <w:t xml:space="preserve">Ledford </w:t>
      </w:r>
      <w:r>
        <w:t>H</w:t>
      </w:r>
      <w:r w:rsidRPr="0054625F">
        <w:t>, Nayar</w:t>
      </w:r>
      <w:r>
        <w:t>,</w:t>
      </w:r>
      <w:r w:rsidRPr="0054625F">
        <w:t xml:space="preserve"> </w:t>
      </w:r>
      <w:r>
        <w:t>A &amp;</w:t>
      </w:r>
      <w:r w:rsidR="00FE634F">
        <w:t xml:space="preserve"> </w:t>
      </w:r>
      <w:r>
        <w:t xml:space="preserve">Yahia, M 2011, </w:t>
      </w:r>
      <w:r w:rsidR="00AB306D">
        <w:t>‘</w:t>
      </w:r>
      <w:r w:rsidR="008D6912">
        <w:t>Education: t</w:t>
      </w:r>
      <w:r w:rsidRPr="0054625F">
        <w:t>he PhD factory</w:t>
      </w:r>
      <w:r w:rsidR="00AB306D">
        <w:t>’</w:t>
      </w:r>
      <w:r>
        <w:t xml:space="preserve">, </w:t>
      </w:r>
      <w:r>
        <w:rPr>
          <w:i/>
        </w:rPr>
        <w:t>Nature,</w:t>
      </w:r>
      <w:r w:rsidRPr="0054625F">
        <w:t xml:space="preserve"> </w:t>
      </w:r>
      <w:r w:rsidR="008D6912">
        <w:t xml:space="preserve">April, </w:t>
      </w:r>
      <w:r>
        <w:t>viewed 27 Jan</w:t>
      </w:r>
      <w:r w:rsidR="008D6912">
        <w:t>uary</w:t>
      </w:r>
      <w:r>
        <w:t xml:space="preserve"> 2014</w:t>
      </w:r>
      <w:r w:rsidR="008D6912">
        <w:t>,</w:t>
      </w:r>
      <w:r>
        <w:t xml:space="preserve"> &lt;</w:t>
      </w:r>
      <w:r w:rsidRPr="0054625F">
        <w:t>http://www.nature.com/news/2011/110420/full/472276a.html</w:t>
      </w:r>
      <w:r>
        <w:t>&gt;</w:t>
      </w:r>
      <w:r w:rsidR="008D6912">
        <w:t>.</w:t>
      </w:r>
    </w:p>
    <w:p w:rsidR="00C06528" w:rsidRDefault="00C06528" w:rsidP="00521456">
      <w:pPr>
        <w:pStyle w:val="References"/>
      </w:pPr>
      <w:r>
        <w:t>Davies, S</w:t>
      </w:r>
      <w:r w:rsidR="00FF220B">
        <w:t xml:space="preserve"> </w:t>
      </w:r>
      <w:r>
        <w:t>1989</w:t>
      </w:r>
      <w:r w:rsidR="008D6912">
        <w:t>,</w:t>
      </w:r>
      <w:r>
        <w:t xml:space="preserve"> </w:t>
      </w:r>
      <w:r w:rsidRPr="00C06528">
        <w:rPr>
          <w:i/>
        </w:rPr>
        <w:t>The Martin Committee and the binary policy of higher education in Australia</w:t>
      </w:r>
      <w:r>
        <w:t>, Ashwood House, Melbourne</w:t>
      </w:r>
      <w:r w:rsidR="008D6912">
        <w:t>.</w:t>
      </w:r>
    </w:p>
    <w:p w:rsidR="00FB06CA" w:rsidRDefault="00FB06CA" w:rsidP="00FB06CA">
      <w:pPr>
        <w:pStyle w:val="References"/>
      </w:pPr>
      <w:r>
        <w:t>Davis, G 2010</w:t>
      </w:r>
      <w:r w:rsidR="008D6912">
        <w:t>,</w:t>
      </w:r>
      <w:r w:rsidRPr="00FB06CA">
        <w:t xml:space="preserve"> </w:t>
      </w:r>
      <w:r w:rsidR="00AB306D">
        <w:t>‘</w:t>
      </w:r>
      <w:r w:rsidRPr="008D6912">
        <w:t>Willing</w:t>
      </w:r>
      <w:r w:rsidR="003C7624">
        <w:t xml:space="preserve"> to t</w:t>
      </w:r>
      <w:r w:rsidRPr="008D6912">
        <w:t>ry: the introduction of the Melbourne Model</w:t>
      </w:r>
      <w:r w:rsidR="00AB306D">
        <w:t>’</w:t>
      </w:r>
      <w:r>
        <w:rPr>
          <w:i/>
        </w:rPr>
        <w:t xml:space="preserve">, </w:t>
      </w:r>
      <w:r w:rsidRPr="00FB06CA">
        <w:rPr>
          <w:i/>
        </w:rPr>
        <w:t>The Menzies Oration</w:t>
      </w:r>
      <w:r>
        <w:t>, University of Melbourne</w:t>
      </w:r>
      <w:r w:rsidR="008D6912">
        <w:t>, Melbourne.</w:t>
      </w:r>
    </w:p>
    <w:p w:rsidR="008D6912" w:rsidRDefault="008D6912" w:rsidP="008D6912">
      <w:pPr>
        <w:widowControl w:val="0"/>
        <w:autoSpaceDE w:val="0"/>
        <w:autoSpaceDN w:val="0"/>
        <w:adjustRightInd w:val="0"/>
        <w:spacing w:line="240" w:lineRule="auto"/>
        <w:ind w:left="500" w:right="200" w:hanging="500"/>
        <w:rPr>
          <w:sz w:val="18"/>
        </w:rPr>
      </w:pPr>
      <w:r w:rsidRPr="00277C65">
        <w:rPr>
          <w:sz w:val="18"/>
        </w:rPr>
        <w:t>Dawkins, J</w:t>
      </w:r>
      <w:r>
        <w:rPr>
          <w:sz w:val="18"/>
        </w:rPr>
        <w:t xml:space="preserve"> </w:t>
      </w:r>
      <w:r w:rsidRPr="00277C65">
        <w:rPr>
          <w:sz w:val="18"/>
        </w:rPr>
        <w:t xml:space="preserve">1988, </w:t>
      </w:r>
      <w:r w:rsidRPr="009A614B">
        <w:rPr>
          <w:i/>
          <w:sz w:val="18"/>
        </w:rPr>
        <w:t>Higher education: a policy statement</w:t>
      </w:r>
      <w:r w:rsidRPr="00277C65">
        <w:rPr>
          <w:sz w:val="18"/>
        </w:rPr>
        <w:t>, Department of Employment, Education and Training</w:t>
      </w:r>
      <w:r>
        <w:rPr>
          <w:sz w:val="18"/>
        </w:rPr>
        <w:t>, Canberra.</w:t>
      </w:r>
    </w:p>
    <w:p w:rsidR="00157613" w:rsidRDefault="00157613" w:rsidP="00157613">
      <w:pPr>
        <w:pStyle w:val="References"/>
      </w:pPr>
      <w:r>
        <w:t xml:space="preserve">de Berg, H 1972, </w:t>
      </w:r>
      <w:r w:rsidRPr="00845E27">
        <w:t>Interview with Leslie Martin</w:t>
      </w:r>
      <w:r>
        <w:t xml:space="preserve">, Oral History Collection, National Library of Australia, Canberra. </w:t>
      </w:r>
    </w:p>
    <w:p w:rsidR="00786985" w:rsidRDefault="00786985" w:rsidP="00786985">
      <w:pPr>
        <w:widowControl w:val="0"/>
        <w:autoSpaceDE w:val="0"/>
        <w:autoSpaceDN w:val="0"/>
        <w:adjustRightInd w:val="0"/>
        <w:spacing w:line="240" w:lineRule="auto"/>
        <w:ind w:left="500" w:right="200" w:hanging="500"/>
        <w:rPr>
          <w:sz w:val="18"/>
        </w:rPr>
      </w:pPr>
      <w:r>
        <w:rPr>
          <w:sz w:val="18"/>
        </w:rPr>
        <w:t xml:space="preserve">Department of Employment, Education and Training 1993, </w:t>
      </w:r>
      <w:r w:rsidRPr="00786985">
        <w:rPr>
          <w:i/>
          <w:sz w:val="18"/>
        </w:rPr>
        <w:t xml:space="preserve">National </w:t>
      </w:r>
      <w:r w:rsidR="00845E27" w:rsidRPr="00786985">
        <w:rPr>
          <w:i/>
          <w:sz w:val="18"/>
        </w:rPr>
        <w:t xml:space="preserve">report </w:t>
      </w:r>
      <w:r w:rsidRPr="00786985">
        <w:rPr>
          <w:i/>
          <w:sz w:val="18"/>
        </w:rPr>
        <w:t>on Australia</w:t>
      </w:r>
      <w:r w:rsidR="00AB306D">
        <w:rPr>
          <w:i/>
          <w:sz w:val="18"/>
        </w:rPr>
        <w:t>’</w:t>
      </w:r>
      <w:r w:rsidRPr="00786985">
        <w:rPr>
          <w:i/>
          <w:sz w:val="18"/>
        </w:rPr>
        <w:t xml:space="preserve">s </w:t>
      </w:r>
      <w:r w:rsidR="008D6912" w:rsidRPr="00786985">
        <w:rPr>
          <w:i/>
          <w:sz w:val="18"/>
        </w:rPr>
        <w:t>higher education sector</w:t>
      </w:r>
      <w:r>
        <w:rPr>
          <w:sz w:val="18"/>
        </w:rPr>
        <w:t>, Commonwealth of Australia</w:t>
      </w:r>
      <w:r w:rsidR="008D6912">
        <w:rPr>
          <w:sz w:val="18"/>
        </w:rPr>
        <w:t>, Canberra.</w:t>
      </w:r>
    </w:p>
    <w:p w:rsidR="00623339" w:rsidRPr="00AA0D0C" w:rsidRDefault="00623339" w:rsidP="00521456">
      <w:pPr>
        <w:pStyle w:val="References"/>
      </w:pPr>
      <w:r w:rsidRPr="00623339">
        <w:t xml:space="preserve">Douglass, J 2011 </w:t>
      </w:r>
      <w:r w:rsidR="00AB306D">
        <w:t>‘</w:t>
      </w:r>
      <w:r w:rsidRPr="00AA0D0C">
        <w:t>Reinventing California</w:t>
      </w:r>
      <w:r w:rsidR="00AB306D">
        <w:t>’</w:t>
      </w:r>
      <w:r w:rsidRPr="00AA0D0C">
        <w:t>s higher education system</w:t>
      </w:r>
      <w:r w:rsidR="00AB306D">
        <w:t>’</w:t>
      </w:r>
      <w:r w:rsidRPr="00AA0D0C">
        <w:t xml:space="preserve">, </w:t>
      </w:r>
      <w:r w:rsidRPr="00AA0D0C">
        <w:rPr>
          <w:i/>
        </w:rPr>
        <w:t>Los Angeles Times</w:t>
      </w:r>
      <w:r w:rsidRPr="00AA0D0C">
        <w:t>, viewed 27 Jan</w:t>
      </w:r>
      <w:r w:rsidR="008D6912">
        <w:t>uary</w:t>
      </w:r>
      <w:r w:rsidRPr="00AA0D0C">
        <w:t xml:space="preserve"> 2014</w:t>
      </w:r>
      <w:r w:rsidR="008D6912">
        <w:t>,</w:t>
      </w:r>
      <w:r w:rsidRPr="00AA0D0C">
        <w:t xml:space="preserve"> &lt;http://articles.latimes.com/2011/sep/13/opinion/la-oe-douglass-higher-ed-20110913&gt;</w:t>
      </w:r>
      <w:r w:rsidR="008D6912">
        <w:t>.</w:t>
      </w:r>
    </w:p>
    <w:p w:rsidR="009270AD" w:rsidRPr="009270AD" w:rsidRDefault="009270AD" w:rsidP="009270AD">
      <w:pPr>
        <w:pStyle w:val="References"/>
      </w:pPr>
      <w:r w:rsidRPr="009270AD">
        <w:t xml:space="preserve">Dowling, D 2010, </w:t>
      </w:r>
      <w:r w:rsidR="00AB306D">
        <w:t>‘</w:t>
      </w:r>
      <w:r w:rsidRPr="009270AD">
        <w:t>A review of para-professional engineering education in Australia: exploring the VET</w:t>
      </w:r>
      <w:r w:rsidR="008F6A49">
        <w:t>—</w:t>
      </w:r>
      <w:r w:rsidRPr="009270AD">
        <w:t>HE divide</w:t>
      </w:r>
      <w:r w:rsidR="00AB306D">
        <w:t>’</w:t>
      </w:r>
      <w:r w:rsidRPr="009270AD">
        <w:t xml:space="preserve">, </w:t>
      </w:r>
      <w:r w:rsidRPr="00AB306D">
        <w:rPr>
          <w:i/>
        </w:rPr>
        <w:t>AaeE 201</w:t>
      </w:r>
      <w:r w:rsidR="00AB306D">
        <w:rPr>
          <w:i/>
        </w:rPr>
        <w:t>0: Past, Present, Future — the ‘</w:t>
      </w:r>
      <w:r w:rsidRPr="00AB306D">
        <w:rPr>
          <w:i/>
        </w:rPr>
        <w:t>Keys</w:t>
      </w:r>
      <w:r w:rsidR="00AB306D">
        <w:rPr>
          <w:i/>
        </w:rPr>
        <w:t>’</w:t>
      </w:r>
      <w:r w:rsidRPr="00AB306D">
        <w:rPr>
          <w:i/>
        </w:rPr>
        <w:t xml:space="preserve"> to Engineering Education Research and Practice</w:t>
      </w:r>
      <w:r w:rsidRPr="009270AD">
        <w:t>, Sydney.</w:t>
      </w:r>
    </w:p>
    <w:p w:rsidR="009270AD" w:rsidRPr="009270AD" w:rsidRDefault="009270AD" w:rsidP="009270AD">
      <w:pPr>
        <w:pStyle w:val="References"/>
      </w:pPr>
      <w:r w:rsidRPr="009270AD">
        <w:t xml:space="preserve">Gallagher, AP 1982, </w:t>
      </w:r>
      <w:r w:rsidRPr="008F6A49">
        <w:rPr>
          <w:i/>
        </w:rPr>
        <w:t>Coordinating Australian university development: a study of the Australian Universities Commission, 1959—1970</w:t>
      </w:r>
      <w:r w:rsidRPr="009270AD">
        <w:t>, University of Queensland Press, St Lucia, Qld.</w:t>
      </w:r>
    </w:p>
    <w:p w:rsidR="009270AD" w:rsidRPr="009270AD" w:rsidRDefault="006A29CC" w:rsidP="009270AD">
      <w:pPr>
        <w:pStyle w:val="References"/>
      </w:pPr>
      <w:hyperlink r:id="rId24" w:history="1">
        <w:r w:rsidR="009270AD" w:rsidRPr="009270AD">
          <w:t xml:space="preserve">Gorton, J 1985, </w:t>
        </w:r>
      </w:hyperlink>
      <w:r w:rsidR="009270AD" w:rsidRPr="009270AD">
        <w:t>interviewed by Clarrie Hermes in the Australian Parliament</w:t>
      </w:r>
      <w:r w:rsidR="00AB306D">
        <w:t>’</w:t>
      </w:r>
      <w:r w:rsidR="009270AD" w:rsidRPr="009270AD">
        <w:t>s oral history project</w:t>
      </w:r>
      <w:r w:rsidR="008F6A49">
        <w:t>,</w:t>
      </w:r>
      <w:r w:rsidR="009270AD" w:rsidRPr="009270AD">
        <w:t xml:space="preserve"> viewed Nov 2013, </w:t>
      </w:r>
      <w:r w:rsidR="008F6A49">
        <w:t>&lt;</w:t>
      </w:r>
      <w:hyperlink r:id="rId25" w:history="1">
        <w:r w:rsidR="009270AD" w:rsidRPr="009270AD">
          <w:rPr>
            <w:rStyle w:val="Hyperlink"/>
            <w:sz w:val="18"/>
          </w:rPr>
          <w:t>http://nla.gov.au/nla.oh-vn553723</w:t>
        </w:r>
      </w:hyperlink>
      <w:r w:rsidR="008F6A49">
        <w:rPr>
          <w:rStyle w:val="Hyperlink"/>
          <w:sz w:val="18"/>
        </w:rPr>
        <w:t>&gt;</w:t>
      </w:r>
      <w:r w:rsidR="009270AD" w:rsidRPr="009270AD">
        <w:t>.</w:t>
      </w:r>
    </w:p>
    <w:p w:rsidR="0054737C" w:rsidRDefault="0054737C" w:rsidP="00D95722">
      <w:pPr>
        <w:pStyle w:val="References"/>
      </w:pPr>
      <w:r w:rsidRPr="0054737C">
        <w:t>Halliday Wynes, S</w:t>
      </w:r>
      <w:r w:rsidR="00AB306D">
        <w:t xml:space="preserve"> &amp;</w:t>
      </w:r>
      <w:r w:rsidRPr="0054737C">
        <w:t xml:space="preserve"> Misko, J 2013, </w:t>
      </w:r>
      <w:r w:rsidRPr="0054737C">
        <w:rPr>
          <w:i/>
        </w:rPr>
        <w:t>Assessment issues in VET: minimising the level of risk</w:t>
      </w:r>
      <w:r w:rsidRPr="0054737C">
        <w:t>, NCVER issues paper, NCVER, Adelaide</w:t>
      </w:r>
      <w:r w:rsidR="00CC159F">
        <w:t>.</w:t>
      </w:r>
    </w:p>
    <w:p w:rsidR="000379FF" w:rsidRDefault="000379FF" w:rsidP="00D95722">
      <w:pPr>
        <w:pStyle w:val="References"/>
      </w:pPr>
      <w:r>
        <w:t>Harman, G</w:t>
      </w:r>
      <w:r w:rsidR="00017126">
        <w:t>S</w:t>
      </w:r>
      <w:r>
        <w:t xml:space="preserve"> 1988</w:t>
      </w:r>
      <w:r w:rsidR="00CC159F">
        <w:t>,</w:t>
      </w:r>
      <w:r>
        <w:t xml:space="preserve"> </w:t>
      </w:r>
      <w:r w:rsidR="00AB306D">
        <w:t>‘</w:t>
      </w:r>
      <w:r>
        <w:t xml:space="preserve">Tertiary </w:t>
      </w:r>
      <w:r w:rsidR="00CC159F">
        <w:t>education and public policy</w:t>
      </w:r>
      <w:r>
        <w:t>: Australia</w:t>
      </w:r>
      <w:r w:rsidR="00AB306D">
        <w:t>’</w:t>
      </w:r>
      <w:r>
        <w:t xml:space="preserve">s </w:t>
      </w:r>
      <w:r w:rsidR="00CC159F">
        <w:t>response to a changing environment</w:t>
      </w:r>
      <w:r w:rsidR="00AB306D">
        <w:t>’</w:t>
      </w:r>
      <w:r>
        <w:t xml:space="preserve">, </w:t>
      </w:r>
      <w:r w:rsidRPr="000379FF">
        <w:rPr>
          <w:i/>
        </w:rPr>
        <w:t>Higher Education</w:t>
      </w:r>
      <w:r w:rsidR="00CC159F">
        <w:t>, vol.17, no.3, pp.251—</w:t>
      </w:r>
      <w:r>
        <w:t>66</w:t>
      </w:r>
      <w:r w:rsidR="00D55909">
        <w:t>.</w:t>
      </w:r>
    </w:p>
    <w:p w:rsidR="00AA0D0C" w:rsidRDefault="00A47E5A" w:rsidP="00D95722">
      <w:pPr>
        <w:pStyle w:val="References"/>
      </w:pPr>
      <w:r>
        <w:t xml:space="preserve">Henderson, K 1985, </w:t>
      </w:r>
      <w:r w:rsidRPr="00CC159F">
        <w:t>Interview with Kenneth Norman Jones, CBE,</w:t>
      </w:r>
      <w:r>
        <w:t xml:space="preserve"> National Library Oral History Collection, Canberra</w:t>
      </w:r>
      <w:r w:rsidR="00CC159F">
        <w:t>.</w:t>
      </w:r>
    </w:p>
    <w:p w:rsidR="00E0122A" w:rsidRDefault="00E0122A" w:rsidP="00E0122A">
      <w:pPr>
        <w:pStyle w:val="References"/>
      </w:pPr>
      <w:r>
        <w:t xml:space="preserve">Hore, T, Chippendale, P &amp; West, L (eds) 1981, </w:t>
      </w:r>
      <w:r w:rsidRPr="00D0761E">
        <w:rPr>
          <w:i/>
        </w:rPr>
        <w:t>A new era for tertiary education</w:t>
      </w:r>
      <w:r>
        <w:t>, proceedings of a conference held in Toowoomba, 21—24 August 1980.</w:t>
      </w:r>
    </w:p>
    <w:p w:rsidR="00F97F35" w:rsidRDefault="00CC159F" w:rsidP="00D95722">
      <w:pPr>
        <w:pStyle w:val="References"/>
      </w:pPr>
      <w:r>
        <w:t>Houston, HS &amp; Harman</w:t>
      </w:r>
      <w:r w:rsidR="00AB306D">
        <w:t>,</w:t>
      </w:r>
      <w:r>
        <w:t xml:space="preserve"> GS 1978, </w:t>
      </w:r>
      <w:r w:rsidR="00AB306D">
        <w:t>‘</w:t>
      </w:r>
      <w:r>
        <w:t>Course a</w:t>
      </w:r>
      <w:r w:rsidR="00F97F35">
        <w:t>ccreditation in Austr</w:t>
      </w:r>
      <w:r w:rsidR="00DE1DED">
        <w:t>a</w:t>
      </w:r>
      <w:r w:rsidR="00F97F35">
        <w:t xml:space="preserve">lian </w:t>
      </w:r>
      <w:r>
        <w:t>colleges of advanced education</w:t>
      </w:r>
      <w:r w:rsidR="00AB306D">
        <w:t>’</w:t>
      </w:r>
      <w:r w:rsidR="00F97F35">
        <w:t xml:space="preserve">, </w:t>
      </w:r>
      <w:r w:rsidR="00F97F35">
        <w:rPr>
          <w:i/>
        </w:rPr>
        <w:t xml:space="preserve">The South Pacific Journal of Teacher Education, </w:t>
      </w:r>
      <w:r>
        <w:t>vol.</w:t>
      </w:r>
      <w:r w:rsidR="00F97F35">
        <w:t>6</w:t>
      </w:r>
      <w:r>
        <w:t>, no.</w:t>
      </w:r>
      <w:r w:rsidR="00F97F35">
        <w:t>1</w:t>
      </w:r>
      <w:r>
        <w:t>.</w:t>
      </w:r>
    </w:p>
    <w:p w:rsidR="003F3920" w:rsidRDefault="003F3920" w:rsidP="00A50895">
      <w:pPr>
        <w:pStyle w:val="References"/>
      </w:pPr>
      <w:r w:rsidRPr="003F3920">
        <w:t xml:space="preserve">Jakupec, V </w:t>
      </w:r>
      <w:r w:rsidR="00374A3C">
        <w:t xml:space="preserve">&amp; </w:t>
      </w:r>
      <w:r w:rsidRPr="003F3920">
        <w:t>Roantree,</w:t>
      </w:r>
      <w:r w:rsidR="00F5035D">
        <w:t xml:space="preserve"> B 1991, </w:t>
      </w:r>
      <w:r w:rsidR="00AB306D">
        <w:t>‘</w:t>
      </w:r>
      <w:r w:rsidR="00F5035D">
        <w:t xml:space="preserve">Impact of the </w:t>
      </w:r>
      <w:r w:rsidR="007071A0">
        <w:t>Martin Report</w:t>
      </w:r>
      <w:r w:rsidRPr="003F3920">
        <w:t xml:space="preserve"> on technical and further education</w:t>
      </w:r>
      <w:r w:rsidR="00AB306D">
        <w:t>’</w:t>
      </w:r>
      <w:r w:rsidRPr="003F3920">
        <w:t>, ACT Institute of TAFE, Canberra.</w:t>
      </w:r>
    </w:p>
    <w:p w:rsidR="00E945E2" w:rsidRDefault="00E945E2" w:rsidP="003F3920">
      <w:pPr>
        <w:pStyle w:val="References"/>
      </w:pPr>
      <w:r w:rsidRPr="00DB3BA1">
        <w:t xml:space="preserve">Karmel, P </w:t>
      </w:r>
      <w:r w:rsidR="00DB3BA1" w:rsidRPr="00DB3BA1">
        <w:t>1989</w:t>
      </w:r>
      <w:r w:rsidR="00374A3C">
        <w:t>,</w:t>
      </w:r>
      <w:r w:rsidR="00DB3BA1" w:rsidRPr="00DB3BA1">
        <w:t xml:space="preserve"> </w:t>
      </w:r>
      <w:r w:rsidRPr="00DB3BA1">
        <w:rPr>
          <w:i/>
        </w:rPr>
        <w:t xml:space="preserve">Reflections on a </w:t>
      </w:r>
      <w:r w:rsidR="00AB306D" w:rsidRPr="00DB3BA1">
        <w:rPr>
          <w:i/>
        </w:rPr>
        <w:t>r</w:t>
      </w:r>
      <w:r w:rsidRPr="00DB3BA1">
        <w:rPr>
          <w:i/>
        </w:rPr>
        <w:t xml:space="preserve">evolution: Australian </w:t>
      </w:r>
      <w:r w:rsidR="00AB306D" w:rsidRPr="00DB3BA1">
        <w:rPr>
          <w:i/>
        </w:rPr>
        <w:t xml:space="preserve">higher education </w:t>
      </w:r>
      <w:r w:rsidRPr="00DB3BA1">
        <w:rPr>
          <w:i/>
        </w:rPr>
        <w:t>in 1989</w:t>
      </w:r>
      <w:r w:rsidR="00DB3BA1" w:rsidRPr="00DB3BA1">
        <w:t>, A</w:t>
      </w:r>
      <w:r w:rsidR="00374A3C">
        <w:t>ustralian Vice-Chancellors Committee,</w:t>
      </w:r>
      <w:r w:rsidR="00DB3BA1" w:rsidRPr="00DB3BA1">
        <w:t xml:space="preserve"> Canberra</w:t>
      </w:r>
      <w:r w:rsidR="00374A3C">
        <w:t>.</w:t>
      </w:r>
    </w:p>
    <w:p w:rsidR="003F3920" w:rsidRDefault="00374A3C" w:rsidP="00374A3C">
      <w:pPr>
        <w:pStyle w:val="References"/>
        <w:ind w:left="0" w:firstLine="0"/>
      </w:pPr>
      <w:r>
        <w:t>——</w:t>
      </w:r>
      <w:r w:rsidR="0044531E">
        <w:t>1999</w:t>
      </w:r>
      <w:r>
        <w:t>,</w:t>
      </w:r>
      <w:r w:rsidR="0044531E">
        <w:t xml:space="preserve"> </w:t>
      </w:r>
      <w:r>
        <w:rPr>
          <w:i/>
        </w:rPr>
        <w:t>Intellectual i</w:t>
      </w:r>
      <w:r w:rsidR="0044531E" w:rsidRPr="0044531E">
        <w:rPr>
          <w:i/>
        </w:rPr>
        <w:t>mplosion</w:t>
      </w:r>
      <w:r w:rsidR="0044531E">
        <w:t xml:space="preserve">, </w:t>
      </w:r>
      <w:r>
        <w:t xml:space="preserve">Australian Council for </w:t>
      </w:r>
      <w:r w:rsidR="00AB306D">
        <w:t xml:space="preserve">Educational </w:t>
      </w:r>
      <w:r>
        <w:t>Research</w:t>
      </w:r>
      <w:r w:rsidR="0044531E">
        <w:t>, Melbourne</w:t>
      </w:r>
      <w:r w:rsidR="00AB306D">
        <w:t>.</w:t>
      </w:r>
    </w:p>
    <w:p w:rsidR="00EA56D5" w:rsidRDefault="00EA56D5" w:rsidP="003F3920">
      <w:pPr>
        <w:pStyle w:val="References"/>
        <w:rPr>
          <w:rFonts w:ascii="Times New Roman" w:hAnsi="Times New Roman"/>
          <w:sz w:val="24"/>
          <w:szCs w:val="24"/>
        </w:rPr>
      </w:pPr>
      <w:r w:rsidRPr="00EA56D5">
        <w:t>Karmel</w:t>
      </w:r>
      <w:r w:rsidR="00374A3C" w:rsidRPr="003F3920">
        <w:t>,</w:t>
      </w:r>
      <w:r>
        <w:rPr>
          <w:rFonts w:ascii="Times New Roman" w:hAnsi="Times New Roman"/>
          <w:sz w:val="24"/>
          <w:szCs w:val="24"/>
        </w:rPr>
        <w:t xml:space="preserve"> </w:t>
      </w:r>
      <w:r w:rsidRPr="00EA56D5">
        <w:t xml:space="preserve">T </w:t>
      </w:r>
      <w:r w:rsidR="00374A3C">
        <w:t xml:space="preserve">&amp; </w:t>
      </w:r>
      <w:r w:rsidRPr="00EA56D5">
        <w:t xml:space="preserve">Lu, T 2012, </w:t>
      </w:r>
      <w:r w:rsidRPr="00EA56D5">
        <w:rPr>
          <w:i/>
        </w:rPr>
        <w:t>Associ</w:t>
      </w:r>
      <w:r w:rsidR="00374A3C">
        <w:rPr>
          <w:i/>
        </w:rPr>
        <w:t>ate degree or advanced diploma? A</w:t>
      </w:r>
      <w:r w:rsidRPr="00EA56D5">
        <w:rPr>
          <w:i/>
        </w:rPr>
        <w:t xml:space="preserve"> case study</w:t>
      </w:r>
      <w:r w:rsidRPr="00EA56D5">
        <w:t>, NCVER oc</w:t>
      </w:r>
      <w:r w:rsidR="00374A3C">
        <w:t>casional paper, NCVER, Adelaide.</w:t>
      </w:r>
      <w:r>
        <w:rPr>
          <w:rFonts w:ascii="Times New Roman" w:hAnsi="Times New Roman"/>
          <w:sz w:val="24"/>
          <w:szCs w:val="24"/>
        </w:rPr>
        <w:t xml:space="preserve"> </w:t>
      </w:r>
    </w:p>
    <w:p w:rsidR="003F3920" w:rsidRPr="00177F43" w:rsidRDefault="003F3920" w:rsidP="003F3920">
      <w:pPr>
        <w:pStyle w:val="References"/>
      </w:pPr>
      <w:r w:rsidRPr="003F3920">
        <w:t>Kearns, P</w:t>
      </w:r>
      <w:r w:rsidR="00C8065B">
        <w:t xml:space="preserve"> &amp; </w:t>
      </w:r>
      <w:r w:rsidRPr="003F3920">
        <w:t>Hall, W 1994</w:t>
      </w:r>
      <w:r w:rsidRPr="003F3920">
        <w:rPr>
          <w:i/>
        </w:rPr>
        <w:t>, Kangan: 20 years</w:t>
      </w:r>
      <w:r w:rsidR="00374A3C">
        <w:rPr>
          <w:i/>
        </w:rPr>
        <w:t xml:space="preserve"> on: a commemoration: TAFE 1974—</w:t>
      </w:r>
      <w:r w:rsidRPr="003F3920">
        <w:rPr>
          <w:i/>
        </w:rPr>
        <w:t>1994</w:t>
      </w:r>
      <w:r w:rsidRPr="003F3920">
        <w:t>, NCVER, Adelaide.</w:t>
      </w:r>
    </w:p>
    <w:p w:rsidR="00515B75" w:rsidRDefault="00515B75" w:rsidP="0042197C">
      <w:pPr>
        <w:pStyle w:val="References"/>
      </w:pPr>
      <w:r>
        <w:t>Kerr,</w:t>
      </w:r>
      <w:r w:rsidRPr="00515B75">
        <w:t xml:space="preserve"> </w:t>
      </w:r>
      <w:r>
        <w:t xml:space="preserve">E, </w:t>
      </w:r>
      <w:r w:rsidRPr="00515B75">
        <w:t>Pullman</w:t>
      </w:r>
      <w:r w:rsidR="00374A3C">
        <w:t>,</w:t>
      </w:r>
      <w:r w:rsidRPr="00515B75">
        <w:t xml:space="preserve"> </w:t>
      </w:r>
      <w:r w:rsidR="00374A3C">
        <w:t>B &amp;</w:t>
      </w:r>
      <w:r w:rsidRPr="00515B75">
        <w:t xml:space="preserve"> Standish</w:t>
      </w:r>
      <w:r w:rsidR="00374A3C">
        <w:t>, R (eds</w:t>
      </w:r>
      <w:r>
        <w:t>) 1987,</w:t>
      </w:r>
      <w:r w:rsidRPr="00515B75">
        <w:t xml:space="preserve"> </w:t>
      </w:r>
      <w:r w:rsidRPr="00515B75">
        <w:rPr>
          <w:i/>
        </w:rPr>
        <w:t xml:space="preserve">W(H)ITHER BINARY? A </w:t>
      </w:r>
      <w:r w:rsidR="00374A3C" w:rsidRPr="00515B75">
        <w:rPr>
          <w:i/>
        </w:rPr>
        <w:t>seminar on the organization of higher education for the 21st century</w:t>
      </w:r>
      <w:r w:rsidR="00374A3C">
        <w:t>,</w:t>
      </w:r>
      <w:r w:rsidRPr="00515B75">
        <w:rPr>
          <w:i/>
        </w:rPr>
        <w:t xml:space="preserve"> </w:t>
      </w:r>
      <w:r w:rsidR="00374A3C">
        <w:t>17—</w:t>
      </w:r>
      <w:r w:rsidRPr="00374A3C">
        <w:t>18 March 1987</w:t>
      </w:r>
      <w:r>
        <w:t xml:space="preserve">, </w:t>
      </w:r>
      <w:r w:rsidRPr="00515B75">
        <w:t>Western Australian Post Secondary Education Commission</w:t>
      </w:r>
      <w:r>
        <w:t>, Nedlands</w:t>
      </w:r>
      <w:r w:rsidR="00374A3C">
        <w:t>.</w:t>
      </w:r>
    </w:p>
    <w:p w:rsidR="00585180" w:rsidRPr="00585180" w:rsidRDefault="00585180" w:rsidP="00585180">
      <w:pPr>
        <w:pStyle w:val="References"/>
      </w:pPr>
      <w:r>
        <w:t>Kinsman, M 1998</w:t>
      </w:r>
      <w:r w:rsidRPr="00585180">
        <w:t xml:space="preserve">, </w:t>
      </w:r>
      <w:r w:rsidR="00AB306D">
        <w:t>‘</w:t>
      </w:r>
      <w:r w:rsidRPr="00585180">
        <w:t>Seamless tertiary education: possibilities and constraints</w:t>
      </w:r>
      <w:r w:rsidR="00AB306D">
        <w:t>’</w:t>
      </w:r>
      <w:r w:rsidRPr="00585180">
        <w:t xml:space="preserve">, Australian Council for Educational </w:t>
      </w:r>
      <w:r>
        <w:t>Research, Melbourne</w:t>
      </w:r>
      <w:r w:rsidR="003C7624">
        <w:t>.</w:t>
      </w:r>
    </w:p>
    <w:p w:rsidR="00044DFA" w:rsidRDefault="00044DFA" w:rsidP="0042197C">
      <w:pPr>
        <w:pStyle w:val="References"/>
      </w:pPr>
      <w:r>
        <w:t>Kramer, L 1987,</w:t>
      </w:r>
      <w:r w:rsidRPr="00044DFA">
        <w:t xml:space="preserve"> </w:t>
      </w:r>
      <w:r w:rsidR="00AB306D">
        <w:t>‘</w:t>
      </w:r>
      <w:r w:rsidRPr="00044DFA">
        <w:t>Education, politics and democracy</w:t>
      </w:r>
      <w:r w:rsidR="00AB306D">
        <w:t>’</w:t>
      </w:r>
      <w:r>
        <w:t>,</w:t>
      </w:r>
      <w:r w:rsidRPr="00044DFA">
        <w:t xml:space="preserve"> </w:t>
      </w:r>
      <w:r w:rsidRPr="00044DFA">
        <w:rPr>
          <w:bCs/>
        </w:rPr>
        <w:t>Sir Robert Menzies</w:t>
      </w:r>
      <w:r w:rsidRPr="00044DFA">
        <w:t xml:space="preserve"> Lecture Trust, Monash University, </w:t>
      </w:r>
      <w:r>
        <w:t>Melbourne</w:t>
      </w:r>
      <w:r w:rsidR="003C7624">
        <w:t>.</w:t>
      </w:r>
    </w:p>
    <w:p w:rsidR="00EC1D04" w:rsidRDefault="00EC1D04" w:rsidP="00B72EE0">
      <w:pPr>
        <w:pStyle w:val="References"/>
      </w:pPr>
      <w:r>
        <w:t xml:space="preserve">Lane, B 2014a </w:t>
      </w:r>
      <w:r w:rsidR="00AB306D">
        <w:t>‘</w:t>
      </w:r>
      <w:r>
        <w:t>Red flag over university graduate jobs</w:t>
      </w:r>
      <w:r w:rsidR="00AB306D">
        <w:t>’</w:t>
      </w:r>
      <w:r>
        <w:t xml:space="preserve">, </w:t>
      </w:r>
      <w:r w:rsidRPr="0092448D">
        <w:rPr>
          <w:i/>
        </w:rPr>
        <w:t>The Australian</w:t>
      </w:r>
      <w:r w:rsidR="0092448D">
        <w:t>, viewed 29 Jan</w:t>
      </w:r>
      <w:r w:rsidR="003C7624">
        <w:t>uary</w:t>
      </w:r>
      <w:r w:rsidR="0092448D">
        <w:t xml:space="preserve"> 2014</w:t>
      </w:r>
      <w:r w:rsidR="003C7624">
        <w:t>,</w:t>
      </w:r>
      <w:r w:rsidR="0092448D">
        <w:t xml:space="preserve"> &lt;</w:t>
      </w:r>
      <w:r w:rsidR="0092448D" w:rsidRPr="0092448D">
        <w:t>http://www.theaustralian.com.au/higher-education/red-flag-over-university-graduate-jobs/story-e6frgcjx-1226812520394</w:t>
      </w:r>
      <w:r w:rsidR="0092448D">
        <w:t>&gt;</w:t>
      </w:r>
      <w:r w:rsidR="00AB306D">
        <w:t>.</w:t>
      </w:r>
    </w:p>
    <w:p w:rsidR="00EC1D04" w:rsidRDefault="001D420F" w:rsidP="00B72EE0">
      <w:pPr>
        <w:pStyle w:val="References"/>
      </w:pPr>
      <w:r w:rsidRPr="001D420F">
        <w:lastRenderedPageBreak/>
        <w:t xml:space="preserve">Lane, B </w:t>
      </w:r>
      <w:r w:rsidR="00EC1D04">
        <w:t xml:space="preserve">2014b </w:t>
      </w:r>
      <w:r w:rsidR="00AB306D">
        <w:t>‘</w:t>
      </w:r>
      <w:r w:rsidR="00EC1D04">
        <w:t>More uni places “pointless”</w:t>
      </w:r>
      <w:r w:rsidR="00AB306D">
        <w:t>’</w:t>
      </w:r>
      <w:r w:rsidR="00EC1D04">
        <w:t xml:space="preserve">, </w:t>
      </w:r>
      <w:r w:rsidR="00EC1D04" w:rsidRPr="0092448D">
        <w:rPr>
          <w:i/>
        </w:rPr>
        <w:t>The Australian</w:t>
      </w:r>
      <w:r w:rsidR="00EC1D04">
        <w:t>, viewed 3 Feb</w:t>
      </w:r>
      <w:r w:rsidR="003C7624">
        <w:t>ruary</w:t>
      </w:r>
      <w:r w:rsidR="00EC1D04">
        <w:t xml:space="preserve"> 2014</w:t>
      </w:r>
      <w:r w:rsidR="003C7624">
        <w:t>,</w:t>
      </w:r>
      <w:r w:rsidR="0092448D">
        <w:t xml:space="preserve"> &lt;</w:t>
      </w:r>
      <w:r w:rsidR="00EC1D04" w:rsidRPr="00EC1D04">
        <w:t>http://www.theaustralian.com.au/higher-education/more-uni-places-pointless/story-e6frgcjx-1226814211698</w:t>
      </w:r>
      <w:r w:rsidR="0092448D">
        <w:t>&gt;</w:t>
      </w:r>
      <w:r w:rsidR="003C7624">
        <w:t>.</w:t>
      </w:r>
    </w:p>
    <w:p w:rsidR="00F2470B" w:rsidRPr="00721A59" w:rsidRDefault="00F2470B" w:rsidP="00F2470B">
      <w:pPr>
        <w:pStyle w:val="References"/>
      </w:pPr>
      <w:r>
        <w:t>Lee Dow, K &amp; Braithwaite, V</w:t>
      </w:r>
      <w:r w:rsidRPr="00721A59">
        <w:t xml:space="preserve"> 2013, </w:t>
      </w:r>
      <w:r w:rsidRPr="00721A59">
        <w:rPr>
          <w:i/>
        </w:rPr>
        <w:t>Review of Higher Education Regulation</w:t>
      </w:r>
      <w:r>
        <w:rPr>
          <w:i/>
        </w:rPr>
        <w:t>: r</w:t>
      </w:r>
      <w:r w:rsidRPr="00721A59">
        <w:rPr>
          <w:i/>
        </w:rPr>
        <w:t>eport</w:t>
      </w:r>
      <w:r w:rsidRPr="00721A59">
        <w:t xml:space="preserve">, Commonwealth of Australia, </w:t>
      </w:r>
      <w:r w:rsidRPr="0092448D">
        <w:t>viewed 4 Jan</w:t>
      </w:r>
      <w:r>
        <w:t>uary</w:t>
      </w:r>
      <w:r w:rsidRPr="0092448D">
        <w:t xml:space="preserve"> 2014</w:t>
      </w:r>
      <w:r>
        <w:t>,</w:t>
      </w:r>
      <w:r w:rsidR="00AB306D">
        <w:t xml:space="preserve"> </w:t>
      </w:r>
      <w:r>
        <w:t>&lt;</w:t>
      </w:r>
      <w:r w:rsidRPr="00721A59">
        <w:t>http://www.innovation.gov.au/highereducation/Policy/</w:t>
      </w:r>
      <w:r w:rsidR="00AB306D">
        <w:t xml:space="preserve"> </w:t>
      </w:r>
      <w:r w:rsidRPr="00721A59">
        <w:t>HEAssuringQuality/Documents/FinalReviewReport.pdf</w:t>
      </w:r>
      <w:r>
        <w:t>&gt;.</w:t>
      </w:r>
      <w:r w:rsidRPr="00721A59">
        <w:t xml:space="preserve"> </w:t>
      </w:r>
    </w:p>
    <w:p w:rsidR="00B72EE0" w:rsidRDefault="00B72EE0" w:rsidP="00B72EE0">
      <w:pPr>
        <w:pStyle w:val="References"/>
      </w:pPr>
      <w:r>
        <w:t xml:space="preserve">Maclay, K 2003, </w:t>
      </w:r>
      <w:r w:rsidRPr="00B72EE0">
        <w:rPr>
          <w:i/>
        </w:rPr>
        <w:t>Clark Kerr</w:t>
      </w:r>
      <w:r w:rsidR="00AB306D">
        <w:rPr>
          <w:i/>
        </w:rPr>
        <w:t>’</w:t>
      </w:r>
      <w:r w:rsidRPr="00B72EE0">
        <w:rPr>
          <w:i/>
        </w:rPr>
        <w:t xml:space="preserve">s legacy: 1960 </w:t>
      </w:r>
      <w:r w:rsidR="00D55909" w:rsidRPr="00B72EE0">
        <w:rPr>
          <w:i/>
        </w:rPr>
        <w:t>master p</w:t>
      </w:r>
      <w:r w:rsidRPr="00B72EE0">
        <w:rPr>
          <w:i/>
        </w:rPr>
        <w:t>lan transformed higher education</w:t>
      </w:r>
      <w:r>
        <w:rPr>
          <w:i/>
        </w:rPr>
        <w:t>,</w:t>
      </w:r>
      <w:r w:rsidRPr="00B72EE0">
        <w:rPr>
          <w:i/>
        </w:rPr>
        <w:t xml:space="preserve"> </w:t>
      </w:r>
      <w:r w:rsidRPr="00B72EE0">
        <w:t>viewed 18 Nov</w:t>
      </w:r>
      <w:r w:rsidR="003C7624">
        <w:t xml:space="preserve">ember </w:t>
      </w:r>
      <w:r w:rsidRPr="00B72EE0">
        <w:t>2013</w:t>
      </w:r>
      <w:r w:rsidR="003C7624">
        <w:t>,</w:t>
      </w:r>
      <w:r w:rsidR="00AB306D">
        <w:t xml:space="preserve"> </w:t>
      </w:r>
      <w:r w:rsidR="003C7624">
        <w:t>&lt;</w:t>
      </w:r>
      <w:hyperlink r:id="rId26" w:history="1">
        <w:r w:rsidRPr="00C62813">
          <w:rPr>
            <w:rStyle w:val="Hyperlink"/>
            <w:sz w:val="18"/>
          </w:rPr>
          <w:t>http://www.berkeley.edu/news/media/releases/2003/12/03_master.shtml</w:t>
        </w:r>
      </w:hyperlink>
      <w:r w:rsidR="003C7624">
        <w:t>&gt;.</w:t>
      </w:r>
      <w:r>
        <w:t xml:space="preserve"> </w:t>
      </w:r>
    </w:p>
    <w:p w:rsidR="001C63A0" w:rsidRPr="001C63A0" w:rsidRDefault="001C63A0" w:rsidP="0044492B">
      <w:pPr>
        <w:pStyle w:val="References"/>
      </w:pPr>
      <w:r>
        <w:t>Marginson, S 2012</w:t>
      </w:r>
      <w:r w:rsidR="003C7624">
        <w:t>,</w:t>
      </w:r>
      <w:r>
        <w:t xml:space="preserve"> </w:t>
      </w:r>
      <w:r w:rsidR="00AB306D">
        <w:t>‘</w:t>
      </w:r>
      <w:r>
        <w:t>Back to the future: do we need a universities commission?</w:t>
      </w:r>
      <w:r w:rsidR="00AB306D">
        <w:t>’</w:t>
      </w:r>
      <w:r w:rsidR="003C7624">
        <w:t>,</w:t>
      </w:r>
      <w:r>
        <w:t xml:space="preserve"> </w:t>
      </w:r>
      <w:r>
        <w:rPr>
          <w:i/>
        </w:rPr>
        <w:t>The Conversation</w:t>
      </w:r>
      <w:r w:rsidR="003C7624">
        <w:rPr>
          <w:i/>
        </w:rPr>
        <w:t xml:space="preserve">, </w:t>
      </w:r>
      <w:r>
        <w:t>viewed 27 Jan</w:t>
      </w:r>
      <w:r w:rsidR="003C7624">
        <w:t>uary</w:t>
      </w:r>
      <w:r>
        <w:t xml:space="preserve"> 2014</w:t>
      </w:r>
      <w:r w:rsidR="003C7624">
        <w:t>,</w:t>
      </w:r>
      <w:r>
        <w:t xml:space="preserve"> </w:t>
      </w:r>
      <w:r>
        <w:rPr>
          <w:i/>
        </w:rPr>
        <w:t>&lt;</w:t>
      </w:r>
      <w:r w:rsidRPr="001C63A0">
        <w:t>http://theconversation.com/back-to-the-future-do-we-need-a-universities-commission-10983</w:t>
      </w:r>
      <w:r>
        <w:t>&gt;</w:t>
      </w:r>
      <w:r w:rsidR="003C7624">
        <w:t>.</w:t>
      </w:r>
    </w:p>
    <w:p w:rsidR="0044492B" w:rsidRDefault="0044492B" w:rsidP="0044492B">
      <w:pPr>
        <w:pStyle w:val="References"/>
      </w:pPr>
      <w:r>
        <w:t>Meek, VL &amp; Harman</w:t>
      </w:r>
      <w:r w:rsidR="00AB306D">
        <w:t>,</w:t>
      </w:r>
      <w:r>
        <w:t xml:space="preserve"> G (eds) 1993, </w:t>
      </w:r>
      <w:r w:rsidR="00A72FC8">
        <w:rPr>
          <w:i/>
        </w:rPr>
        <w:t>The b</w:t>
      </w:r>
      <w:r w:rsidRPr="0044492B">
        <w:rPr>
          <w:i/>
        </w:rPr>
        <w:t>inary experiment for higher education:</w:t>
      </w:r>
      <w:r>
        <w:rPr>
          <w:i/>
        </w:rPr>
        <w:t xml:space="preserve"> an Australian perspective, </w:t>
      </w:r>
      <w:r w:rsidR="00247B95">
        <w:t>Department of</w:t>
      </w:r>
      <w:r w:rsidR="00A72FC8">
        <w:t xml:space="preserve"> Administrative, Higher and Adult Education Studies, University of New England, </w:t>
      </w:r>
      <w:r>
        <w:t xml:space="preserve">Armidale, </w:t>
      </w:r>
      <w:r w:rsidR="00A72FC8">
        <w:t>NSW.</w:t>
      </w:r>
    </w:p>
    <w:p w:rsidR="00E25169" w:rsidRDefault="0044492B" w:rsidP="0044492B">
      <w:pPr>
        <w:pStyle w:val="References"/>
      </w:pPr>
      <w:r>
        <w:t>M</w:t>
      </w:r>
      <w:r w:rsidR="00E25169">
        <w:t>enzies, R 1939</w:t>
      </w:r>
      <w:r w:rsidR="00A72FC8">
        <w:t>,</w:t>
      </w:r>
      <w:r w:rsidR="00E25169">
        <w:t xml:space="preserve"> </w:t>
      </w:r>
      <w:r w:rsidR="00E25169" w:rsidRPr="00E25169">
        <w:t>Commencement address at the Canberra University College</w:t>
      </w:r>
      <w:r w:rsidR="00E25169">
        <w:t xml:space="preserve"> as reported</w:t>
      </w:r>
      <w:r w:rsidR="00E25169" w:rsidRPr="00E25169">
        <w:t xml:space="preserve"> in </w:t>
      </w:r>
      <w:r w:rsidR="00E25169" w:rsidRPr="00E25169">
        <w:rPr>
          <w:i/>
        </w:rPr>
        <w:t>The Canberra Times</w:t>
      </w:r>
      <w:r w:rsidR="00FE634F">
        <w:rPr>
          <w:i/>
        </w:rPr>
        <w:t>,</w:t>
      </w:r>
      <w:r w:rsidR="00E25169" w:rsidRPr="00E25169">
        <w:t xml:space="preserve"> Thursday 27 April 1939</w:t>
      </w:r>
      <w:r w:rsidR="00A72FC8">
        <w:t>,</w:t>
      </w:r>
      <w:r w:rsidR="00E25169" w:rsidRPr="00E25169">
        <w:t xml:space="preserve"> </w:t>
      </w:r>
      <w:r w:rsidR="00E25169">
        <w:t xml:space="preserve">viewed 29 December </w:t>
      </w:r>
      <w:r w:rsidR="00E25169" w:rsidRPr="00E25169">
        <w:t>2013</w:t>
      </w:r>
      <w:r w:rsidR="00A72FC8">
        <w:t>,</w:t>
      </w:r>
      <w:r w:rsidR="00E25169">
        <w:t xml:space="preserve"> &lt;</w:t>
      </w:r>
      <w:r w:rsidR="00E25169" w:rsidRPr="00E25169">
        <w:t>http://trove.nla.gov.au/ndp/del/printArticlePdf/2476699/3?print=n</w:t>
      </w:r>
      <w:r w:rsidR="00E25169">
        <w:t>&gt;</w:t>
      </w:r>
      <w:r w:rsidR="00A72FC8">
        <w:t>.</w:t>
      </w:r>
    </w:p>
    <w:p w:rsidR="00B35CA4" w:rsidRDefault="00017126" w:rsidP="00A50895">
      <w:pPr>
        <w:pStyle w:val="References"/>
      </w:pPr>
      <w:r>
        <w:t>——</w:t>
      </w:r>
      <w:r w:rsidR="00122836">
        <w:t xml:space="preserve">1970, </w:t>
      </w:r>
      <w:r w:rsidR="00122836" w:rsidRPr="00122836">
        <w:rPr>
          <w:i/>
        </w:rPr>
        <w:t xml:space="preserve">The </w:t>
      </w:r>
      <w:r w:rsidR="00F5035D" w:rsidRPr="00122836">
        <w:rPr>
          <w:i/>
        </w:rPr>
        <w:t>measure of the years</w:t>
      </w:r>
      <w:r w:rsidR="00122836" w:rsidRPr="00122836">
        <w:t xml:space="preserve">, </w:t>
      </w:r>
      <w:r w:rsidR="00122836">
        <w:t>Cassel</w:t>
      </w:r>
      <w:r w:rsidR="00F5035D">
        <w:t>l</w:t>
      </w:r>
      <w:r w:rsidR="00122836">
        <w:t>, Melbourne</w:t>
      </w:r>
      <w:r w:rsidR="00F5035D">
        <w:t>.</w:t>
      </w:r>
      <w:r w:rsidR="00122836">
        <w:t xml:space="preserve"> </w:t>
      </w:r>
    </w:p>
    <w:p w:rsidR="00585180" w:rsidRDefault="00017126" w:rsidP="008A4276">
      <w:pPr>
        <w:pStyle w:val="References"/>
      </w:pPr>
      <w:r>
        <w:t xml:space="preserve">Moodie, G </w:t>
      </w:r>
      <w:r w:rsidR="00585180">
        <w:t>2010</w:t>
      </w:r>
      <w:r w:rsidR="00AB306D">
        <w:t>,</w:t>
      </w:r>
      <w:r w:rsidR="00585180">
        <w:t xml:space="preserve"> </w:t>
      </w:r>
      <w:r w:rsidR="00AB306D">
        <w:t>‘</w:t>
      </w:r>
      <w:r w:rsidR="00585180" w:rsidRPr="00585180">
        <w:t>Types of tertiary education institutions: description or prescription?</w:t>
      </w:r>
      <w:r w:rsidR="00AB306D">
        <w:t>’</w:t>
      </w:r>
      <w:r w:rsidR="00F5035D">
        <w:t>,</w:t>
      </w:r>
      <w:r w:rsidR="00585180" w:rsidRPr="00585180">
        <w:t xml:space="preserve"> </w:t>
      </w:r>
      <w:r w:rsidR="00AB306D">
        <w:t>p</w:t>
      </w:r>
      <w:r w:rsidR="00585180" w:rsidRPr="00585180">
        <w:t>aper presented to the LH Martin Institute conference</w:t>
      </w:r>
      <w:r w:rsidR="00AB306D">
        <w:t>,</w:t>
      </w:r>
      <w:r w:rsidR="00585180" w:rsidRPr="00585180">
        <w:t xml:space="preserve"> 11 November 2010, Melbourne</w:t>
      </w:r>
      <w:r w:rsidR="00F5035D">
        <w:t>.</w:t>
      </w:r>
      <w:r w:rsidR="00585180" w:rsidRPr="00585180">
        <w:t xml:space="preserve"> </w:t>
      </w:r>
    </w:p>
    <w:p w:rsidR="008A4276" w:rsidRDefault="008A4276" w:rsidP="008A4276">
      <w:pPr>
        <w:pStyle w:val="References"/>
      </w:pPr>
      <w:r>
        <w:t>Moses, I 2004</w:t>
      </w:r>
      <w:r w:rsidR="00967AF1">
        <w:t>,</w:t>
      </w:r>
      <w:r>
        <w:t xml:space="preserve"> </w:t>
      </w:r>
      <w:r w:rsidR="00AB306D">
        <w:t>‘</w:t>
      </w:r>
      <w:r>
        <w:t xml:space="preserve">Unified </w:t>
      </w:r>
      <w:r w:rsidR="00F5035D">
        <w:t>national system or uniform national system? The Australian e</w:t>
      </w:r>
      <w:r>
        <w:t>xperience</w:t>
      </w:r>
      <w:r w:rsidR="00AB306D">
        <w:t>’</w:t>
      </w:r>
      <w:r w:rsidR="00F5035D">
        <w:t>,</w:t>
      </w:r>
      <w:r w:rsidRPr="008A4276">
        <w:t xml:space="preserve"> </w:t>
      </w:r>
      <w:r w:rsidR="00961985" w:rsidRPr="00961985">
        <w:t xml:space="preserve">University of New England, Armidale, NSW, </w:t>
      </w:r>
      <w:r w:rsidR="00F5035D">
        <w:t>viewed 29 April 2014, &lt;</w:t>
      </w:r>
      <w:hyperlink r:id="rId27" w:history="1">
        <w:r w:rsidR="00B81B88" w:rsidRPr="00DF6E2C">
          <w:rPr>
            <w:rStyle w:val="Hyperlink"/>
            <w:sz w:val="18"/>
          </w:rPr>
          <w:t>http://www.innovation.gov.au/ HigherEducation/StudentSupport/NationalProtocolsForHigherEducationApprovalProcesses/Documents/NationaProtocolsforHEApprovalProcesses/uni_new_england_info_pdf.pdf</w:t>
        </w:r>
      </w:hyperlink>
      <w:r w:rsidR="00F5035D">
        <w:t>&gt;.</w:t>
      </w:r>
    </w:p>
    <w:p w:rsidR="00ED1F32" w:rsidRDefault="00ED1F32" w:rsidP="008A4276">
      <w:pPr>
        <w:pStyle w:val="References"/>
      </w:pPr>
      <w:r>
        <w:t>Neill, N 1991</w:t>
      </w:r>
      <w:r w:rsidR="002066E3">
        <w:t xml:space="preserve">, </w:t>
      </w:r>
      <w:r w:rsidR="002066E3" w:rsidRPr="002066E3">
        <w:rPr>
          <w:i/>
        </w:rPr>
        <w:t>Technically and further: Sydney Technical College</w:t>
      </w:r>
      <w:r w:rsidR="00F5035D">
        <w:t>, 1891—</w:t>
      </w:r>
      <w:r w:rsidR="002066E3">
        <w:t xml:space="preserve">1991, </w:t>
      </w:r>
      <w:r w:rsidR="00315314">
        <w:t xml:space="preserve">Hale &amp; Ironmonger, </w:t>
      </w:r>
      <w:r w:rsidR="002066E3">
        <w:t>Sydney</w:t>
      </w:r>
      <w:r w:rsidR="00B81B88">
        <w:t>.</w:t>
      </w:r>
    </w:p>
    <w:p w:rsidR="00961985" w:rsidRDefault="00961985" w:rsidP="00961985">
      <w:pPr>
        <w:pStyle w:val="References"/>
      </w:pPr>
      <w:r>
        <w:t>Pechey, S (ed</w:t>
      </w:r>
      <w:r w:rsidR="00251F8D">
        <w:t>.</w:t>
      </w:r>
      <w:r>
        <w:t xml:space="preserve">) 1992, </w:t>
      </w:r>
      <w:r w:rsidRPr="00961985">
        <w:rPr>
          <w:i/>
        </w:rPr>
        <w:t>Telling tales: an oral history of K</w:t>
      </w:r>
      <w:r w:rsidR="0002259F">
        <w:rPr>
          <w:i/>
        </w:rPr>
        <w:t>elvin Grove College 1942—</w:t>
      </w:r>
      <w:r w:rsidRPr="00961985">
        <w:rPr>
          <w:i/>
        </w:rPr>
        <w:t>1990</w:t>
      </w:r>
      <w:r>
        <w:t xml:space="preserve">, Queensland University of Technology, </w:t>
      </w:r>
      <w:r w:rsidR="00251F8D">
        <w:t>Brisbane.</w:t>
      </w:r>
    </w:p>
    <w:p w:rsidR="00621564" w:rsidRDefault="00621564" w:rsidP="00967AF1">
      <w:pPr>
        <w:pStyle w:val="References"/>
      </w:pPr>
      <w:r>
        <w:t xml:space="preserve">Rees, ALG 1987, </w:t>
      </w:r>
      <w:r w:rsidR="00AB306D">
        <w:t>‘</w:t>
      </w:r>
      <w:r w:rsidRPr="00251F8D">
        <w:t xml:space="preserve">Science in </w:t>
      </w:r>
      <w:r w:rsidR="00251F8D" w:rsidRPr="00251F8D">
        <w:t xml:space="preserve">bondage, the inaugural </w:t>
      </w:r>
      <w:r w:rsidR="00251F8D">
        <w:t>Ian William Wark l</w:t>
      </w:r>
      <w:r w:rsidRPr="00251F8D">
        <w:t>ecture</w:t>
      </w:r>
      <w:r w:rsidR="00AB306D">
        <w:t>’</w:t>
      </w:r>
      <w:r>
        <w:t>, Australian Academy of Science, Canberra</w:t>
      </w:r>
      <w:r w:rsidR="00251F8D">
        <w:t>.</w:t>
      </w:r>
    </w:p>
    <w:p w:rsidR="00967AF1" w:rsidRDefault="009B576C" w:rsidP="00967AF1">
      <w:pPr>
        <w:pStyle w:val="References"/>
      </w:pPr>
      <w:r>
        <w:t>Richardson, SS 1979</w:t>
      </w:r>
      <w:r w:rsidR="00251F8D">
        <w:t>,</w:t>
      </w:r>
      <w:r>
        <w:t xml:space="preserve"> </w:t>
      </w:r>
      <w:r w:rsidR="00251F8D">
        <w:rPr>
          <w:i/>
        </w:rPr>
        <w:t>Parity of e</w:t>
      </w:r>
      <w:r w:rsidRPr="0064639B">
        <w:rPr>
          <w:i/>
        </w:rPr>
        <w:t>steem, Canberra Coll</w:t>
      </w:r>
      <w:r w:rsidR="00251F8D">
        <w:rPr>
          <w:i/>
        </w:rPr>
        <w:t>ege of Advanced Education, 1968—</w:t>
      </w:r>
      <w:r w:rsidRPr="0064639B">
        <w:rPr>
          <w:i/>
        </w:rPr>
        <w:t>1978</w:t>
      </w:r>
      <w:r>
        <w:t xml:space="preserve">, </w:t>
      </w:r>
      <w:r w:rsidR="0064639B" w:rsidRPr="0064639B">
        <w:t>Canberra College of Advanced Education</w:t>
      </w:r>
      <w:r w:rsidR="00251F8D">
        <w:t>, Canberra.</w:t>
      </w:r>
    </w:p>
    <w:p w:rsidR="00D1390D" w:rsidRDefault="00D1390D" w:rsidP="00967AF1">
      <w:pPr>
        <w:pStyle w:val="References"/>
      </w:pPr>
      <w:r>
        <w:t>Rodgers, JA 1985</w:t>
      </w:r>
      <w:r w:rsidR="00251F8D">
        <w:t>,</w:t>
      </w:r>
      <w:r>
        <w:t xml:space="preserve"> </w:t>
      </w:r>
      <w:r w:rsidRPr="00D1390D">
        <w:rPr>
          <w:i/>
        </w:rPr>
        <w:t>Cumberland College of Health Sciences 1</w:t>
      </w:r>
      <w:r w:rsidR="00251F8D">
        <w:rPr>
          <w:i/>
        </w:rPr>
        <w:t>973—</w:t>
      </w:r>
      <w:r w:rsidRPr="00D1390D">
        <w:rPr>
          <w:i/>
        </w:rPr>
        <w:t>1983:</w:t>
      </w:r>
      <w:r w:rsidR="00FE634F">
        <w:rPr>
          <w:i/>
        </w:rPr>
        <w:t xml:space="preserve"> </w:t>
      </w:r>
      <w:r w:rsidRPr="00D1390D">
        <w:rPr>
          <w:i/>
        </w:rPr>
        <w:t>a quest for change</w:t>
      </w:r>
      <w:r>
        <w:t xml:space="preserve">, </w:t>
      </w:r>
      <w:r w:rsidR="00251F8D">
        <w:t xml:space="preserve">Cumberland College of Health Sciences, </w:t>
      </w:r>
      <w:r>
        <w:t>Lidcombe</w:t>
      </w:r>
      <w:r w:rsidR="00251F8D">
        <w:t>, NSW.</w:t>
      </w:r>
    </w:p>
    <w:p w:rsidR="003D6996" w:rsidRDefault="003D6996" w:rsidP="003D6996">
      <w:pPr>
        <w:pStyle w:val="References"/>
      </w:pPr>
      <w:r w:rsidRPr="003D6996">
        <w:t>Ross, J 2013</w:t>
      </w:r>
      <w:r w:rsidR="00251F8D">
        <w:t>,</w:t>
      </w:r>
      <w:r w:rsidRPr="003D6996">
        <w:t xml:space="preserve"> </w:t>
      </w:r>
      <w:r w:rsidR="00AB306D">
        <w:t>‘</w:t>
      </w:r>
      <w:r w:rsidRPr="003D6996">
        <w:t>Special time</w:t>
      </w:r>
      <w:r w:rsidR="00AB306D">
        <w:t>’</w:t>
      </w:r>
      <w:r w:rsidRPr="003D6996">
        <w:t xml:space="preserve"> for higher education, says new UTS VC</w:t>
      </w:r>
      <w:r w:rsidR="00AB306D">
        <w:t>’</w:t>
      </w:r>
      <w:r w:rsidR="00251F8D">
        <w:t>,</w:t>
      </w:r>
      <w:r w:rsidRPr="003D6996">
        <w:t xml:space="preserve"> </w:t>
      </w:r>
      <w:hyperlink r:id="rId28" w:history="1">
        <w:r w:rsidRPr="003D6996">
          <w:rPr>
            <w:i/>
          </w:rPr>
          <w:t>The Australian</w:t>
        </w:r>
      </w:hyperlink>
      <w:r w:rsidR="00251F8D">
        <w:rPr>
          <w:i/>
          <w:iCs/>
        </w:rPr>
        <w:t xml:space="preserve">, </w:t>
      </w:r>
      <w:r w:rsidRPr="003D6996">
        <w:rPr>
          <w:iCs/>
        </w:rPr>
        <w:t>12 D</w:t>
      </w:r>
      <w:r w:rsidRPr="003D6996">
        <w:t>ecember</w:t>
      </w:r>
      <w:r w:rsidR="00251F8D">
        <w:t>,</w:t>
      </w:r>
      <w:r>
        <w:t xml:space="preserve"> </w:t>
      </w:r>
      <w:r w:rsidR="00251F8D">
        <w:t>v</w:t>
      </w:r>
      <w:r w:rsidR="00251F8D" w:rsidRPr="00251F8D">
        <w:t>iewed 12 December 2013</w:t>
      </w:r>
      <w:r w:rsidR="00251F8D">
        <w:t>, &lt;</w:t>
      </w:r>
      <w:hyperlink r:id="rId29" w:history="1">
        <w:r w:rsidR="00251F8D" w:rsidRPr="00E00464">
          <w:rPr>
            <w:rStyle w:val="Hyperlink"/>
            <w:sz w:val="18"/>
          </w:rPr>
          <w:t xml:space="preserve">http://www.theaustralian.com.au/higher-education/special-time-for-higher-education-says-new-uts-vc/story&gt;. </w:t>
        </w:r>
      </w:hyperlink>
    </w:p>
    <w:p w:rsidR="000465B1" w:rsidRPr="00214AA8" w:rsidRDefault="006A29CC" w:rsidP="003D6996">
      <w:pPr>
        <w:pStyle w:val="References"/>
      </w:pPr>
      <w:r>
        <w:t>Ryan, R 1999,</w:t>
      </w:r>
      <w:bookmarkStart w:id="50" w:name="_GoBack"/>
      <w:bookmarkEnd w:id="50"/>
      <w:r w:rsidR="000465B1" w:rsidRPr="000465B1">
        <w:t xml:space="preserve"> </w:t>
      </w:r>
      <w:r w:rsidR="00AB306D">
        <w:t>‘</w:t>
      </w:r>
      <w:r w:rsidR="000465B1" w:rsidRPr="00251F8D">
        <w:t xml:space="preserve">Building the </w:t>
      </w:r>
      <w:r w:rsidR="00251F8D" w:rsidRPr="00251F8D">
        <w:t>institutions of a national vocational education and training system</w:t>
      </w:r>
      <w:r w:rsidR="00AB306D">
        <w:t>’</w:t>
      </w:r>
      <w:r w:rsidR="00251F8D">
        <w:t>,</w:t>
      </w:r>
      <w:r w:rsidR="000465B1" w:rsidRPr="000465B1">
        <w:t xml:space="preserve"> </w:t>
      </w:r>
      <w:r w:rsidR="00214AA8">
        <w:t>t</w:t>
      </w:r>
      <w:r w:rsidR="000465B1" w:rsidRPr="000465B1">
        <w:t>hesis submitted for</w:t>
      </w:r>
      <w:r w:rsidR="000465B1" w:rsidRPr="00C22869">
        <w:rPr>
          <w:i/>
        </w:rPr>
        <w:t xml:space="preserve"> </w:t>
      </w:r>
      <w:r w:rsidR="000465B1" w:rsidRPr="00214AA8">
        <w:t xml:space="preserve">the degree of Doctor of </w:t>
      </w:r>
      <w:r w:rsidR="00214AA8">
        <w:t>Philosophy, Flinders University, Adelaide</w:t>
      </w:r>
      <w:r w:rsidR="00251F8D">
        <w:t>.</w:t>
      </w:r>
    </w:p>
    <w:p w:rsidR="00967AF1" w:rsidRPr="003D6996" w:rsidRDefault="00251F8D" w:rsidP="003D6996">
      <w:pPr>
        <w:pStyle w:val="References"/>
      </w:pPr>
      <w:r>
        <w:t>——</w:t>
      </w:r>
      <w:r w:rsidR="00967AF1" w:rsidRPr="003D6996">
        <w:t xml:space="preserve">2011, </w:t>
      </w:r>
      <w:r w:rsidR="00967AF1" w:rsidRPr="005C3A43">
        <w:rPr>
          <w:i/>
        </w:rPr>
        <w:t>How VET responds: a historical policy perspective</w:t>
      </w:r>
      <w:r w:rsidR="00967AF1" w:rsidRPr="003D6996">
        <w:t>, NCVER, Adelaide, viewed 31 Dec</w:t>
      </w:r>
      <w:r>
        <w:t>ember</w:t>
      </w:r>
      <w:r w:rsidR="00967AF1" w:rsidRPr="003D6996">
        <w:t xml:space="preserve"> 2013, &lt;http://www.ncver.edu.au/research/commercial/2338.pdf&gt;.</w:t>
      </w:r>
    </w:p>
    <w:p w:rsidR="0007137F" w:rsidRDefault="00B81942" w:rsidP="0007137F">
      <w:pPr>
        <w:pStyle w:val="References"/>
      </w:pPr>
      <w:r w:rsidRPr="00B81942">
        <w:t>Sherington</w:t>
      </w:r>
      <w:r>
        <w:t>, G</w:t>
      </w:r>
      <w:r w:rsidRPr="00B81942">
        <w:t xml:space="preserve"> </w:t>
      </w:r>
      <w:r w:rsidR="005C3A43">
        <w:t>&amp;</w:t>
      </w:r>
      <w:r w:rsidRPr="00B81942">
        <w:t xml:space="preserve"> Campbell</w:t>
      </w:r>
      <w:r>
        <w:t xml:space="preserve">, C 2004 </w:t>
      </w:r>
      <w:r w:rsidR="00AB306D">
        <w:t>‘</w:t>
      </w:r>
      <w:r>
        <w:t xml:space="preserve">Australian </w:t>
      </w:r>
      <w:r w:rsidR="00D55909">
        <w:t>l</w:t>
      </w:r>
      <w:r>
        <w:t>iberalism, the middle class and public education</w:t>
      </w:r>
      <w:r w:rsidR="00D55909">
        <w:t>:</w:t>
      </w:r>
      <w:r w:rsidR="00747B02">
        <w:t xml:space="preserve"> </w:t>
      </w:r>
      <w:r w:rsidR="00D55909">
        <w:t>f</w:t>
      </w:r>
      <w:r>
        <w:t>rom Henry Parkes to John Howard</w:t>
      </w:r>
      <w:r w:rsidR="00AB306D">
        <w:t>’</w:t>
      </w:r>
      <w:r>
        <w:t xml:space="preserve">, </w:t>
      </w:r>
      <w:r w:rsidRPr="00B81942">
        <w:rPr>
          <w:i/>
        </w:rPr>
        <w:t>Education Research and Perspectives</w:t>
      </w:r>
      <w:r w:rsidRPr="00B81942">
        <w:t xml:space="preserve">, </w:t>
      </w:r>
      <w:r w:rsidR="005C3A43" w:rsidRPr="00B81942">
        <w:t>v</w:t>
      </w:r>
      <w:r w:rsidRPr="00B81942">
        <w:t xml:space="preserve">ol.31, </w:t>
      </w:r>
      <w:r w:rsidR="005C3A43" w:rsidRPr="00B81942">
        <w:t>n</w:t>
      </w:r>
      <w:r w:rsidRPr="00B81942">
        <w:t>o.2</w:t>
      </w:r>
      <w:r w:rsidR="005C3A43">
        <w:t>.</w:t>
      </w:r>
    </w:p>
    <w:p w:rsidR="00D03C3E" w:rsidRPr="00D03C3E" w:rsidRDefault="004B7680" w:rsidP="0007137F">
      <w:pPr>
        <w:pStyle w:val="References"/>
      </w:pPr>
      <w:r>
        <w:t>UNESC0 2011</w:t>
      </w:r>
      <w:r w:rsidR="00251F8D">
        <w:t>,</w:t>
      </w:r>
      <w:r>
        <w:t xml:space="preserve"> </w:t>
      </w:r>
      <w:r w:rsidR="00D03C3E" w:rsidRPr="0007137F">
        <w:rPr>
          <w:i/>
        </w:rPr>
        <w:t>International Standard Classification of Education</w:t>
      </w:r>
      <w:r w:rsidR="0007137F">
        <w:t xml:space="preserve"> </w:t>
      </w:r>
      <w:r>
        <w:t>&lt;</w:t>
      </w:r>
      <w:r w:rsidRPr="004B7680">
        <w:t>http://www.uis.unesco.org/Education/Pages/international-standard-classification-of-education.aspx</w:t>
      </w:r>
      <w:r>
        <w:t>&gt;</w:t>
      </w:r>
      <w:r w:rsidR="00251F8D">
        <w:t>.</w:t>
      </w:r>
    </w:p>
    <w:p w:rsidR="0006031C" w:rsidRDefault="0006031C" w:rsidP="001336DD">
      <w:pPr>
        <w:pStyle w:val="References"/>
      </w:pPr>
      <w:r w:rsidRPr="0006031C">
        <w:t>Watson, L</w:t>
      </w:r>
      <w:r w:rsidR="005C3A43">
        <w:t>,</w:t>
      </w:r>
      <w:r w:rsidRPr="0006031C">
        <w:t xml:space="preserve"> Hagel, P &amp; Chesters, J 2013, </w:t>
      </w:r>
      <w:r w:rsidRPr="0006031C">
        <w:rPr>
          <w:i/>
        </w:rPr>
        <w:t>A half-open door: pathways for VET award holders into Australian universities</w:t>
      </w:r>
      <w:r w:rsidRPr="0006031C">
        <w:t>, NCVER, Adelaide</w:t>
      </w:r>
      <w:r w:rsidR="00251F8D">
        <w:t>.</w:t>
      </w:r>
    </w:p>
    <w:p w:rsidR="00D1390D" w:rsidRDefault="009A7261" w:rsidP="00E835DB">
      <w:pPr>
        <w:pStyle w:val="References"/>
      </w:pPr>
      <w:r>
        <w:t>White, M</w:t>
      </w:r>
      <w:r w:rsidR="00D1390D">
        <w:t>A</w:t>
      </w:r>
      <w:r>
        <w:t xml:space="preserve"> </w:t>
      </w:r>
      <w:r w:rsidR="00D1390D">
        <w:t>1996</w:t>
      </w:r>
      <w:r>
        <w:t>,</w:t>
      </w:r>
      <w:r w:rsidR="00D1390D">
        <w:t xml:space="preserve"> </w:t>
      </w:r>
      <w:r w:rsidR="00D1390D" w:rsidRPr="00D1390D">
        <w:rPr>
          <w:i/>
        </w:rPr>
        <w:t>WAIT to Curtin:</w:t>
      </w:r>
      <w:r w:rsidR="00FE634F">
        <w:rPr>
          <w:i/>
        </w:rPr>
        <w:t xml:space="preserve"> </w:t>
      </w:r>
      <w:r w:rsidR="00D1390D" w:rsidRPr="00D1390D">
        <w:rPr>
          <w:i/>
        </w:rPr>
        <w:t>a history of the Western Australian Institute of Technology</w:t>
      </w:r>
      <w:r w:rsidR="00D1390D">
        <w:t>, Paradigm Books, Curtin University</w:t>
      </w:r>
      <w:r>
        <w:t>, Perth.</w:t>
      </w:r>
    </w:p>
    <w:p w:rsidR="00E835DB" w:rsidRDefault="00E835DB" w:rsidP="00E835DB">
      <w:pPr>
        <w:pStyle w:val="References"/>
      </w:pPr>
      <w:r w:rsidRPr="00E835DB">
        <w:t>Willetts</w:t>
      </w:r>
      <w:r>
        <w:t xml:space="preserve">, D 2013, </w:t>
      </w:r>
      <w:r w:rsidRPr="00E835DB">
        <w:rPr>
          <w:i/>
        </w:rPr>
        <w:t xml:space="preserve">Robbins </w:t>
      </w:r>
      <w:r w:rsidR="009A7261" w:rsidRPr="00E835DB">
        <w:rPr>
          <w:i/>
        </w:rPr>
        <w:t>revisited: bigger and better higher education</w:t>
      </w:r>
      <w:r>
        <w:rPr>
          <w:i/>
        </w:rPr>
        <w:t>,</w:t>
      </w:r>
      <w:r w:rsidRPr="00E835DB">
        <w:t xml:space="preserve"> Social Market Foundation, London</w:t>
      </w:r>
      <w:r w:rsidR="005C3A43">
        <w:t>.</w:t>
      </w:r>
    </w:p>
    <w:p w:rsidR="00A6129D" w:rsidRPr="00DD1141" w:rsidRDefault="00A6129D" w:rsidP="00E835DB">
      <w:pPr>
        <w:pStyle w:val="References"/>
        <w:rPr>
          <w:szCs w:val="18"/>
        </w:rPr>
      </w:pPr>
      <w:r w:rsidRPr="00DD1141">
        <w:rPr>
          <w:szCs w:val="18"/>
        </w:rPr>
        <w:t xml:space="preserve">Williams, M, Goulding, F &amp; Seddon, T 2013, </w:t>
      </w:r>
      <w:r w:rsidRPr="005C3A43">
        <w:rPr>
          <w:i/>
          <w:szCs w:val="18"/>
        </w:rPr>
        <w:t>Towards a culture of scholarly practice in mixed-sector institutions</w:t>
      </w:r>
      <w:r w:rsidRPr="00DD1141">
        <w:rPr>
          <w:szCs w:val="18"/>
        </w:rPr>
        <w:t>, NCVER, Adelaide</w:t>
      </w:r>
      <w:r w:rsidR="00DD1141">
        <w:rPr>
          <w:szCs w:val="18"/>
        </w:rPr>
        <w:t>.</w:t>
      </w:r>
    </w:p>
    <w:p w:rsidR="00DA0D5C" w:rsidRPr="00DA0D5C" w:rsidRDefault="00DA0D5C" w:rsidP="00DA0D5C">
      <w:pPr>
        <w:pStyle w:val="References"/>
        <w:rPr>
          <w:lang w:val="en-GB"/>
        </w:rPr>
      </w:pPr>
      <w:r>
        <w:rPr>
          <w:lang w:val="en-GB"/>
        </w:rPr>
        <w:t>Yu, S, Bretherton, T</w:t>
      </w:r>
      <w:r w:rsidR="005C3A43">
        <w:rPr>
          <w:lang w:val="en-GB"/>
        </w:rPr>
        <w:t xml:space="preserve"> &amp;</w:t>
      </w:r>
      <w:r>
        <w:rPr>
          <w:lang w:val="en-GB"/>
        </w:rPr>
        <w:t xml:space="preserve"> Buchanan, J 2013 </w:t>
      </w:r>
      <w:r w:rsidRPr="00DA0D5C">
        <w:rPr>
          <w:i/>
          <w:lang w:val="en-GB"/>
        </w:rPr>
        <w:t>Defining vocational streams: insights from the engineering, finance, agriculture and care sectors</w:t>
      </w:r>
      <w:r>
        <w:rPr>
          <w:lang w:val="en-GB"/>
        </w:rPr>
        <w:t>, NCVER, Adelaide</w:t>
      </w:r>
      <w:r w:rsidR="0034570D">
        <w:rPr>
          <w:lang w:val="en-GB"/>
        </w:rPr>
        <w:t>.</w:t>
      </w:r>
    </w:p>
    <w:p w:rsidR="00693348" w:rsidRDefault="00693348" w:rsidP="00DA0D5C">
      <w:pPr>
        <w:pStyle w:val="References"/>
      </w:pPr>
      <w:r>
        <w:br w:type="page"/>
      </w:r>
    </w:p>
    <w:p w:rsidR="00693348" w:rsidRDefault="00693348" w:rsidP="00693348">
      <w:pPr>
        <w:pStyle w:val="Heading1"/>
      </w:pPr>
      <w:bookmarkStart w:id="51" w:name="_Toc393293037"/>
      <w:r w:rsidRPr="00693348">
        <w:lastRenderedPageBreak/>
        <w:t>Appendix</w:t>
      </w:r>
      <w:bookmarkEnd w:id="51"/>
      <w:r w:rsidRPr="00693348">
        <w:t xml:space="preserve"> </w:t>
      </w:r>
    </w:p>
    <w:p w:rsidR="00693348" w:rsidRDefault="00693348" w:rsidP="005C3A43">
      <w:pPr>
        <w:pStyle w:val="Heading2"/>
        <w:ind w:right="424"/>
      </w:pPr>
      <w:bookmarkStart w:id="52" w:name="_Toc393293038"/>
      <w:r w:rsidRPr="00693348">
        <w:t xml:space="preserve">Members of the Committee on the Future of Tertiary </w:t>
      </w:r>
      <w:r w:rsidRPr="005C3A43">
        <w:t>Education</w:t>
      </w:r>
      <w:r w:rsidRPr="00693348">
        <w:t xml:space="preserve"> in</w:t>
      </w:r>
      <w:r w:rsidR="00156D32">
        <w:t> </w:t>
      </w:r>
      <w:r w:rsidRPr="00693348">
        <w:t>Australia</w:t>
      </w:r>
      <w:bookmarkEnd w:id="52"/>
      <w:r w:rsidRPr="00693348">
        <w:t xml:space="preserve"> </w:t>
      </w:r>
    </w:p>
    <w:p w:rsidR="005F278C" w:rsidRPr="005F278C" w:rsidRDefault="005F278C" w:rsidP="005F278C">
      <w:pPr>
        <w:pStyle w:val="Text"/>
        <w:rPr>
          <w:lang w:val="en-GB"/>
        </w:rPr>
      </w:pPr>
      <w:r w:rsidRPr="005F278C">
        <w:rPr>
          <w:lang w:val="en-GB"/>
        </w:rPr>
        <w:t>Emeritus Professor, Sir Leslie Martin</w:t>
      </w:r>
      <w:r>
        <w:rPr>
          <w:lang w:val="en-GB"/>
        </w:rPr>
        <w:t xml:space="preserve">, </w:t>
      </w:r>
      <w:r w:rsidRPr="005F278C">
        <w:rPr>
          <w:lang w:val="en-GB"/>
        </w:rPr>
        <w:t>formerly Professor of Physics, University</w:t>
      </w:r>
      <w:r>
        <w:rPr>
          <w:lang w:val="en-GB"/>
        </w:rPr>
        <w:t xml:space="preserve"> of Melbourne (Chairman)</w:t>
      </w:r>
      <w:r w:rsidR="00AF210C">
        <w:rPr>
          <w:lang w:val="en-GB"/>
        </w:rPr>
        <w:t>.</w:t>
      </w:r>
    </w:p>
    <w:p w:rsidR="005F278C" w:rsidRPr="005F278C" w:rsidRDefault="005F278C" w:rsidP="005F278C">
      <w:pPr>
        <w:pStyle w:val="Text"/>
        <w:rPr>
          <w:lang w:val="en-GB"/>
        </w:rPr>
      </w:pPr>
      <w:r>
        <w:rPr>
          <w:lang w:val="en-GB"/>
        </w:rPr>
        <w:t>Emeritus Professor, CR</w:t>
      </w:r>
      <w:r w:rsidRPr="005F278C">
        <w:rPr>
          <w:lang w:val="en-GB"/>
        </w:rPr>
        <w:t xml:space="preserve"> McRae, formerly Professor of Education and formerly Deputy</w:t>
      </w:r>
      <w:r>
        <w:rPr>
          <w:lang w:val="en-GB"/>
        </w:rPr>
        <w:t xml:space="preserve"> </w:t>
      </w:r>
      <w:r w:rsidRPr="005F278C">
        <w:rPr>
          <w:lang w:val="en-GB"/>
        </w:rPr>
        <w:t>Vice-Chancellor, University of Sydney (D</w:t>
      </w:r>
      <w:r>
        <w:rPr>
          <w:lang w:val="en-GB"/>
        </w:rPr>
        <w:t>eputy Chairman). Resigned, 30</w:t>
      </w:r>
      <w:r w:rsidR="00E73320">
        <w:rPr>
          <w:lang w:val="en-GB"/>
        </w:rPr>
        <w:t xml:space="preserve"> June</w:t>
      </w:r>
      <w:r w:rsidRPr="005F278C">
        <w:rPr>
          <w:lang w:val="en-GB"/>
        </w:rPr>
        <w:t xml:space="preserve"> 1962. </w:t>
      </w:r>
      <w:r w:rsidR="00DD1141">
        <w:rPr>
          <w:lang w:val="en-GB"/>
        </w:rPr>
        <w:t>From</w:t>
      </w:r>
      <w:r w:rsidRPr="005F278C">
        <w:rPr>
          <w:lang w:val="en-GB"/>
        </w:rPr>
        <w:t xml:space="preserve"> the beginning</w:t>
      </w:r>
      <w:r>
        <w:rPr>
          <w:lang w:val="en-GB"/>
        </w:rPr>
        <w:t xml:space="preserve"> </w:t>
      </w:r>
      <w:r w:rsidRPr="005F278C">
        <w:rPr>
          <w:lang w:val="en-GB"/>
        </w:rPr>
        <w:t>of 1963, Sir</w:t>
      </w:r>
      <w:r w:rsidR="005C3A43">
        <w:rPr>
          <w:lang w:val="en-GB"/>
        </w:rPr>
        <w:t> </w:t>
      </w:r>
      <w:r w:rsidRPr="005F278C">
        <w:rPr>
          <w:lang w:val="en-GB"/>
        </w:rPr>
        <w:t>Samuel Wadham assumed many of the responsibilities of a Deputy Chairman.</w:t>
      </w:r>
    </w:p>
    <w:p w:rsidR="005F278C" w:rsidRPr="005F278C" w:rsidRDefault="005F278C" w:rsidP="005F278C">
      <w:pPr>
        <w:pStyle w:val="Text"/>
        <w:rPr>
          <w:lang w:val="en-GB"/>
        </w:rPr>
      </w:pPr>
      <w:r w:rsidRPr="005F278C">
        <w:rPr>
          <w:lang w:val="en-GB"/>
        </w:rPr>
        <w:t xml:space="preserve">Sir Keith Angas, </w:t>
      </w:r>
      <w:r>
        <w:rPr>
          <w:lang w:val="en-GB"/>
        </w:rPr>
        <w:t>Prime Minister</w:t>
      </w:r>
      <w:r w:rsidR="00AB306D">
        <w:rPr>
          <w:lang w:val="en-GB"/>
        </w:rPr>
        <w:t>’</w:t>
      </w:r>
      <w:r>
        <w:rPr>
          <w:lang w:val="en-GB"/>
        </w:rPr>
        <w:t>s nominee. Gr</w:t>
      </w:r>
      <w:r w:rsidRPr="005F278C">
        <w:rPr>
          <w:lang w:val="en-GB"/>
        </w:rPr>
        <w:t>azier from South Australia who had served as Chairman of the Council of St Mark</w:t>
      </w:r>
      <w:r w:rsidR="00AB306D">
        <w:rPr>
          <w:lang w:val="en-GB"/>
        </w:rPr>
        <w:t>’</w:t>
      </w:r>
      <w:r w:rsidRPr="005F278C">
        <w:rPr>
          <w:lang w:val="en-GB"/>
        </w:rPr>
        <w:t>s College</w:t>
      </w:r>
      <w:r>
        <w:rPr>
          <w:lang w:val="en-GB"/>
        </w:rPr>
        <w:t>.</w:t>
      </w:r>
    </w:p>
    <w:p w:rsidR="005F278C" w:rsidRPr="005F278C" w:rsidRDefault="005F278C" w:rsidP="005F278C">
      <w:pPr>
        <w:pStyle w:val="Text"/>
        <w:rPr>
          <w:lang w:val="en-GB"/>
        </w:rPr>
      </w:pPr>
      <w:r>
        <w:rPr>
          <w:lang w:val="en-GB"/>
        </w:rPr>
        <w:t>Professor DP</w:t>
      </w:r>
      <w:r w:rsidRPr="005F278C">
        <w:rPr>
          <w:lang w:val="en-GB"/>
        </w:rPr>
        <w:t xml:space="preserve"> Derham, Dean of the Faculty of Law, Monash University, and formerly Professor</w:t>
      </w:r>
      <w:r>
        <w:rPr>
          <w:lang w:val="en-GB"/>
        </w:rPr>
        <w:t xml:space="preserve"> </w:t>
      </w:r>
      <w:r w:rsidRPr="005F278C">
        <w:rPr>
          <w:lang w:val="en-GB"/>
        </w:rPr>
        <w:t>of Jurisprudence, University of Melbourne.</w:t>
      </w:r>
    </w:p>
    <w:p w:rsidR="005F278C" w:rsidRPr="005F278C" w:rsidRDefault="005F278C" w:rsidP="005F278C">
      <w:pPr>
        <w:pStyle w:val="Text"/>
        <w:rPr>
          <w:lang w:val="en-GB"/>
        </w:rPr>
      </w:pPr>
      <w:r>
        <w:rPr>
          <w:lang w:val="en-GB"/>
        </w:rPr>
        <w:t xml:space="preserve">Professor Sir Arnold (Hugh) Ennor, </w:t>
      </w:r>
      <w:r w:rsidRPr="005F278C">
        <w:rPr>
          <w:lang w:val="en-GB"/>
        </w:rPr>
        <w:t>Professor of Biochemistry, Institute of Advanced Studies, and</w:t>
      </w:r>
      <w:r>
        <w:rPr>
          <w:lang w:val="en-GB"/>
        </w:rPr>
        <w:t xml:space="preserve"> </w:t>
      </w:r>
      <w:r w:rsidRPr="005F278C">
        <w:rPr>
          <w:lang w:val="en-GB"/>
        </w:rPr>
        <w:t>Dean, John Curtin School of Medical Research, Australian National University.</w:t>
      </w:r>
      <w:r w:rsidR="00A23345" w:rsidRPr="00A23345">
        <w:rPr>
          <w:rFonts w:ascii="Georgia" w:hAnsi="Georgia"/>
          <w:color w:val="333333"/>
          <w:sz w:val="21"/>
          <w:szCs w:val="21"/>
        </w:rPr>
        <w:t xml:space="preserve"> </w:t>
      </w:r>
      <w:r w:rsidR="00A23345">
        <w:rPr>
          <w:lang w:val="en-GB"/>
        </w:rPr>
        <w:t xml:space="preserve">In 1967, </w:t>
      </w:r>
      <w:r w:rsidR="00A23345" w:rsidRPr="00A23345">
        <w:rPr>
          <w:lang w:val="en-GB"/>
        </w:rPr>
        <w:t xml:space="preserve">Sir Hugh became </w:t>
      </w:r>
      <w:r w:rsidR="00A23345">
        <w:rPr>
          <w:lang w:val="en-GB"/>
        </w:rPr>
        <w:t xml:space="preserve">the </w:t>
      </w:r>
      <w:r w:rsidR="00A23345" w:rsidRPr="00A23345">
        <w:rPr>
          <w:lang w:val="en-GB"/>
        </w:rPr>
        <w:t>permanent head o</w:t>
      </w:r>
      <w:r w:rsidR="00D55909">
        <w:rPr>
          <w:lang w:val="en-GB"/>
        </w:rPr>
        <w:t>f</w:t>
      </w:r>
      <w:r w:rsidR="00A23345">
        <w:rPr>
          <w:lang w:val="en-GB"/>
        </w:rPr>
        <w:t xml:space="preserve"> the newly established</w:t>
      </w:r>
      <w:r w:rsidR="00A23345" w:rsidRPr="00A23345">
        <w:rPr>
          <w:lang w:val="en-GB"/>
        </w:rPr>
        <w:t xml:space="preserve"> Commonwealth Department of Education and Science</w:t>
      </w:r>
      <w:r w:rsidR="00A23345">
        <w:rPr>
          <w:lang w:val="en-GB"/>
        </w:rPr>
        <w:t>.</w:t>
      </w:r>
    </w:p>
    <w:p w:rsidR="005F278C" w:rsidRPr="005F278C" w:rsidRDefault="00A23345" w:rsidP="005F278C">
      <w:pPr>
        <w:pStyle w:val="Text"/>
        <w:rPr>
          <w:lang w:val="en-GB"/>
        </w:rPr>
      </w:pPr>
      <w:r>
        <w:rPr>
          <w:lang w:val="en-GB"/>
        </w:rPr>
        <w:t>Sir Alexander Fitzgerald,</w:t>
      </w:r>
      <w:r w:rsidR="005F278C" w:rsidRPr="005F278C">
        <w:rPr>
          <w:lang w:val="en-GB"/>
        </w:rPr>
        <w:t xml:space="preserve"> formerly Professor of Accounting, University of Melbourne</w:t>
      </w:r>
      <w:r>
        <w:rPr>
          <w:lang w:val="en-GB"/>
        </w:rPr>
        <w:t xml:space="preserve"> </w:t>
      </w:r>
      <w:r w:rsidR="005F278C" w:rsidRPr="005F278C">
        <w:rPr>
          <w:lang w:val="en-GB"/>
        </w:rPr>
        <w:t>and formerly Chairman, Commonwealth Grants Commission.</w:t>
      </w:r>
    </w:p>
    <w:p w:rsidR="005F278C" w:rsidRPr="005F278C" w:rsidRDefault="00A23345" w:rsidP="005F278C">
      <w:pPr>
        <w:pStyle w:val="Text"/>
        <w:rPr>
          <w:lang w:val="en-GB"/>
        </w:rPr>
      </w:pPr>
      <w:r>
        <w:rPr>
          <w:lang w:val="en-GB"/>
        </w:rPr>
        <w:t xml:space="preserve">Professor Sir Edward Ford, </w:t>
      </w:r>
      <w:r w:rsidR="005F278C" w:rsidRPr="005F278C">
        <w:rPr>
          <w:lang w:val="en-GB"/>
        </w:rPr>
        <w:t>Professor of Preventive Medicine, University</w:t>
      </w:r>
      <w:r>
        <w:rPr>
          <w:lang w:val="en-GB"/>
        </w:rPr>
        <w:t xml:space="preserve"> </w:t>
      </w:r>
      <w:r w:rsidR="005F278C" w:rsidRPr="005F278C">
        <w:rPr>
          <w:lang w:val="en-GB"/>
        </w:rPr>
        <w:t>of Sydney, and Director, School of Public Health and Tropical Medicine.</w:t>
      </w:r>
    </w:p>
    <w:p w:rsidR="005F278C" w:rsidRPr="005F278C" w:rsidRDefault="00A23345" w:rsidP="005F278C">
      <w:pPr>
        <w:pStyle w:val="Text"/>
        <w:rPr>
          <w:lang w:val="en-GB"/>
        </w:rPr>
      </w:pPr>
      <w:r>
        <w:rPr>
          <w:lang w:val="en-GB"/>
        </w:rPr>
        <w:t>Dr CM</w:t>
      </w:r>
      <w:r w:rsidR="005F278C" w:rsidRPr="005F278C">
        <w:rPr>
          <w:lang w:val="en-GB"/>
        </w:rPr>
        <w:t xml:space="preserve"> Gilray, formerly Principal, Scotch College, Melbourne, and formerly Deputy Chancellor,</w:t>
      </w:r>
      <w:r>
        <w:rPr>
          <w:lang w:val="en-GB"/>
        </w:rPr>
        <w:t xml:space="preserve"> </w:t>
      </w:r>
      <w:r w:rsidR="005F278C" w:rsidRPr="005F278C">
        <w:rPr>
          <w:lang w:val="en-GB"/>
        </w:rPr>
        <w:t>University of Melbourne.</w:t>
      </w:r>
    </w:p>
    <w:p w:rsidR="005F278C" w:rsidRPr="005F278C" w:rsidRDefault="00A23345" w:rsidP="005F278C">
      <w:pPr>
        <w:pStyle w:val="Text"/>
        <w:rPr>
          <w:lang w:val="en-GB"/>
        </w:rPr>
      </w:pPr>
      <w:r>
        <w:rPr>
          <w:lang w:val="en-GB"/>
        </w:rPr>
        <w:t>Mr NE</w:t>
      </w:r>
      <w:r w:rsidR="005F278C" w:rsidRPr="005F278C">
        <w:rPr>
          <w:lang w:val="en-GB"/>
        </w:rPr>
        <w:t xml:space="preserve"> Jones, Man</w:t>
      </w:r>
      <w:r>
        <w:rPr>
          <w:lang w:val="en-GB"/>
        </w:rPr>
        <w:t xml:space="preserve">aging Director, Broken Hill Pty Co </w:t>
      </w:r>
      <w:r w:rsidR="005F278C" w:rsidRPr="005F278C">
        <w:rPr>
          <w:lang w:val="en-GB"/>
        </w:rPr>
        <w:t>Ltd.</w:t>
      </w:r>
    </w:p>
    <w:p w:rsidR="005F278C" w:rsidRPr="005F278C" w:rsidRDefault="00A23345" w:rsidP="005F278C">
      <w:pPr>
        <w:pStyle w:val="Text"/>
        <w:rPr>
          <w:lang w:val="en-GB"/>
        </w:rPr>
      </w:pPr>
      <w:r>
        <w:rPr>
          <w:lang w:val="en-GB"/>
        </w:rPr>
        <w:t>Professor PH</w:t>
      </w:r>
      <w:r w:rsidR="005F278C" w:rsidRPr="005F278C">
        <w:rPr>
          <w:lang w:val="en-GB"/>
        </w:rPr>
        <w:t xml:space="preserve"> Karmel, Professor of Economics, University of Adelaide, and Principal-Designate</w:t>
      </w:r>
      <w:r>
        <w:rPr>
          <w:lang w:val="en-GB"/>
        </w:rPr>
        <w:t xml:space="preserve"> </w:t>
      </w:r>
      <w:r w:rsidR="005F278C" w:rsidRPr="005F278C">
        <w:rPr>
          <w:lang w:val="en-GB"/>
        </w:rPr>
        <w:t>of University of Adelaide at Bedford Park.</w:t>
      </w:r>
    </w:p>
    <w:p w:rsidR="005F278C" w:rsidRPr="005F278C" w:rsidRDefault="005F278C" w:rsidP="005F278C">
      <w:pPr>
        <w:pStyle w:val="Text"/>
        <w:rPr>
          <w:lang w:val="en-GB"/>
        </w:rPr>
      </w:pPr>
      <w:r w:rsidRPr="005F278C">
        <w:rPr>
          <w:lang w:val="en-GB"/>
        </w:rPr>
        <w:t>Mr</w:t>
      </w:r>
      <w:r w:rsidR="0002259F">
        <w:rPr>
          <w:lang w:val="en-GB"/>
        </w:rPr>
        <w:t xml:space="preserve"> R</w:t>
      </w:r>
      <w:r w:rsidR="00A23345">
        <w:rPr>
          <w:lang w:val="en-GB"/>
        </w:rPr>
        <w:t>R</w:t>
      </w:r>
      <w:r w:rsidRPr="005F278C">
        <w:rPr>
          <w:lang w:val="en-GB"/>
        </w:rPr>
        <w:t xml:space="preserve"> Mackay, Principal, Royal Melbourne Insti</w:t>
      </w:r>
      <w:r w:rsidR="00A23345">
        <w:rPr>
          <w:lang w:val="en-GB"/>
        </w:rPr>
        <w:t xml:space="preserve">tute of Technology. Deceased 4 </w:t>
      </w:r>
      <w:r w:rsidRPr="005F278C">
        <w:rPr>
          <w:lang w:val="en-GB"/>
        </w:rPr>
        <w:t>December, 1963.</w:t>
      </w:r>
    </w:p>
    <w:p w:rsidR="005F278C" w:rsidRPr="005F278C" w:rsidRDefault="005F278C" w:rsidP="005F278C">
      <w:pPr>
        <w:pStyle w:val="Text"/>
        <w:rPr>
          <w:lang w:val="en-GB"/>
        </w:rPr>
      </w:pPr>
      <w:r w:rsidRPr="005F278C">
        <w:rPr>
          <w:lang w:val="en-GB"/>
        </w:rPr>
        <w:t>Mr A McDonell, formerly Director of Education, Victoria.</w:t>
      </w:r>
    </w:p>
    <w:p w:rsidR="005F278C" w:rsidRPr="005F278C" w:rsidRDefault="00E73320" w:rsidP="005F278C">
      <w:pPr>
        <w:pStyle w:val="Text"/>
        <w:rPr>
          <w:lang w:val="en-GB"/>
        </w:rPr>
      </w:pPr>
      <w:r>
        <w:rPr>
          <w:lang w:val="en-GB"/>
        </w:rPr>
        <w:t>Professor JW</w:t>
      </w:r>
      <w:r w:rsidR="005F278C" w:rsidRPr="005F278C">
        <w:rPr>
          <w:lang w:val="en-GB"/>
        </w:rPr>
        <w:t xml:space="preserve"> Roderick, Professor of Civil Engineering, University of Sydney.</w:t>
      </w:r>
    </w:p>
    <w:p w:rsidR="005F278C" w:rsidRPr="005F278C" w:rsidRDefault="005F278C" w:rsidP="005F278C">
      <w:pPr>
        <w:pStyle w:val="Text"/>
        <w:rPr>
          <w:lang w:val="en-GB"/>
        </w:rPr>
      </w:pPr>
      <w:r w:rsidRPr="005F278C">
        <w:rPr>
          <w:lang w:val="en-GB"/>
        </w:rPr>
        <w:t>Professor Sir Fred Schonell, Vice Chancellor, University of</w:t>
      </w:r>
      <w:r w:rsidR="00AF210C">
        <w:rPr>
          <w:lang w:val="en-GB"/>
        </w:rPr>
        <w:t xml:space="preserve"> </w:t>
      </w:r>
      <w:r w:rsidRPr="005F278C">
        <w:rPr>
          <w:lang w:val="en-GB"/>
        </w:rPr>
        <w:t>Queensland, and formerly Professor of Education, University of Queensland.</w:t>
      </w:r>
    </w:p>
    <w:p w:rsidR="005F278C" w:rsidRPr="005F278C" w:rsidRDefault="005F278C" w:rsidP="005F278C">
      <w:pPr>
        <w:pStyle w:val="Text"/>
        <w:rPr>
          <w:lang w:val="en-GB"/>
        </w:rPr>
      </w:pPr>
      <w:r w:rsidRPr="005F278C">
        <w:rPr>
          <w:lang w:val="en-GB"/>
        </w:rPr>
        <w:t>Emeritus Professor, Sir</w:t>
      </w:r>
      <w:r w:rsidR="00AF210C">
        <w:rPr>
          <w:lang w:val="en-GB"/>
        </w:rPr>
        <w:t xml:space="preserve"> Samuel Wadham, </w:t>
      </w:r>
      <w:r w:rsidRPr="005F278C">
        <w:rPr>
          <w:lang w:val="en-GB"/>
        </w:rPr>
        <w:t>formerly Professor of Agriculture, University of Melbourne.</w:t>
      </w:r>
    </w:p>
    <w:p w:rsidR="005F278C" w:rsidRPr="005F278C" w:rsidRDefault="00AF210C" w:rsidP="005F278C">
      <w:pPr>
        <w:pStyle w:val="Text"/>
        <w:rPr>
          <w:lang w:val="en-GB"/>
        </w:rPr>
      </w:pPr>
      <w:r>
        <w:rPr>
          <w:lang w:val="en-GB"/>
        </w:rPr>
        <w:t>Mr LW</w:t>
      </w:r>
      <w:r w:rsidR="005F278C" w:rsidRPr="005F278C">
        <w:rPr>
          <w:lang w:val="en-GB"/>
        </w:rPr>
        <w:t xml:space="preserve"> Weickhardt, Technical Director, Imperial Chemical Industries of Australia and</w:t>
      </w:r>
      <w:r>
        <w:rPr>
          <w:lang w:val="en-GB"/>
        </w:rPr>
        <w:t xml:space="preserve"> </w:t>
      </w:r>
      <w:r w:rsidR="005F278C" w:rsidRPr="005F278C">
        <w:rPr>
          <w:lang w:val="en-GB"/>
        </w:rPr>
        <w:t>New Zealand Ltd.</w:t>
      </w:r>
    </w:p>
    <w:p w:rsidR="005F278C" w:rsidRPr="005F278C" w:rsidRDefault="00AF210C" w:rsidP="005F278C">
      <w:pPr>
        <w:pStyle w:val="Text"/>
        <w:rPr>
          <w:lang w:val="en-GB"/>
        </w:rPr>
      </w:pPr>
      <w:r>
        <w:rPr>
          <w:lang w:val="en-GB"/>
        </w:rPr>
        <w:t>Dr HS</w:t>
      </w:r>
      <w:r w:rsidR="005F278C" w:rsidRPr="005F278C">
        <w:rPr>
          <w:lang w:val="en-GB"/>
        </w:rPr>
        <w:t xml:space="preserve"> Wyndham, Director General of Education,</w:t>
      </w:r>
      <w:r>
        <w:rPr>
          <w:lang w:val="en-GB"/>
        </w:rPr>
        <w:t xml:space="preserve"> </w:t>
      </w:r>
      <w:r w:rsidR="005F278C" w:rsidRPr="005F278C">
        <w:rPr>
          <w:lang w:val="en-GB"/>
        </w:rPr>
        <w:t>New South Wales.</w:t>
      </w:r>
    </w:p>
    <w:p w:rsidR="005C3A43" w:rsidRDefault="005C3A43">
      <w:pPr>
        <w:spacing w:before="0" w:line="240" w:lineRule="auto"/>
      </w:pPr>
      <w:r>
        <w:br w:type="page"/>
      </w:r>
    </w:p>
    <w:p w:rsidR="00EC3B91" w:rsidRDefault="00FF246B" w:rsidP="00260D9F">
      <w:pPr>
        <w:pStyle w:val="Heading1"/>
      </w:pPr>
      <w:bookmarkStart w:id="53" w:name="_Toc393293039"/>
      <w:r>
        <w:lastRenderedPageBreak/>
        <w:t>NVETR</w:t>
      </w:r>
      <w:r w:rsidR="00EC3B91">
        <w:t xml:space="preserve"> </w:t>
      </w:r>
      <w:r>
        <w:t>P</w:t>
      </w:r>
      <w:r w:rsidR="00EC3B91">
        <w:t>rogram funding</w:t>
      </w:r>
      <w:bookmarkEnd w:id="53"/>
      <w:r w:rsidR="00FF41C9">
        <w:t xml:space="preserve"> </w:t>
      </w:r>
    </w:p>
    <w:p w:rsidR="00157690" w:rsidRPr="00157690" w:rsidRDefault="00157690" w:rsidP="00157690">
      <w:pPr>
        <w:pStyle w:val="Text"/>
      </w:pPr>
      <w:r w:rsidRPr="00157690">
        <w:t xml:space="preserve">This work has been produced by NCVER under the National Vocational Education and Training Research (NVETR) Program, which is coordinated and managed by NCVER on behalf of the Australian Government and state and territory governments. Funding is provided through the Department of Industry. </w:t>
      </w:r>
    </w:p>
    <w:p w:rsidR="00157690" w:rsidRPr="00157690" w:rsidRDefault="00157690" w:rsidP="00157690">
      <w:pPr>
        <w:pStyle w:val="Text"/>
      </w:pPr>
      <w:r w:rsidRPr="00157690">
        <w:t xml:space="preserve">The NVETR Program is based on national research priorities approved by ministers with responsibility for vocational education and training. </w:t>
      </w:r>
    </w:p>
    <w:p w:rsidR="00157690" w:rsidRPr="00157690" w:rsidRDefault="006F6F83" w:rsidP="00157690">
      <w:pPr>
        <w:pStyle w:val="Text"/>
      </w:pPr>
      <w:r>
        <w:t>Authors/project teams are</w:t>
      </w:r>
      <w:r w:rsidR="00157690" w:rsidRPr="00157690">
        <w:t xml:space="preserve"> funded to undertake this research via a grant under the NVETR Program. The research grants are awarded to organisations through a competitive process, in which NCVER does not participate. To ensure the quality and relevance of the research</w:t>
      </w:r>
      <w:r w:rsidR="00157690">
        <w:t>,</w:t>
      </w:r>
      <w:r w:rsidR="00157690" w:rsidRPr="00157690">
        <w:t xml:space="preserve"> projects are selected using an independent and transparent process and researc</w:t>
      </w:r>
      <w:r w:rsidR="00C22199">
        <w:t>h reports are peer-</w:t>
      </w:r>
      <w:r w:rsidR="00157690" w:rsidRPr="00157690">
        <w:t>reviewed.</w:t>
      </w:r>
    </w:p>
    <w:p w:rsidR="00157690" w:rsidRPr="00157690" w:rsidRDefault="00157690" w:rsidP="00157690">
      <w:pPr>
        <w:pStyle w:val="Text"/>
      </w:pPr>
      <w:r w:rsidRPr="00157690">
        <w:t xml:space="preserve">The NVETR </w:t>
      </w:r>
      <w:r w:rsidR="00C22199">
        <w:t>P</w:t>
      </w:r>
      <w:r w:rsidRPr="00157690">
        <w:t xml:space="preserve">rogram aims to improve policy and practice in the VET sector. The research effort itself is collaborative </w:t>
      </w:r>
      <w:r w:rsidR="008E1AD1">
        <w:t>and</w:t>
      </w:r>
      <w:r w:rsidRPr="00157690">
        <w:t xml:space="preserve"> requires strong relationships with the research community in Australia</w:t>
      </w:r>
      <w:r w:rsidR="00AB306D">
        <w:t>’</w:t>
      </w:r>
      <w:r w:rsidRPr="00157690">
        <w:t>s universities and beyond. NCVER may also involve various stakeholders</w:t>
      </w:r>
      <w:r>
        <w:t>,</w:t>
      </w:r>
      <w:r w:rsidRPr="00157690">
        <w:t xml:space="preserve"> including state and territory governments, industry and practitioners</w:t>
      </w:r>
      <w:r w:rsidR="008E1AD1">
        <w:t>,</w:t>
      </w:r>
      <w:r w:rsidRPr="00157690">
        <w:t xml:space="preserve"> to inform the commissioned research, </w:t>
      </w:r>
      <w:r w:rsidR="008E1AD1">
        <w:t xml:space="preserve">and </w:t>
      </w:r>
      <w:r w:rsidRPr="00157690">
        <w:t xml:space="preserve">using a variety of mechanisms such as project roundtables and forums. </w:t>
      </w:r>
    </w:p>
    <w:p w:rsidR="001C2CB5" w:rsidRDefault="00157690" w:rsidP="00157690">
      <w:pPr>
        <w:pStyle w:val="Text"/>
      </w:pPr>
      <w:r w:rsidRPr="00157690">
        <w:t xml:space="preserve">For further information about the program go to the NCVER </w:t>
      </w:r>
      <w:r w:rsidR="00C470EA">
        <w:t>Portal</w:t>
      </w:r>
      <w:r w:rsidRPr="00157690">
        <w:t xml:space="preserve"> &lt;</w:t>
      </w:r>
      <w:r w:rsidR="00C14828">
        <w:t>http://</w:t>
      </w:r>
      <w:r w:rsidRPr="00157690">
        <w:t>www.ncver.edu.au&gt;.</w:t>
      </w:r>
    </w:p>
    <w:sectPr w:rsidR="001C2CB5" w:rsidSect="00F60BA5">
      <w:footerReference w:type="even" r:id="rId30"/>
      <w:footerReference w:type="default" r:id="rId31"/>
      <w:pgSz w:w="11907" w:h="16840" w:code="9"/>
      <w:pgMar w:top="1276" w:right="1701" w:bottom="1276" w:left="1418"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E6" w:rsidRDefault="005210E6">
      <w:r>
        <w:separator/>
      </w:r>
    </w:p>
  </w:endnote>
  <w:endnote w:type="continuationSeparator" w:id="0">
    <w:p w:rsidR="005210E6" w:rsidRDefault="0052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0E6" w:rsidRPr="008C0A74" w:rsidRDefault="005210E6" w:rsidP="00FF5931">
    <w:pPr>
      <w:pStyle w:val="Footer"/>
      <w:tabs>
        <w:tab w:val="clear" w:pos="8505"/>
        <w:tab w:val="right" w:pos="8789"/>
      </w:tabs>
      <w:rPr>
        <w:b/>
      </w:rPr>
    </w:pPr>
    <w:r>
      <w:rPr>
        <w:b/>
        <w:noProof/>
        <w:color w:val="FFFFFF" w:themeColor="background1"/>
        <w:lang w:eastAsia="en-AU"/>
      </w:rPr>
      <mc:AlternateContent>
        <mc:Choice Requires="wps">
          <w:drawing>
            <wp:anchor distT="0" distB="0" distL="114300" distR="114300" simplePos="0" relativeHeight="251656704" behindDoc="1" locked="0" layoutInCell="1" allowOverlap="1" wp14:anchorId="0262403A" wp14:editId="0E46A05A">
              <wp:simplePos x="0" y="0"/>
              <wp:positionH relativeFrom="column">
                <wp:posOffset>-1080135</wp:posOffset>
              </wp:positionH>
              <wp:positionV relativeFrom="paragraph">
                <wp:posOffset>-31115</wp:posOffset>
              </wp:positionV>
              <wp:extent cx="1257300" cy="238125"/>
              <wp:effectExtent l="0" t="0" r="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5.05pt;margin-top:-2.45pt;width:99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0mA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X/qH9JgCAABoBQAADgAAAAAAAAAAAAAAAAAuAgAAZHJzL2Uy&#10;b0RvYy54bWxQSwECLQAUAAYACAAAACEA/ZB0tuEAAAAJAQAADwAAAAAAAAAAAAAAAADyBAAAZHJz&#10;L2Rvd25yZXYueG1sUEsFBgAAAAAEAAQA8wAAAAAGAAAAAA==&#10;" fillcolor="black [3213]" stroked="f" strokecolor="#bfbfbf [2412]"/>
          </w:pict>
        </mc:Fallback>
      </mc:AlternateContent>
    </w:r>
    <w:r w:rsidRPr="008C0A74">
      <w:rPr>
        <w:b/>
        <w:color w:val="FFFFFF" w:themeColor="background1"/>
      </w:rPr>
      <w:fldChar w:fldCharType="begin"/>
    </w:r>
    <w:r w:rsidRPr="008C0A74">
      <w:rPr>
        <w:b/>
        <w:color w:val="FFFFFF" w:themeColor="background1"/>
      </w:rPr>
      <w:instrText xml:space="preserve"> PAGE </w:instrText>
    </w:r>
    <w:r w:rsidRPr="008C0A74">
      <w:rPr>
        <w:b/>
        <w:color w:val="FFFFFF" w:themeColor="background1"/>
      </w:rPr>
      <w:fldChar w:fldCharType="separate"/>
    </w:r>
    <w:r w:rsidR="006A29CC">
      <w:rPr>
        <w:b/>
        <w:noProof/>
        <w:color w:val="FFFFFF" w:themeColor="background1"/>
      </w:rPr>
      <w:t>40</w:t>
    </w:r>
    <w:r w:rsidRPr="008C0A74">
      <w:rPr>
        <w:b/>
        <w:color w:val="FFFFFF" w:themeColor="background1"/>
      </w:rPr>
      <w:fldChar w:fldCharType="end"/>
    </w:r>
    <w:r>
      <w:rPr>
        <w:b/>
        <w:color w:val="FFFFFF" w:themeColor="background1"/>
      </w:rPr>
      <w:tab/>
    </w:r>
    <w:r>
      <w:rPr>
        <w:b/>
      </w:rPr>
      <w:t>A differentiated model for tertiary education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0E6" w:rsidRPr="009775C7" w:rsidRDefault="005210E6" w:rsidP="008C0A74">
    <w:pPr>
      <w:pStyle w:val="Footer"/>
      <w:tabs>
        <w:tab w:val="clear" w:pos="8505"/>
        <w:tab w:val="right" w:pos="8789"/>
      </w:tabs>
      <w:rPr>
        <w:color w:val="FFFFFF" w:themeColor="background1"/>
      </w:rPr>
    </w:pPr>
    <w:r>
      <w:rPr>
        <w:b/>
        <w:noProof/>
        <w:lang w:eastAsia="en-AU"/>
      </w:rPr>
      <mc:AlternateContent>
        <mc:Choice Requires="wps">
          <w:drawing>
            <wp:anchor distT="0" distB="0" distL="114300" distR="114300" simplePos="0" relativeHeight="251657728" behindDoc="1" locked="0" layoutInCell="1" allowOverlap="1">
              <wp:simplePos x="0" y="0"/>
              <wp:positionH relativeFrom="column">
                <wp:posOffset>5405120</wp:posOffset>
              </wp:positionH>
              <wp:positionV relativeFrom="paragraph">
                <wp:posOffset>-31115</wp:posOffset>
              </wp:positionV>
              <wp:extent cx="1257300" cy="2381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25.6pt;margin-top:-2.45pt;width:99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" fillcolor="black [3213]" stroked="f" strokecolor="#bfbfbf [2412]"/>
          </w:pict>
        </mc:Fallback>
      </mc:AlternateContent>
    </w:r>
    <w:r w:rsidRPr="009775C7">
      <w:rPr>
        <w:b/>
      </w:rPr>
      <w:t>NCVER</w:t>
    </w:r>
    <w:r w:rsidRPr="009775C7">
      <w:tab/>
    </w:r>
    <w:r w:rsidRPr="009775C7">
      <w:rPr>
        <w:rStyle w:val="PageNumber"/>
        <w:rFonts w:cs="Tahoma"/>
        <w:b/>
        <w:color w:val="FFFFFF" w:themeColor="background1"/>
        <w:sz w:val="17"/>
      </w:rPr>
      <w:fldChar w:fldCharType="begin"/>
    </w:r>
    <w:r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6A29CC">
      <w:rPr>
        <w:rStyle w:val="PageNumber"/>
        <w:rFonts w:cs="Tahoma"/>
        <w:b/>
        <w:noProof/>
        <w:color w:val="FFFFFF" w:themeColor="background1"/>
        <w:sz w:val="17"/>
      </w:rPr>
      <w:t>41</w:t>
    </w:r>
    <w:r w:rsidRPr="009775C7">
      <w:rPr>
        <w:rStyle w:val="PageNumber"/>
        <w:rFonts w:cs="Tahoma"/>
        <w:b/>
        <w:color w:val="FFFFFF" w:themeColor="background1"/>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E6" w:rsidRDefault="005210E6">
      <w:r>
        <w:separator/>
      </w:r>
    </w:p>
  </w:footnote>
  <w:footnote w:type="continuationSeparator" w:id="0">
    <w:p w:rsidR="005210E6" w:rsidRDefault="005210E6">
      <w:r>
        <w:continuationSeparator/>
      </w:r>
    </w:p>
  </w:footnote>
  <w:footnote w:id="1">
    <w:p w:rsidR="005210E6" w:rsidRDefault="005210E6">
      <w:pPr>
        <w:pStyle w:val="FootnoteText"/>
      </w:pPr>
      <w:r>
        <w:rPr>
          <w:rStyle w:val="FootnoteReference"/>
        </w:rPr>
        <w:footnoteRef/>
      </w:r>
      <w:r>
        <w:t xml:space="preserve"> </w:t>
      </w:r>
      <w:r>
        <w:tab/>
      </w:r>
      <w:r w:rsidRPr="00AB0E64">
        <w:t>Under this model</w:t>
      </w:r>
      <w:r>
        <w:t xml:space="preserve">, introduced first at the University of Melbourne in 2008, </w:t>
      </w:r>
      <w:r w:rsidRPr="00AB0E64">
        <w:t>undergraduates choose from one of six degrees designed to lay the intellectual foundations for employment or further study. Most professional</w:t>
      </w:r>
      <w:r>
        <w:t xml:space="preserve"> qualifications are offered at m</w:t>
      </w:r>
      <w:r w:rsidRPr="00AB0E64">
        <w:t>aster</w:t>
      </w:r>
      <w:r>
        <w:t>’</w:t>
      </w:r>
      <w:r w:rsidRPr="00AB0E64">
        <w:t>s level</w:t>
      </w:r>
      <w:r>
        <w:t>,</w:t>
      </w:r>
      <w:r w:rsidRPr="00AB0E64">
        <w:t xml:space="preserve"> catering to increasing demand in many occupations for postgraduate entry qualifications.</w:t>
      </w:r>
    </w:p>
  </w:footnote>
  <w:footnote w:id="2">
    <w:p w:rsidR="005210E6" w:rsidRDefault="005210E6">
      <w:pPr>
        <w:pStyle w:val="FootnoteText"/>
      </w:pPr>
      <w:r>
        <w:rPr>
          <w:rStyle w:val="FootnoteReference"/>
        </w:rPr>
        <w:footnoteRef/>
      </w:r>
      <w:r>
        <w:t xml:space="preserve"> </w:t>
      </w:r>
      <w:r>
        <w:tab/>
        <w:t>See appendix.</w:t>
      </w:r>
    </w:p>
  </w:footnote>
  <w:footnote w:id="3">
    <w:p w:rsidR="005210E6" w:rsidRDefault="005210E6">
      <w:pPr>
        <w:pStyle w:val="FootnoteText"/>
      </w:pPr>
      <w:r>
        <w:rPr>
          <w:rStyle w:val="FootnoteReference"/>
        </w:rPr>
        <w:footnoteRef/>
      </w:r>
      <w:r>
        <w:t xml:space="preserve"> </w:t>
      </w:r>
      <w:r>
        <w:tab/>
        <w:t xml:space="preserve">By the early 1970s teacher education was an important component of the advanced education sector. </w:t>
      </w:r>
    </w:p>
  </w:footnote>
  <w:footnote w:id="4">
    <w:p w:rsidR="005210E6" w:rsidRDefault="005210E6" w:rsidP="00605624">
      <w:pPr>
        <w:pStyle w:val="FootnoteText"/>
      </w:pPr>
      <w:r>
        <w:rPr>
          <w:rStyle w:val="FootnoteReference"/>
        </w:rPr>
        <w:footnoteRef/>
      </w:r>
      <w:r>
        <w:t xml:space="preserve"> </w:t>
      </w:r>
      <w:r>
        <w:tab/>
        <w:t>There are resonances with the ideas about capability and vocational streams expounded in the body of work led by Leesa Wheelahan and John Buchanan ― ‘</w:t>
      </w:r>
      <w:r w:rsidRPr="00445EF3">
        <w:t>Vocations: the link between post-compulsory education and the labour market</w:t>
      </w:r>
      <w:r>
        <w:t>’, published by NCVER 2012 and 2013.</w:t>
      </w:r>
    </w:p>
  </w:footnote>
  <w:footnote w:id="5">
    <w:p w:rsidR="005210E6" w:rsidRDefault="005210E6">
      <w:pPr>
        <w:pStyle w:val="FootnoteText"/>
      </w:pPr>
      <w:r>
        <w:rPr>
          <w:rStyle w:val="FootnoteReference"/>
        </w:rPr>
        <w:footnoteRef/>
      </w:r>
      <w:r>
        <w:t xml:space="preserve"> </w:t>
      </w:r>
      <w:r>
        <w:tab/>
        <w:t xml:space="preserve">Callan and Bowman are examining this competition between </w:t>
      </w:r>
      <w:r w:rsidRPr="00AD2D6D">
        <w:t>vo</w:t>
      </w:r>
      <w:r>
        <w:t>cational education and training</w:t>
      </w:r>
      <w:r w:rsidRPr="00AD2D6D">
        <w:t xml:space="preserve"> and higher education providers delivering diplomas, advanced diplomas, associate degrees and bachelor degrees</w:t>
      </w:r>
      <w:r>
        <w:t xml:space="preserve"> (Callan &amp;</w:t>
      </w:r>
      <w:r w:rsidRPr="00AD2D6D">
        <w:t xml:space="preserve"> Bowman</w:t>
      </w:r>
      <w:r>
        <w:t xml:space="preserve"> 2013).</w:t>
      </w:r>
      <w:r w:rsidRPr="00AD2D6D">
        <w:t xml:space="preserve"> </w:t>
      </w:r>
    </w:p>
  </w:footnote>
  <w:footnote w:id="6">
    <w:p w:rsidR="005210E6" w:rsidRPr="00271F7C" w:rsidRDefault="005210E6">
      <w:pPr>
        <w:pStyle w:val="FootnoteText"/>
        <w:rPr>
          <w:lang w:val="en-US"/>
        </w:rPr>
      </w:pPr>
      <w:r>
        <w:rPr>
          <w:rStyle w:val="FootnoteReference"/>
        </w:rPr>
        <w:footnoteRef/>
      </w:r>
      <w:r>
        <w:t xml:space="preserve"> </w:t>
      </w:r>
      <w:r>
        <w:tab/>
      </w:r>
      <w:r>
        <w:rPr>
          <w:lang w:val="en-US"/>
        </w:rPr>
        <w:t>The Western Australian Government passed legislation in December 1986 conferring that status on WAIT. The Commonwealth Government refused the institution additional revenue.</w:t>
      </w:r>
    </w:p>
  </w:footnote>
  <w:footnote w:id="7">
    <w:p w:rsidR="005210E6" w:rsidRDefault="005210E6" w:rsidP="0087331A">
      <w:pPr>
        <w:pStyle w:val="FootnoteText"/>
      </w:pPr>
      <w:r>
        <w:rPr>
          <w:rStyle w:val="FootnoteReference"/>
        </w:rPr>
        <w:footnoteRef/>
      </w:r>
      <w:r>
        <w:t xml:space="preserve"> </w:t>
      </w:r>
      <w:r>
        <w:tab/>
        <w:t>In 1978, the Commonwealth Tertiary Education Commission was established by the Commonwealth Government to coordinate all forms of postsecondary education.</w:t>
      </w:r>
    </w:p>
  </w:footnote>
  <w:footnote w:id="8">
    <w:p w:rsidR="005210E6" w:rsidRDefault="005210E6">
      <w:pPr>
        <w:pStyle w:val="FootnoteText"/>
      </w:pPr>
      <w:r>
        <w:rPr>
          <w:rStyle w:val="FootnoteReference"/>
        </w:rPr>
        <w:footnoteRef/>
      </w:r>
      <w:r>
        <w:t xml:space="preserve"> </w:t>
      </w:r>
      <w:r>
        <w:tab/>
        <w:t>See terms of reference for the 2013 review of higher education regulation &lt;</w:t>
      </w:r>
      <w:r w:rsidRPr="00DD6469">
        <w:t>http://www.innovation.gov.au/</w:t>
      </w:r>
      <w:r>
        <w:t xml:space="preserve"> </w:t>
      </w:r>
      <w:r w:rsidRPr="00DD6469">
        <w:t>highereducation/Policy/HEAssuringQuality/Pages/Library%20Card/TermsofReference.aspx</w:t>
      </w:r>
      <w:r>
        <w:t>&gt;.</w:t>
      </w:r>
    </w:p>
  </w:footnote>
  <w:footnote w:id="9">
    <w:p w:rsidR="005210E6" w:rsidRDefault="005210E6">
      <w:pPr>
        <w:pStyle w:val="FootnoteText"/>
      </w:pPr>
      <w:r>
        <w:rPr>
          <w:rStyle w:val="FootnoteReference"/>
        </w:rPr>
        <w:footnoteRef/>
      </w:r>
      <w:r>
        <w:t xml:space="preserve"> </w:t>
      </w:r>
      <w:r>
        <w:tab/>
      </w:r>
      <w:r>
        <w:rPr>
          <w:szCs w:val="16"/>
        </w:rPr>
        <w:t>From</w:t>
      </w:r>
      <w:r w:rsidRPr="003C0CB4">
        <w:rPr>
          <w:szCs w:val="16"/>
        </w:rPr>
        <w:t xml:space="preserve"> the amalgamation of Australian Universities Commission and </w:t>
      </w:r>
      <w:r>
        <w:rPr>
          <w:szCs w:val="16"/>
        </w:rPr>
        <w:t xml:space="preserve">Commonwealth Advisory Committee on Advanced Education </w:t>
      </w:r>
      <w:r w:rsidRPr="003C0CB4">
        <w:rPr>
          <w:szCs w:val="16"/>
        </w:rPr>
        <w:t>in 1977</w:t>
      </w:r>
      <w:r>
        <w:rPr>
          <w:szCs w:val="16"/>
        </w:rPr>
        <w:t>.</w:t>
      </w:r>
    </w:p>
  </w:footnote>
  <w:footnote w:id="10">
    <w:p w:rsidR="005210E6" w:rsidRDefault="005210E6" w:rsidP="008451E6">
      <w:pPr>
        <w:pStyle w:val="FootnoteText"/>
      </w:pPr>
      <w:r>
        <w:rPr>
          <w:rStyle w:val="FootnoteReference"/>
        </w:rPr>
        <w:footnoteRef/>
      </w:r>
      <w:r>
        <w:tab/>
      </w:r>
      <w:r w:rsidRPr="00A6129D">
        <w:rPr>
          <w:szCs w:val="16"/>
        </w:rPr>
        <w:t xml:space="preserve">See </w:t>
      </w:r>
      <w:r w:rsidRPr="006C5195">
        <w:t xml:space="preserve">Williams, </w:t>
      </w:r>
      <w:r>
        <w:t>Goulding</w:t>
      </w:r>
      <w:r w:rsidRPr="006C5195">
        <w:t xml:space="preserve"> &amp; Seddo</w:t>
      </w:r>
      <w:r>
        <w:t>n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B6F0B62E"/>
    <w:lvl w:ilvl="0" w:tplc="98A0994A">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4C7319E"/>
    <w:multiLevelType w:val="hybridMultilevel"/>
    <w:tmpl w:val="90BE7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66155B5"/>
    <w:multiLevelType w:val="hybridMultilevel"/>
    <w:tmpl w:val="9D68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C11C2C"/>
    <w:multiLevelType w:val="hybridMultilevel"/>
    <w:tmpl w:val="88268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D9F5C91"/>
    <w:multiLevelType w:val="hybridMultilevel"/>
    <w:tmpl w:val="FD960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E6568BB"/>
    <w:multiLevelType w:val="hybridMultilevel"/>
    <w:tmpl w:val="E27C6F86"/>
    <w:lvl w:ilvl="0" w:tplc="C1E4D216">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83967F3"/>
    <w:multiLevelType w:val="multilevel"/>
    <w:tmpl w:val="36A6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0"/>
  </w:num>
  <w:num w:numId="4">
    <w:abstractNumId w:val="21"/>
  </w:num>
  <w:num w:numId="5">
    <w:abstractNumId w:val="12"/>
  </w:num>
  <w:num w:numId="6">
    <w:abstractNumId w:val="25"/>
  </w:num>
  <w:num w:numId="7">
    <w:abstractNumId w:val="28"/>
  </w:num>
  <w:num w:numId="8">
    <w:abstractNumId w:val="26"/>
  </w:num>
  <w:num w:numId="9">
    <w:abstractNumId w:val="31"/>
  </w:num>
  <w:num w:numId="10">
    <w:abstractNumId w:val="22"/>
  </w:num>
  <w:num w:numId="11">
    <w:abstractNumId w:val="19"/>
  </w:num>
  <w:num w:numId="12">
    <w:abstractNumId w:val="23"/>
  </w:num>
  <w:num w:numId="13">
    <w:abstractNumId w:val="24"/>
  </w:num>
  <w:num w:numId="14">
    <w:abstractNumId w:val="15"/>
  </w:num>
  <w:num w:numId="15">
    <w:abstractNumId w:val="20"/>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32"/>
  </w:num>
  <w:num w:numId="27">
    <w:abstractNumId w:val="30"/>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9"/>
  </w:num>
  <w:num w:numId="35">
    <w:abstractNumId w:val="17"/>
  </w:num>
  <w:num w:numId="36">
    <w:abstractNumId w:val="33"/>
  </w:num>
  <w:num w:numId="37">
    <w:abstractNumId w:val="18"/>
  </w:num>
  <w:num w:numId="38">
    <w:abstractNumId w:val="2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0A"/>
    <w:rsid w:val="000032BD"/>
    <w:rsid w:val="00005A2D"/>
    <w:rsid w:val="000108B2"/>
    <w:rsid w:val="00012B64"/>
    <w:rsid w:val="00013265"/>
    <w:rsid w:val="00013AF5"/>
    <w:rsid w:val="00015F17"/>
    <w:rsid w:val="00017126"/>
    <w:rsid w:val="00022290"/>
    <w:rsid w:val="0002259F"/>
    <w:rsid w:val="00024F4B"/>
    <w:rsid w:val="000273E9"/>
    <w:rsid w:val="00027888"/>
    <w:rsid w:val="000315D7"/>
    <w:rsid w:val="00033218"/>
    <w:rsid w:val="00033CCA"/>
    <w:rsid w:val="000379FF"/>
    <w:rsid w:val="00041210"/>
    <w:rsid w:val="00041295"/>
    <w:rsid w:val="00041BD7"/>
    <w:rsid w:val="00042BA2"/>
    <w:rsid w:val="00043298"/>
    <w:rsid w:val="00044DFA"/>
    <w:rsid w:val="000465B1"/>
    <w:rsid w:val="00051FA6"/>
    <w:rsid w:val="00055F6A"/>
    <w:rsid w:val="0006031C"/>
    <w:rsid w:val="0006125F"/>
    <w:rsid w:val="00063D43"/>
    <w:rsid w:val="00065CA4"/>
    <w:rsid w:val="00066E89"/>
    <w:rsid w:val="0007084B"/>
    <w:rsid w:val="0007137F"/>
    <w:rsid w:val="00072C72"/>
    <w:rsid w:val="00072E4D"/>
    <w:rsid w:val="0007301F"/>
    <w:rsid w:val="00073D0A"/>
    <w:rsid w:val="00073E8F"/>
    <w:rsid w:val="00074BD4"/>
    <w:rsid w:val="00081C96"/>
    <w:rsid w:val="00083479"/>
    <w:rsid w:val="00086668"/>
    <w:rsid w:val="000923D6"/>
    <w:rsid w:val="00094818"/>
    <w:rsid w:val="00094F63"/>
    <w:rsid w:val="00095B73"/>
    <w:rsid w:val="000A0745"/>
    <w:rsid w:val="000A1D99"/>
    <w:rsid w:val="000A37D1"/>
    <w:rsid w:val="000A5F80"/>
    <w:rsid w:val="000B0E64"/>
    <w:rsid w:val="000B29CB"/>
    <w:rsid w:val="000B43E9"/>
    <w:rsid w:val="000C221B"/>
    <w:rsid w:val="000C5D56"/>
    <w:rsid w:val="000C6427"/>
    <w:rsid w:val="000C7962"/>
    <w:rsid w:val="000D1087"/>
    <w:rsid w:val="000D6B0B"/>
    <w:rsid w:val="000D777E"/>
    <w:rsid w:val="000E181C"/>
    <w:rsid w:val="000E5758"/>
    <w:rsid w:val="000E5AB6"/>
    <w:rsid w:val="000E7F4C"/>
    <w:rsid w:val="000F0DC4"/>
    <w:rsid w:val="000F18C1"/>
    <w:rsid w:val="000F1A0E"/>
    <w:rsid w:val="000F2B3B"/>
    <w:rsid w:val="000F5602"/>
    <w:rsid w:val="000F641C"/>
    <w:rsid w:val="001015D8"/>
    <w:rsid w:val="00106FCE"/>
    <w:rsid w:val="0010761A"/>
    <w:rsid w:val="00113901"/>
    <w:rsid w:val="00120B70"/>
    <w:rsid w:val="001218E7"/>
    <w:rsid w:val="00122836"/>
    <w:rsid w:val="001233AF"/>
    <w:rsid w:val="00123B5C"/>
    <w:rsid w:val="00124BEB"/>
    <w:rsid w:val="001257CA"/>
    <w:rsid w:val="001301DB"/>
    <w:rsid w:val="00130A25"/>
    <w:rsid w:val="001325AF"/>
    <w:rsid w:val="00132888"/>
    <w:rsid w:val="00132F64"/>
    <w:rsid w:val="001336DD"/>
    <w:rsid w:val="00135C75"/>
    <w:rsid w:val="0013799A"/>
    <w:rsid w:val="00143017"/>
    <w:rsid w:val="00143C78"/>
    <w:rsid w:val="00147906"/>
    <w:rsid w:val="00150874"/>
    <w:rsid w:val="001509F3"/>
    <w:rsid w:val="00153502"/>
    <w:rsid w:val="00155839"/>
    <w:rsid w:val="00156834"/>
    <w:rsid w:val="00156D32"/>
    <w:rsid w:val="00157613"/>
    <w:rsid w:val="00157690"/>
    <w:rsid w:val="0016133C"/>
    <w:rsid w:val="00164F64"/>
    <w:rsid w:val="00166EF6"/>
    <w:rsid w:val="0017018D"/>
    <w:rsid w:val="00170452"/>
    <w:rsid w:val="00174721"/>
    <w:rsid w:val="00174F06"/>
    <w:rsid w:val="001761CF"/>
    <w:rsid w:val="00177827"/>
    <w:rsid w:val="00177F43"/>
    <w:rsid w:val="00181D6A"/>
    <w:rsid w:val="00184504"/>
    <w:rsid w:val="00186536"/>
    <w:rsid w:val="00190587"/>
    <w:rsid w:val="00193B81"/>
    <w:rsid w:val="00195DE2"/>
    <w:rsid w:val="00196A58"/>
    <w:rsid w:val="001A327F"/>
    <w:rsid w:val="001A555D"/>
    <w:rsid w:val="001A5801"/>
    <w:rsid w:val="001B0CFD"/>
    <w:rsid w:val="001B17BB"/>
    <w:rsid w:val="001B2A8A"/>
    <w:rsid w:val="001B2C18"/>
    <w:rsid w:val="001B43CF"/>
    <w:rsid w:val="001C2CB5"/>
    <w:rsid w:val="001C5A94"/>
    <w:rsid w:val="001C63A0"/>
    <w:rsid w:val="001C727A"/>
    <w:rsid w:val="001D420F"/>
    <w:rsid w:val="001D4776"/>
    <w:rsid w:val="001D4D66"/>
    <w:rsid w:val="001D59F1"/>
    <w:rsid w:val="001F0442"/>
    <w:rsid w:val="001F341F"/>
    <w:rsid w:val="001F38BF"/>
    <w:rsid w:val="001F3EA7"/>
    <w:rsid w:val="001F7D84"/>
    <w:rsid w:val="002007E9"/>
    <w:rsid w:val="002019F1"/>
    <w:rsid w:val="00204F8D"/>
    <w:rsid w:val="002057DF"/>
    <w:rsid w:val="002066E3"/>
    <w:rsid w:val="00206AE0"/>
    <w:rsid w:val="00207FA8"/>
    <w:rsid w:val="00210447"/>
    <w:rsid w:val="00214AA8"/>
    <w:rsid w:val="0022013D"/>
    <w:rsid w:val="0022075C"/>
    <w:rsid w:val="002245F6"/>
    <w:rsid w:val="002276D1"/>
    <w:rsid w:val="002277A9"/>
    <w:rsid w:val="00230E21"/>
    <w:rsid w:val="00233BFA"/>
    <w:rsid w:val="0023575E"/>
    <w:rsid w:val="00247B95"/>
    <w:rsid w:val="00250005"/>
    <w:rsid w:val="00251B85"/>
    <w:rsid w:val="00251F8D"/>
    <w:rsid w:val="00257269"/>
    <w:rsid w:val="002574C3"/>
    <w:rsid w:val="00257976"/>
    <w:rsid w:val="00260D9F"/>
    <w:rsid w:val="00261E4C"/>
    <w:rsid w:val="00262F6A"/>
    <w:rsid w:val="00266AFA"/>
    <w:rsid w:val="0026728B"/>
    <w:rsid w:val="0027131F"/>
    <w:rsid w:val="002716F5"/>
    <w:rsid w:val="00271978"/>
    <w:rsid w:val="00271F7C"/>
    <w:rsid w:val="00275206"/>
    <w:rsid w:val="00275BB8"/>
    <w:rsid w:val="0027635E"/>
    <w:rsid w:val="00277C65"/>
    <w:rsid w:val="002829E4"/>
    <w:rsid w:val="00284FCB"/>
    <w:rsid w:val="00286E69"/>
    <w:rsid w:val="002873F8"/>
    <w:rsid w:val="0029734C"/>
    <w:rsid w:val="00297AFF"/>
    <w:rsid w:val="002A5B00"/>
    <w:rsid w:val="002B1E08"/>
    <w:rsid w:val="002B6908"/>
    <w:rsid w:val="002D1260"/>
    <w:rsid w:val="002D6DA5"/>
    <w:rsid w:val="002E100F"/>
    <w:rsid w:val="002E120A"/>
    <w:rsid w:val="002E196B"/>
    <w:rsid w:val="002E31DB"/>
    <w:rsid w:val="002E3404"/>
    <w:rsid w:val="002E73E4"/>
    <w:rsid w:val="002E7707"/>
    <w:rsid w:val="002F17AE"/>
    <w:rsid w:val="00302038"/>
    <w:rsid w:val="003030ED"/>
    <w:rsid w:val="0030366C"/>
    <w:rsid w:val="00304822"/>
    <w:rsid w:val="00311014"/>
    <w:rsid w:val="00312481"/>
    <w:rsid w:val="0031252C"/>
    <w:rsid w:val="0031411E"/>
    <w:rsid w:val="00315314"/>
    <w:rsid w:val="003155C2"/>
    <w:rsid w:val="003165B4"/>
    <w:rsid w:val="0031787F"/>
    <w:rsid w:val="00317B6D"/>
    <w:rsid w:val="003215A3"/>
    <w:rsid w:val="00321CA3"/>
    <w:rsid w:val="00321F22"/>
    <w:rsid w:val="0032245E"/>
    <w:rsid w:val="003226A1"/>
    <w:rsid w:val="0032335F"/>
    <w:rsid w:val="00324609"/>
    <w:rsid w:val="00330123"/>
    <w:rsid w:val="00333A46"/>
    <w:rsid w:val="00333CDD"/>
    <w:rsid w:val="0033414D"/>
    <w:rsid w:val="00334CE3"/>
    <w:rsid w:val="00340B4D"/>
    <w:rsid w:val="00341603"/>
    <w:rsid w:val="00341D27"/>
    <w:rsid w:val="00342A9F"/>
    <w:rsid w:val="00343062"/>
    <w:rsid w:val="00344D6E"/>
    <w:rsid w:val="0034570D"/>
    <w:rsid w:val="00345FEC"/>
    <w:rsid w:val="00351AD3"/>
    <w:rsid w:val="00352548"/>
    <w:rsid w:val="00352721"/>
    <w:rsid w:val="00374A3C"/>
    <w:rsid w:val="00374B51"/>
    <w:rsid w:val="00374DCE"/>
    <w:rsid w:val="0037517C"/>
    <w:rsid w:val="00376074"/>
    <w:rsid w:val="00376E81"/>
    <w:rsid w:val="0038013F"/>
    <w:rsid w:val="00383135"/>
    <w:rsid w:val="003837EF"/>
    <w:rsid w:val="00383FBE"/>
    <w:rsid w:val="00385B2E"/>
    <w:rsid w:val="00386AAB"/>
    <w:rsid w:val="003925BA"/>
    <w:rsid w:val="00392E04"/>
    <w:rsid w:val="00395FCB"/>
    <w:rsid w:val="003978E4"/>
    <w:rsid w:val="0039795E"/>
    <w:rsid w:val="00397C94"/>
    <w:rsid w:val="003A0A6B"/>
    <w:rsid w:val="003A171E"/>
    <w:rsid w:val="003A208E"/>
    <w:rsid w:val="003A2951"/>
    <w:rsid w:val="003A3033"/>
    <w:rsid w:val="003A32AF"/>
    <w:rsid w:val="003A41D9"/>
    <w:rsid w:val="003A56FC"/>
    <w:rsid w:val="003A740B"/>
    <w:rsid w:val="003B0B7C"/>
    <w:rsid w:val="003B16DA"/>
    <w:rsid w:val="003B483E"/>
    <w:rsid w:val="003B63DF"/>
    <w:rsid w:val="003B74DE"/>
    <w:rsid w:val="003C0CB4"/>
    <w:rsid w:val="003C3CF0"/>
    <w:rsid w:val="003C49EF"/>
    <w:rsid w:val="003C4FB4"/>
    <w:rsid w:val="003C7624"/>
    <w:rsid w:val="003C785E"/>
    <w:rsid w:val="003D22AB"/>
    <w:rsid w:val="003D5EB0"/>
    <w:rsid w:val="003D6251"/>
    <w:rsid w:val="003D6996"/>
    <w:rsid w:val="003E1640"/>
    <w:rsid w:val="003E3FDD"/>
    <w:rsid w:val="003E56B3"/>
    <w:rsid w:val="003E67CB"/>
    <w:rsid w:val="003E6F93"/>
    <w:rsid w:val="003E7065"/>
    <w:rsid w:val="003E79CE"/>
    <w:rsid w:val="003E7A5D"/>
    <w:rsid w:val="003F084D"/>
    <w:rsid w:val="003F0A15"/>
    <w:rsid w:val="003F235F"/>
    <w:rsid w:val="003F2755"/>
    <w:rsid w:val="003F3920"/>
    <w:rsid w:val="004030E4"/>
    <w:rsid w:val="00403963"/>
    <w:rsid w:val="00404960"/>
    <w:rsid w:val="0040647C"/>
    <w:rsid w:val="00406F90"/>
    <w:rsid w:val="00410190"/>
    <w:rsid w:val="00411AB2"/>
    <w:rsid w:val="0041307D"/>
    <w:rsid w:val="004202CD"/>
    <w:rsid w:val="0042197C"/>
    <w:rsid w:val="004226BF"/>
    <w:rsid w:val="0042322E"/>
    <w:rsid w:val="0042387C"/>
    <w:rsid w:val="00424897"/>
    <w:rsid w:val="00427B68"/>
    <w:rsid w:val="00430FD7"/>
    <w:rsid w:val="00433C9E"/>
    <w:rsid w:val="00437298"/>
    <w:rsid w:val="0044492B"/>
    <w:rsid w:val="0044531E"/>
    <w:rsid w:val="00445EF3"/>
    <w:rsid w:val="00446503"/>
    <w:rsid w:val="00450115"/>
    <w:rsid w:val="004509E1"/>
    <w:rsid w:val="00451F2F"/>
    <w:rsid w:val="00457CE6"/>
    <w:rsid w:val="004619A2"/>
    <w:rsid w:val="00462F88"/>
    <w:rsid w:val="00477346"/>
    <w:rsid w:val="004808D4"/>
    <w:rsid w:val="00481643"/>
    <w:rsid w:val="00482E9E"/>
    <w:rsid w:val="00482F58"/>
    <w:rsid w:val="0048643A"/>
    <w:rsid w:val="0048663C"/>
    <w:rsid w:val="004873BF"/>
    <w:rsid w:val="0049453B"/>
    <w:rsid w:val="00494E7C"/>
    <w:rsid w:val="0049505D"/>
    <w:rsid w:val="00496086"/>
    <w:rsid w:val="004972A3"/>
    <w:rsid w:val="004A1109"/>
    <w:rsid w:val="004A4FE5"/>
    <w:rsid w:val="004A7BAB"/>
    <w:rsid w:val="004B2009"/>
    <w:rsid w:val="004B323E"/>
    <w:rsid w:val="004B3343"/>
    <w:rsid w:val="004B4965"/>
    <w:rsid w:val="004B7680"/>
    <w:rsid w:val="004C4063"/>
    <w:rsid w:val="004D45B9"/>
    <w:rsid w:val="004D4802"/>
    <w:rsid w:val="004D6321"/>
    <w:rsid w:val="004E1021"/>
    <w:rsid w:val="004E300B"/>
    <w:rsid w:val="004E43FB"/>
    <w:rsid w:val="004E7227"/>
    <w:rsid w:val="004F3C72"/>
    <w:rsid w:val="004F48E2"/>
    <w:rsid w:val="004F6DEE"/>
    <w:rsid w:val="00500FC0"/>
    <w:rsid w:val="005035A0"/>
    <w:rsid w:val="005039CA"/>
    <w:rsid w:val="005107B1"/>
    <w:rsid w:val="0051492D"/>
    <w:rsid w:val="00515188"/>
    <w:rsid w:val="0051546E"/>
    <w:rsid w:val="00515B75"/>
    <w:rsid w:val="00520315"/>
    <w:rsid w:val="005210E6"/>
    <w:rsid w:val="00521456"/>
    <w:rsid w:val="0052276C"/>
    <w:rsid w:val="00523FC2"/>
    <w:rsid w:val="00524063"/>
    <w:rsid w:val="00524F8E"/>
    <w:rsid w:val="0053368A"/>
    <w:rsid w:val="00534CD5"/>
    <w:rsid w:val="005361F3"/>
    <w:rsid w:val="00541B94"/>
    <w:rsid w:val="00543D45"/>
    <w:rsid w:val="00545711"/>
    <w:rsid w:val="00545799"/>
    <w:rsid w:val="0054625F"/>
    <w:rsid w:val="0054737C"/>
    <w:rsid w:val="005478AF"/>
    <w:rsid w:val="0055071C"/>
    <w:rsid w:val="0055611E"/>
    <w:rsid w:val="00557D98"/>
    <w:rsid w:val="005613B8"/>
    <w:rsid w:val="005620C6"/>
    <w:rsid w:val="00563E6E"/>
    <w:rsid w:val="00570758"/>
    <w:rsid w:val="005734ED"/>
    <w:rsid w:val="0057524F"/>
    <w:rsid w:val="00576342"/>
    <w:rsid w:val="00577091"/>
    <w:rsid w:val="005779A5"/>
    <w:rsid w:val="00585180"/>
    <w:rsid w:val="00593AC6"/>
    <w:rsid w:val="00595A63"/>
    <w:rsid w:val="00595E5D"/>
    <w:rsid w:val="005A1EE0"/>
    <w:rsid w:val="005A3FAE"/>
    <w:rsid w:val="005A537F"/>
    <w:rsid w:val="005A565B"/>
    <w:rsid w:val="005B0EA3"/>
    <w:rsid w:val="005B54D9"/>
    <w:rsid w:val="005B5730"/>
    <w:rsid w:val="005B5A9F"/>
    <w:rsid w:val="005C277E"/>
    <w:rsid w:val="005C3A43"/>
    <w:rsid w:val="005C61F8"/>
    <w:rsid w:val="005D3F4D"/>
    <w:rsid w:val="005D55C4"/>
    <w:rsid w:val="005D5E7D"/>
    <w:rsid w:val="005D7190"/>
    <w:rsid w:val="005D775E"/>
    <w:rsid w:val="005E12AD"/>
    <w:rsid w:val="005E261D"/>
    <w:rsid w:val="005E4764"/>
    <w:rsid w:val="005E50BF"/>
    <w:rsid w:val="005E5478"/>
    <w:rsid w:val="005E58EB"/>
    <w:rsid w:val="005F0DCE"/>
    <w:rsid w:val="005F16CF"/>
    <w:rsid w:val="005F278C"/>
    <w:rsid w:val="005F5208"/>
    <w:rsid w:val="005F76BD"/>
    <w:rsid w:val="006014C8"/>
    <w:rsid w:val="006027F6"/>
    <w:rsid w:val="00605624"/>
    <w:rsid w:val="00605ECA"/>
    <w:rsid w:val="006072F1"/>
    <w:rsid w:val="006114E9"/>
    <w:rsid w:val="00611EA2"/>
    <w:rsid w:val="006143D0"/>
    <w:rsid w:val="00614AB7"/>
    <w:rsid w:val="00615993"/>
    <w:rsid w:val="00616CAC"/>
    <w:rsid w:val="00620EE0"/>
    <w:rsid w:val="00621564"/>
    <w:rsid w:val="00622CB1"/>
    <w:rsid w:val="00623339"/>
    <w:rsid w:val="00625CC5"/>
    <w:rsid w:val="00626270"/>
    <w:rsid w:val="006341C0"/>
    <w:rsid w:val="006364CC"/>
    <w:rsid w:val="006442D7"/>
    <w:rsid w:val="0064488E"/>
    <w:rsid w:val="00645287"/>
    <w:rsid w:val="0064639B"/>
    <w:rsid w:val="00650272"/>
    <w:rsid w:val="00650A37"/>
    <w:rsid w:val="006510DC"/>
    <w:rsid w:val="00651793"/>
    <w:rsid w:val="00651C1C"/>
    <w:rsid w:val="00651D01"/>
    <w:rsid w:val="00652973"/>
    <w:rsid w:val="006564B2"/>
    <w:rsid w:val="00656679"/>
    <w:rsid w:val="00657627"/>
    <w:rsid w:val="006609EF"/>
    <w:rsid w:val="00661B86"/>
    <w:rsid w:val="006625F8"/>
    <w:rsid w:val="00665260"/>
    <w:rsid w:val="00665E8D"/>
    <w:rsid w:val="0067712D"/>
    <w:rsid w:val="00680710"/>
    <w:rsid w:val="00682A97"/>
    <w:rsid w:val="0068774C"/>
    <w:rsid w:val="0069310A"/>
    <w:rsid w:val="00693348"/>
    <w:rsid w:val="00694516"/>
    <w:rsid w:val="00696A48"/>
    <w:rsid w:val="006A1590"/>
    <w:rsid w:val="006A1CE4"/>
    <w:rsid w:val="006A29CC"/>
    <w:rsid w:val="006A4EBA"/>
    <w:rsid w:val="006A5CE3"/>
    <w:rsid w:val="006B2D48"/>
    <w:rsid w:val="006B3261"/>
    <w:rsid w:val="006B4289"/>
    <w:rsid w:val="006B4D76"/>
    <w:rsid w:val="006B51B1"/>
    <w:rsid w:val="006B68DD"/>
    <w:rsid w:val="006C4521"/>
    <w:rsid w:val="006C5195"/>
    <w:rsid w:val="006C5DA9"/>
    <w:rsid w:val="006C6827"/>
    <w:rsid w:val="006D15F1"/>
    <w:rsid w:val="006D33B9"/>
    <w:rsid w:val="006D3A86"/>
    <w:rsid w:val="006D3DDC"/>
    <w:rsid w:val="006D643F"/>
    <w:rsid w:val="006D6C57"/>
    <w:rsid w:val="006E0440"/>
    <w:rsid w:val="006E08A2"/>
    <w:rsid w:val="006E2C72"/>
    <w:rsid w:val="006E5820"/>
    <w:rsid w:val="006F05E8"/>
    <w:rsid w:val="006F3BAD"/>
    <w:rsid w:val="006F504A"/>
    <w:rsid w:val="006F6F83"/>
    <w:rsid w:val="007037A4"/>
    <w:rsid w:val="00705420"/>
    <w:rsid w:val="00705CA8"/>
    <w:rsid w:val="007071A0"/>
    <w:rsid w:val="00715370"/>
    <w:rsid w:val="007207E1"/>
    <w:rsid w:val="00721A59"/>
    <w:rsid w:val="00725BCC"/>
    <w:rsid w:val="0072747F"/>
    <w:rsid w:val="00731EC8"/>
    <w:rsid w:val="00742A00"/>
    <w:rsid w:val="00744D15"/>
    <w:rsid w:val="007453BB"/>
    <w:rsid w:val="00745F48"/>
    <w:rsid w:val="00747862"/>
    <w:rsid w:val="00747B02"/>
    <w:rsid w:val="00750A19"/>
    <w:rsid w:val="00752613"/>
    <w:rsid w:val="00753485"/>
    <w:rsid w:val="00753D56"/>
    <w:rsid w:val="007560F1"/>
    <w:rsid w:val="007609A9"/>
    <w:rsid w:val="00760B58"/>
    <w:rsid w:val="00760B59"/>
    <w:rsid w:val="007618ED"/>
    <w:rsid w:val="00765C36"/>
    <w:rsid w:val="00772C2F"/>
    <w:rsid w:val="00782478"/>
    <w:rsid w:val="00783F44"/>
    <w:rsid w:val="00784F4E"/>
    <w:rsid w:val="00786985"/>
    <w:rsid w:val="00787494"/>
    <w:rsid w:val="00794234"/>
    <w:rsid w:val="0079443F"/>
    <w:rsid w:val="007946BB"/>
    <w:rsid w:val="007A2079"/>
    <w:rsid w:val="007A3B3B"/>
    <w:rsid w:val="007B00BC"/>
    <w:rsid w:val="007B0B02"/>
    <w:rsid w:val="007B0E44"/>
    <w:rsid w:val="007B100A"/>
    <w:rsid w:val="007B18A4"/>
    <w:rsid w:val="007B59C5"/>
    <w:rsid w:val="007B6687"/>
    <w:rsid w:val="007B6C4A"/>
    <w:rsid w:val="007C3281"/>
    <w:rsid w:val="007C42C4"/>
    <w:rsid w:val="007C50A7"/>
    <w:rsid w:val="007C75D3"/>
    <w:rsid w:val="007C7C32"/>
    <w:rsid w:val="007D1F20"/>
    <w:rsid w:val="007D33C4"/>
    <w:rsid w:val="007D36B5"/>
    <w:rsid w:val="007D7C4D"/>
    <w:rsid w:val="007E1F36"/>
    <w:rsid w:val="007E1F75"/>
    <w:rsid w:val="007E2D8C"/>
    <w:rsid w:val="007E7AB6"/>
    <w:rsid w:val="007F20F1"/>
    <w:rsid w:val="007F3936"/>
    <w:rsid w:val="007F5D19"/>
    <w:rsid w:val="007F62E8"/>
    <w:rsid w:val="00800A2B"/>
    <w:rsid w:val="00800E62"/>
    <w:rsid w:val="00802C47"/>
    <w:rsid w:val="0080440B"/>
    <w:rsid w:val="00804425"/>
    <w:rsid w:val="008056ED"/>
    <w:rsid w:val="00806C1C"/>
    <w:rsid w:val="00810AB3"/>
    <w:rsid w:val="00810DE0"/>
    <w:rsid w:val="00810EC0"/>
    <w:rsid w:val="00813882"/>
    <w:rsid w:val="00815BDE"/>
    <w:rsid w:val="00821F5F"/>
    <w:rsid w:val="00822F47"/>
    <w:rsid w:val="00822F8D"/>
    <w:rsid w:val="00826757"/>
    <w:rsid w:val="00827C8B"/>
    <w:rsid w:val="008313BC"/>
    <w:rsid w:val="008315D5"/>
    <w:rsid w:val="00833E71"/>
    <w:rsid w:val="00842044"/>
    <w:rsid w:val="008451E6"/>
    <w:rsid w:val="00845E27"/>
    <w:rsid w:val="00845EC3"/>
    <w:rsid w:val="0084604B"/>
    <w:rsid w:val="00846E16"/>
    <w:rsid w:val="00852661"/>
    <w:rsid w:val="0085297E"/>
    <w:rsid w:val="00852F44"/>
    <w:rsid w:val="008543BE"/>
    <w:rsid w:val="00854DE8"/>
    <w:rsid w:val="00863AFA"/>
    <w:rsid w:val="00863DF6"/>
    <w:rsid w:val="0087331A"/>
    <w:rsid w:val="008734E7"/>
    <w:rsid w:val="008746A8"/>
    <w:rsid w:val="00874DA5"/>
    <w:rsid w:val="00881062"/>
    <w:rsid w:val="008817EB"/>
    <w:rsid w:val="008841A3"/>
    <w:rsid w:val="00886A19"/>
    <w:rsid w:val="008923B6"/>
    <w:rsid w:val="00892A24"/>
    <w:rsid w:val="00893267"/>
    <w:rsid w:val="00894271"/>
    <w:rsid w:val="00894A3E"/>
    <w:rsid w:val="00894E63"/>
    <w:rsid w:val="0089579A"/>
    <w:rsid w:val="00897F97"/>
    <w:rsid w:val="008A03D5"/>
    <w:rsid w:val="008A4276"/>
    <w:rsid w:val="008A4A29"/>
    <w:rsid w:val="008B0D2A"/>
    <w:rsid w:val="008B22E2"/>
    <w:rsid w:val="008B4B8A"/>
    <w:rsid w:val="008B5646"/>
    <w:rsid w:val="008C02D4"/>
    <w:rsid w:val="008C0A74"/>
    <w:rsid w:val="008C2283"/>
    <w:rsid w:val="008C259E"/>
    <w:rsid w:val="008C65BF"/>
    <w:rsid w:val="008D0E35"/>
    <w:rsid w:val="008D1C53"/>
    <w:rsid w:val="008D45EA"/>
    <w:rsid w:val="008D5A7E"/>
    <w:rsid w:val="008D5E46"/>
    <w:rsid w:val="008D6912"/>
    <w:rsid w:val="008D6D08"/>
    <w:rsid w:val="008E03D9"/>
    <w:rsid w:val="008E1AD1"/>
    <w:rsid w:val="008E1BA4"/>
    <w:rsid w:val="008E20B3"/>
    <w:rsid w:val="008E50F9"/>
    <w:rsid w:val="008E7F71"/>
    <w:rsid w:val="008F0E4E"/>
    <w:rsid w:val="008F20BA"/>
    <w:rsid w:val="008F2245"/>
    <w:rsid w:val="008F407F"/>
    <w:rsid w:val="008F4EF3"/>
    <w:rsid w:val="008F6A49"/>
    <w:rsid w:val="009058B5"/>
    <w:rsid w:val="00906E13"/>
    <w:rsid w:val="00914D13"/>
    <w:rsid w:val="00915C12"/>
    <w:rsid w:val="00916A3E"/>
    <w:rsid w:val="00916B0C"/>
    <w:rsid w:val="00916C92"/>
    <w:rsid w:val="0092093A"/>
    <w:rsid w:val="00921939"/>
    <w:rsid w:val="009232A8"/>
    <w:rsid w:val="0092448D"/>
    <w:rsid w:val="00924CF8"/>
    <w:rsid w:val="009270AD"/>
    <w:rsid w:val="00930141"/>
    <w:rsid w:val="00933317"/>
    <w:rsid w:val="00934B94"/>
    <w:rsid w:val="00941446"/>
    <w:rsid w:val="00945473"/>
    <w:rsid w:val="009457D9"/>
    <w:rsid w:val="009461ED"/>
    <w:rsid w:val="009538E6"/>
    <w:rsid w:val="00956ACB"/>
    <w:rsid w:val="0096006C"/>
    <w:rsid w:val="00960756"/>
    <w:rsid w:val="00961985"/>
    <w:rsid w:val="00962A18"/>
    <w:rsid w:val="00964D9A"/>
    <w:rsid w:val="009652B4"/>
    <w:rsid w:val="00967AF1"/>
    <w:rsid w:val="009704E4"/>
    <w:rsid w:val="009735F3"/>
    <w:rsid w:val="00976937"/>
    <w:rsid w:val="009775C7"/>
    <w:rsid w:val="009823D6"/>
    <w:rsid w:val="00990A07"/>
    <w:rsid w:val="00995A13"/>
    <w:rsid w:val="009A614B"/>
    <w:rsid w:val="009A7261"/>
    <w:rsid w:val="009B0CEC"/>
    <w:rsid w:val="009B0EAE"/>
    <w:rsid w:val="009B1FE5"/>
    <w:rsid w:val="009B576C"/>
    <w:rsid w:val="009B6282"/>
    <w:rsid w:val="009B6739"/>
    <w:rsid w:val="009B6FA8"/>
    <w:rsid w:val="009C02A6"/>
    <w:rsid w:val="009C22BE"/>
    <w:rsid w:val="009C669D"/>
    <w:rsid w:val="009C6FA5"/>
    <w:rsid w:val="009D192A"/>
    <w:rsid w:val="009D489A"/>
    <w:rsid w:val="009D6B96"/>
    <w:rsid w:val="009E145D"/>
    <w:rsid w:val="009E231A"/>
    <w:rsid w:val="009E2A4E"/>
    <w:rsid w:val="009E2F64"/>
    <w:rsid w:val="009E6466"/>
    <w:rsid w:val="009E762F"/>
    <w:rsid w:val="009F482F"/>
    <w:rsid w:val="009F551C"/>
    <w:rsid w:val="009F76EF"/>
    <w:rsid w:val="00A03060"/>
    <w:rsid w:val="00A033A2"/>
    <w:rsid w:val="00A04EF7"/>
    <w:rsid w:val="00A06CAA"/>
    <w:rsid w:val="00A07E16"/>
    <w:rsid w:val="00A10A6B"/>
    <w:rsid w:val="00A10E2B"/>
    <w:rsid w:val="00A117AC"/>
    <w:rsid w:val="00A132A5"/>
    <w:rsid w:val="00A13A2B"/>
    <w:rsid w:val="00A13E4E"/>
    <w:rsid w:val="00A13E6E"/>
    <w:rsid w:val="00A14053"/>
    <w:rsid w:val="00A16758"/>
    <w:rsid w:val="00A17AC2"/>
    <w:rsid w:val="00A231D7"/>
    <w:rsid w:val="00A23345"/>
    <w:rsid w:val="00A30084"/>
    <w:rsid w:val="00A34A04"/>
    <w:rsid w:val="00A3665D"/>
    <w:rsid w:val="00A36DB7"/>
    <w:rsid w:val="00A37158"/>
    <w:rsid w:val="00A406CC"/>
    <w:rsid w:val="00A47269"/>
    <w:rsid w:val="00A47E5A"/>
    <w:rsid w:val="00A50895"/>
    <w:rsid w:val="00A50EFA"/>
    <w:rsid w:val="00A54804"/>
    <w:rsid w:val="00A54F74"/>
    <w:rsid w:val="00A5674C"/>
    <w:rsid w:val="00A567A3"/>
    <w:rsid w:val="00A56A4A"/>
    <w:rsid w:val="00A5768C"/>
    <w:rsid w:val="00A60CA4"/>
    <w:rsid w:val="00A6129D"/>
    <w:rsid w:val="00A61405"/>
    <w:rsid w:val="00A616F2"/>
    <w:rsid w:val="00A64E64"/>
    <w:rsid w:val="00A70CC1"/>
    <w:rsid w:val="00A72FC8"/>
    <w:rsid w:val="00A73318"/>
    <w:rsid w:val="00A73C11"/>
    <w:rsid w:val="00A75147"/>
    <w:rsid w:val="00A80AC3"/>
    <w:rsid w:val="00A86A39"/>
    <w:rsid w:val="00A86C0D"/>
    <w:rsid w:val="00A86EBA"/>
    <w:rsid w:val="00A93402"/>
    <w:rsid w:val="00A93867"/>
    <w:rsid w:val="00A97DC9"/>
    <w:rsid w:val="00AA0D0C"/>
    <w:rsid w:val="00AA44D4"/>
    <w:rsid w:val="00AA7220"/>
    <w:rsid w:val="00AB0E64"/>
    <w:rsid w:val="00AB1391"/>
    <w:rsid w:val="00AB306D"/>
    <w:rsid w:val="00AB4A75"/>
    <w:rsid w:val="00AB4E18"/>
    <w:rsid w:val="00AB6AF0"/>
    <w:rsid w:val="00AB78FA"/>
    <w:rsid w:val="00AB7C9D"/>
    <w:rsid w:val="00AC053D"/>
    <w:rsid w:val="00AC4143"/>
    <w:rsid w:val="00AC5308"/>
    <w:rsid w:val="00AC5C2D"/>
    <w:rsid w:val="00AC688A"/>
    <w:rsid w:val="00AD2D6D"/>
    <w:rsid w:val="00AE0CCA"/>
    <w:rsid w:val="00AE3BA9"/>
    <w:rsid w:val="00AE427F"/>
    <w:rsid w:val="00AE5F8D"/>
    <w:rsid w:val="00AE74F3"/>
    <w:rsid w:val="00AF0D6C"/>
    <w:rsid w:val="00AF1005"/>
    <w:rsid w:val="00AF210C"/>
    <w:rsid w:val="00AF345D"/>
    <w:rsid w:val="00AF5463"/>
    <w:rsid w:val="00B00676"/>
    <w:rsid w:val="00B02F72"/>
    <w:rsid w:val="00B03146"/>
    <w:rsid w:val="00B04EA9"/>
    <w:rsid w:val="00B05D3E"/>
    <w:rsid w:val="00B05F5C"/>
    <w:rsid w:val="00B1415D"/>
    <w:rsid w:val="00B14591"/>
    <w:rsid w:val="00B16FEC"/>
    <w:rsid w:val="00B172F8"/>
    <w:rsid w:val="00B20694"/>
    <w:rsid w:val="00B20AE6"/>
    <w:rsid w:val="00B234A6"/>
    <w:rsid w:val="00B24199"/>
    <w:rsid w:val="00B250C3"/>
    <w:rsid w:val="00B303FC"/>
    <w:rsid w:val="00B3569F"/>
    <w:rsid w:val="00B35C19"/>
    <w:rsid w:val="00B35CA4"/>
    <w:rsid w:val="00B41272"/>
    <w:rsid w:val="00B41651"/>
    <w:rsid w:val="00B426FE"/>
    <w:rsid w:val="00B461E4"/>
    <w:rsid w:val="00B47CBF"/>
    <w:rsid w:val="00B52FCE"/>
    <w:rsid w:val="00B5672B"/>
    <w:rsid w:val="00B600A5"/>
    <w:rsid w:val="00B6185D"/>
    <w:rsid w:val="00B64131"/>
    <w:rsid w:val="00B7108C"/>
    <w:rsid w:val="00B7138B"/>
    <w:rsid w:val="00B72EE0"/>
    <w:rsid w:val="00B74923"/>
    <w:rsid w:val="00B74F35"/>
    <w:rsid w:val="00B75BF5"/>
    <w:rsid w:val="00B77043"/>
    <w:rsid w:val="00B814F2"/>
    <w:rsid w:val="00B81942"/>
    <w:rsid w:val="00B81B88"/>
    <w:rsid w:val="00B86D06"/>
    <w:rsid w:val="00B91886"/>
    <w:rsid w:val="00B93865"/>
    <w:rsid w:val="00B97A2A"/>
    <w:rsid w:val="00BA31F1"/>
    <w:rsid w:val="00BB113D"/>
    <w:rsid w:val="00BB36A5"/>
    <w:rsid w:val="00BC6D6F"/>
    <w:rsid w:val="00BC7479"/>
    <w:rsid w:val="00BC770A"/>
    <w:rsid w:val="00BC7C47"/>
    <w:rsid w:val="00BD2396"/>
    <w:rsid w:val="00BD5D7F"/>
    <w:rsid w:val="00BE318A"/>
    <w:rsid w:val="00BE3ADB"/>
    <w:rsid w:val="00BE70B9"/>
    <w:rsid w:val="00BE7DD1"/>
    <w:rsid w:val="00BF120D"/>
    <w:rsid w:val="00BF3A88"/>
    <w:rsid w:val="00BF690E"/>
    <w:rsid w:val="00C016F0"/>
    <w:rsid w:val="00C01DB5"/>
    <w:rsid w:val="00C02F31"/>
    <w:rsid w:val="00C053D5"/>
    <w:rsid w:val="00C059A0"/>
    <w:rsid w:val="00C06528"/>
    <w:rsid w:val="00C073EC"/>
    <w:rsid w:val="00C10D89"/>
    <w:rsid w:val="00C11BD4"/>
    <w:rsid w:val="00C137EF"/>
    <w:rsid w:val="00C1381E"/>
    <w:rsid w:val="00C13E29"/>
    <w:rsid w:val="00C14828"/>
    <w:rsid w:val="00C15345"/>
    <w:rsid w:val="00C1736E"/>
    <w:rsid w:val="00C17975"/>
    <w:rsid w:val="00C210BE"/>
    <w:rsid w:val="00C22199"/>
    <w:rsid w:val="00C239C9"/>
    <w:rsid w:val="00C26318"/>
    <w:rsid w:val="00C27470"/>
    <w:rsid w:val="00C2753A"/>
    <w:rsid w:val="00C27E62"/>
    <w:rsid w:val="00C33117"/>
    <w:rsid w:val="00C33276"/>
    <w:rsid w:val="00C33C76"/>
    <w:rsid w:val="00C341AB"/>
    <w:rsid w:val="00C37003"/>
    <w:rsid w:val="00C4047D"/>
    <w:rsid w:val="00C42D42"/>
    <w:rsid w:val="00C4336C"/>
    <w:rsid w:val="00C4709B"/>
    <w:rsid w:val="00C470EA"/>
    <w:rsid w:val="00C476A7"/>
    <w:rsid w:val="00C54125"/>
    <w:rsid w:val="00C55291"/>
    <w:rsid w:val="00C559F5"/>
    <w:rsid w:val="00C63294"/>
    <w:rsid w:val="00C63AE8"/>
    <w:rsid w:val="00C70E78"/>
    <w:rsid w:val="00C7138F"/>
    <w:rsid w:val="00C74A80"/>
    <w:rsid w:val="00C77652"/>
    <w:rsid w:val="00C77786"/>
    <w:rsid w:val="00C77DC6"/>
    <w:rsid w:val="00C801DA"/>
    <w:rsid w:val="00C8065B"/>
    <w:rsid w:val="00C81F7D"/>
    <w:rsid w:val="00C84960"/>
    <w:rsid w:val="00C86B15"/>
    <w:rsid w:val="00C926F0"/>
    <w:rsid w:val="00C9656D"/>
    <w:rsid w:val="00CA4AFC"/>
    <w:rsid w:val="00CA7BBB"/>
    <w:rsid w:val="00CB15C8"/>
    <w:rsid w:val="00CB5E25"/>
    <w:rsid w:val="00CB65BF"/>
    <w:rsid w:val="00CB6B3B"/>
    <w:rsid w:val="00CC159F"/>
    <w:rsid w:val="00CC15E2"/>
    <w:rsid w:val="00CC3AEC"/>
    <w:rsid w:val="00CC63FD"/>
    <w:rsid w:val="00CC70C1"/>
    <w:rsid w:val="00CD3FBA"/>
    <w:rsid w:val="00CD54E2"/>
    <w:rsid w:val="00CD5F32"/>
    <w:rsid w:val="00CE0B1B"/>
    <w:rsid w:val="00CE20B9"/>
    <w:rsid w:val="00CF3CED"/>
    <w:rsid w:val="00CF42A6"/>
    <w:rsid w:val="00CF7C87"/>
    <w:rsid w:val="00D01109"/>
    <w:rsid w:val="00D03C3E"/>
    <w:rsid w:val="00D06BF7"/>
    <w:rsid w:val="00D0761E"/>
    <w:rsid w:val="00D111C9"/>
    <w:rsid w:val="00D1390D"/>
    <w:rsid w:val="00D1722D"/>
    <w:rsid w:val="00D2148A"/>
    <w:rsid w:val="00D27368"/>
    <w:rsid w:val="00D27A94"/>
    <w:rsid w:val="00D43B5F"/>
    <w:rsid w:val="00D45584"/>
    <w:rsid w:val="00D53467"/>
    <w:rsid w:val="00D55909"/>
    <w:rsid w:val="00D57523"/>
    <w:rsid w:val="00D64D11"/>
    <w:rsid w:val="00D660B1"/>
    <w:rsid w:val="00D70499"/>
    <w:rsid w:val="00D714BF"/>
    <w:rsid w:val="00D72D17"/>
    <w:rsid w:val="00D7361B"/>
    <w:rsid w:val="00D75C85"/>
    <w:rsid w:val="00D806B0"/>
    <w:rsid w:val="00D877B2"/>
    <w:rsid w:val="00D92B79"/>
    <w:rsid w:val="00D9359C"/>
    <w:rsid w:val="00D95722"/>
    <w:rsid w:val="00DA0D5C"/>
    <w:rsid w:val="00DA4A0D"/>
    <w:rsid w:val="00DA4FC9"/>
    <w:rsid w:val="00DA5B45"/>
    <w:rsid w:val="00DA6A80"/>
    <w:rsid w:val="00DB315D"/>
    <w:rsid w:val="00DB3BA1"/>
    <w:rsid w:val="00DB599C"/>
    <w:rsid w:val="00DC1135"/>
    <w:rsid w:val="00DC2B3A"/>
    <w:rsid w:val="00DC2F7B"/>
    <w:rsid w:val="00DC3904"/>
    <w:rsid w:val="00DC3B78"/>
    <w:rsid w:val="00DC540F"/>
    <w:rsid w:val="00DC5F5C"/>
    <w:rsid w:val="00DD073F"/>
    <w:rsid w:val="00DD1141"/>
    <w:rsid w:val="00DD3171"/>
    <w:rsid w:val="00DD45B4"/>
    <w:rsid w:val="00DD6469"/>
    <w:rsid w:val="00DD75ED"/>
    <w:rsid w:val="00DE13DC"/>
    <w:rsid w:val="00DE1DED"/>
    <w:rsid w:val="00DE2C71"/>
    <w:rsid w:val="00DE2DCC"/>
    <w:rsid w:val="00DF5EBF"/>
    <w:rsid w:val="00DF6C30"/>
    <w:rsid w:val="00E0122A"/>
    <w:rsid w:val="00E03241"/>
    <w:rsid w:val="00E03829"/>
    <w:rsid w:val="00E03A40"/>
    <w:rsid w:val="00E0577D"/>
    <w:rsid w:val="00E05A64"/>
    <w:rsid w:val="00E0659E"/>
    <w:rsid w:val="00E06B95"/>
    <w:rsid w:val="00E077AC"/>
    <w:rsid w:val="00E11D6C"/>
    <w:rsid w:val="00E123CB"/>
    <w:rsid w:val="00E12754"/>
    <w:rsid w:val="00E14FA9"/>
    <w:rsid w:val="00E204E3"/>
    <w:rsid w:val="00E236D0"/>
    <w:rsid w:val="00E239F5"/>
    <w:rsid w:val="00E24903"/>
    <w:rsid w:val="00E25169"/>
    <w:rsid w:val="00E26CB5"/>
    <w:rsid w:val="00E27F53"/>
    <w:rsid w:val="00E31A34"/>
    <w:rsid w:val="00E32F34"/>
    <w:rsid w:val="00E3384C"/>
    <w:rsid w:val="00E344F0"/>
    <w:rsid w:val="00E3465B"/>
    <w:rsid w:val="00E34A5C"/>
    <w:rsid w:val="00E365F8"/>
    <w:rsid w:val="00E368D4"/>
    <w:rsid w:val="00E408B6"/>
    <w:rsid w:val="00E43B62"/>
    <w:rsid w:val="00E45A10"/>
    <w:rsid w:val="00E47FC4"/>
    <w:rsid w:val="00E52313"/>
    <w:rsid w:val="00E53FB5"/>
    <w:rsid w:val="00E53FC9"/>
    <w:rsid w:val="00E56EC1"/>
    <w:rsid w:val="00E57478"/>
    <w:rsid w:val="00E63CD2"/>
    <w:rsid w:val="00E63D3E"/>
    <w:rsid w:val="00E6435D"/>
    <w:rsid w:val="00E6536D"/>
    <w:rsid w:val="00E658E5"/>
    <w:rsid w:val="00E66C88"/>
    <w:rsid w:val="00E67761"/>
    <w:rsid w:val="00E70F13"/>
    <w:rsid w:val="00E70FE2"/>
    <w:rsid w:val="00E73320"/>
    <w:rsid w:val="00E764C0"/>
    <w:rsid w:val="00E777D4"/>
    <w:rsid w:val="00E81A91"/>
    <w:rsid w:val="00E835DB"/>
    <w:rsid w:val="00E83D4F"/>
    <w:rsid w:val="00E83DB4"/>
    <w:rsid w:val="00E87F0C"/>
    <w:rsid w:val="00E903E9"/>
    <w:rsid w:val="00E93E5F"/>
    <w:rsid w:val="00E945E2"/>
    <w:rsid w:val="00E957E7"/>
    <w:rsid w:val="00E95812"/>
    <w:rsid w:val="00E95948"/>
    <w:rsid w:val="00E97A13"/>
    <w:rsid w:val="00EA35D7"/>
    <w:rsid w:val="00EA56D5"/>
    <w:rsid w:val="00EB1D4E"/>
    <w:rsid w:val="00EB2621"/>
    <w:rsid w:val="00EB31D0"/>
    <w:rsid w:val="00EB71E0"/>
    <w:rsid w:val="00EC0CAE"/>
    <w:rsid w:val="00EC1D04"/>
    <w:rsid w:val="00EC29E3"/>
    <w:rsid w:val="00EC2A2F"/>
    <w:rsid w:val="00EC3B91"/>
    <w:rsid w:val="00EC62D4"/>
    <w:rsid w:val="00ED09E1"/>
    <w:rsid w:val="00ED1553"/>
    <w:rsid w:val="00ED1F32"/>
    <w:rsid w:val="00ED24F6"/>
    <w:rsid w:val="00ED4D6D"/>
    <w:rsid w:val="00ED5DD0"/>
    <w:rsid w:val="00EE1229"/>
    <w:rsid w:val="00EE1AAC"/>
    <w:rsid w:val="00EE35B8"/>
    <w:rsid w:val="00EE42D9"/>
    <w:rsid w:val="00EE5726"/>
    <w:rsid w:val="00EE67B3"/>
    <w:rsid w:val="00EE68CC"/>
    <w:rsid w:val="00EF151D"/>
    <w:rsid w:val="00EF3A00"/>
    <w:rsid w:val="00EF4717"/>
    <w:rsid w:val="00EF4B90"/>
    <w:rsid w:val="00EF64CB"/>
    <w:rsid w:val="00EF733A"/>
    <w:rsid w:val="00EF776C"/>
    <w:rsid w:val="00EF7EB2"/>
    <w:rsid w:val="00F01689"/>
    <w:rsid w:val="00F02F90"/>
    <w:rsid w:val="00F03710"/>
    <w:rsid w:val="00F051C9"/>
    <w:rsid w:val="00F05560"/>
    <w:rsid w:val="00F11994"/>
    <w:rsid w:val="00F11A4B"/>
    <w:rsid w:val="00F209E5"/>
    <w:rsid w:val="00F21D41"/>
    <w:rsid w:val="00F2470B"/>
    <w:rsid w:val="00F254FB"/>
    <w:rsid w:val="00F26E9F"/>
    <w:rsid w:val="00F27B09"/>
    <w:rsid w:val="00F27DA7"/>
    <w:rsid w:val="00F46214"/>
    <w:rsid w:val="00F5035D"/>
    <w:rsid w:val="00F50725"/>
    <w:rsid w:val="00F5439D"/>
    <w:rsid w:val="00F5557D"/>
    <w:rsid w:val="00F55E3C"/>
    <w:rsid w:val="00F60BA5"/>
    <w:rsid w:val="00F60C97"/>
    <w:rsid w:val="00F637C8"/>
    <w:rsid w:val="00F63A68"/>
    <w:rsid w:val="00F77515"/>
    <w:rsid w:val="00F77D76"/>
    <w:rsid w:val="00F860AD"/>
    <w:rsid w:val="00F8762F"/>
    <w:rsid w:val="00F93048"/>
    <w:rsid w:val="00F9733F"/>
    <w:rsid w:val="00F97F35"/>
    <w:rsid w:val="00FA0245"/>
    <w:rsid w:val="00FA1E5A"/>
    <w:rsid w:val="00FA2D33"/>
    <w:rsid w:val="00FA34F0"/>
    <w:rsid w:val="00FA3597"/>
    <w:rsid w:val="00FA38DA"/>
    <w:rsid w:val="00FA3F32"/>
    <w:rsid w:val="00FA564B"/>
    <w:rsid w:val="00FA584E"/>
    <w:rsid w:val="00FA7191"/>
    <w:rsid w:val="00FA79F7"/>
    <w:rsid w:val="00FB06CA"/>
    <w:rsid w:val="00FB48B2"/>
    <w:rsid w:val="00FB66EA"/>
    <w:rsid w:val="00FC54F8"/>
    <w:rsid w:val="00FC5A2A"/>
    <w:rsid w:val="00FC71BB"/>
    <w:rsid w:val="00FC7B3B"/>
    <w:rsid w:val="00FC7EF8"/>
    <w:rsid w:val="00FD03F5"/>
    <w:rsid w:val="00FD3388"/>
    <w:rsid w:val="00FD6BE0"/>
    <w:rsid w:val="00FD6D39"/>
    <w:rsid w:val="00FD7C0D"/>
    <w:rsid w:val="00FE23CE"/>
    <w:rsid w:val="00FE3F74"/>
    <w:rsid w:val="00FE40B2"/>
    <w:rsid w:val="00FE425F"/>
    <w:rsid w:val="00FE4A2D"/>
    <w:rsid w:val="00FE4B53"/>
    <w:rsid w:val="00FE5559"/>
    <w:rsid w:val="00FE634F"/>
    <w:rsid w:val="00FF02AC"/>
    <w:rsid w:val="00FF05C6"/>
    <w:rsid w:val="00FF220B"/>
    <w:rsid w:val="00FF246B"/>
    <w:rsid w:val="00FF28FB"/>
    <w:rsid w:val="00FF41C9"/>
    <w:rsid w:val="00FF5931"/>
    <w:rsid w:val="00FF634B"/>
    <w:rsid w:val="00FF69A2"/>
    <w:rsid w:val="00FF6B86"/>
    <w:rsid w:val="00FF711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433C9E"/>
    <w:pPr>
      <w:spacing w:before="160" w:line="260" w:lineRule="exact"/>
    </w:pPr>
    <w:rPr>
      <w:rFonts w:ascii="Trebuchet MS" w:hAnsi="Trebuchet MS"/>
      <w:sz w:val="19"/>
      <w:lang w:val="en-AU"/>
    </w:rPr>
  </w:style>
  <w:style w:type="paragraph" w:styleId="Heading1">
    <w:name w:val="heading 1"/>
    <w:next w:val="Text"/>
    <w:link w:val="Heading1Char"/>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5C3A43"/>
    <w:pPr>
      <w:keepNext/>
      <w:spacing w:before="360"/>
      <w:outlineLvl w:val="1"/>
    </w:pPr>
    <w:rPr>
      <w:rFonts w:ascii="Tahoma" w:hAnsi="Tahoma" w:cs="Tahoma"/>
      <w:sz w:val="28"/>
      <w:lang w:val="en-AU"/>
    </w:rPr>
  </w:style>
  <w:style w:type="paragraph" w:styleId="Heading3">
    <w:name w:val="heading 3"/>
    <w:next w:val="Text"/>
    <w:link w:val="Heading3Char"/>
    <w:uiPriority w:val="99"/>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015F17"/>
    <w:pPr>
      <w:spacing w:before="240"/>
      <w:outlineLvl w:val="3"/>
    </w:pPr>
    <w:rPr>
      <w:rFonts w:ascii="Tahoma" w:hAnsi="Tahoma"/>
      <w:i/>
      <w:sz w:val="22"/>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link w:val="QuoteChar"/>
    <w:qFormat/>
    <w:rsid w:val="00ED09E1"/>
    <w:pPr>
      <w:tabs>
        <w:tab w:val="right" w:pos="8136"/>
      </w:tabs>
      <w:spacing w:before="80"/>
      <w:ind w:left="567" w:right="652"/>
    </w:pPr>
    <w:rPr>
      <w:sz w:val="17"/>
    </w:rPr>
  </w:style>
  <w:style w:type="paragraph" w:customStyle="1" w:styleId="References">
    <w:name w:val="References"/>
    <w:rsid w:val="00524F8E"/>
    <w:pPr>
      <w:spacing w:before="80"/>
      <w:ind w:left="284"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015F17"/>
    <w:pPr>
      <w:numPr>
        <w:numId w:val="26"/>
      </w:numPr>
      <w:tabs>
        <w:tab w:val="left" w:pos="284"/>
      </w:tabs>
      <w:spacing w:before="8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015F17"/>
    <w:pPr>
      <w:numPr>
        <w:numId w:val="33"/>
      </w:numPr>
      <w:spacing w:before="80" w:line="300" w:lineRule="exact"/>
      <w:ind w:left="284" w:hanging="284"/>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768C"/>
    <w:pPr>
      <w:tabs>
        <w:tab w:val="left" w:pos="170"/>
      </w:tabs>
      <w:spacing w:before="0" w:line="220" w:lineRule="exact"/>
      <w:ind w:left="170" w:right="0" w:hanging="170"/>
    </w:pPr>
    <w:rPr>
      <w:sz w:val="16"/>
    </w:rPr>
  </w:style>
  <w:style w:type="paragraph" w:styleId="NormalWeb">
    <w:name w:val="Normal (Web)"/>
    <w:basedOn w:val="Normal"/>
    <w:uiPriority w:val="99"/>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uiPriority w:val="99"/>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clear" w:pos="1440"/>
        <w:tab w:val="num" w:pos="567"/>
      </w:tabs>
      <w:ind w:left="567" w:hanging="283"/>
    </w:pPr>
  </w:style>
  <w:style w:type="character" w:styleId="FootnoteReference">
    <w:name w:val="footnote reference"/>
    <w:basedOn w:val="DefaultParagraphFont"/>
    <w:uiPriority w:val="99"/>
    <w:semiHidden/>
    <w:unhideWhenUsed/>
    <w:rsid w:val="00A34A04"/>
    <w:rPr>
      <w:vertAlign w:val="superscript"/>
    </w:rPr>
  </w:style>
  <w:style w:type="character" w:styleId="CommentReference">
    <w:name w:val="annotation reference"/>
    <w:basedOn w:val="DefaultParagraphFont"/>
    <w:uiPriority w:val="99"/>
    <w:semiHidden/>
    <w:rsid w:val="00725BCC"/>
    <w:rPr>
      <w:sz w:val="16"/>
      <w:szCs w:val="16"/>
    </w:rPr>
  </w:style>
  <w:style w:type="paragraph" w:styleId="CommentText">
    <w:name w:val="annotation text"/>
    <w:basedOn w:val="Normal"/>
    <w:link w:val="CommentTextChar"/>
    <w:uiPriority w:val="99"/>
    <w:semiHidden/>
    <w:rsid w:val="00725BCC"/>
    <w:pPr>
      <w:spacing w:line="240" w:lineRule="auto"/>
    </w:pPr>
    <w:rPr>
      <w:sz w:val="20"/>
    </w:rPr>
  </w:style>
  <w:style w:type="character" w:customStyle="1" w:styleId="CommentTextChar">
    <w:name w:val="Comment Text Char"/>
    <w:basedOn w:val="DefaultParagraphFont"/>
    <w:link w:val="CommentText"/>
    <w:uiPriority w:val="99"/>
    <w:semiHidden/>
    <w:rsid w:val="00725BCC"/>
    <w:rPr>
      <w:rFonts w:ascii="Trebuchet MS" w:hAnsi="Trebuchet MS"/>
      <w:lang w:val="en-AU"/>
    </w:rPr>
  </w:style>
  <w:style w:type="paragraph" w:styleId="CommentSubject">
    <w:name w:val="annotation subject"/>
    <w:basedOn w:val="CommentText"/>
    <w:next w:val="CommentText"/>
    <w:link w:val="CommentSubjectChar"/>
    <w:uiPriority w:val="99"/>
    <w:semiHidden/>
    <w:rsid w:val="00725BCC"/>
    <w:rPr>
      <w:b/>
      <w:bCs/>
    </w:rPr>
  </w:style>
  <w:style w:type="character" w:customStyle="1" w:styleId="CommentSubjectChar">
    <w:name w:val="Comment Subject Char"/>
    <w:basedOn w:val="CommentTextChar"/>
    <w:link w:val="CommentSubject"/>
    <w:uiPriority w:val="99"/>
    <w:semiHidden/>
    <w:rsid w:val="00725BCC"/>
    <w:rPr>
      <w:rFonts w:ascii="Trebuchet MS" w:hAnsi="Trebuchet MS"/>
      <w:b/>
      <w:bCs/>
      <w:lang w:val="en-AU"/>
    </w:rPr>
  </w:style>
  <w:style w:type="character" w:styleId="Strong">
    <w:name w:val="Strong"/>
    <w:basedOn w:val="DefaultParagraphFont"/>
    <w:uiPriority w:val="22"/>
    <w:qFormat/>
    <w:rsid w:val="008C02D4"/>
    <w:rPr>
      <w:b/>
      <w:bCs/>
      <w:i w:val="0"/>
      <w:iCs w:val="0"/>
    </w:rPr>
  </w:style>
  <w:style w:type="character" w:customStyle="1" w:styleId="highlight1">
    <w:name w:val="highlight1"/>
    <w:basedOn w:val="DefaultParagraphFont"/>
    <w:rsid w:val="008C02D4"/>
    <w:rPr>
      <w:color w:val="FFFFFF"/>
      <w:shd w:val="clear" w:color="auto" w:fill="336699"/>
    </w:rPr>
  </w:style>
  <w:style w:type="paragraph" w:customStyle="1" w:styleId="parablock">
    <w:name w:val="parablock"/>
    <w:basedOn w:val="Normal"/>
    <w:rsid w:val="008C02D4"/>
    <w:pPr>
      <w:spacing w:before="180" w:after="180" w:line="240" w:lineRule="auto"/>
    </w:pPr>
    <w:rPr>
      <w:rFonts w:ascii="Times New Roman" w:hAnsi="Times New Roman"/>
      <w:color w:val="444444"/>
      <w:sz w:val="24"/>
      <w:szCs w:val="24"/>
      <w:lang w:val="en-GB" w:eastAsia="en-GB"/>
    </w:rPr>
  </w:style>
  <w:style w:type="character" w:customStyle="1" w:styleId="Heading1Char">
    <w:name w:val="Heading 1 Char"/>
    <w:basedOn w:val="DefaultParagraphFont"/>
    <w:link w:val="Heading1"/>
    <w:rsid w:val="00113901"/>
    <w:rPr>
      <w:rFonts w:ascii="Tahoma" w:hAnsi="Tahoma" w:cs="Tahoma"/>
      <w:color w:val="000000"/>
      <w:kern w:val="28"/>
      <w:sz w:val="56"/>
      <w:szCs w:val="56"/>
      <w:lang w:val="en-AU"/>
    </w:rPr>
  </w:style>
  <w:style w:type="character" w:customStyle="1" w:styleId="QuoteChar">
    <w:name w:val="Quote Char"/>
    <w:basedOn w:val="DefaultParagraphFont"/>
    <w:link w:val="Quote"/>
    <w:rsid w:val="00ED09E1"/>
    <w:rPr>
      <w:rFonts w:ascii="Trebuchet MS" w:hAnsi="Trebuchet MS"/>
      <w:sz w:val="17"/>
      <w:lang w:val="en-AU"/>
    </w:rPr>
  </w:style>
  <w:style w:type="character" w:styleId="Emphasis">
    <w:name w:val="Emphasis"/>
    <w:basedOn w:val="DefaultParagraphFont"/>
    <w:uiPriority w:val="20"/>
    <w:qFormat/>
    <w:rsid w:val="00044DFA"/>
    <w:rPr>
      <w:b/>
      <w:bCs/>
      <w:i w:val="0"/>
      <w:iCs w:val="0"/>
    </w:rPr>
  </w:style>
  <w:style w:type="character" w:customStyle="1" w:styleId="st1">
    <w:name w:val="st1"/>
    <w:basedOn w:val="DefaultParagraphFont"/>
    <w:rsid w:val="00044DFA"/>
  </w:style>
  <w:style w:type="character" w:styleId="HTMLCite">
    <w:name w:val="HTML Cite"/>
    <w:basedOn w:val="DefaultParagraphFont"/>
    <w:uiPriority w:val="99"/>
    <w:semiHidden/>
    <w:unhideWhenUsed/>
    <w:rsid w:val="003D6996"/>
    <w:rPr>
      <w:i/>
      <w:iCs/>
    </w:rPr>
  </w:style>
  <w:style w:type="character" w:customStyle="1" w:styleId="source-prefix">
    <w:name w:val="source-prefix"/>
    <w:basedOn w:val="DefaultParagraphFont"/>
    <w:rsid w:val="003D6996"/>
  </w:style>
  <w:style w:type="character" w:customStyle="1" w:styleId="datestamp">
    <w:name w:val="datestamp"/>
    <w:basedOn w:val="DefaultParagraphFont"/>
    <w:rsid w:val="003D6996"/>
  </w:style>
  <w:style w:type="character" w:customStyle="1" w:styleId="definition">
    <w:name w:val="definition"/>
    <w:basedOn w:val="DefaultParagraphFont"/>
    <w:rsid w:val="002E7707"/>
  </w:style>
  <w:style w:type="character" w:customStyle="1" w:styleId="Heading2Char">
    <w:name w:val="Heading 2 Char"/>
    <w:basedOn w:val="DefaultParagraphFont"/>
    <w:link w:val="Heading2"/>
    <w:rsid w:val="005C3A43"/>
    <w:rPr>
      <w:rFonts w:ascii="Tahoma" w:hAnsi="Tahoma" w:cs="Tahoma"/>
      <w:sz w:val="28"/>
      <w:lang w:val="en-AU"/>
    </w:rPr>
  </w:style>
  <w:style w:type="paragraph" w:customStyle="1" w:styleId="Textlessbefore">
    <w:name w:val="Text less # before"/>
    <w:basedOn w:val="Text"/>
    <w:uiPriority w:val="1"/>
    <w:qFormat/>
    <w:rsid w:val="00374DCE"/>
    <w:pPr>
      <w:spacing w:before="80"/>
      <w:ind w:righ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433C9E"/>
    <w:pPr>
      <w:spacing w:before="160" w:line="260" w:lineRule="exact"/>
    </w:pPr>
    <w:rPr>
      <w:rFonts w:ascii="Trebuchet MS" w:hAnsi="Trebuchet MS"/>
      <w:sz w:val="19"/>
      <w:lang w:val="en-AU"/>
    </w:rPr>
  </w:style>
  <w:style w:type="paragraph" w:styleId="Heading1">
    <w:name w:val="heading 1"/>
    <w:next w:val="Text"/>
    <w:link w:val="Heading1Char"/>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5C3A43"/>
    <w:pPr>
      <w:keepNext/>
      <w:spacing w:before="360"/>
      <w:outlineLvl w:val="1"/>
    </w:pPr>
    <w:rPr>
      <w:rFonts w:ascii="Tahoma" w:hAnsi="Tahoma" w:cs="Tahoma"/>
      <w:sz w:val="28"/>
      <w:lang w:val="en-AU"/>
    </w:rPr>
  </w:style>
  <w:style w:type="paragraph" w:styleId="Heading3">
    <w:name w:val="heading 3"/>
    <w:next w:val="Text"/>
    <w:link w:val="Heading3Char"/>
    <w:uiPriority w:val="99"/>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015F17"/>
    <w:pPr>
      <w:spacing w:before="240"/>
      <w:outlineLvl w:val="3"/>
    </w:pPr>
    <w:rPr>
      <w:rFonts w:ascii="Tahoma" w:hAnsi="Tahoma"/>
      <w:i/>
      <w:sz w:val="22"/>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link w:val="QuoteChar"/>
    <w:qFormat/>
    <w:rsid w:val="00ED09E1"/>
    <w:pPr>
      <w:tabs>
        <w:tab w:val="right" w:pos="8136"/>
      </w:tabs>
      <w:spacing w:before="80"/>
      <w:ind w:left="567" w:right="652"/>
    </w:pPr>
    <w:rPr>
      <w:sz w:val="17"/>
    </w:rPr>
  </w:style>
  <w:style w:type="paragraph" w:customStyle="1" w:styleId="References">
    <w:name w:val="References"/>
    <w:rsid w:val="00524F8E"/>
    <w:pPr>
      <w:spacing w:before="80"/>
      <w:ind w:left="284"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015F17"/>
    <w:pPr>
      <w:numPr>
        <w:numId w:val="26"/>
      </w:numPr>
      <w:tabs>
        <w:tab w:val="left" w:pos="284"/>
      </w:tabs>
      <w:spacing w:before="8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015F17"/>
    <w:pPr>
      <w:numPr>
        <w:numId w:val="33"/>
      </w:numPr>
      <w:spacing w:before="80" w:line="300" w:lineRule="exact"/>
      <w:ind w:left="284" w:hanging="284"/>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768C"/>
    <w:pPr>
      <w:tabs>
        <w:tab w:val="left" w:pos="170"/>
      </w:tabs>
      <w:spacing w:before="0" w:line="220" w:lineRule="exact"/>
      <w:ind w:left="170" w:right="0" w:hanging="170"/>
    </w:pPr>
    <w:rPr>
      <w:sz w:val="16"/>
    </w:rPr>
  </w:style>
  <w:style w:type="paragraph" w:styleId="NormalWeb">
    <w:name w:val="Normal (Web)"/>
    <w:basedOn w:val="Normal"/>
    <w:uiPriority w:val="99"/>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uiPriority w:val="99"/>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clear" w:pos="1440"/>
        <w:tab w:val="num" w:pos="567"/>
      </w:tabs>
      <w:ind w:left="567" w:hanging="283"/>
    </w:pPr>
  </w:style>
  <w:style w:type="character" w:styleId="FootnoteReference">
    <w:name w:val="footnote reference"/>
    <w:basedOn w:val="DefaultParagraphFont"/>
    <w:uiPriority w:val="99"/>
    <w:semiHidden/>
    <w:unhideWhenUsed/>
    <w:rsid w:val="00A34A04"/>
    <w:rPr>
      <w:vertAlign w:val="superscript"/>
    </w:rPr>
  </w:style>
  <w:style w:type="character" w:styleId="CommentReference">
    <w:name w:val="annotation reference"/>
    <w:basedOn w:val="DefaultParagraphFont"/>
    <w:uiPriority w:val="99"/>
    <w:semiHidden/>
    <w:rsid w:val="00725BCC"/>
    <w:rPr>
      <w:sz w:val="16"/>
      <w:szCs w:val="16"/>
    </w:rPr>
  </w:style>
  <w:style w:type="paragraph" w:styleId="CommentText">
    <w:name w:val="annotation text"/>
    <w:basedOn w:val="Normal"/>
    <w:link w:val="CommentTextChar"/>
    <w:uiPriority w:val="99"/>
    <w:semiHidden/>
    <w:rsid w:val="00725BCC"/>
    <w:pPr>
      <w:spacing w:line="240" w:lineRule="auto"/>
    </w:pPr>
    <w:rPr>
      <w:sz w:val="20"/>
    </w:rPr>
  </w:style>
  <w:style w:type="character" w:customStyle="1" w:styleId="CommentTextChar">
    <w:name w:val="Comment Text Char"/>
    <w:basedOn w:val="DefaultParagraphFont"/>
    <w:link w:val="CommentText"/>
    <w:uiPriority w:val="99"/>
    <w:semiHidden/>
    <w:rsid w:val="00725BCC"/>
    <w:rPr>
      <w:rFonts w:ascii="Trebuchet MS" w:hAnsi="Trebuchet MS"/>
      <w:lang w:val="en-AU"/>
    </w:rPr>
  </w:style>
  <w:style w:type="paragraph" w:styleId="CommentSubject">
    <w:name w:val="annotation subject"/>
    <w:basedOn w:val="CommentText"/>
    <w:next w:val="CommentText"/>
    <w:link w:val="CommentSubjectChar"/>
    <w:uiPriority w:val="99"/>
    <w:semiHidden/>
    <w:rsid w:val="00725BCC"/>
    <w:rPr>
      <w:b/>
      <w:bCs/>
    </w:rPr>
  </w:style>
  <w:style w:type="character" w:customStyle="1" w:styleId="CommentSubjectChar">
    <w:name w:val="Comment Subject Char"/>
    <w:basedOn w:val="CommentTextChar"/>
    <w:link w:val="CommentSubject"/>
    <w:uiPriority w:val="99"/>
    <w:semiHidden/>
    <w:rsid w:val="00725BCC"/>
    <w:rPr>
      <w:rFonts w:ascii="Trebuchet MS" w:hAnsi="Trebuchet MS"/>
      <w:b/>
      <w:bCs/>
      <w:lang w:val="en-AU"/>
    </w:rPr>
  </w:style>
  <w:style w:type="character" w:styleId="Strong">
    <w:name w:val="Strong"/>
    <w:basedOn w:val="DefaultParagraphFont"/>
    <w:uiPriority w:val="22"/>
    <w:qFormat/>
    <w:rsid w:val="008C02D4"/>
    <w:rPr>
      <w:b/>
      <w:bCs/>
      <w:i w:val="0"/>
      <w:iCs w:val="0"/>
    </w:rPr>
  </w:style>
  <w:style w:type="character" w:customStyle="1" w:styleId="highlight1">
    <w:name w:val="highlight1"/>
    <w:basedOn w:val="DefaultParagraphFont"/>
    <w:rsid w:val="008C02D4"/>
    <w:rPr>
      <w:color w:val="FFFFFF"/>
      <w:shd w:val="clear" w:color="auto" w:fill="336699"/>
    </w:rPr>
  </w:style>
  <w:style w:type="paragraph" w:customStyle="1" w:styleId="parablock">
    <w:name w:val="parablock"/>
    <w:basedOn w:val="Normal"/>
    <w:rsid w:val="008C02D4"/>
    <w:pPr>
      <w:spacing w:before="180" w:after="180" w:line="240" w:lineRule="auto"/>
    </w:pPr>
    <w:rPr>
      <w:rFonts w:ascii="Times New Roman" w:hAnsi="Times New Roman"/>
      <w:color w:val="444444"/>
      <w:sz w:val="24"/>
      <w:szCs w:val="24"/>
      <w:lang w:val="en-GB" w:eastAsia="en-GB"/>
    </w:rPr>
  </w:style>
  <w:style w:type="character" w:customStyle="1" w:styleId="Heading1Char">
    <w:name w:val="Heading 1 Char"/>
    <w:basedOn w:val="DefaultParagraphFont"/>
    <w:link w:val="Heading1"/>
    <w:rsid w:val="00113901"/>
    <w:rPr>
      <w:rFonts w:ascii="Tahoma" w:hAnsi="Tahoma" w:cs="Tahoma"/>
      <w:color w:val="000000"/>
      <w:kern w:val="28"/>
      <w:sz w:val="56"/>
      <w:szCs w:val="56"/>
      <w:lang w:val="en-AU"/>
    </w:rPr>
  </w:style>
  <w:style w:type="character" w:customStyle="1" w:styleId="QuoteChar">
    <w:name w:val="Quote Char"/>
    <w:basedOn w:val="DefaultParagraphFont"/>
    <w:link w:val="Quote"/>
    <w:rsid w:val="00ED09E1"/>
    <w:rPr>
      <w:rFonts w:ascii="Trebuchet MS" w:hAnsi="Trebuchet MS"/>
      <w:sz w:val="17"/>
      <w:lang w:val="en-AU"/>
    </w:rPr>
  </w:style>
  <w:style w:type="character" w:styleId="Emphasis">
    <w:name w:val="Emphasis"/>
    <w:basedOn w:val="DefaultParagraphFont"/>
    <w:uiPriority w:val="20"/>
    <w:qFormat/>
    <w:rsid w:val="00044DFA"/>
    <w:rPr>
      <w:b/>
      <w:bCs/>
      <w:i w:val="0"/>
      <w:iCs w:val="0"/>
    </w:rPr>
  </w:style>
  <w:style w:type="character" w:customStyle="1" w:styleId="st1">
    <w:name w:val="st1"/>
    <w:basedOn w:val="DefaultParagraphFont"/>
    <w:rsid w:val="00044DFA"/>
  </w:style>
  <w:style w:type="character" w:styleId="HTMLCite">
    <w:name w:val="HTML Cite"/>
    <w:basedOn w:val="DefaultParagraphFont"/>
    <w:uiPriority w:val="99"/>
    <w:semiHidden/>
    <w:unhideWhenUsed/>
    <w:rsid w:val="003D6996"/>
    <w:rPr>
      <w:i/>
      <w:iCs/>
    </w:rPr>
  </w:style>
  <w:style w:type="character" w:customStyle="1" w:styleId="source-prefix">
    <w:name w:val="source-prefix"/>
    <w:basedOn w:val="DefaultParagraphFont"/>
    <w:rsid w:val="003D6996"/>
  </w:style>
  <w:style w:type="character" w:customStyle="1" w:styleId="datestamp">
    <w:name w:val="datestamp"/>
    <w:basedOn w:val="DefaultParagraphFont"/>
    <w:rsid w:val="003D6996"/>
  </w:style>
  <w:style w:type="character" w:customStyle="1" w:styleId="definition">
    <w:name w:val="definition"/>
    <w:basedOn w:val="DefaultParagraphFont"/>
    <w:rsid w:val="002E7707"/>
  </w:style>
  <w:style w:type="character" w:customStyle="1" w:styleId="Heading2Char">
    <w:name w:val="Heading 2 Char"/>
    <w:basedOn w:val="DefaultParagraphFont"/>
    <w:link w:val="Heading2"/>
    <w:rsid w:val="005C3A43"/>
    <w:rPr>
      <w:rFonts w:ascii="Tahoma" w:hAnsi="Tahoma" w:cs="Tahoma"/>
      <w:sz w:val="28"/>
      <w:lang w:val="en-AU"/>
    </w:rPr>
  </w:style>
  <w:style w:type="paragraph" w:customStyle="1" w:styleId="Textlessbefore">
    <w:name w:val="Text less # before"/>
    <w:basedOn w:val="Text"/>
    <w:uiPriority w:val="1"/>
    <w:qFormat/>
    <w:rsid w:val="00374DCE"/>
    <w:pPr>
      <w:spacing w:before="80"/>
      <w:ind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18548">
      <w:bodyDiv w:val="1"/>
      <w:marLeft w:val="0"/>
      <w:marRight w:val="0"/>
      <w:marTop w:val="0"/>
      <w:marBottom w:val="0"/>
      <w:divBdr>
        <w:top w:val="none" w:sz="0" w:space="0" w:color="auto"/>
        <w:left w:val="none" w:sz="0" w:space="0" w:color="auto"/>
        <w:bottom w:val="none" w:sz="0" w:space="0" w:color="auto"/>
        <w:right w:val="none" w:sz="0" w:space="0" w:color="auto"/>
      </w:divBdr>
      <w:divsChild>
        <w:div w:id="1211068434">
          <w:marLeft w:val="0"/>
          <w:marRight w:val="0"/>
          <w:marTop w:val="0"/>
          <w:marBottom w:val="0"/>
          <w:divBdr>
            <w:top w:val="single" w:sz="6" w:space="8" w:color="B8B8B8"/>
            <w:left w:val="none" w:sz="0" w:space="0" w:color="auto"/>
            <w:bottom w:val="none" w:sz="0" w:space="0" w:color="auto"/>
            <w:right w:val="none" w:sz="0" w:space="0" w:color="auto"/>
          </w:divBdr>
          <w:divsChild>
            <w:div w:id="1160776433">
              <w:marLeft w:val="2"/>
              <w:marRight w:val="2"/>
              <w:marTop w:val="0"/>
              <w:marBottom w:val="0"/>
              <w:divBdr>
                <w:top w:val="single" w:sz="6" w:space="8" w:color="CDCCD4"/>
                <w:left w:val="single" w:sz="6" w:space="8" w:color="CDCCD4"/>
                <w:bottom w:val="single" w:sz="6" w:space="8" w:color="CDCCD4"/>
                <w:right w:val="single" w:sz="6" w:space="4" w:color="CDCCD4"/>
              </w:divBdr>
              <w:divsChild>
                <w:div w:id="1926186601">
                  <w:marLeft w:val="0"/>
                  <w:marRight w:val="0"/>
                  <w:marTop w:val="75"/>
                  <w:marBottom w:val="75"/>
                  <w:divBdr>
                    <w:top w:val="single" w:sz="6" w:space="8" w:color="CCCCD4"/>
                    <w:left w:val="single" w:sz="6" w:space="8" w:color="CCCCD4"/>
                    <w:bottom w:val="single" w:sz="6" w:space="8" w:color="CCCCD4"/>
                    <w:right w:val="single" w:sz="6" w:space="8" w:color="CCCCD4"/>
                  </w:divBdr>
                  <w:divsChild>
                    <w:div w:id="1792892918">
                      <w:marLeft w:val="0"/>
                      <w:marRight w:val="0"/>
                      <w:marTop w:val="0"/>
                      <w:marBottom w:val="0"/>
                      <w:divBdr>
                        <w:top w:val="none" w:sz="0" w:space="0" w:color="auto"/>
                        <w:left w:val="none" w:sz="0" w:space="0" w:color="auto"/>
                        <w:bottom w:val="none" w:sz="0" w:space="0" w:color="auto"/>
                        <w:right w:val="none" w:sz="0" w:space="0" w:color="auto"/>
                      </w:divBdr>
                      <w:divsChild>
                        <w:div w:id="758450159">
                          <w:marLeft w:val="0"/>
                          <w:marRight w:val="0"/>
                          <w:marTop w:val="0"/>
                          <w:marBottom w:val="0"/>
                          <w:divBdr>
                            <w:top w:val="none" w:sz="0" w:space="0" w:color="auto"/>
                            <w:left w:val="none" w:sz="0" w:space="0" w:color="auto"/>
                            <w:bottom w:val="none" w:sz="0" w:space="0" w:color="auto"/>
                            <w:right w:val="single" w:sz="6" w:space="0" w:color="CCCCD4"/>
                          </w:divBdr>
                          <w:divsChild>
                            <w:div w:id="14120632">
                              <w:marLeft w:val="0"/>
                              <w:marRight w:val="0"/>
                              <w:marTop w:val="0"/>
                              <w:marBottom w:val="0"/>
                              <w:divBdr>
                                <w:top w:val="none" w:sz="0" w:space="0" w:color="auto"/>
                                <w:left w:val="none" w:sz="0" w:space="0" w:color="auto"/>
                                <w:bottom w:val="none" w:sz="0" w:space="0" w:color="auto"/>
                                <w:right w:val="none" w:sz="0" w:space="0" w:color="auto"/>
                              </w:divBdr>
                              <w:divsChild>
                                <w:div w:id="915283887">
                                  <w:marLeft w:val="0"/>
                                  <w:marRight w:val="0"/>
                                  <w:marTop w:val="0"/>
                                  <w:marBottom w:val="0"/>
                                  <w:divBdr>
                                    <w:top w:val="none" w:sz="0" w:space="0" w:color="auto"/>
                                    <w:left w:val="none" w:sz="0" w:space="0" w:color="auto"/>
                                    <w:bottom w:val="none" w:sz="0" w:space="0" w:color="auto"/>
                                    <w:right w:val="none" w:sz="0" w:space="0" w:color="auto"/>
                                  </w:divBdr>
                                  <w:divsChild>
                                    <w:div w:id="2179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181087">
      <w:bodyDiv w:val="1"/>
      <w:marLeft w:val="0"/>
      <w:marRight w:val="0"/>
      <w:marTop w:val="0"/>
      <w:marBottom w:val="0"/>
      <w:divBdr>
        <w:top w:val="none" w:sz="0" w:space="0" w:color="auto"/>
        <w:left w:val="none" w:sz="0" w:space="0" w:color="auto"/>
        <w:bottom w:val="none" w:sz="0" w:space="0" w:color="auto"/>
        <w:right w:val="none" w:sz="0" w:space="0" w:color="auto"/>
      </w:divBdr>
    </w:div>
    <w:div w:id="521434756">
      <w:bodyDiv w:val="1"/>
      <w:marLeft w:val="0"/>
      <w:marRight w:val="0"/>
      <w:marTop w:val="0"/>
      <w:marBottom w:val="0"/>
      <w:divBdr>
        <w:top w:val="none" w:sz="0" w:space="0" w:color="auto"/>
        <w:left w:val="none" w:sz="0" w:space="0" w:color="auto"/>
        <w:bottom w:val="none" w:sz="0" w:space="0" w:color="auto"/>
        <w:right w:val="none" w:sz="0" w:space="0" w:color="auto"/>
      </w:divBdr>
      <w:divsChild>
        <w:div w:id="122501071">
          <w:marLeft w:val="0"/>
          <w:marRight w:val="0"/>
          <w:marTop w:val="0"/>
          <w:marBottom w:val="0"/>
          <w:divBdr>
            <w:top w:val="none" w:sz="0" w:space="0" w:color="auto"/>
            <w:left w:val="none" w:sz="0" w:space="0" w:color="auto"/>
            <w:bottom w:val="none" w:sz="0" w:space="0" w:color="auto"/>
            <w:right w:val="none" w:sz="0" w:space="0" w:color="auto"/>
          </w:divBdr>
          <w:divsChild>
            <w:div w:id="1550268256">
              <w:marLeft w:val="0"/>
              <w:marRight w:val="0"/>
              <w:marTop w:val="0"/>
              <w:marBottom w:val="0"/>
              <w:divBdr>
                <w:top w:val="none" w:sz="0" w:space="0" w:color="auto"/>
                <w:left w:val="none" w:sz="0" w:space="0" w:color="auto"/>
                <w:bottom w:val="none" w:sz="0" w:space="0" w:color="auto"/>
                <w:right w:val="none" w:sz="0" w:space="0" w:color="auto"/>
              </w:divBdr>
              <w:divsChild>
                <w:div w:id="1832017695">
                  <w:marLeft w:val="0"/>
                  <w:marRight w:val="0"/>
                  <w:marTop w:val="0"/>
                  <w:marBottom w:val="0"/>
                  <w:divBdr>
                    <w:top w:val="none" w:sz="0" w:space="0" w:color="auto"/>
                    <w:left w:val="none" w:sz="0" w:space="0" w:color="auto"/>
                    <w:bottom w:val="none" w:sz="0" w:space="0" w:color="auto"/>
                    <w:right w:val="none" w:sz="0" w:space="0" w:color="auto"/>
                  </w:divBdr>
                  <w:divsChild>
                    <w:div w:id="1880584690">
                      <w:marLeft w:val="0"/>
                      <w:marRight w:val="0"/>
                      <w:marTop w:val="0"/>
                      <w:marBottom w:val="0"/>
                      <w:divBdr>
                        <w:top w:val="none" w:sz="0" w:space="0" w:color="auto"/>
                        <w:left w:val="none" w:sz="0" w:space="0" w:color="auto"/>
                        <w:bottom w:val="none" w:sz="0" w:space="0" w:color="auto"/>
                        <w:right w:val="none" w:sz="0" w:space="0" w:color="auto"/>
                      </w:divBdr>
                      <w:divsChild>
                        <w:div w:id="1313948513">
                          <w:marLeft w:val="0"/>
                          <w:marRight w:val="0"/>
                          <w:marTop w:val="0"/>
                          <w:marBottom w:val="0"/>
                          <w:divBdr>
                            <w:top w:val="none" w:sz="0" w:space="0" w:color="auto"/>
                            <w:left w:val="none" w:sz="0" w:space="0" w:color="auto"/>
                            <w:bottom w:val="none" w:sz="0" w:space="0" w:color="auto"/>
                            <w:right w:val="none" w:sz="0" w:space="0" w:color="auto"/>
                          </w:divBdr>
                        </w:div>
                        <w:div w:id="13804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077507">
      <w:bodyDiv w:val="1"/>
      <w:marLeft w:val="0"/>
      <w:marRight w:val="0"/>
      <w:marTop w:val="0"/>
      <w:marBottom w:val="0"/>
      <w:divBdr>
        <w:top w:val="none" w:sz="0" w:space="0" w:color="auto"/>
        <w:left w:val="none" w:sz="0" w:space="0" w:color="auto"/>
        <w:bottom w:val="none" w:sz="0" w:space="0" w:color="auto"/>
        <w:right w:val="none" w:sz="0" w:space="0" w:color="auto"/>
      </w:divBdr>
      <w:divsChild>
        <w:div w:id="223150921">
          <w:marLeft w:val="0"/>
          <w:marRight w:val="0"/>
          <w:marTop w:val="0"/>
          <w:marBottom w:val="0"/>
          <w:divBdr>
            <w:top w:val="single" w:sz="6" w:space="8" w:color="B8B8B8"/>
            <w:left w:val="none" w:sz="0" w:space="0" w:color="auto"/>
            <w:bottom w:val="none" w:sz="0" w:space="0" w:color="auto"/>
            <w:right w:val="none" w:sz="0" w:space="0" w:color="auto"/>
          </w:divBdr>
          <w:divsChild>
            <w:div w:id="362750632">
              <w:marLeft w:val="2"/>
              <w:marRight w:val="2"/>
              <w:marTop w:val="0"/>
              <w:marBottom w:val="0"/>
              <w:divBdr>
                <w:top w:val="single" w:sz="6" w:space="8" w:color="CDCCD4"/>
                <w:left w:val="single" w:sz="6" w:space="8" w:color="CDCCD4"/>
                <w:bottom w:val="single" w:sz="6" w:space="8" w:color="CDCCD4"/>
                <w:right w:val="single" w:sz="6" w:space="4" w:color="CDCCD4"/>
              </w:divBdr>
              <w:divsChild>
                <w:div w:id="1675301006">
                  <w:marLeft w:val="0"/>
                  <w:marRight w:val="0"/>
                  <w:marTop w:val="75"/>
                  <w:marBottom w:val="75"/>
                  <w:divBdr>
                    <w:top w:val="single" w:sz="6" w:space="8" w:color="CCCCD4"/>
                    <w:left w:val="single" w:sz="6" w:space="8" w:color="CCCCD4"/>
                    <w:bottom w:val="single" w:sz="6" w:space="8" w:color="CCCCD4"/>
                    <w:right w:val="single" w:sz="6" w:space="8" w:color="CCCCD4"/>
                  </w:divBdr>
                  <w:divsChild>
                    <w:div w:id="1776753368">
                      <w:marLeft w:val="0"/>
                      <w:marRight w:val="0"/>
                      <w:marTop w:val="0"/>
                      <w:marBottom w:val="0"/>
                      <w:divBdr>
                        <w:top w:val="none" w:sz="0" w:space="0" w:color="auto"/>
                        <w:left w:val="none" w:sz="0" w:space="0" w:color="auto"/>
                        <w:bottom w:val="none" w:sz="0" w:space="0" w:color="auto"/>
                        <w:right w:val="none" w:sz="0" w:space="0" w:color="auto"/>
                      </w:divBdr>
                      <w:divsChild>
                        <w:div w:id="1409501328">
                          <w:marLeft w:val="0"/>
                          <w:marRight w:val="0"/>
                          <w:marTop w:val="0"/>
                          <w:marBottom w:val="0"/>
                          <w:divBdr>
                            <w:top w:val="none" w:sz="0" w:space="0" w:color="auto"/>
                            <w:left w:val="none" w:sz="0" w:space="0" w:color="auto"/>
                            <w:bottom w:val="none" w:sz="0" w:space="0" w:color="auto"/>
                            <w:right w:val="single" w:sz="6" w:space="0" w:color="CCCCD4"/>
                          </w:divBdr>
                          <w:divsChild>
                            <w:div w:id="1214199253">
                              <w:marLeft w:val="0"/>
                              <w:marRight w:val="0"/>
                              <w:marTop w:val="0"/>
                              <w:marBottom w:val="0"/>
                              <w:divBdr>
                                <w:top w:val="none" w:sz="0" w:space="0" w:color="auto"/>
                                <w:left w:val="none" w:sz="0" w:space="0" w:color="auto"/>
                                <w:bottom w:val="none" w:sz="0" w:space="0" w:color="auto"/>
                                <w:right w:val="none" w:sz="0" w:space="0" w:color="auto"/>
                              </w:divBdr>
                              <w:divsChild>
                                <w:div w:id="815950510">
                                  <w:marLeft w:val="0"/>
                                  <w:marRight w:val="0"/>
                                  <w:marTop w:val="0"/>
                                  <w:marBottom w:val="0"/>
                                  <w:divBdr>
                                    <w:top w:val="none" w:sz="0" w:space="0" w:color="auto"/>
                                    <w:left w:val="none" w:sz="0" w:space="0" w:color="auto"/>
                                    <w:bottom w:val="none" w:sz="0" w:space="0" w:color="auto"/>
                                    <w:right w:val="none" w:sz="0" w:space="0" w:color="auto"/>
                                  </w:divBdr>
                                  <w:divsChild>
                                    <w:div w:id="6806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885643">
      <w:bodyDiv w:val="1"/>
      <w:marLeft w:val="0"/>
      <w:marRight w:val="0"/>
      <w:marTop w:val="0"/>
      <w:marBottom w:val="0"/>
      <w:divBdr>
        <w:top w:val="none" w:sz="0" w:space="0" w:color="auto"/>
        <w:left w:val="none" w:sz="0" w:space="0" w:color="auto"/>
        <w:bottom w:val="none" w:sz="0" w:space="0" w:color="auto"/>
        <w:right w:val="none" w:sz="0" w:space="0" w:color="auto"/>
      </w:divBdr>
      <w:divsChild>
        <w:div w:id="1854563443">
          <w:marLeft w:val="0"/>
          <w:marRight w:val="0"/>
          <w:marTop w:val="0"/>
          <w:marBottom w:val="0"/>
          <w:divBdr>
            <w:top w:val="none" w:sz="0" w:space="0" w:color="auto"/>
            <w:left w:val="none" w:sz="0" w:space="0" w:color="auto"/>
            <w:bottom w:val="none" w:sz="0" w:space="0" w:color="auto"/>
            <w:right w:val="none" w:sz="0" w:space="0" w:color="auto"/>
          </w:divBdr>
          <w:divsChild>
            <w:div w:id="508983961">
              <w:marLeft w:val="0"/>
              <w:marRight w:val="0"/>
              <w:marTop w:val="0"/>
              <w:marBottom w:val="0"/>
              <w:divBdr>
                <w:top w:val="none" w:sz="0" w:space="0" w:color="auto"/>
                <w:left w:val="none" w:sz="0" w:space="0" w:color="auto"/>
                <w:bottom w:val="none" w:sz="0" w:space="0" w:color="auto"/>
                <w:right w:val="none" w:sz="0" w:space="0" w:color="auto"/>
              </w:divBdr>
              <w:divsChild>
                <w:div w:id="21902380">
                  <w:marLeft w:val="0"/>
                  <w:marRight w:val="0"/>
                  <w:marTop w:val="0"/>
                  <w:marBottom w:val="450"/>
                  <w:divBdr>
                    <w:top w:val="none" w:sz="0" w:space="0" w:color="auto"/>
                    <w:left w:val="none" w:sz="0" w:space="0" w:color="auto"/>
                    <w:bottom w:val="none" w:sz="0" w:space="0" w:color="auto"/>
                    <w:right w:val="none" w:sz="0" w:space="0" w:color="auto"/>
                  </w:divBdr>
                  <w:divsChild>
                    <w:div w:id="1972395658">
                      <w:marLeft w:val="0"/>
                      <w:marRight w:val="0"/>
                      <w:marTop w:val="0"/>
                      <w:marBottom w:val="300"/>
                      <w:divBdr>
                        <w:top w:val="none" w:sz="0" w:space="0" w:color="auto"/>
                        <w:left w:val="none" w:sz="0" w:space="0" w:color="auto"/>
                        <w:bottom w:val="none" w:sz="0" w:space="0" w:color="auto"/>
                        <w:right w:val="none" w:sz="0" w:space="0" w:color="auto"/>
                      </w:divBdr>
                      <w:divsChild>
                        <w:div w:id="17108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94388">
      <w:bodyDiv w:val="1"/>
      <w:marLeft w:val="0"/>
      <w:marRight w:val="0"/>
      <w:marTop w:val="0"/>
      <w:marBottom w:val="0"/>
      <w:divBdr>
        <w:top w:val="none" w:sz="0" w:space="0" w:color="auto"/>
        <w:left w:val="none" w:sz="0" w:space="0" w:color="auto"/>
        <w:bottom w:val="none" w:sz="0" w:space="0" w:color="auto"/>
        <w:right w:val="none" w:sz="0" w:space="0" w:color="auto"/>
      </w:divBdr>
    </w:div>
    <w:div w:id="1225991392">
      <w:bodyDiv w:val="1"/>
      <w:marLeft w:val="0"/>
      <w:marRight w:val="0"/>
      <w:marTop w:val="0"/>
      <w:marBottom w:val="0"/>
      <w:divBdr>
        <w:top w:val="none" w:sz="0" w:space="0" w:color="auto"/>
        <w:left w:val="none" w:sz="0" w:space="0" w:color="auto"/>
        <w:bottom w:val="none" w:sz="0" w:space="0" w:color="auto"/>
        <w:right w:val="none" w:sz="0" w:space="0" w:color="auto"/>
      </w:divBdr>
      <w:divsChild>
        <w:div w:id="1099913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098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8476470">
      <w:bodyDiv w:val="1"/>
      <w:marLeft w:val="0"/>
      <w:marRight w:val="0"/>
      <w:marTop w:val="0"/>
      <w:marBottom w:val="0"/>
      <w:divBdr>
        <w:top w:val="none" w:sz="0" w:space="0" w:color="auto"/>
        <w:left w:val="none" w:sz="0" w:space="0" w:color="auto"/>
        <w:bottom w:val="none" w:sz="0" w:space="0" w:color="auto"/>
        <w:right w:val="none" w:sz="0" w:space="0" w:color="auto"/>
      </w:divBdr>
    </w:div>
    <w:div w:id="1623919201">
      <w:bodyDiv w:val="1"/>
      <w:marLeft w:val="0"/>
      <w:marRight w:val="0"/>
      <w:marTop w:val="0"/>
      <w:marBottom w:val="0"/>
      <w:divBdr>
        <w:top w:val="none" w:sz="0" w:space="0" w:color="auto"/>
        <w:left w:val="none" w:sz="0" w:space="0" w:color="auto"/>
        <w:bottom w:val="none" w:sz="0" w:space="0" w:color="auto"/>
        <w:right w:val="none" w:sz="0" w:space="0" w:color="auto"/>
      </w:divBdr>
    </w:div>
    <w:div w:id="2044211030">
      <w:bodyDiv w:val="1"/>
      <w:marLeft w:val="0"/>
      <w:marRight w:val="0"/>
      <w:marTop w:val="0"/>
      <w:marBottom w:val="0"/>
      <w:divBdr>
        <w:top w:val="none" w:sz="0" w:space="0" w:color="auto"/>
        <w:left w:val="none" w:sz="0" w:space="0" w:color="auto"/>
        <w:bottom w:val="none" w:sz="0" w:space="0" w:color="auto"/>
        <w:right w:val="none" w:sz="0" w:space="0" w:color="auto"/>
      </w:divBdr>
    </w:div>
    <w:div w:id="2115897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http://www.canberra.edu.au/%20faculties/busgovlaw/study-with-bgl/research-courses" TargetMode="External"/><Relationship Id="rId26" Type="http://schemas.openxmlformats.org/officeDocument/2006/relationships/hyperlink" Target="http://www.berkeley.edu/news/media/releases/2003/12/03_master.shtml" TargetMode="External"/><Relationship Id="rId3" Type="http://schemas.openxmlformats.org/officeDocument/2006/relationships/styles" Target="styles.xml"/><Relationship Id="rId21" Type="http://schemas.openxmlformats.org/officeDocument/2006/relationships/hyperlink" Target="http://parlinfo.aph.gov.au/parlIDebatesnfo/search/%20display/display.w3p;adv=yes;orderBy=customrank;page=0;query=Content%3A%22tertiary%20education%22%20AuthorSpeakerReporter%3AGorton%20Date%3A04%2F03%2F1965%20%3E%3E%2030%2F12%2F1965%20Dataset%3Ahansards,hansards80;rec=1;resCount=Default"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parlinfo.aph.gov.au/parlInfo/search/display/display.w3p;adv=yes;orderBy=customrank;page=0;query=Content%3A%22tertiary%20education%22%20AuthorSpeakerReporter%3AGorton%20Date%3A04%2F03%2F1965%20%3E%3E%2030%2F12%2F1965%20Dataset%3Ahansards,hansards80;rec=13;resCount=Default" TargetMode="External"/><Relationship Id="rId25" Type="http://schemas.openxmlformats.org/officeDocument/2006/relationships/hyperlink" Target="http://nla.gov.au/nla.oh-vn5537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0.emf"/><Relationship Id="rId20" Type="http://schemas.openxmlformats.org/officeDocument/2006/relationships/hyperlink" Target="http://parlinfo.aph.gov.au/parlInfo/%20search/display/display.w3p;adv=yes;db=HANSARD80;id=hansard80%2Fhansardr80%2F1967-05-16%2F0127;orderBy=customrank;page=0;query=Content%3A%22Wark%20Committee%22%20Date%3A01%2F03%2F1965%20%3E%3E%2012%2F12%2F1970%20Dataset%3Ahansardr,hansardr80;rec=9;resCount=Default" TargetMode="External"/><Relationship Id="rId29" Type="http://schemas.openxmlformats.org/officeDocument/2006/relationships/hyperlink" Target="http://www.theaustralian.com.au/higher-education/special-time-for-higher-education-says-new-uts-vc/story%3e.%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http://catalogue.nla.gov.au/Search/Home?lookfor=author:%22Gorton%2C%20John%2C%20Sir%2C%201911-2002%22&amp;iknowwhatimean=1"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0.emf"/><Relationship Id="rId23" Type="http://schemas.openxmlformats.org/officeDocument/2006/relationships/hyperlink" Target="http://www.highereducation.org/crosstalk/ctbook/pdfbook/MasterPlanBookLayout.pdf" TargetMode="External"/><Relationship Id="rId28" Type="http://schemas.openxmlformats.org/officeDocument/2006/relationships/hyperlink" Target="http://www.theaustralian.com.au/" TargetMode="External"/><Relationship Id="rId10" Type="http://schemas.openxmlformats.org/officeDocument/2006/relationships/image" Target="media/image2.jpeg"/><Relationship Id="rId19" Type="http://schemas.openxmlformats.org/officeDocument/2006/relationships/hyperlink" Target="http://dx.doi.org/10.1080/00048623.2000.10755126"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0.wmf"/><Relationship Id="rId22" Type="http://schemas.openxmlformats.org/officeDocument/2006/relationships/hyperlink" Target="http://parlinfo.aph.gov.au/parlInfo/search/display/display.w3p;%20adv=yes;orderBy=customrank;page=0;query=Content%3A%22tertiary%20education%22%20AuthorSpeakerReporter%3AGorton%20Date%3A04%2F03%2F1965%20%3E%3E%2030%2F12%2F1965%20Dataset%3Ahansards,hansards80;rec=13;resCount=Default" TargetMode="External"/><Relationship Id="rId27" Type="http://schemas.openxmlformats.org/officeDocument/2006/relationships/hyperlink" Target="http://www.innovation.gov.au/%20HigherEducation/StudentSupport/NationalProtocolsForHigherEducationApprovalProcesses/Documents/NationaProtocolsforHEApprovalProcesses/uni_new_england_info_pdf.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A2ACD-D87B-457B-82D7-F4DC037A5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C37DC959.dotm</Template>
  <TotalTime>658</TotalTime>
  <Pages>42</Pages>
  <Words>18893</Words>
  <Characters>107691</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126332</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Differentiated model - tertiary</dc:title>
  <dc:creator>Francesca Beddie</dc:creator>
  <cp:lastModifiedBy>Kaye McAdam</cp:lastModifiedBy>
  <cp:revision>38</cp:revision>
  <cp:lastPrinted>2014-08-11T02:13:00Z</cp:lastPrinted>
  <dcterms:created xsi:type="dcterms:W3CDTF">2014-07-15T06:02:00Z</dcterms:created>
  <dcterms:modified xsi:type="dcterms:W3CDTF">2014-09-01T23:20:00Z</dcterms:modified>
</cp:coreProperties>
</file>