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8F33D2" w:rsidP="00177827">
      <w:pPr>
        <w:pStyle w:val="PublicationTitle"/>
        <w:spacing w:before="0"/>
      </w:pPr>
      <w:bookmarkStart w:id="0" w:name="_Toc296423677"/>
      <w:bookmarkStart w:id="1" w:name="_Toc296497508"/>
      <w:r>
        <w:rPr>
          <w:noProof/>
          <w:lang w:eastAsia="en-AU"/>
        </w:rPr>
        <w:drawing>
          <wp:anchor distT="0" distB="0" distL="114300" distR="114300" simplePos="0" relativeHeight="251674624" behindDoc="0" locked="0" layoutInCell="1" allowOverlap="1">
            <wp:simplePos x="0" y="0"/>
            <wp:positionH relativeFrom="column">
              <wp:posOffset>-424180</wp:posOffset>
            </wp:positionH>
            <wp:positionV relativeFrom="paragraph">
              <wp:posOffset>961390</wp:posOffset>
            </wp:positionV>
            <wp:extent cx="4219575" cy="752475"/>
            <wp:effectExtent l="19050" t="0" r="9525" b="0"/>
            <wp:wrapSquare wrapText="bothSides"/>
            <wp:docPr id="1" name="Picture 1" descr="P:\PublicationComponents\logos\DIICCSRTE\CS5 logos\DIICCSRTE_2 line_strip_CS5.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DIICCSRTE\CS5 logos\DIICCSRTE_2 line_strip_CS5.5.eps"/>
                    <pic:cNvPicPr>
                      <a:picLocks noChangeAspect="1" noChangeArrowheads="1"/>
                    </pic:cNvPicPr>
                  </pic:nvPicPr>
                  <pic:blipFill>
                    <a:blip r:embed="rId8"/>
                    <a:srcRect/>
                    <a:stretch>
                      <a:fillRect/>
                    </a:stretch>
                  </pic:blipFill>
                  <pic:spPr bwMode="auto">
                    <a:xfrm>
                      <a:off x="0" y="0"/>
                      <a:ext cx="4219575" cy="752475"/>
                    </a:xfrm>
                    <a:prstGeom prst="rect">
                      <a:avLst/>
                    </a:prstGeom>
                    <a:noFill/>
                    <a:ln w="9525">
                      <a:noFill/>
                      <a:miter lim="800000"/>
                      <a:headEnd/>
                      <a:tailEnd/>
                    </a:ln>
                  </pic:spPr>
                </pic:pic>
              </a:graphicData>
            </a:graphic>
          </wp:anchor>
        </w:drawing>
      </w:r>
      <w:r w:rsidR="0048663C">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7C75D3" w:rsidRDefault="007C75D3" w:rsidP="008F33D2">
      <w:pPr>
        <w:pStyle w:val="PublicationTitle"/>
        <w:spacing w:before="0" w:after="0"/>
        <w:ind w:left="0"/>
      </w:pPr>
    </w:p>
    <w:bookmarkEnd w:id="0"/>
    <w:bookmarkEnd w:id="1"/>
    <w:p w:rsidR="009E231A" w:rsidRPr="005C2FCF" w:rsidRDefault="00FC3236" w:rsidP="00177827">
      <w:pPr>
        <w:pStyle w:val="PublicationTitle"/>
        <w:spacing w:before="0"/>
      </w:pPr>
      <w:r w:rsidRPr="002A4DD0">
        <w:t>Industry</w:t>
      </w:r>
      <w:r>
        <w:t xml:space="preserve"> currency and professional obsolescence</w:t>
      </w:r>
      <w:r w:rsidR="00701953">
        <w:t>:</w:t>
      </w:r>
      <w:r>
        <w:t xml:space="preserve"> what can industry tell us?</w:t>
      </w:r>
    </w:p>
    <w:p w:rsidR="00177827" w:rsidRDefault="00FC3236" w:rsidP="00177827">
      <w:pPr>
        <w:pStyle w:val="Authors"/>
      </w:pPr>
      <w:bookmarkStart w:id="2" w:name="_Toc296423678"/>
      <w:bookmarkStart w:id="3" w:name="_Toc296497509"/>
      <w:r>
        <w:t>Berwyn Clayton</w:t>
      </w:r>
    </w:p>
    <w:bookmarkEnd w:id="2"/>
    <w:bookmarkEnd w:id="3"/>
    <w:p w:rsidR="009E231A" w:rsidRDefault="00FC3236" w:rsidP="00194C2A">
      <w:pPr>
        <w:pStyle w:val="Organisation"/>
        <w:spacing w:before="40"/>
      </w:pPr>
      <w:r>
        <w:t>Victoria University</w:t>
      </w:r>
    </w:p>
    <w:p w:rsidR="00677EE6" w:rsidRDefault="00677EE6" w:rsidP="00194C2A">
      <w:pPr>
        <w:pStyle w:val="Authors"/>
        <w:spacing w:before="120"/>
        <w:ind w:right="0"/>
      </w:pPr>
      <w:r>
        <w:t>Pam Jonas</w:t>
      </w:r>
    </w:p>
    <w:p w:rsidR="00677EE6" w:rsidRDefault="00677EE6" w:rsidP="00194C2A">
      <w:pPr>
        <w:pStyle w:val="Organisation"/>
        <w:spacing w:before="40"/>
      </w:pPr>
      <w:r>
        <w:t>Victorian TAFE Association</w:t>
      </w:r>
    </w:p>
    <w:p w:rsidR="00FC3236" w:rsidRDefault="00FC3236" w:rsidP="00194C2A">
      <w:pPr>
        <w:pStyle w:val="Authors"/>
        <w:spacing w:before="120"/>
        <w:ind w:right="0"/>
      </w:pPr>
      <w:r>
        <w:t>Regan Harding</w:t>
      </w:r>
    </w:p>
    <w:p w:rsidR="00FC3236" w:rsidRDefault="00FC3236" w:rsidP="00194C2A">
      <w:pPr>
        <w:pStyle w:val="Organisation"/>
        <w:spacing w:before="40"/>
      </w:pPr>
      <w:r>
        <w:t>TAFENSW North Coast</w:t>
      </w:r>
      <w:r w:rsidR="00FA7955">
        <w:t xml:space="preserve"> Institute</w:t>
      </w:r>
    </w:p>
    <w:p w:rsidR="00FC3236" w:rsidRDefault="00FC3236" w:rsidP="00194C2A">
      <w:pPr>
        <w:pStyle w:val="Authors"/>
        <w:spacing w:before="120"/>
        <w:ind w:right="0"/>
      </w:pPr>
      <w:r>
        <w:t>Mark Harris</w:t>
      </w:r>
    </w:p>
    <w:p w:rsidR="00FC3236" w:rsidRDefault="00FC3236" w:rsidP="00194C2A">
      <w:pPr>
        <w:pStyle w:val="Organisation"/>
        <w:spacing w:before="40"/>
      </w:pPr>
      <w:r>
        <w:t>Global</w:t>
      </w:r>
      <w:r w:rsidR="00FA7955">
        <w:t xml:space="preserve"> Education &amp; HR Consultancy Services</w:t>
      </w:r>
    </w:p>
    <w:p w:rsidR="00FC3236" w:rsidRDefault="00FC3236" w:rsidP="00194C2A">
      <w:pPr>
        <w:pStyle w:val="Authors"/>
        <w:spacing w:before="120"/>
        <w:ind w:right="0"/>
      </w:pPr>
      <w:r>
        <w:t xml:space="preserve">Melinda </w:t>
      </w:r>
      <w:proofErr w:type="spellStart"/>
      <w:r>
        <w:t>Toze</w:t>
      </w:r>
      <w:proofErr w:type="spellEnd"/>
    </w:p>
    <w:p w:rsidR="006C5DA9" w:rsidRPr="006C5DA9" w:rsidRDefault="00FC3236" w:rsidP="00194C2A">
      <w:pPr>
        <w:pStyle w:val="Organisation"/>
        <w:spacing w:before="40"/>
      </w:pPr>
      <w:r>
        <w:t>Queensland</w:t>
      </w:r>
      <w:r w:rsidR="00FA7955">
        <w:t xml:space="preserve"> VET Development Centre</w:t>
      </w:r>
    </w:p>
    <w:p w:rsidR="008B22E2" w:rsidRDefault="00F8578D" w:rsidP="00E57478">
      <w:pPr>
        <w:pStyle w:val="Heading3"/>
        <w:ind w:right="-1"/>
      </w:pPr>
      <w:r w:rsidRPr="00F8578D">
        <w:rPr>
          <w:noProof/>
          <w:lang w:val="en-US"/>
        </w:rPr>
        <w:pict>
          <v:shapetype id="_x0000_t202" coordsize="21600,21600" o:spt="202" path="m,l,21600r21600,l21600,xe">
            <v:stroke joinstyle="miter"/>
            <v:path gradientshapeok="t" o:connecttype="rect"/>
          </v:shapetype>
          <v:shape id="Text Box 12" o:spid="_x0000_s1026" type="#_x0000_t202" style="position:absolute;margin-left:79.95pt;margin-top:555.35pt;width:218.15pt;height:83pt;z-index:251660288;visibility:visible;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" filled="f" stroked="f">
            <v:textbox>
              <w:txbxContent>
                <w:p w:rsidR="00106DD9" w:rsidRPr="00194C2A" w:rsidRDefault="00106DD9" w:rsidP="00194C2A">
                  <w:pPr>
                    <w:pStyle w:val="Heading3"/>
                    <w:rPr>
                      <w:rFonts w:ascii="Trebuchet MS" w:hAnsi="Trebuchet MS"/>
                      <w:szCs w:val="24"/>
                    </w:rPr>
                  </w:pPr>
                  <w:r w:rsidRPr="00194C2A">
                    <w:rPr>
                      <w:rFonts w:ascii="Trebuchet MS" w:hAnsi="Trebuchet MS"/>
                      <w:szCs w:val="24"/>
                    </w:rPr>
                    <w:t xml:space="preserve">NATIONAL VOCATIONAL EDUCATION AND TRAINING RESEARCH PROGRAM </w:t>
                  </w:r>
                </w:p>
                <w:p w:rsidR="00106DD9" w:rsidRPr="00194C2A" w:rsidRDefault="00106DD9" w:rsidP="00194C2A">
                  <w:pPr>
                    <w:pStyle w:val="Heading3"/>
                    <w:spacing w:before="80"/>
                    <w:rPr>
                      <w:rFonts w:ascii="Trebuchet MS" w:hAnsi="Trebuchet MS"/>
                      <w:szCs w:val="24"/>
                    </w:rPr>
                  </w:pPr>
                  <w:r w:rsidRPr="00194C2A">
                    <w:rPr>
                      <w:rFonts w:ascii="Trebuchet MS" w:hAnsi="Trebuchet MS"/>
                      <w:b/>
                      <w:szCs w:val="24"/>
                    </w:rPr>
                    <w:t>RESEARCH REPORT</w:t>
                  </w:r>
                </w:p>
              </w:txbxContent>
            </v:textbox>
            <w10:wrap anchory="margin"/>
          </v:shape>
        </w:pict>
      </w:r>
      <w:r w:rsidRPr="00F8578D">
        <w:rPr>
          <w:noProof/>
          <w:lang w:val="en-US"/>
        </w:rPr>
        <w:pict>
          <v:shape id="Text Box 10" o:spid="_x0000_s1027" type="#_x0000_t202" style="position:absolute;margin-left:73.1pt;margin-top:659.7pt;width:357pt;height:83pt;z-index:251658240;visibility:visible;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" filled="f" stroked="f">
            <v:textbox>
              <w:txbxContent>
                <w:p w:rsidR="00106DD9" w:rsidRDefault="00106DD9"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106DD9" w:rsidRDefault="00106DD9" w:rsidP="00194C2A">
                  <w:pPr>
                    <w:pStyle w:val="Imprint"/>
                    <w:spacing w:before="120"/>
                    <w:ind w:left="142" w:right="10"/>
                  </w:pPr>
                  <w:r w:rsidRPr="005C2FCF">
                    <w:rPr>
                      <w:color w:val="000000"/>
                    </w:rPr>
                    <w:t>Any interpretation of data is the responsibility of the author/project team.</w:t>
                  </w:r>
                </w:p>
              </w:txbxContent>
            </v:textbox>
            <w10:wrap anchory="margin"/>
          </v:shape>
        </w:pict>
      </w:r>
      <w:r w:rsidR="00FE4A2D" w:rsidRPr="005C2FCF">
        <w:br w:type="page"/>
      </w:r>
    </w:p>
    <w:p w:rsidR="009E231A" w:rsidRPr="005C2FCF" w:rsidRDefault="00FE4A2D" w:rsidP="00E57478">
      <w:pPr>
        <w:pStyle w:val="Heading3"/>
        <w:ind w:right="-1"/>
      </w:pPr>
      <w:r w:rsidRPr="005C2FCF">
        <w:lastRenderedPageBreak/>
        <w:t>Publisher’s note</w:t>
      </w:r>
    </w:p>
    <w:p w:rsidR="00385DFD" w:rsidRPr="00FA4E2D" w:rsidRDefault="00385DFD" w:rsidP="00385DFD">
      <w:pPr>
        <w:pStyle w:val="Imprint"/>
        <w:ind w:right="566"/>
      </w:pPr>
      <w:r w:rsidRPr="00FA4E2D">
        <w:t>Additional information relating to thi</w:t>
      </w:r>
      <w:r>
        <w:t xml:space="preserve">s research is available in </w:t>
      </w:r>
      <w:r>
        <w:rPr>
          <w:i/>
        </w:rPr>
        <w:t>Industry currency and professional obsolescence</w:t>
      </w:r>
      <w:r w:rsidRPr="00D418CE">
        <w:rPr>
          <w:i/>
        </w:rPr>
        <w:t>:</w:t>
      </w:r>
      <w:r>
        <w:rPr>
          <w:i/>
        </w:rPr>
        <w:t xml:space="preserve"> what can industry tell us? —</w:t>
      </w:r>
      <w:r w:rsidRPr="00D418CE">
        <w:rPr>
          <w:i/>
        </w:rPr>
        <w:t xml:space="preserve"> </w:t>
      </w:r>
      <w:r>
        <w:rPr>
          <w:i/>
        </w:rPr>
        <w:t>s</w:t>
      </w:r>
      <w:r w:rsidRPr="00D418CE">
        <w:rPr>
          <w:i/>
        </w:rPr>
        <w:t>upport document</w:t>
      </w:r>
      <w:r>
        <w:t>.</w:t>
      </w:r>
      <w:r w:rsidRPr="00FA4E2D">
        <w:t xml:space="preserve"> It can be accessed from NCVER’s website &lt;http://www.ncver.edu.au</w:t>
      </w:r>
      <w:r>
        <w:t>/publications/2622.html&gt;</w:t>
      </w:r>
      <w:r w:rsidRPr="00FA4E2D">
        <w:t>.</w:t>
      </w:r>
    </w:p>
    <w:p w:rsidR="00233BFA" w:rsidRDefault="00233BFA" w:rsidP="00E57478">
      <w:pPr>
        <w:pStyle w:val="Imprint"/>
        <w:ind w:right="-1"/>
      </w:pPr>
      <w:r>
        <w:t>To find other material of interest, search VOCED (the UNESCO/NCVER international database &lt;</w:t>
      </w:r>
      <w:hyperlink r:id="rId10" w:history="1">
        <w:r>
          <w:t>http://www.voced.edu.au</w:t>
        </w:r>
      </w:hyperlink>
      <w:r>
        <w:t xml:space="preserve">&gt;) using the following keywords: </w:t>
      </w:r>
      <w:r w:rsidR="00AF314D">
        <w:t>employers; industry; practitioners; professional development; trainers; vocational education and training; workforce development.</w:t>
      </w:r>
    </w:p>
    <w:p w:rsidR="00FF5931" w:rsidRDefault="00FF5931" w:rsidP="00233BFA">
      <w:pPr>
        <w:pStyle w:val="Imprint"/>
        <w:rPr>
          <w:sz w:val="19"/>
          <w:szCs w:val="19"/>
        </w:rPr>
      </w:pPr>
    </w:p>
    <w:p w:rsidR="009E231A" w:rsidRPr="00C77DC6" w:rsidRDefault="00F8578D" w:rsidP="0049453B">
      <w:pPr>
        <w:pStyle w:val="Abouttheresearch"/>
      </w:pPr>
      <w:r w:rsidRPr="00F8578D">
        <w:rPr>
          <w:noProof/>
          <w:lang w:val="en-US"/>
        </w:rPr>
        <w:pict>
          <v:shape id="Text Box 14" o:spid="_x0000_s1029" type="#_x0000_t202" style="position:absolute;margin-left:0;margin-top:138.35pt;width:377.7pt;height:456pt;z-index:251661312;visibility:visibl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" filled="f" stroked="f">
            <v:textbox inset="0,,0">
              <w:txbxContent>
                <w:p w:rsidR="00106DD9" w:rsidRPr="00F301D8" w:rsidRDefault="00106DD9" w:rsidP="000E0962">
                  <w:pPr>
                    <w:pStyle w:val="Imprint"/>
                    <w:rPr>
                      <w:b/>
                    </w:rPr>
                  </w:pPr>
                  <w:r w:rsidRPr="00F301D8">
                    <w:rPr>
                      <w:b/>
                    </w:rPr>
                    <w:t>© Commonwealth of Australia, 2013</w:t>
                  </w:r>
                </w:p>
                <w:p w:rsidR="00106DD9" w:rsidRDefault="00106DD9" w:rsidP="000E0962">
                  <w:pPr>
                    <w:pStyle w:val="Imprint"/>
                    <w:rPr>
                      <w:sz w:val="20"/>
                    </w:rPr>
                  </w:pPr>
                  <w:r w:rsidRPr="00E80270">
                    <w:rPr>
                      <w:noProof/>
                      <w:sz w:val="20"/>
                      <w:lang w:eastAsia="en-AU"/>
                    </w:rPr>
                    <w:drawing>
                      <wp:inline distT="0" distB="0" distL="0" distR="0">
                        <wp:extent cx="850265" cy="302895"/>
                        <wp:effectExtent l="19050" t="0" r="6985" b="0"/>
                        <wp:docPr id="1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106DD9" w:rsidRPr="00A021FC" w:rsidRDefault="00106DD9" w:rsidP="000E0962">
                  <w:pPr>
                    <w:pStyle w:val="Imprint"/>
                  </w:pPr>
                  <w:r w:rsidRPr="00A021FC">
                    <w:t>With the exception of the Commonwealth Coat of Arms, the Department’s logo, any material protected by a trade mark and where otherwise noted all material presented in this document is provided under a Creative Commons At</w:t>
                  </w:r>
                  <w:r>
                    <w:t>tribution 3.0 Australia &lt;</w:t>
                  </w:r>
                  <w:r w:rsidRPr="00A021FC">
                    <w:t xml:space="preserve">creativecommons.org/licenses/by/3.0/au&gt; licence. </w:t>
                  </w:r>
                </w:p>
                <w:p w:rsidR="00106DD9" w:rsidRPr="00A021FC" w:rsidRDefault="00106DD9" w:rsidP="000E0962">
                  <w:pPr>
                    <w:pStyle w:val="Imprint"/>
                    <w:spacing w:before="80"/>
                  </w:pPr>
                  <w:r w:rsidRPr="00A021FC">
                    <w:t xml:space="preserve">The details of the relevant licence conditions are available on the Creative Commons website (accessible using the links provided) as is the full legal code for </w:t>
                  </w:r>
                  <w:r>
                    <w:t>the CC BY 3.0 AU licence &lt;</w:t>
                  </w:r>
                  <w:r w:rsidRPr="00A021FC">
                    <w:t>creativecommons.org/licenses/by/3.0/</w:t>
                  </w:r>
                  <w:proofErr w:type="spellStart"/>
                  <w:r w:rsidRPr="00A021FC">
                    <w:t>legalcode</w:t>
                  </w:r>
                  <w:proofErr w:type="spellEnd"/>
                  <w:r w:rsidRPr="00A021FC">
                    <w:t>&gt;.</w:t>
                  </w:r>
                </w:p>
                <w:p w:rsidR="00106DD9" w:rsidRPr="00A021FC" w:rsidRDefault="00106DD9" w:rsidP="000E0962">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106DD9" w:rsidRPr="00A021FC" w:rsidRDefault="00106DD9" w:rsidP="000E0962">
                  <w:pPr>
                    <w:pStyle w:val="Imprint"/>
                    <w:spacing w:before="80"/>
                  </w:pPr>
                  <w:r w:rsidRPr="00A021FC">
                    <w:t xml:space="preserve">This document should be attributed as </w:t>
                  </w:r>
                  <w:r>
                    <w:t xml:space="preserve">Clayton, B, Jonas, P, Harding, R, Harris, M &amp; </w:t>
                  </w:r>
                  <w:proofErr w:type="spellStart"/>
                  <w:r>
                    <w:t>Toze</w:t>
                  </w:r>
                  <w:proofErr w:type="spellEnd"/>
                  <w:r>
                    <w:t>, M 2013,</w:t>
                  </w:r>
                  <w:r w:rsidRPr="005540A8">
                    <w:t xml:space="preserve"> </w:t>
                  </w:r>
                  <w:r>
                    <w:rPr>
                      <w:i/>
                    </w:rPr>
                    <w:t>Industry currency and professional obsolescence: what can industry tell us?</w:t>
                  </w:r>
                  <w:r w:rsidRPr="00A021FC">
                    <w:rPr>
                      <w:i/>
                    </w:rPr>
                    <w:t>,</w:t>
                  </w:r>
                  <w:r w:rsidRPr="00A021FC">
                    <w:t xml:space="preserve"> NCVER, Adelaide.</w:t>
                  </w:r>
                </w:p>
                <w:p w:rsidR="00106DD9" w:rsidRPr="00A021FC" w:rsidRDefault="00106DD9" w:rsidP="000E0962">
                  <w:pPr>
                    <w:pStyle w:val="Imprint"/>
                  </w:pPr>
                  <w:r w:rsidRPr="00A021FC">
                    <w:t xml:space="preserve">This work has been produced by NCVER on behalf of the Australian Government and state and territory governments, with funding provided through the Department of Industry, Innovation, </w:t>
                  </w:r>
                  <w:r>
                    <w:t xml:space="preserve">Climate Change, </w:t>
                  </w:r>
                  <w:r w:rsidRPr="00A021FC">
                    <w:t xml:space="preserve">Science, Research and Tertiary Education. </w:t>
                  </w:r>
                </w:p>
                <w:p w:rsidR="00106DD9" w:rsidRPr="00A021FC" w:rsidRDefault="00106DD9" w:rsidP="000E0962">
                  <w:pPr>
                    <w:pStyle w:val="Imprint"/>
                    <w:spacing w:before="80"/>
                  </w:pPr>
                  <w:r w:rsidRPr="00A021FC">
                    <w:t>The views and opinions expressed in this document are those of NCVER and do not necessarily reflect the views of the Australian Government or state and territory governments.</w:t>
                  </w:r>
                </w:p>
                <w:p w:rsidR="00106DD9" w:rsidRPr="00EC29E3" w:rsidRDefault="00106DD9" w:rsidP="00541B94">
                  <w:pPr>
                    <w:pStyle w:val="Imprint"/>
                    <w:ind w:right="1700"/>
                    <w:rPr>
                      <w:smallCaps/>
                      <w:color w:val="000000"/>
                    </w:rPr>
                  </w:pPr>
                  <w:r>
                    <w:rPr>
                      <w:smallCaps/>
                      <w:color w:val="000000"/>
                    </w:rPr>
                    <w:t>COVER IMAGE: GETTY IMAGES/THINKSTOCK</w:t>
                  </w:r>
                </w:p>
                <w:p w:rsidR="00106DD9" w:rsidRPr="005C2FCF" w:rsidRDefault="00106DD9" w:rsidP="00A30084">
                  <w:pPr>
                    <w:pStyle w:val="Imprint"/>
                    <w:rPr>
                      <w:color w:val="000000"/>
                    </w:rPr>
                  </w:pPr>
                  <w:r w:rsidRPr="005C2FCF">
                    <w:rPr>
                      <w:color w:val="000000"/>
                    </w:rPr>
                    <w:t>ISBN</w:t>
                  </w:r>
                  <w:r w:rsidRPr="005C2FCF">
                    <w:rPr>
                      <w:color w:val="000000"/>
                    </w:rPr>
                    <w:tab/>
                  </w:r>
                  <w:r w:rsidRPr="00272E21">
                    <w:rPr>
                      <w:color w:val="000000"/>
                    </w:rPr>
                    <w:t>978 1 922056 56 6</w:t>
                  </w:r>
                  <w:r>
                    <w:rPr>
                      <w:color w:val="000000"/>
                    </w:rPr>
                    <w:br/>
                  </w:r>
                  <w:r w:rsidRPr="005C2FCF">
                    <w:rPr>
                      <w:color w:val="000000"/>
                    </w:rPr>
                    <w:t>TD/TNC</w:t>
                  </w:r>
                  <w:r w:rsidRPr="005C2FCF">
                    <w:rPr>
                      <w:color w:val="000000"/>
                    </w:rPr>
                    <w:tab/>
                  </w:r>
                  <w:r>
                    <w:rPr>
                      <w:color w:val="000000"/>
                    </w:rPr>
                    <w:t>112.13</w:t>
                  </w:r>
                </w:p>
                <w:p w:rsidR="00106DD9" w:rsidRPr="005C2FCF" w:rsidRDefault="00106DD9" w:rsidP="000E0962">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106DD9" w:rsidRPr="005C2FCF" w:rsidRDefault="00106DD9" w:rsidP="000E096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106DD9" w:rsidRPr="00F675D7" w:rsidRDefault="00106DD9" w:rsidP="000E0962">
                  <w:pPr>
                    <w:pStyle w:val="Imprint"/>
                    <w:spacing w:before="80"/>
                    <w:rPr>
                      <w:color w:val="000000"/>
                      <w:lang w:val="pt-PT"/>
                    </w:rPr>
                  </w:pPr>
                  <w:r w:rsidRPr="000E0962">
                    <w:rPr>
                      <w:b/>
                      <w:color w:val="000000"/>
                      <w:lang w:val="pt-PT"/>
                    </w:rPr>
                    <w:t>P</w:t>
                  </w:r>
                  <w:r w:rsidRPr="00F675D7">
                    <w:rPr>
                      <w:color w:val="000000"/>
                      <w:lang w:val="pt-PT"/>
                    </w:rPr>
                    <w:t xml:space="preserve"> +61 8 8230 8400   </w:t>
                  </w:r>
                  <w:r w:rsidRPr="000E0962">
                    <w:rPr>
                      <w:b/>
                      <w:color w:val="000000"/>
                      <w:lang w:val="pt-PT"/>
                    </w:rPr>
                    <w:t>F</w:t>
                  </w:r>
                  <w:r w:rsidRPr="00F675D7">
                    <w:rPr>
                      <w:color w:val="000000"/>
                      <w:lang w:val="pt-PT"/>
                    </w:rPr>
                    <w:t xml:space="preserve"> +61 8 8212 3436   </w:t>
                  </w:r>
                  <w:r w:rsidRPr="000E0962">
                    <w:rPr>
                      <w:b/>
                      <w:color w:val="000000"/>
                      <w:lang w:val="pt-PT"/>
                    </w:rPr>
                    <w:t>E</w:t>
                  </w:r>
                  <w:r w:rsidRPr="00F675D7">
                    <w:rPr>
                      <w:color w:val="000000"/>
                      <w:lang w:val="pt-PT"/>
                    </w:rPr>
                    <w:t xml:space="preserve"> </w:t>
                  </w:r>
                  <w:hyperlink r:id="rId12" w:history="1">
                    <w:r w:rsidRPr="00F675D7">
                      <w:rPr>
                        <w:rStyle w:val="Hyperlink"/>
                        <w:sz w:val="16"/>
                        <w:lang w:val="pt-PT"/>
                      </w:rPr>
                      <w:t>ncver@ncver.edu.au</w:t>
                    </w:r>
                  </w:hyperlink>
                  <w:r w:rsidRPr="00F675D7">
                    <w:rPr>
                      <w:color w:val="000000"/>
                      <w:lang w:val="pt-PT"/>
                    </w:rPr>
                    <w:t xml:space="preserve">   </w:t>
                  </w:r>
                  <w:r w:rsidRPr="000E0962">
                    <w:rPr>
                      <w:b/>
                      <w:color w:val="000000"/>
                      <w:lang w:val="pt-PT"/>
                    </w:rPr>
                    <w:t>W</w:t>
                  </w:r>
                  <w:r w:rsidRPr="00F675D7">
                    <w:rPr>
                      <w:color w:val="000000"/>
                      <w:lang w:val="pt-PT"/>
                    </w:rPr>
                    <w:t xml:space="preserve"> &lt;http://www.ncver.edu.au&gt;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701953" w:rsidP="00F93048">
      <w:pPr>
        <w:pStyle w:val="Abouttheresearchpubtitle"/>
      </w:pPr>
      <w:bookmarkStart w:id="17" w:name="_Toc98394877"/>
      <w:r>
        <w:t>Industry currency and professional obsolescence: what can industry tell us?</w:t>
      </w:r>
    </w:p>
    <w:p w:rsidR="009E231A" w:rsidRPr="001B43CF" w:rsidRDefault="00701953" w:rsidP="00874DA5">
      <w:pPr>
        <w:pStyle w:val="Heading3"/>
      </w:pPr>
      <w:bookmarkStart w:id="18" w:name="_Toc296423681"/>
      <w:bookmarkStart w:id="19" w:name="_Toc296497512"/>
      <w:r>
        <w:t>Berwyn Clayton</w:t>
      </w:r>
      <w:r w:rsidR="00FE4A2D" w:rsidRPr="005C2FCF">
        <w:t xml:space="preserve">, </w:t>
      </w:r>
      <w:bookmarkEnd w:id="17"/>
      <w:bookmarkEnd w:id="18"/>
      <w:bookmarkEnd w:id="19"/>
      <w:r>
        <w:t>Victoria University; Pam Jonas, Victorian TAFE Association; Regan</w:t>
      </w:r>
      <w:r w:rsidR="00385DFD">
        <w:t> </w:t>
      </w:r>
      <w:r>
        <w:t xml:space="preserve">Harding, TAFENSW North Coast Institute; Mark Harris, Global Education &amp; HR Consultancy Services; and Melinda </w:t>
      </w:r>
      <w:proofErr w:type="spellStart"/>
      <w:r>
        <w:t>Toze</w:t>
      </w:r>
      <w:proofErr w:type="spellEnd"/>
      <w:r>
        <w:t>, Queensland VET Development Centre</w:t>
      </w:r>
    </w:p>
    <w:p w:rsidR="00D870AB" w:rsidRPr="00385DFD" w:rsidRDefault="00D870AB" w:rsidP="00385DFD">
      <w:pPr>
        <w:pStyle w:val="Text"/>
      </w:pPr>
      <w:bookmarkStart w:id="20" w:name="_Toc98394878"/>
      <w:bookmarkStart w:id="21" w:name="_Toc296423682"/>
      <w:bookmarkStart w:id="22" w:name="_Toc296497513"/>
      <w:r>
        <w:t xml:space="preserve">Industry currency and professional obsolescence </w:t>
      </w:r>
      <w:r w:rsidR="005C56E3">
        <w:t xml:space="preserve">are terms that relate to the capacity </w:t>
      </w:r>
      <w:r>
        <w:t xml:space="preserve">of an individual to </w:t>
      </w:r>
      <w:r w:rsidR="00966951">
        <w:t xml:space="preserve">continue to </w:t>
      </w:r>
      <w:r>
        <w:t>perfo</w:t>
      </w:r>
      <w:r w:rsidR="005C56E3">
        <w:t>rm their job. Having up-to-date</w:t>
      </w:r>
      <w:r>
        <w:t xml:space="preserve"> skills, knowledge and experience in a particular industry is known as industry currency, whereas i</w:t>
      </w:r>
      <w:r w:rsidR="00F675D7">
        <w:t>n the professions a lack of on</w:t>
      </w:r>
      <w:r>
        <w:t xml:space="preserve">going learning </w:t>
      </w:r>
      <w:r w:rsidR="00F675D7">
        <w:t xml:space="preserve">in order </w:t>
      </w:r>
      <w:r>
        <w:t>to retain competence is known as professional obsolescence. The knowledge required in occ</w:t>
      </w:r>
      <w:r w:rsidR="00F675D7">
        <w:t>upations does not remain static;</w:t>
      </w:r>
      <w:r>
        <w:t xml:space="preserve"> for example</w:t>
      </w:r>
      <w:r w:rsidR="00CE2A8D">
        <w:t>,</w:t>
      </w:r>
      <w:r>
        <w:t xml:space="preserve"> changes in technology or the d</w:t>
      </w:r>
      <w:r w:rsidR="005C56E3">
        <w:t>evelopment of new products mean</w:t>
      </w:r>
      <w:r>
        <w:t xml:space="preserve"> that workers need to learn new skills and keep </w:t>
      </w:r>
      <w:r w:rsidR="005C56E3" w:rsidRPr="00385DFD">
        <w:t>abreast</w:t>
      </w:r>
      <w:r w:rsidRPr="00385DFD">
        <w:t xml:space="preserve"> of these changes. This is of importance to vocational education and training (VET) because VET practitioners are training the individuals moving into these occupations. Therefore, VET practitioners need to ensure that their industry skills and knowledge are </w:t>
      </w:r>
      <w:r w:rsidR="00F675D7" w:rsidRPr="00385DFD">
        <w:t xml:space="preserve">kept </w:t>
      </w:r>
      <w:r w:rsidRPr="00385DFD">
        <w:t>current.</w:t>
      </w:r>
    </w:p>
    <w:p w:rsidR="00D870AB" w:rsidRDefault="00D870AB" w:rsidP="00385DFD">
      <w:pPr>
        <w:pStyle w:val="Text"/>
        <w:ind w:right="-284"/>
      </w:pPr>
      <w:r w:rsidRPr="00385DFD">
        <w:t>This report explores the issues of industry currency and professional obsolescence from the viewpoint of those working in the plumbing, hairdressing and</w:t>
      </w:r>
      <w:r>
        <w:t xml:space="preserve"> printing industries</w:t>
      </w:r>
      <w:r w:rsidR="00F675D7">
        <w:t>,</w:t>
      </w:r>
      <w:r>
        <w:t xml:space="preserve"> </w:t>
      </w:r>
      <w:r w:rsidR="007F460D">
        <w:t>as well as</w:t>
      </w:r>
      <w:r w:rsidR="00966951">
        <w:t xml:space="preserve"> </w:t>
      </w:r>
      <w:r>
        <w:t xml:space="preserve">professionals working in the science, engineering, human resources and health sectors. The focus of the report was to investigate how those working </w:t>
      </w:r>
      <w:r w:rsidR="00966951">
        <w:t>in</w:t>
      </w:r>
      <w:r>
        <w:t xml:space="preserve"> these areas maintain industry currency and prevent</w:t>
      </w:r>
      <w:r w:rsidR="005C56E3">
        <w:t xml:space="preserve"> professional obsolescence,</w:t>
      </w:r>
      <w:r>
        <w:t xml:space="preserve"> the aim </w:t>
      </w:r>
      <w:r w:rsidR="005C56E3">
        <w:t>being to find</w:t>
      </w:r>
      <w:r>
        <w:t xml:space="preserve"> out how VET practitioners </w:t>
      </w:r>
      <w:r w:rsidR="005C56E3">
        <w:t>might</w:t>
      </w:r>
      <w:r>
        <w:t xml:space="preserve"> implement some of these practices.</w:t>
      </w:r>
    </w:p>
    <w:p w:rsidR="009E231A" w:rsidRPr="005C2FCF" w:rsidRDefault="00FE4A2D" w:rsidP="00385DFD">
      <w:pPr>
        <w:pStyle w:val="Keymessages"/>
      </w:pPr>
      <w:r w:rsidRPr="005C2FCF">
        <w:t xml:space="preserve">Key </w:t>
      </w:r>
      <w:r w:rsidRPr="00385DFD">
        <w:t>messages</w:t>
      </w:r>
      <w:bookmarkEnd w:id="20"/>
      <w:bookmarkEnd w:id="21"/>
      <w:bookmarkEnd w:id="22"/>
    </w:p>
    <w:p w:rsidR="009E231A" w:rsidRPr="00385DFD" w:rsidRDefault="00214236" w:rsidP="00385DFD">
      <w:pPr>
        <w:pStyle w:val="Dotpoint1"/>
      </w:pPr>
      <w:r>
        <w:t xml:space="preserve">Strategies used in the </w:t>
      </w:r>
      <w:r w:rsidR="00D870AB">
        <w:t>plumbing, hairdressing and printing industries</w:t>
      </w:r>
      <w:r>
        <w:t xml:space="preserve"> to maintain skills include networking, </w:t>
      </w:r>
      <w:r w:rsidRPr="00385DFD">
        <w:t xml:space="preserve">attending industry events and vendor training, </w:t>
      </w:r>
      <w:r w:rsidR="00637FE1" w:rsidRPr="00385DFD">
        <w:t>reading industry magazines</w:t>
      </w:r>
      <w:r w:rsidR="00571D38" w:rsidRPr="00385DFD">
        <w:t xml:space="preserve"> and trade journals,</w:t>
      </w:r>
      <w:r w:rsidR="00637FE1" w:rsidRPr="00385DFD">
        <w:t xml:space="preserve"> and undertaking onli</w:t>
      </w:r>
      <w:r w:rsidR="004A6562" w:rsidRPr="00385DFD">
        <w:t xml:space="preserve">ne research. </w:t>
      </w:r>
    </w:p>
    <w:p w:rsidR="00CF0884" w:rsidRPr="00385DFD" w:rsidRDefault="0077793D" w:rsidP="00385DFD">
      <w:pPr>
        <w:pStyle w:val="Dotpoint1"/>
      </w:pPr>
      <w:r w:rsidRPr="00385DFD">
        <w:t>Employers i</w:t>
      </w:r>
      <w:r w:rsidR="00CF0884" w:rsidRPr="00385DFD">
        <w:t xml:space="preserve">n </w:t>
      </w:r>
      <w:r w:rsidR="007564F5" w:rsidRPr="00385DFD">
        <w:t>the science, engineering, human re</w:t>
      </w:r>
      <w:r w:rsidRPr="00385DFD">
        <w:t>sources and health professions</w:t>
      </w:r>
      <w:r w:rsidR="00571E1E" w:rsidRPr="00385DFD">
        <w:t xml:space="preserve"> are supportive of on</w:t>
      </w:r>
      <w:r w:rsidR="00CF0884" w:rsidRPr="00385DFD">
        <w:t>going training</w:t>
      </w:r>
      <w:r w:rsidRPr="00385DFD">
        <w:t xml:space="preserve"> for their employees</w:t>
      </w:r>
      <w:r w:rsidR="00CF0884" w:rsidRPr="00385DFD">
        <w:t xml:space="preserve"> and have processes in place to ensure it occur</w:t>
      </w:r>
      <w:r w:rsidR="00F53BDD" w:rsidRPr="00385DFD">
        <w:t>s</w:t>
      </w:r>
      <w:r w:rsidR="00CF0884" w:rsidRPr="00385DFD">
        <w:t>. The majority of this training</w:t>
      </w:r>
      <w:r w:rsidR="007564F5" w:rsidRPr="00385DFD">
        <w:t xml:space="preserve"> also</w:t>
      </w:r>
      <w:r w:rsidR="00CF0884" w:rsidRPr="00385DFD">
        <w:t xml:space="preserve"> </w:t>
      </w:r>
      <w:r w:rsidR="00F53BDD" w:rsidRPr="00385DFD">
        <w:t xml:space="preserve">takes place </w:t>
      </w:r>
      <w:r w:rsidR="007564F5" w:rsidRPr="00385DFD">
        <w:t>in the workplace.</w:t>
      </w:r>
    </w:p>
    <w:p w:rsidR="00D74DD9" w:rsidRDefault="00F53BDD" w:rsidP="00385DFD">
      <w:pPr>
        <w:pStyle w:val="Dotpoint1"/>
      </w:pPr>
      <w:r w:rsidRPr="00385DFD">
        <w:t>In both the trades</w:t>
      </w:r>
      <w:r>
        <w:t xml:space="preserve"> and the professions t</w:t>
      </w:r>
      <w:r w:rsidR="00D74DD9">
        <w:t xml:space="preserve">here </w:t>
      </w:r>
      <w:r>
        <w:t>i</w:t>
      </w:r>
      <w:r w:rsidR="00D74DD9">
        <w:t>s ready acceptance that</w:t>
      </w:r>
      <w:r>
        <w:t xml:space="preserve"> for updating strategies to </w:t>
      </w:r>
      <w:r w:rsidR="00F675D7">
        <w:t>be successful</w:t>
      </w:r>
      <w:r>
        <w:t xml:space="preserve"> there needs to be </w:t>
      </w:r>
      <w:r w:rsidR="00576AA9">
        <w:t xml:space="preserve">a </w:t>
      </w:r>
      <w:r>
        <w:t xml:space="preserve">joint commitment from both the individual and the </w:t>
      </w:r>
      <w:r w:rsidR="00A175B0">
        <w:t>employer</w:t>
      </w:r>
      <w:r>
        <w:t xml:space="preserve">. </w:t>
      </w:r>
    </w:p>
    <w:p w:rsidR="00CF0884" w:rsidRDefault="0077793D" w:rsidP="00385DFD">
      <w:pPr>
        <w:pStyle w:val="Text"/>
      </w:pPr>
      <w:r>
        <w:t>The authors suggest that t</w:t>
      </w:r>
      <w:r w:rsidR="00D555DA">
        <w:t xml:space="preserve">o progress the maintenance of industry currency </w:t>
      </w:r>
      <w:r w:rsidR="00A52025">
        <w:t xml:space="preserve">in </w:t>
      </w:r>
      <w:r w:rsidR="00966951">
        <w:t>vocational education and training</w:t>
      </w:r>
      <w:r w:rsidR="000C0B03">
        <w:t>,</w:t>
      </w:r>
      <w:r>
        <w:t xml:space="preserve"> training organisations</w:t>
      </w:r>
      <w:r w:rsidR="000C0B03">
        <w:t xml:space="preserve"> need to adopt a strategic approach </w:t>
      </w:r>
      <w:r w:rsidR="00C95095">
        <w:t>that supports updating</w:t>
      </w:r>
      <w:r w:rsidR="00A52025">
        <w:t xml:space="preserve"> industry knowledge</w:t>
      </w:r>
      <w:r w:rsidR="00C95095">
        <w:t xml:space="preserve"> and encourages </w:t>
      </w:r>
      <w:r w:rsidR="00A52025">
        <w:t>practition</w:t>
      </w:r>
      <w:r w:rsidR="00C95095">
        <w:t xml:space="preserve">ers to interact with employers and industry bodies. The authors </w:t>
      </w:r>
      <w:r w:rsidR="00A175B0">
        <w:t>also argue</w:t>
      </w:r>
      <w:r w:rsidR="00C95095">
        <w:t xml:space="preserve"> that individual</w:t>
      </w:r>
      <w:r w:rsidR="000C0B03">
        <w:t xml:space="preserve"> practition</w:t>
      </w:r>
      <w:r>
        <w:t>ers</w:t>
      </w:r>
      <w:r w:rsidR="00C95095">
        <w:t xml:space="preserve"> </w:t>
      </w:r>
      <w:r w:rsidR="000C0B03">
        <w:t xml:space="preserve">need to be committed to </w:t>
      </w:r>
      <w:r w:rsidR="00F675D7">
        <w:t xml:space="preserve">the ongoing </w:t>
      </w:r>
      <w:r w:rsidR="000C0B03">
        <w:t xml:space="preserve">updating </w:t>
      </w:r>
      <w:r w:rsidR="00F675D7">
        <w:t xml:space="preserve">of </w:t>
      </w:r>
      <w:r w:rsidR="000C0B03">
        <w:t>their industry ex</w:t>
      </w:r>
      <w:r w:rsidR="00F675D7">
        <w:t>perience and knowledge</w:t>
      </w:r>
      <w:r w:rsidR="000C0B03">
        <w:t xml:space="preserve">. </w:t>
      </w:r>
    </w:p>
    <w:p w:rsidR="009E231A" w:rsidRPr="005C2FCF" w:rsidRDefault="009E231A" w:rsidP="0048643A">
      <w:pPr>
        <w:pStyle w:val="Text"/>
      </w:pPr>
    </w:p>
    <w:p w:rsidR="00194C2A" w:rsidRDefault="00FE4A2D" w:rsidP="0048643A">
      <w:pPr>
        <w:pStyle w:val="Text"/>
      </w:pPr>
      <w:r w:rsidRPr="005C2FCF">
        <w:t>Tom Karmel</w:t>
      </w:r>
      <w:r w:rsidRPr="005C2FCF">
        <w:br/>
        <w:t>Managing Director, NCVER</w:t>
      </w:r>
    </w:p>
    <w:p w:rsidR="009E231A" w:rsidRPr="005C2FCF" w:rsidRDefault="009E231A" w:rsidP="0048643A">
      <w:pPr>
        <w:pStyle w:val="Text"/>
      </w:pPr>
    </w:p>
    <w:p w:rsidR="00194C2A" w:rsidRDefault="00194C2A">
      <w:pPr>
        <w:spacing w:before="0" w:line="240" w:lineRule="auto"/>
      </w:pPr>
    </w:p>
    <w:p w:rsidR="00194C2A" w:rsidRDefault="00194C2A">
      <w:pPr>
        <w:spacing w:before="0" w:line="240" w:lineRule="auto"/>
        <w:sectPr w:rsidR="00194C2A" w:rsidSect="00F60BA5">
          <w:footerReference w:type="even" r:id="rId13"/>
          <w:footerReference w:type="default" r:id="rId14"/>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3" w:name="_Toc98394880"/>
      <w:bookmarkStart w:id="24" w:name="_Toc296423683"/>
      <w:bookmarkStart w:id="25" w:name="_Toc296497514"/>
      <w:r w:rsidRPr="00DC5F5C">
        <w:lastRenderedPageBreak/>
        <w:t>Contents</w:t>
      </w:r>
      <w:bookmarkEnd w:id="23"/>
      <w:bookmarkEnd w:id="24"/>
      <w:bookmarkEnd w:id="25"/>
    </w:p>
    <w:p w:rsidR="00563DB0" w:rsidRDefault="00F8578D">
      <w:pPr>
        <w:pStyle w:val="TOC1"/>
        <w:rPr>
          <w:rFonts w:asciiTheme="minorHAnsi" w:eastAsiaTheme="minorEastAsia" w:hAnsiTheme="minorHAnsi" w:cstheme="minorBidi"/>
          <w:color w:val="auto"/>
          <w:sz w:val="22"/>
          <w:szCs w:val="22"/>
          <w:lang w:eastAsia="en-AU"/>
        </w:rPr>
      </w:pPr>
      <w:r w:rsidRPr="00F8578D">
        <w:rPr>
          <w:rFonts w:ascii="Avant Garde" w:hAnsi="Avant Garde"/>
        </w:rPr>
        <w:fldChar w:fldCharType="begin"/>
      </w:r>
      <w:r w:rsidR="00FE4A2D" w:rsidRPr="009775C7">
        <w:rPr>
          <w:rFonts w:ascii="Avant Garde" w:hAnsi="Avant Garde"/>
        </w:rPr>
        <w:instrText xml:space="preserve"> TOC \o "1-2" </w:instrText>
      </w:r>
      <w:r w:rsidRPr="00F8578D">
        <w:rPr>
          <w:rFonts w:ascii="Avant Garde" w:hAnsi="Avant Garde"/>
        </w:rPr>
        <w:fldChar w:fldCharType="separate"/>
      </w:r>
      <w:r w:rsidR="00563DB0">
        <w:t>Tables and figures</w:t>
      </w:r>
      <w:r w:rsidR="00563DB0">
        <w:tab/>
      </w:r>
      <w:r>
        <w:fldChar w:fldCharType="begin"/>
      </w:r>
      <w:r w:rsidR="00563DB0">
        <w:instrText xml:space="preserve"> PAGEREF _Toc357518777 \h </w:instrText>
      </w:r>
      <w:r>
        <w:fldChar w:fldCharType="separate"/>
      </w:r>
      <w:r w:rsidR="00401F54">
        <w:t>6</w:t>
      </w:r>
      <w:r>
        <w:fldChar w:fldCharType="end"/>
      </w:r>
    </w:p>
    <w:p w:rsidR="00563DB0" w:rsidRDefault="00563DB0">
      <w:pPr>
        <w:pStyle w:val="TOC1"/>
        <w:rPr>
          <w:rFonts w:asciiTheme="minorHAnsi" w:eastAsiaTheme="minorEastAsia" w:hAnsiTheme="minorHAnsi" w:cstheme="minorBidi"/>
          <w:color w:val="auto"/>
          <w:sz w:val="22"/>
          <w:szCs w:val="22"/>
          <w:lang w:eastAsia="en-AU"/>
        </w:rPr>
      </w:pPr>
      <w:r>
        <w:t>Executive summary</w:t>
      </w:r>
      <w:r>
        <w:tab/>
      </w:r>
      <w:r w:rsidR="00F8578D">
        <w:fldChar w:fldCharType="begin"/>
      </w:r>
      <w:r>
        <w:instrText xml:space="preserve"> PAGEREF _Toc357518780 \h </w:instrText>
      </w:r>
      <w:r w:rsidR="00F8578D">
        <w:fldChar w:fldCharType="separate"/>
      </w:r>
      <w:r w:rsidR="00401F54">
        <w:t>7</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Introduction</w:t>
      </w:r>
      <w:r>
        <w:tab/>
      </w:r>
      <w:r w:rsidR="00F8578D">
        <w:fldChar w:fldCharType="begin"/>
      </w:r>
      <w:r>
        <w:instrText xml:space="preserve"> PAGEREF _Toc357518783 \h </w:instrText>
      </w:r>
      <w:r w:rsidR="00F8578D">
        <w:fldChar w:fldCharType="separate"/>
      </w:r>
      <w:r w:rsidR="00401F54">
        <w:t>10</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Research purposes and questions</w:t>
      </w:r>
      <w:r>
        <w:tab/>
      </w:r>
      <w:r w:rsidR="00F8578D">
        <w:fldChar w:fldCharType="begin"/>
      </w:r>
      <w:r>
        <w:instrText xml:space="preserve"> PAGEREF _Toc357518784 \h </w:instrText>
      </w:r>
      <w:r w:rsidR="00F8578D">
        <w:fldChar w:fldCharType="separate"/>
      </w:r>
      <w:r w:rsidR="00401F54">
        <w:t>10</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Research methods and procedures</w:t>
      </w:r>
      <w:r>
        <w:tab/>
      </w:r>
      <w:r w:rsidR="00F8578D">
        <w:fldChar w:fldCharType="begin"/>
      </w:r>
      <w:r>
        <w:instrText xml:space="preserve"> PAGEREF _Toc357518785 \h </w:instrText>
      </w:r>
      <w:r w:rsidR="00F8578D">
        <w:fldChar w:fldCharType="separate"/>
      </w:r>
      <w:r w:rsidR="00401F54">
        <w:t>11</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Limitations of the study</w:t>
      </w:r>
      <w:r>
        <w:tab/>
      </w:r>
      <w:r w:rsidR="00F8578D">
        <w:fldChar w:fldCharType="begin"/>
      </w:r>
      <w:r>
        <w:instrText xml:space="preserve"> PAGEREF _Toc357518786 \h </w:instrText>
      </w:r>
      <w:r w:rsidR="00F8578D">
        <w:fldChar w:fldCharType="separate"/>
      </w:r>
      <w:r w:rsidR="00401F54">
        <w:t>13</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Report overview</w:t>
      </w:r>
      <w:r>
        <w:tab/>
      </w:r>
      <w:r w:rsidR="00F8578D">
        <w:fldChar w:fldCharType="begin"/>
      </w:r>
      <w:r>
        <w:instrText xml:space="preserve"> PAGEREF _Toc357518787 \h </w:instrText>
      </w:r>
      <w:r w:rsidR="00F8578D">
        <w:fldChar w:fldCharType="separate"/>
      </w:r>
      <w:r w:rsidR="00401F54">
        <w:t>13</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Background</w:t>
      </w:r>
      <w:r>
        <w:tab/>
      </w:r>
      <w:r w:rsidR="00F8578D">
        <w:fldChar w:fldCharType="begin"/>
      </w:r>
      <w:r>
        <w:instrText xml:space="preserve"> PAGEREF _Toc357518788 \h </w:instrText>
      </w:r>
      <w:r w:rsidR="00F8578D">
        <w:fldChar w:fldCharType="separate"/>
      </w:r>
      <w:r w:rsidR="00401F54">
        <w:t>14</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Currency: the trades lens</w:t>
      </w:r>
      <w:r>
        <w:tab/>
      </w:r>
      <w:r w:rsidR="00F8578D">
        <w:fldChar w:fldCharType="begin"/>
      </w:r>
      <w:r>
        <w:instrText xml:space="preserve"> PAGEREF _Toc357518789 \h </w:instrText>
      </w:r>
      <w:r w:rsidR="00F8578D">
        <w:fldChar w:fldCharType="separate"/>
      </w:r>
      <w:r w:rsidR="00401F54">
        <w:t>16</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Interview outcomes</w:t>
      </w:r>
      <w:r>
        <w:tab/>
      </w:r>
      <w:r w:rsidR="00F8578D">
        <w:fldChar w:fldCharType="begin"/>
      </w:r>
      <w:r>
        <w:instrText xml:space="preserve"> PAGEREF _Toc357518790 \h </w:instrText>
      </w:r>
      <w:r w:rsidR="00F8578D">
        <w:fldChar w:fldCharType="separate"/>
      </w:r>
      <w:r w:rsidR="00401F54">
        <w:t>16</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Industry currency: understandings and indicators</w:t>
      </w:r>
      <w:r>
        <w:tab/>
      </w:r>
      <w:r w:rsidR="00F8578D">
        <w:fldChar w:fldCharType="begin"/>
      </w:r>
      <w:r>
        <w:instrText xml:space="preserve"> PAGEREF _Toc357518791 \h </w:instrText>
      </w:r>
      <w:r w:rsidR="00F8578D">
        <w:fldChar w:fldCharType="separate"/>
      </w:r>
      <w:r w:rsidR="00401F54">
        <w:t>17</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Technological innovation and keeping pace with change</w:t>
      </w:r>
      <w:r>
        <w:tab/>
      </w:r>
      <w:r w:rsidR="00F8578D">
        <w:fldChar w:fldCharType="begin"/>
      </w:r>
      <w:r>
        <w:instrText xml:space="preserve"> PAGEREF _Toc357518792 \h </w:instrText>
      </w:r>
      <w:r w:rsidR="00F8578D">
        <w:fldChar w:fldCharType="separate"/>
      </w:r>
      <w:r w:rsidR="00401F54">
        <w:t>19</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Strategies for maintaining industry currency</w:t>
      </w:r>
      <w:r>
        <w:tab/>
      </w:r>
      <w:r w:rsidR="00F8578D">
        <w:fldChar w:fldCharType="begin"/>
      </w:r>
      <w:r>
        <w:instrText xml:space="preserve"> PAGEREF _Toc357518793 \h </w:instrText>
      </w:r>
      <w:r w:rsidR="00F8578D">
        <w:fldChar w:fldCharType="separate"/>
      </w:r>
      <w:r w:rsidR="00401F54">
        <w:t>20</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What else might assist in maintaining currency?</w:t>
      </w:r>
      <w:r>
        <w:tab/>
      </w:r>
      <w:r w:rsidR="00F8578D">
        <w:fldChar w:fldCharType="begin"/>
      </w:r>
      <w:r>
        <w:instrText xml:space="preserve"> PAGEREF _Toc357518794 \h </w:instrText>
      </w:r>
      <w:r w:rsidR="00F8578D">
        <w:fldChar w:fldCharType="separate"/>
      </w:r>
      <w:r w:rsidR="00401F54">
        <w:t>24</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Summary</w:t>
      </w:r>
      <w:r>
        <w:tab/>
      </w:r>
      <w:r w:rsidR="00F8578D">
        <w:fldChar w:fldCharType="begin"/>
      </w:r>
      <w:r>
        <w:instrText xml:space="preserve"> PAGEREF _Toc357518795 \h </w:instrText>
      </w:r>
      <w:r w:rsidR="00F8578D">
        <w:fldChar w:fldCharType="separate"/>
      </w:r>
      <w:r w:rsidR="00401F54">
        <w:t>25</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Currency: the professional lens</w:t>
      </w:r>
      <w:r>
        <w:tab/>
      </w:r>
      <w:r w:rsidR="00F8578D">
        <w:fldChar w:fldCharType="begin"/>
      </w:r>
      <w:r>
        <w:instrText xml:space="preserve"> PAGEREF _Toc357518796 \h </w:instrText>
      </w:r>
      <w:r w:rsidR="00F8578D">
        <w:fldChar w:fldCharType="separate"/>
      </w:r>
      <w:r w:rsidR="00401F54">
        <w:t>26</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Questionnaire outcomes</w:t>
      </w:r>
      <w:r>
        <w:tab/>
      </w:r>
      <w:r w:rsidR="00F8578D">
        <w:fldChar w:fldCharType="begin"/>
      </w:r>
      <w:r>
        <w:instrText xml:space="preserve"> PAGEREF _Toc357518797 \h </w:instrText>
      </w:r>
      <w:r w:rsidR="00F8578D">
        <w:fldChar w:fldCharType="separate"/>
      </w:r>
      <w:r w:rsidR="00401F54">
        <w:t>26</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Organisational updating climate</w:t>
      </w:r>
      <w:r>
        <w:tab/>
      </w:r>
      <w:r w:rsidR="00F8578D">
        <w:fldChar w:fldCharType="begin"/>
      </w:r>
      <w:r>
        <w:instrText xml:space="preserve"> PAGEREF _Toc357518798 \h </w:instrText>
      </w:r>
      <w:r w:rsidR="00F8578D">
        <w:fldChar w:fldCharType="separate"/>
      </w:r>
      <w:r w:rsidR="00401F54">
        <w:t>26</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Interview outcomes</w:t>
      </w:r>
      <w:r>
        <w:tab/>
      </w:r>
      <w:r w:rsidR="00F8578D">
        <w:fldChar w:fldCharType="begin"/>
      </w:r>
      <w:r>
        <w:instrText xml:space="preserve"> PAGEREF _Toc357518799 \h </w:instrText>
      </w:r>
      <w:r w:rsidR="00F8578D">
        <w:fldChar w:fldCharType="separate"/>
      </w:r>
      <w:r w:rsidR="00401F54">
        <w:t>28</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Summary</w:t>
      </w:r>
      <w:r>
        <w:tab/>
      </w:r>
      <w:r w:rsidR="00F8578D">
        <w:fldChar w:fldCharType="begin"/>
      </w:r>
      <w:r>
        <w:instrText xml:space="preserve"> PAGEREF _Toc357518800 \h </w:instrText>
      </w:r>
      <w:r w:rsidR="00F8578D">
        <w:fldChar w:fldCharType="separate"/>
      </w:r>
      <w:r w:rsidR="00401F54">
        <w:t>33</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Conclusion</w:t>
      </w:r>
      <w:r>
        <w:tab/>
      </w:r>
      <w:r w:rsidR="00F8578D">
        <w:fldChar w:fldCharType="begin"/>
      </w:r>
      <w:r>
        <w:instrText xml:space="preserve"> PAGEREF _Toc357518801 \h </w:instrText>
      </w:r>
      <w:r w:rsidR="00F8578D">
        <w:fldChar w:fldCharType="separate"/>
      </w:r>
      <w:r w:rsidR="00401F54">
        <w:t>34</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Currency: through different industry lenses</w:t>
      </w:r>
      <w:r>
        <w:tab/>
      </w:r>
      <w:r w:rsidR="00F8578D">
        <w:fldChar w:fldCharType="begin"/>
      </w:r>
      <w:r>
        <w:instrText xml:space="preserve"> PAGEREF _Toc357518802 \h </w:instrText>
      </w:r>
      <w:r w:rsidR="00F8578D">
        <w:fldChar w:fldCharType="separate"/>
      </w:r>
      <w:r w:rsidR="00401F54">
        <w:t>34</w:t>
      </w:r>
      <w:r w:rsidR="00F8578D">
        <w:fldChar w:fldCharType="end"/>
      </w:r>
    </w:p>
    <w:p w:rsidR="00563DB0" w:rsidRDefault="00563DB0">
      <w:pPr>
        <w:pStyle w:val="TOC2"/>
        <w:rPr>
          <w:rFonts w:asciiTheme="minorHAnsi" w:eastAsiaTheme="minorEastAsia" w:hAnsiTheme="minorHAnsi" w:cstheme="minorBidi"/>
          <w:color w:val="auto"/>
          <w:sz w:val="22"/>
          <w:szCs w:val="22"/>
          <w:lang w:eastAsia="en-AU"/>
        </w:rPr>
      </w:pPr>
      <w:r>
        <w:t>Implications for policy and practice</w:t>
      </w:r>
      <w:r>
        <w:tab/>
      </w:r>
      <w:r w:rsidR="00F8578D">
        <w:fldChar w:fldCharType="begin"/>
      </w:r>
      <w:r>
        <w:instrText xml:space="preserve"> PAGEREF _Toc357518803 \h </w:instrText>
      </w:r>
      <w:r w:rsidR="00F8578D">
        <w:fldChar w:fldCharType="separate"/>
      </w:r>
      <w:r w:rsidR="00401F54">
        <w:t>36</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References</w:t>
      </w:r>
      <w:r>
        <w:tab/>
      </w:r>
      <w:r w:rsidR="00F8578D">
        <w:fldChar w:fldCharType="begin"/>
      </w:r>
      <w:r>
        <w:instrText xml:space="preserve"> PAGEREF _Toc357518804 \h </w:instrText>
      </w:r>
      <w:r w:rsidR="00F8578D">
        <w:fldChar w:fldCharType="separate"/>
      </w:r>
      <w:r w:rsidR="00401F54">
        <w:t>38</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Support document details</w:t>
      </w:r>
      <w:r>
        <w:tab/>
      </w:r>
      <w:r w:rsidR="00F8578D">
        <w:fldChar w:fldCharType="begin"/>
      </w:r>
      <w:r>
        <w:instrText xml:space="preserve"> PAGEREF _Toc357518805 \h </w:instrText>
      </w:r>
      <w:r w:rsidR="00F8578D">
        <w:fldChar w:fldCharType="separate"/>
      </w:r>
      <w:r w:rsidR="00401F54">
        <w:t>39</w:t>
      </w:r>
      <w:r w:rsidR="00F8578D">
        <w:fldChar w:fldCharType="end"/>
      </w:r>
    </w:p>
    <w:p w:rsidR="00563DB0" w:rsidRDefault="00563DB0">
      <w:pPr>
        <w:pStyle w:val="TOC1"/>
        <w:rPr>
          <w:rFonts w:asciiTheme="minorHAnsi" w:eastAsiaTheme="minorEastAsia" w:hAnsiTheme="minorHAnsi" w:cstheme="minorBidi"/>
          <w:color w:val="auto"/>
          <w:sz w:val="22"/>
          <w:szCs w:val="22"/>
          <w:lang w:eastAsia="en-AU"/>
        </w:rPr>
      </w:pPr>
      <w:r>
        <w:t>NVETR program funding</w:t>
      </w:r>
      <w:r>
        <w:tab/>
      </w:r>
      <w:r w:rsidR="00F8578D">
        <w:fldChar w:fldCharType="begin"/>
      </w:r>
      <w:r>
        <w:instrText xml:space="preserve"> PAGEREF _Toc357518806 \h </w:instrText>
      </w:r>
      <w:r w:rsidR="00F8578D">
        <w:fldChar w:fldCharType="separate"/>
      </w:r>
      <w:r w:rsidR="00401F54">
        <w:t>40</w:t>
      </w:r>
      <w:r w:rsidR="00F8578D">
        <w:fldChar w:fldCharType="end"/>
      </w:r>
    </w:p>
    <w:p w:rsidR="004E7227" w:rsidRDefault="00F8578D"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6" w:name="_Toc357518777"/>
      <w:r>
        <w:lastRenderedPageBreak/>
        <w:t xml:space="preserve">Tables </w:t>
      </w:r>
      <w:r w:rsidR="00385DFD">
        <w:t>and figures</w:t>
      </w:r>
      <w:bookmarkEnd w:id="26"/>
    </w:p>
    <w:p w:rsidR="00385DFD" w:rsidRDefault="00385DFD" w:rsidP="00385DFD">
      <w:pPr>
        <w:pStyle w:val="Heading2"/>
      </w:pPr>
      <w:bookmarkStart w:id="27" w:name="_Toc355275603"/>
      <w:bookmarkStart w:id="28" w:name="_Toc357518778"/>
      <w:r>
        <w:t>Tables</w:t>
      </w:r>
      <w:bookmarkEnd w:id="27"/>
      <w:bookmarkEnd w:id="28"/>
    </w:p>
    <w:p w:rsidR="008F46F4" w:rsidRDefault="00F8578D">
      <w:pPr>
        <w:pStyle w:val="TableofFigures"/>
        <w:tabs>
          <w:tab w:val="left" w:pos="880"/>
        </w:tabs>
        <w:rPr>
          <w:rFonts w:asciiTheme="minorHAnsi" w:eastAsiaTheme="minorEastAsia" w:hAnsiTheme="minorHAnsi" w:cstheme="minorBidi"/>
          <w:color w:val="auto"/>
          <w:sz w:val="22"/>
          <w:szCs w:val="22"/>
          <w:lang w:eastAsia="en-AU"/>
        </w:rPr>
      </w:pPr>
      <w:r w:rsidRPr="00F8578D">
        <w:fldChar w:fldCharType="begin"/>
      </w:r>
      <w:r w:rsidR="004E7227">
        <w:instrText xml:space="preserve"> TOC \f F \t "tabletitle" \c </w:instrText>
      </w:r>
      <w:r w:rsidRPr="00F8578D">
        <w:fldChar w:fldCharType="separate"/>
      </w:r>
      <w:r w:rsidR="008F46F4">
        <w:t>1</w:t>
      </w:r>
      <w:r w:rsidR="008F46F4">
        <w:rPr>
          <w:rFonts w:asciiTheme="minorHAnsi" w:eastAsiaTheme="minorEastAsia" w:hAnsiTheme="minorHAnsi" w:cstheme="minorBidi"/>
          <w:color w:val="auto"/>
          <w:sz w:val="22"/>
          <w:szCs w:val="22"/>
          <w:lang w:eastAsia="en-AU"/>
        </w:rPr>
        <w:tab/>
      </w:r>
      <w:r w:rsidR="008F46F4">
        <w:t>Employer informants: industry currency focus (n = 14)</w:t>
      </w:r>
      <w:r w:rsidR="008F46F4">
        <w:tab/>
      </w:r>
      <w:r>
        <w:fldChar w:fldCharType="begin"/>
      </w:r>
      <w:r w:rsidR="008F46F4">
        <w:instrText xml:space="preserve"> PAGEREF _Toc355275636 \h </w:instrText>
      </w:r>
      <w:r>
        <w:fldChar w:fldCharType="separate"/>
      </w:r>
      <w:r w:rsidR="00401F54">
        <w:t>11</w:t>
      </w:r>
      <w:r>
        <w:fldChar w:fldCharType="end"/>
      </w:r>
    </w:p>
    <w:p w:rsidR="008F46F4" w:rsidRDefault="008F46F4">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Knowledge-based organisations: professional obsolescence focus</w:t>
      </w:r>
      <w:r>
        <w:tab/>
      </w:r>
      <w:r w:rsidR="00F8578D">
        <w:fldChar w:fldCharType="begin"/>
      </w:r>
      <w:r>
        <w:instrText xml:space="preserve"> PAGEREF _Toc355275637 \h </w:instrText>
      </w:r>
      <w:r w:rsidR="00F8578D">
        <w:fldChar w:fldCharType="separate"/>
      </w:r>
      <w:r w:rsidR="00401F54">
        <w:t>12</w:t>
      </w:r>
      <w:r w:rsidR="00F8578D">
        <w:fldChar w:fldCharType="end"/>
      </w:r>
    </w:p>
    <w:p w:rsidR="008F46F4" w:rsidRDefault="008F46F4">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Strategies for updating: trades and professions</w:t>
      </w:r>
      <w:r>
        <w:tab/>
      </w:r>
      <w:r w:rsidR="00F8578D">
        <w:fldChar w:fldCharType="begin"/>
      </w:r>
      <w:r>
        <w:instrText xml:space="preserve"> PAGEREF _Toc355275638 \h </w:instrText>
      </w:r>
      <w:r w:rsidR="00F8578D">
        <w:fldChar w:fldCharType="separate"/>
      </w:r>
      <w:r w:rsidR="00401F54">
        <w:t>36</w:t>
      </w:r>
      <w:r w:rsidR="00F8578D">
        <w:fldChar w:fldCharType="end"/>
      </w:r>
    </w:p>
    <w:p w:rsidR="0007395C" w:rsidRDefault="00F8578D" w:rsidP="00385DFD">
      <w:pPr>
        <w:pStyle w:val="Heading2"/>
      </w:pPr>
      <w:r>
        <w:fldChar w:fldCharType="end"/>
      </w:r>
      <w:bookmarkStart w:id="29" w:name="_Toc355275604"/>
      <w:bookmarkStart w:id="30" w:name="_Toc357518779"/>
      <w:r w:rsidR="008762F4" w:rsidRPr="00385DFD">
        <w:t>Figures</w:t>
      </w:r>
      <w:bookmarkEnd w:id="29"/>
      <w:bookmarkEnd w:id="30"/>
    </w:p>
    <w:p w:rsidR="008F46F4" w:rsidRPr="008F46F4" w:rsidRDefault="00F8578D" w:rsidP="008F46F4">
      <w:pPr>
        <w:pStyle w:val="TableofFigures"/>
      </w:pPr>
      <w:r>
        <w:fldChar w:fldCharType="begin"/>
      </w:r>
      <w:r w:rsidR="008F46F4">
        <w:instrText xml:space="preserve"> TOC \h \z \t "Figuretitle" \c </w:instrText>
      </w:r>
      <w:r>
        <w:fldChar w:fldCharType="separate"/>
      </w:r>
      <w:hyperlink w:anchor="_Toc355275754" w:history="1">
        <w:r w:rsidR="008F46F4" w:rsidRPr="00042AF3">
          <w:rPr>
            <w:rStyle w:val="Hyperlink"/>
          </w:rPr>
          <w:t>1</w:t>
        </w:r>
        <w:r w:rsidR="008F46F4">
          <w:rPr>
            <w:rFonts w:asciiTheme="minorHAnsi" w:eastAsiaTheme="minorEastAsia" w:hAnsiTheme="minorHAnsi" w:cstheme="minorBidi"/>
            <w:color w:val="auto"/>
            <w:sz w:val="22"/>
            <w:szCs w:val="22"/>
            <w:lang w:eastAsia="en-AU"/>
          </w:rPr>
          <w:tab/>
        </w:r>
        <w:r w:rsidR="008F46F4" w:rsidRPr="00042AF3">
          <w:rPr>
            <w:rStyle w:val="Hyperlink"/>
          </w:rPr>
          <w:t>Employer ratings of value of updating strategies</w:t>
        </w:r>
        <w:r w:rsidR="008F46F4">
          <w:rPr>
            <w:webHidden/>
          </w:rPr>
          <w:tab/>
        </w:r>
        <w:r>
          <w:rPr>
            <w:webHidden/>
          </w:rPr>
          <w:fldChar w:fldCharType="begin"/>
        </w:r>
        <w:r w:rsidR="008F46F4">
          <w:rPr>
            <w:webHidden/>
          </w:rPr>
          <w:instrText xml:space="preserve"> PAGEREF _Toc355275754 \h </w:instrText>
        </w:r>
        <w:r>
          <w:rPr>
            <w:webHidden/>
          </w:rPr>
        </w:r>
        <w:r>
          <w:rPr>
            <w:webHidden/>
          </w:rPr>
          <w:fldChar w:fldCharType="separate"/>
        </w:r>
        <w:r w:rsidR="00401F54">
          <w:rPr>
            <w:webHidden/>
          </w:rPr>
          <w:t>22</w:t>
        </w:r>
        <w:r>
          <w:rPr>
            <w:webHidden/>
          </w:rPr>
          <w:fldChar w:fldCharType="end"/>
        </w:r>
      </w:hyperlink>
    </w:p>
    <w:p w:rsidR="008F46F4" w:rsidRDefault="00F8578D">
      <w:pPr>
        <w:pStyle w:val="TableofFigures"/>
        <w:tabs>
          <w:tab w:val="left" w:pos="1100"/>
        </w:tabs>
        <w:rPr>
          <w:rFonts w:asciiTheme="minorHAnsi" w:eastAsiaTheme="minorEastAsia" w:hAnsiTheme="minorHAnsi" w:cstheme="minorBidi"/>
          <w:color w:val="auto"/>
          <w:sz w:val="22"/>
          <w:szCs w:val="22"/>
          <w:lang w:eastAsia="en-AU"/>
        </w:rPr>
      </w:pPr>
      <w:hyperlink w:anchor="_Toc355275755" w:history="1">
        <w:r w:rsidR="008F46F4" w:rsidRPr="00042AF3">
          <w:rPr>
            <w:rStyle w:val="Hyperlink"/>
          </w:rPr>
          <w:t>2</w:t>
        </w:r>
        <w:r w:rsidR="008F46F4">
          <w:rPr>
            <w:rFonts w:asciiTheme="minorHAnsi" w:eastAsiaTheme="minorEastAsia" w:hAnsiTheme="minorHAnsi" w:cstheme="minorBidi"/>
            <w:color w:val="auto"/>
            <w:sz w:val="22"/>
            <w:szCs w:val="22"/>
            <w:lang w:eastAsia="en-AU"/>
          </w:rPr>
          <w:tab/>
        </w:r>
        <w:r w:rsidR="008F46F4" w:rsidRPr="00042AF3">
          <w:rPr>
            <w:rStyle w:val="Hyperlink"/>
          </w:rPr>
          <w:t>Comparative analysis of ratings: all informants</w:t>
        </w:r>
        <w:r w:rsidR="008F46F4">
          <w:rPr>
            <w:webHidden/>
          </w:rPr>
          <w:tab/>
        </w:r>
        <w:r>
          <w:rPr>
            <w:webHidden/>
          </w:rPr>
          <w:fldChar w:fldCharType="begin"/>
        </w:r>
        <w:r w:rsidR="008F46F4">
          <w:rPr>
            <w:webHidden/>
          </w:rPr>
          <w:instrText xml:space="preserve"> PAGEREF _Toc355275755 \h </w:instrText>
        </w:r>
        <w:r>
          <w:rPr>
            <w:webHidden/>
          </w:rPr>
        </w:r>
        <w:r>
          <w:rPr>
            <w:webHidden/>
          </w:rPr>
          <w:fldChar w:fldCharType="separate"/>
        </w:r>
        <w:r w:rsidR="00401F54">
          <w:rPr>
            <w:webHidden/>
          </w:rPr>
          <w:t>23</w:t>
        </w:r>
        <w:r>
          <w:rPr>
            <w:webHidden/>
          </w:rPr>
          <w:fldChar w:fldCharType="end"/>
        </w:r>
      </w:hyperlink>
    </w:p>
    <w:p w:rsidR="002E553D" w:rsidRPr="002E553D" w:rsidRDefault="00F8578D" w:rsidP="00A407F1">
      <w:pPr>
        <w:pStyle w:val="TableofFigures"/>
      </w:pPr>
      <w:r>
        <w:fldChar w:fldCharType="end"/>
      </w:r>
    </w:p>
    <w:p w:rsidR="0007395C" w:rsidRDefault="0007395C" w:rsidP="0007395C">
      <w:pPr>
        <w:pStyle w:val="Text"/>
        <w:rPr>
          <w:rFonts w:ascii="Tahoma" w:hAnsi="Tahoma" w:cs="Tahoma"/>
          <w:sz w:val="28"/>
        </w:rPr>
      </w:pPr>
      <w:r>
        <w:br w:type="page"/>
      </w:r>
    </w:p>
    <w:p w:rsidR="009E231A" w:rsidRPr="00B86D06" w:rsidRDefault="00FE4A2D" w:rsidP="008C0A74">
      <w:pPr>
        <w:pStyle w:val="Heading1"/>
      </w:pPr>
      <w:bookmarkStart w:id="31" w:name="_Toc357518780"/>
      <w:r w:rsidRPr="00B86D06">
        <w:lastRenderedPageBreak/>
        <w:t>Executive summary</w:t>
      </w:r>
      <w:bookmarkEnd w:id="31"/>
    </w:p>
    <w:p w:rsidR="006B26A0" w:rsidRPr="00385DFD" w:rsidRDefault="006B26A0" w:rsidP="00385DFD">
      <w:pPr>
        <w:pStyle w:val="Text"/>
      </w:pPr>
      <w:r w:rsidRPr="006B26A0">
        <w:t xml:space="preserve">Of all the educational </w:t>
      </w:r>
      <w:proofErr w:type="gramStart"/>
      <w:r w:rsidRPr="006B26A0">
        <w:t xml:space="preserve">sectors, </w:t>
      </w:r>
      <w:r w:rsidR="00966951">
        <w:t xml:space="preserve">the </w:t>
      </w:r>
      <w:r w:rsidRPr="006B26A0">
        <w:t xml:space="preserve">vocational education and training </w:t>
      </w:r>
      <w:r w:rsidR="00F675D7">
        <w:t xml:space="preserve">(VET) </w:t>
      </w:r>
      <w:r w:rsidR="00966951">
        <w:t xml:space="preserve">sector </w:t>
      </w:r>
      <w:r w:rsidRPr="006B26A0">
        <w:t>is</w:t>
      </w:r>
      <w:proofErr w:type="gramEnd"/>
      <w:r w:rsidR="005B4FD4">
        <w:t xml:space="preserve"> arguably the</w:t>
      </w:r>
      <w:r w:rsidRPr="006B26A0">
        <w:t xml:space="preserve"> most closely linked to </w:t>
      </w:r>
      <w:r w:rsidR="005B4FD4">
        <w:t>industry and employers</w:t>
      </w:r>
      <w:r w:rsidR="00834134">
        <w:t>.</w:t>
      </w:r>
      <w:r w:rsidR="005B4FD4">
        <w:t xml:space="preserve"> A range of bodies, including the Australian Workforce Productivity Agency</w:t>
      </w:r>
      <w:r w:rsidR="0088752E">
        <w:t xml:space="preserve"> (formerly Skills Australia)</w:t>
      </w:r>
      <w:r w:rsidR="005B4FD4">
        <w:t xml:space="preserve">, also stress the importance of the quality and currency of the sector’s education and training in helping to equip Australia’s current and future workforce needs. </w:t>
      </w:r>
      <w:r w:rsidRPr="006B26A0">
        <w:t xml:space="preserve">VET practitioners play a crucial role in ensuring </w:t>
      </w:r>
      <w:r w:rsidR="005B4FD4">
        <w:t xml:space="preserve">this quality and currency. </w:t>
      </w:r>
      <w:r w:rsidR="00F675D7">
        <w:t>For this reason</w:t>
      </w:r>
      <w:r w:rsidR="005B4FD4">
        <w:t xml:space="preserve"> the</w:t>
      </w:r>
      <w:r w:rsidRPr="006B26A0">
        <w:t xml:space="preserve"> </w:t>
      </w:r>
      <w:r w:rsidRPr="005B4FD4">
        <w:t>Standards for NVR Registered Training Organisations</w:t>
      </w:r>
      <w:r w:rsidR="00F675D7">
        <w:rPr>
          <w:rStyle w:val="FootnoteReference"/>
        </w:rPr>
        <w:footnoteReference w:id="1"/>
      </w:r>
      <w:r w:rsidRPr="005B4FD4">
        <w:t xml:space="preserve"> (</w:t>
      </w:r>
      <w:r w:rsidRPr="006B26A0">
        <w:t xml:space="preserve">SNR 4.4/SNR 15.4) </w:t>
      </w:r>
      <w:r w:rsidR="005B4FD4">
        <w:t xml:space="preserve">require that, in addition to maintaining and enhancing their skills as teachers and trainers, they must also be able to demonstrate they are maintaining current industry skills. However, there is evidence of </w:t>
      </w:r>
      <w:r w:rsidRPr="006B26A0">
        <w:t xml:space="preserve">currency gaps </w:t>
      </w:r>
      <w:r w:rsidR="005C56E3">
        <w:t>in</w:t>
      </w:r>
      <w:r w:rsidRPr="006B26A0">
        <w:t xml:space="preserve"> the VET workforce</w:t>
      </w:r>
      <w:r w:rsidR="005B4FD4">
        <w:t xml:space="preserve"> and there is also a lack of understanding about how best to manage and maintain industry currency within the sector itself.</w:t>
      </w:r>
      <w:r w:rsidRPr="006B26A0">
        <w:t xml:space="preserve"> As a consequence, industry currency has become an increasing concern for industry</w:t>
      </w:r>
      <w:r w:rsidR="005B4FD4">
        <w:t xml:space="preserve">, the sector </w:t>
      </w:r>
      <w:r w:rsidR="005B4FD4" w:rsidRPr="00385DFD">
        <w:t>and its regulators</w:t>
      </w:r>
      <w:r w:rsidRPr="00385DFD">
        <w:t xml:space="preserve">. </w:t>
      </w:r>
    </w:p>
    <w:p w:rsidR="009E231A" w:rsidRPr="005C2FCF" w:rsidRDefault="006B26A0" w:rsidP="00385DFD">
      <w:pPr>
        <w:pStyle w:val="Text"/>
        <w:rPr>
          <w:color w:val="000000"/>
        </w:rPr>
      </w:pPr>
      <w:r w:rsidRPr="00385DFD">
        <w:t>The purpose of this research was t</w:t>
      </w:r>
      <w:r w:rsidRPr="006804A1">
        <w:t xml:space="preserve">o investigate currency </w:t>
      </w:r>
      <w:r w:rsidR="005C56E3">
        <w:t>from two perspectives</w:t>
      </w:r>
      <w:r w:rsidR="00914122">
        <w:t>: how industry currency is maintained in a number of vocations</w:t>
      </w:r>
      <w:r w:rsidR="00966951">
        <w:t>;</w:t>
      </w:r>
      <w:r w:rsidR="00914122">
        <w:t xml:space="preserve"> </w:t>
      </w:r>
      <w:r w:rsidR="005C56E3">
        <w:t>and</w:t>
      </w:r>
      <w:r w:rsidR="00914122">
        <w:t xml:space="preserve"> how the professions avoid professional obsolescence by maintaining and </w:t>
      </w:r>
      <w:r w:rsidR="0088752E">
        <w:t>enhancing</w:t>
      </w:r>
      <w:r w:rsidR="00914122">
        <w:t xml:space="preserve"> thei</w:t>
      </w:r>
      <w:r w:rsidR="00360765">
        <w:t>r</w:t>
      </w:r>
      <w:r w:rsidR="00914122">
        <w:t xml:space="preserve"> professional skills through ongoing learning and development</w:t>
      </w:r>
      <w:r w:rsidRPr="006804A1">
        <w:t xml:space="preserve">. </w:t>
      </w:r>
      <w:r w:rsidR="0088752E">
        <w:t xml:space="preserve">The aim of this dual approach </w:t>
      </w:r>
      <w:r w:rsidRPr="006804A1">
        <w:t>was to develop a greater understanding of how the ongoing development and maintenance of industry currency of VET practitioners</w:t>
      </w:r>
      <w:r w:rsidR="0088752E">
        <w:t xml:space="preserve"> could be supported</w:t>
      </w:r>
      <w:r w:rsidRPr="006B26A0">
        <w:rPr>
          <w:color w:val="000000"/>
        </w:rPr>
        <w:t>.</w:t>
      </w:r>
    </w:p>
    <w:p w:rsidR="006E53DA" w:rsidRDefault="006E53DA" w:rsidP="00385DFD">
      <w:pPr>
        <w:pStyle w:val="Heading2"/>
      </w:pPr>
      <w:bookmarkStart w:id="32" w:name="_Toc355275606"/>
      <w:bookmarkStart w:id="33" w:name="_Toc357518781"/>
      <w:r>
        <w:t>Research purpose and method</w:t>
      </w:r>
      <w:bookmarkEnd w:id="32"/>
      <w:bookmarkEnd w:id="33"/>
    </w:p>
    <w:p w:rsidR="006E53DA" w:rsidRDefault="00834134" w:rsidP="00385DFD">
      <w:pPr>
        <w:pStyle w:val="Text"/>
      </w:pPr>
      <w:r>
        <w:t>Twenty-two</w:t>
      </w:r>
      <w:r w:rsidR="006E53DA">
        <w:t xml:space="preserve"> semi-structured interviews were conducted with employers in the hairdressing, plumbing and printing industries an</w:t>
      </w:r>
      <w:r w:rsidR="0088752E">
        <w:t>d a further eight with auditors</w:t>
      </w:r>
      <w:r w:rsidR="006E53DA">
        <w:t xml:space="preserve"> and representatives of the </w:t>
      </w:r>
      <w:r w:rsidR="0088752E">
        <w:t>relevant industry skills councils and industry/professional associations</w:t>
      </w:r>
      <w:r w:rsidR="006E53DA">
        <w:t xml:space="preserve">. </w:t>
      </w:r>
      <w:r w:rsidR="005C56E3" w:rsidRPr="005C56E3">
        <w:t xml:space="preserve">The industry sectors chosen were seen to be ones in which employees </w:t>
      </w:r>
      <w:r w:rsidR="007D4EDB">
        <w:t>had</w:t>
      </w:r>
      <w:r w:rsidR="005C56E3" w:rsidRPr="005C56E3">
        <w:t xml:space="preserve"> to maintain currency in the face of ongoing technolog</w:t>
      </w:r>
      <w:r w:rsidR="005C56E3">
        <w:t xml:space="preserve">ical and/or regulatory change. </w:t>
      </w:r>
      <w:r w:rsidR="006E53DA">
        <w:t xml:space="preserve">Nine interviews were undertaken with </w:t>
      </w:r>
      <w:r w:rsidR="0088752E">
        <w:t xml:space="preserve">learning and development </w:t>
      </w:r>
      <w:r w:rsidR="006E53DA">
        <w:t>managers in engineering, science, health and human resource companies</w:t>
      </w:r>
      <w:r w:rsidR="0046286D">
        <w:t xml:space="preserve"> (referred to here as knowledge-based organisations)</w:t>
      </w:r>
      <w:r w:rsidR="006E53DA">
        <w:t xml:space="preserve">. A pre-interview questionnaire was also completed by </w:t>
      </w:r>
      <w:r w:rsidR="00255813">
        <w:t xml:space="preserve">these </w:t>
      </w:r>
      <w:r w:rsidR="0088752E">
        <w:t xml:space="preserve">learning and development </w:t>
      </w:r>
      <w:r w:rsidR="006E53DA">
        <w:t xml:space="preserve">managers. </w:t>
      </w:r>
    </w:p>
    <w:p w:rsidR="006E53DA" w:rsidRDefault="006E53DA" w:rsidP="00385DFD">
      <w:pPr>
        <w:pStyle w:val="Heading2"/>
      </w:pPr>
      <w:bookmarkStart w:id="34" w:name="_Toc355275607"/>
      <w:bookmarkStart w:id="35" w:name="_Toc357518782"/>
      <w:r>
        <w:t>Key findings</w:t>
      </w:r>
      <w:bookmarkEnd w:id="34"/>
      <w:bookmarkEnd w:id="35"/>
    </w:p>
    <w:p w:rsidR="006E53DA" w:rsidRPr="00385DFD" w:rsidRDefault="006E53DA" w:rsidP="00385DFD">
      <w:pPr>
        <w:pStyle w:val="Text"/>
      </w:pPr>
      <w:r>
        <w:t>From both a trade</w:t>
      </w:r>
      <w:r w:rsidR="00030BF9">
        <w:t>s</w:t>
      </w:r>
      <w:r>
        <w:t xml:space="preserve"> and professional viewpoint, industry currency was not a term with which informants were familiar. Learning </w:t>
      </w:r>
      <w:r w:rsidR="00255813">
        <w:t>and d</w:t>
      </w:r>
      <w:r>
        <w:t>evelopment managers used the term ‘professional competence’</w:t>
      </w:r>
      <w:r w:rsidR="005C56E3">
        <w:t xml:space="preserve"> to en</w:t>
      </w:r>
      <w:r w:rsidR="00255813">
        <w:t>compass</w:t>
      </w:r>
      <w:r>
        <w:t xml:space="preserve"> the concepts of currency, updating and </w:t>
      </w:r>
      <w:proofErr w:type="spellStart"/>
      <w:r>
        <w:t>upskilling</w:t>
      </w:r>
      <w:proofErr w:type="spellEnd"/>
      <w:r>
        <w:t xml:space="preserve">. Employers in the trades preferred the term ‘industry relevance’, defining it as a solid grounding in the </w:t>
      </w:r>
      <w:r w:rsidRPr="00385DFD">
        <w:t>industry gained from being trained and employed in the industry. They considered industry relevance was more critical than currency</w:t>
      </w:r>
      <w:r w:rsidR="00255813" w:rsidRPr="00385DFD">
        <w:t>,</w:t>
      </w:r>
      <w:r w:rsidRPr="00385DFD">
        <w:t xml:space="preserve"> particularly given </w:t>
      </w:r>
      <w:r w:rsidR="00255813" w:rsidRPr="00385DFD">
        <w:t xml:space="preserve">that </w:t>
      </w:r>
      <w:r w:rsidRPr="00385DFD">
        <w:t>industry fundamentals basically remained stable.</w:t>
      </w:r>
    </w:p>
    <w:p w:rsidR="006E53DA" w:rsidRPr="00385DFD" w:rsidRDefault="006E53DA" w:rsidP="00385DFD">
      <w:pPr>
        <w:pStyle w:val="Text"/>
        <w:ind w:right="-143"/>
      </w:pPr>
      <w:r w:rsidRPr="00385DFD">
        <w:t xml:space="preserve">Employers, auditors and industry representatives all acknowledged the difficulties associated with keeping up with emerging technological innovations, regulatory and legislative change and shifts in client demands. The plumbing, hairdressing and printing employers considered that it was not possible for trainers and assessors to keep </w:t>
      </w:r>
      <w:r w:rsidR="00255813" w:rsidRPr="00385DFD">
        <w:t>abreast of</w:t>
      </w:r>
      <w:r w:rsidRPr="00385DFD">
        <w:t xml:space="preserve"> every change and confirmed that they struggled to do so </w:t>
      </w:r>
      <w:r w:rsidRPr="00385DFD">
        <w:lastRenderedPageBreak/>
        <w:t>themselves. There was also the suggestion that they trusted training providers</w:t>
      </w:r>
      <w:r w:rsidR="00255813" w:rsidRPr="00385DFD">
        <w:t xml:space="preserve"> to employ people with industry-</w:t>
      </w:r>
      <w:r w:rsidRPr="00385DFD">
        <w:t xml:space="preserve">relevant skills and that industry currency was not something </w:t>
      </w:r>
      <w:r w:rsidR="005C56E3" w:rsidRPr="00385DFD">
        <w:t>they were overly concerned with</w:t>
      </w:r>
      <w:r w:rsidRPr="00385DFD">
        <w:t>.</w:t>
      </w:r>
    </w:p>
    <w:p w:rsidR="006E53DA" w:rsidRPr="00385DFD" w:rsidRDefault="006E53DA" w:rsidP="00385DFD">
      <w:pPr>
        <w:pStyle w:val="Text"/>
      </w:pPr>
      <w:r w:rsidRPr="00385DFD">
        <w:t xml:space="preserve">Employers did suggest, however, that the strategies they used themselves to keep current were equally appropriate for VET trainers and assessors. The most </w:t>
      </w:r>
      <w:r w:rsidR="00255813" w:rsidRPr="00385DFD">
        <w:t>favoured</w:t>
      </w:r>
      <w:r w:rsidRPr="00385DFD">
        <w:t xml:space="preserve"> ways of doing so were attending trade events, reading industry magazines, undertaking online research and engaging in industry networks. Significantly, product manufacturer/vendor training was also available in most industries. This was rated highly as it provided exposure to new equipment, resources and training to support their introduction into workplaces. Within the knowledge-based organisations, conferences, technical seminars, industry events and networking were all highly rated</w:t>
      </w:r>
      <w:r w:rsidR="00255813" w:rsidRPr="00385DFD">
        <w:t>,</w:t>
      </w:r>
      <w:r w:rsidRPr="00385DFD">
        <w:t xml:space="preserve"> as was training in new technology as it emerged.</w:t>
      </w:r>
    </w:p>
    <w:p w:rsidR="006E53DA" w:rsidRPr="00385DFD" w:rsidRDefault="006E53DA" w:rsidP="00385DFD">
      <w:pPr>
        <w:pStyle w:val="Text"/>
        <w:ind w:right="-143"/>
      </w:pPr>
      <w:r w:rsidRPr="00385DFD">
        <w:t>Regardless of the approaches adopted to build skills and knowledge, employers in the trades wanted to</w:t>
      </w:r>
      <w:r w:rsidR="00385DFD">
        <w:t> </w:t>
      </w:r>
      <w:r w:rsidRPr="00385DFD">
        <w:t xml:space="preserve">see trainers and assessors attending industry events, engaging in industry networks and interacting with employers. Industry </w:t>
      </w:r>
      <w:r w:rsidR="00CF2375" w:rsidRPr="00385DFD">
        <w:t xml:space="preserve">skills council </w:t>
      </w:r>
      <w:r w:rsidRPr="00385DFD">
        <w:t xml:space="preserve">representatives and industry association personnel confirmed these views. The auditors’ views, </w:t>
      </w:r>
      <w:r w:rsidR="00CF2375" w:rsidRPr="00385DFD">
        <w:t>by</w:t>
      </w:r>
      <w:r w:rsidRPr="00385DFD">
        <w:t xml:space="preserve"> contrast</w:t>
      </w:r>
      <w:r w:rsidR="00CF2375" w:rsidRPr="00385DFD">
        <w:t>,</w:t>
      </w:r>
      <w:r w:rsidRPr="00385DFD">
        <w:t xml:space="preserve"> did not necessarily align with those of industry and there was some questioning of the value of industry events and online research. Auditors were much more concerned to see evidence of planning for industry currency and </w:t>
      </w:r>
      <w:r w:rsidR="00966951">
        <w:t xml:space="preserve">the </w:t>
      </w:r>
      <w:r w:rsidRPr="00385DFD">
        <w:t>application of any learning gain</w:t>
      </w:r>
      <w:r w:rsidR="00CF2375" w:rsidRPr="00385DFD">
        <w:t xml:space="preserve">ed through updating activities. </w:t>
      </w:r>
      <w:r w:rsidRPr="00385DFD">
        <w:t>In effect, it was not about the strategies being used to maintain industry curren</w:t>
      </w:r>
      <w:r w:rsidR="00834134" w:rsidRPr="00385DFD">
        <w:t>cy</w:t>
      </w:r>
      <w:r w:rsidRPr="00385DFD">
        <w:t>, but rather how the ongoing learning was taken up and used to inform teaching practice.</w:t>
      </w:r>
    </w:p>
    <w:p w:rsidR="006E53DA" w:rsidRPr="00385DFD" w:rsidRDefault="006E53DA" w:rsidP="00385DFD">
      <w:pPr>
        <w:pStyle w:val="Text"/>
        <w:ind w:right="-143"/>
      </w:pPr>
      <w:r w:rsidRPr="00385DFD">
        <w:t xml:space="preserve">Auditors also noted that there was some confusion in the standards </w:t>
      </w:r>
      <w:r w:rsidR="005C56E3" w:rsidRPr="00385DFD">
        <w:t>relating to</w:t>
      </w:r>
      <w:r w:rsidRPr="00385DFD">
        <w:t xml:space="preserve"> industry currency and competence. They were of the view that there needed to be clarification of the terms and greater consideration of what constituted appropriate </w:t>
      </w:r>
      <w:r w:rsidR="00CF2375" w:rsidRPr="00385DFD">
        <w:t>evidence of industry currency. The i</w:t>
      </w:r>
      <w:r w:rsidRPr="00385DFD">
        <w:t xml:space="preserve">nformation </w:t>
      </w:r>
      <w:r w:rsidR="00CF2375" w:rsidRPr="00385DFD">
        <w:t>contained</w:t>
      </w:r>
      <w:r w:rsidR="00385DFD">
        <w:t xml:space="preserve"> </w:t>
      </w:r>
      <w:r w:rsidRPr="00385DFD">
        <w:t xml:space="preserve">in </w:t>
      </w:r>
      <w:r w:rsidR="00C2008E" w:rsidRPr="00385DFD">
        <w:t>t</w:t>
      </w:r>
      <w:r w:rsidRPr="00385DFD">
        <w:t xml:space="preserve">raining </w:t>
      </w:r>
      <w:r w:rsidR="00C2008E" w:rsidRPr="00385DFD">
        <w:t>p</w:t>
      </w:r>
      <w:r w:rsidRPr="00385DFD">
        <w:t xml:space="preserve">ackages was not necessarily useful for this purpose. Importantly, </w:t>
      </w:r>
      <w:r w:rsidR="005C56E3" w:rsidRPr="00385DFD">
        <w:t>employers expressed</w:t>
      </w:r>
      <w:r w:rsidRPr="00385DFD">
        <w:t xml:space="preserve"> distinct industry differences and preferen</w:t>
      </w:r>
      <w:r w:rsidR="00CF2375" w:rsidRPr="00385DFD">
        <w:t xml:space="preserve">ces in approaches to keeping up to </w:t>
      </w:r>
      <w:r w:rsidR="004A69BB" w:rsidRPr="00385DFD">
        <w:t>date</w:t>
      </w:r>
      <w:r w:rsidR="00CF2375" w:rsidRPr="00385DFD">
        <w:t xml:space="preserve">. A ‘one size fits </w:t>
      </w:r>
      <w:r w:rsidRPr="00385DFD">
        <w:t xml:space="preserve">all’ approach, therefore, would seem to be inappropriate and any audit processes would need to take into account </w:t>
      </w:r>
      <w:r w:rsidR="00CF2375" w:rsidRPr="00385DFD">
        <w:t xml:space="preserve">the </w:t>
      </w:r>
      <w:r w:rsidRPr="00385DFD">
        <w:t xml:space="preserve">context, location and type of work </w:t>
      </w:r>
      <w:r w:rsidR="004A69BB" w:rsidRPr="00385DFD">
        <w:t xml:space="preserve">that </w:t>
      </w:r>
      <w:r w:rsidRPr="00385DFD">
        <w:t>trainers and assessors were involved in.</w:t>
      </w:r>
    </w:p>
    <w:p w:rsidR="006E53DA" w:rsidRPr="00385DFD" w:rsidRDefault="006E53DA" w:rsidP="00385DFD">
      <w:pPr>
        <w:pStyle w:val="Text"/>
        <w:ind w:right="-143"/>
      </w:pPr>
      <w:r w:rsidRPr="00385DFD">
        <w:t xml:space="preserve">From the perspective of those in </w:t>
      </w:r>
      <w:r w:rsidR="00CF2375" w:rsidRPr="00385DFD">
        <w:t xml:space="preserve">the </w:t>
      </w:r>
      <w:r w:rsidRPr="00385DFD">
        <w:t>knowledge-based organisations it was evident that effective updating was dependent on a healthy organisational climate</w:t>
      </w:r>
      <w:r w:rsidR="00CF2375" w:rsidRPr="00385DFD">
        <w:t>, which</w:t>
      </w:r>
      <w:r w:rsidRPr="00385DFD">
        <w:t xml:space="preserve"> sent the message that keeping current was a critical and expected activity for employees. Across both the trades and the professions employers were supportive of ongoing training and </w:t>
      </w:r>
      <w:r w:rsidR="00CF2375" w:rsidRPr="00385DFD">
        <w:t>had established</w:t>
      </w:r>
      <w:r w:rsidRPr="00385DFD">
        <w:t xml:space="preserve"> processes for ensuring it occurred. In the </w:t>
      </w:r>
      <w:r w:rsidR="00CF2375" w:rsidRPr="00385DFD">
        <w:t>large</w:t>
      </w:r>
      <w:r w:rsidRPr="00385DFD">
        <w:t xml:space="preserve"> organisations, updating was strategically planned, collaboratively undertaken</w:t>
      </w:r>
      <w:r w:rsidR="00966951">
        <w:t xml:space="preserve"> and</w:t>
      </w:r>
      <w:r w:rsidRPr="00385DFD">
        <w:t xml:space="preserve"> monitored and reviewed on a regular basis. There was sufficient flexibility in the way w</w:t>
      </w:r>
      <w:r w:rsidR="00CF2375" w:rsidRPr="00385DFD">
        <w:t xml:space="preserve">ork was done to allow for ‘just in </w:t>
      </w:r>
      <w:r w:rsidRPr="00385DFD">
        <w:t>time’ training to meet emerg</w:t>
      </w:r>
      <w:r w:rsidR="00CF2375" w:rsidRPr="00385DFD">
        <w:t>ing</w:t>
      </w:r>
      <w:r w:rsidRPr="00385DFD">
        <w:t xml:space="preserve"> needs</w:t>
      </w:r>
      <w:r w:rsidR="00CF2375" w:rsidRPr="00385DFD">
        <w:t>,</w:t>
      </w:r>
      <w:r w:rsidRPr="00385DFD">
        <w:t xml:space="preserve"> and skills profiles were regularly assessed to ensure </w:t>
      </w:r>
      <w:r w:rsidR="00CF2375" w:rsidRPr="00385DFD">
        <w:t xml:space="preserve">that </w:t>
      </w:r>
      <w:r w:rsidRPr="00385DFD">
        <w:t>industry changes could be addressed in the short</w:t>
      </w:r>
      <w:r w:rsidR="00CF2375" w:rsidRPr="00385DFD">
        <w:t>- and long-</w:t>
      </w:r>
      <w:r w:rsidRPr="00385DFD">
        <w:t xml:space="preserve">term. Those employees </w:t>
      </w:r>
      <w:r w:rsidR="00CF2375" w:rsidRPr="00385DFD">
        <w:t xml:space="preserve">who </w:t>
      </w:r>
      <w:r w:rsidRPr="00385DFD">
        <w:t>consistently updat</w:t>
      </w:r>
      <w:r w:rsidR="00CF2375" w:rsidRPr="00385DFD">
        <w:t>ed their skills</w:t>
      </w:r>
      <w:r w:rsidRPr="00385DFD">
        <w:t xml:space="preserve"> </w:t>
      </w:r>
      <w:r w:rsidR="00CF2375" w:rsidRPr="00385DFD">
        <w:t>were rewarded</w:t>
      </w:r>
      <w:r w:rsidRPr="00385DFD">
        <w:t xml:space="preserve"> </w:t>
      </w:r>
      <w:r w:rsidR="00CF2375" w:rsidRPr="00385DFD">
        <w:t>with bonuses and promotions;</w:t>
      </w:r>
      <w:r w:rsidRPr="00385DFD">
        <w:t xml:space="preserve"> those who did not were sometimes faced with sanctions. Organisational values and goals inevitably made clear the importance of current industry skills and knowledge to the knowledge-leading companies participating in the study.</w:t>
      </w:r>
    </w:p>
    <w:p w:rsidR="006E53DA" w:rsidRDefault="006E53DA" w:rsidP="00385DFD">
      <w:pPr>
        <w:pStyle w:val="Text"/>
      </w:pPr>
      <w:r w:rsidRPr="00385DFD">
        <w:t xml:space="preserve">The workplace was invariably identified as the most useful location for </w:t>
      </w:r>
      <w:r w:rsidR="004903C6" w:rsidRPr="00385DFD">
        <w:t>keeping current</w:t>
      </w:r>
      <w:r w:rsidR="00CF2375" w:rsidRPr="00385DFD">
        <w:t>.</w:t>
      </w:r>
      <w:r w:rsidR="007D4EDB" w:rsidRPr="00385DFD">
        <w:t xml:space="preserve"> </w:t>
      </w:r>
      <w:r w:rsidR="00CF2375" w:rsidRPr="00385DFD">
        <w:t>A</w:t>
      </w:r>
      <w:r w:rsidRPr="00385DFD">
        <w:t>lthough formal learning was valued, greater emphasis was placed on structuring work in a way that allowed informal, peer-to-peer and collaborative learning</w:t>
      </w:r>
      <w:r w:rsidR="004903C6" w:rsidRPr="00385DFD">
        <w:t>.</w:t>
      </w:r>
      <w:r w:rsidRPr="00385DFD">
        <w:t xml:space="preserve"> Seventy per cent of all training in </w:t>
      </w:r>
      <w:r w:rsidR="004903C6" w:rsidRPr="00385DFD">
        <w:t>the knowledge-based organisations</w:t>
      </w:r>
      <w:r>
        <w:t xml:space="preserve"> took place in the workplace and was </w:t>
      </w:r>
      <w:r w:rsidR="008E1BEB">
        <w:t xml:space="preserve">fully </w:t>
      </w:r>
      <w:r>
        <w:t>supported</w:t>
      </w:r>
      <w:r w:rsidR="004903C6">
        <w:t>.</w:t>
      </w:r>
      <w:r>
        <w:t xml:space="preserve"> </w:t>
      </w:r>
      <w:r w:rsidR="004A69BB">
        <w:t>Close contact</w:t>
      </w:r>
      <w:r>
        <w:t xml:space="preserve"> with experts was viewed as a valuable learning strategy and enco</w:t>
      </w:r>
      <w:r w:rsidR="00CF2375">
        <w:t>uraged. Similarly, in the small-to-</w:t>
      </w:r>
      <w:r>
        <w:t>medium trade enterprises, learning was a collaborative activity</w:t>
      </w:r>
      <w:r w:rsidR="00966951">
        <w:t>,</w:t>
      </w:r>
      <w:r>
        <w:t xml:space="preserve"> with employer and employees generally learning together.</w:t>
      </w:r>
    </w:p>
    <w:p w:rsidR="006E53DA" w:rsidRPr="00385DFD" w:rsidRDefault="006E53DA" w:rsidP="00385DFD">
      <w:pPr>
        <w:pStyle w:val="Text"/>
      </w:pPr>
      <w:r>
        <w:lastRenderedPageBreak/>
        <w:t xml:space="preserve">Employers and industry representatives in this study indicated that they </w:t>
      </w:r>
      <w:r w:rsidR="00966951">
        <w:t xml:space="preserve">themselves </w:t>
      </w:r>
      <w:r>
        <w:t xml:space="preserve">could assist in keeping VET practitioners abreast of changes in industry. While there was some evidence of this having occurred, most </w:t>
      </w:r>
      <w:r w:rsidR="008E1BEB">
        <w:t xml:space="preserve">informants </w:t>
      </w:r>
      <w:r>
        <w:t xml:space="preserve">noted that they had not been approached by trainers seeking help to keep current. Others indicated that they had learnt from trainers who were sometimes more current in certain areas. This situation </w:t>
      </w:r>
      <w:r w:rsidR="004A69BB">
        <w:t>signals</w:t>
      </w:r>
      <w:r>
        <w:t xml:space="preserve"> the importance of practitioners developing personal networks with employers and others in industry. It also highlights that individual trainers and assessors need to </w:t>
      </w:r>
      <w:r w:rsidR="008E1BEB">
        <w:t>accept</w:t>
      </w:r>
      <w:r>
        <w:t xml:space="preserve"> responsibility for ensuring </w:t>
      </w:r>
      <w:r w:rsidR="008E1BEB">
        <w:t>their currency</w:t>
      </w:r>
      <w:r>
        <w:t xml:space="preserve">. In every instance, there was ready acceptance that maintaining currency was a </w:t>
      </w:r>
      <w:r w:rsidRPr="00385DFD">
        <w:t xml:space="preserve">responsibility to be shared by the individual and the organisation </w:t>
      </w:r>
      <w:r w:rsidR="004A69BB" w:rsidRPr="00385DFD">
        <w:t>—</w:t>
      </w:r>
      <w:r w:rsidRPr="00385DFD">
        <w:t xml:space="preserve"> without joint commitment updating strategies were likely to fail.</w:t>
      </w:r>
    </w:p>
    <w:p w:rsidR="006E53DA" w:rsidRPr="00385DFD" w:rsidRDefault="006E53DA" w:rsidP="00385DFD">
      <w:pPr>
        <w:pStyle w:val="Text"/>
      </w:pPr>
      <w:r w:rsidRPr="00385DFD">
        <w:t xml:space="preserve">The findings from this research suggest a number of ways </w:t>
      </w:r>
      <w:r w:rsidR="008E1BEB" w:rsidRPr="00385DFD">
        <w:t>whereby</w:t>
      </w:r>
      <w:r w:rsidRPr="00385DFD">
        <w:t xml:space="preserve"> the currency of trainers and assessors could be improved. From a system perspective, there needs to be greater clarity around defining the term ‘industry currency’ and determining what is required </w:t>
      </w:r>
      <w:r w:rsidR="004F3EA8" w:rsidRPr="00385DFD">
        <w:t>for</w:t>
      </w:r>
      <w:r w:rsidRPr="00385DFD">
        <w:t xml:space="preserve"> individuals to be deemed current. </w:t>
      </w:r>
      <w:r w:rsidR="008E1BEB" w:rsidRPr="00385DFD">
        <w:t>The</w:t>
      </w:r>
      <w:r w:rsidRPr="00385DFD">
        <w:t xml:space="preserve"> divergent views in various indus</w:t>
      </w:r>
      <w:r w:rsidR="008E1BEB" w:rsidRPr="00385DFD">
        <w:t>tries</w:t>
      </w:r>
      <w:r w:rsidR="004F3EA8" w:rsidRPr="00385DFD">
        <w:t xml:space="preserve"> about updating approaches mean</w:t>
      </w:r>
      <w:r w:rsidRPr="00385DFD">
        <w:t xml:space="preserve"> </w:t>
      </w:r>
      <w:r w:rsidR="007D4EDB" w:rsidRPr="00385DFD">
        <w:t xml:space="preserve">that </w:t>
      </w:r>
      <w:r w:rsidRPr="00385DFD">
        <w:t xml:space="preserve">these need to be taken into account in the auditing process. Professional development also remains a major issue in the sector and without targeted funding to address industry currency it is likely to continue to be a </w:t>
      </w:r>
      <w:r w:rsidR="004F3EA8" w:rsidRPr="00385DFD">
        <w:t>significant</w:t>
      </w:r>
      <w:r w:rsidRPr="00385DFD">
        <w:t xml:space="preserve"> concern. </w:t>
      </w:r>
    </w:p>
    <w:p w:rsidR="006E53DA" w:rsidRPr="00385DFD" w:rsidRDefault="006E53DA" w:rsidP="00385DFD">
      <w:pPr>
        <w:pStyle w:val="Text"/>
      </w:pPr>
      <w:r w:rsidRPr="00385DFD">
        <w:t>For training providers, industry currency requires strategic thinking and planning. Not all t</w:t>
      </w:r>
      <w:r w:rsidR="004F3EA8" w:rsidRPr="00385DFD">
        <w:t>rainers and assessors require the constant revitalisation of</w:t>
      </w:r>
      <w:r w:rsidR="008E1BEB" w:rsidRPr="00385DFD">
        <w:t xml:space="preserve"> their knowledge and skills;</w:t>
      </w:r>
      <w:r w:rsidR="004903C6" w:rsidRPr="00385DFD">
        <w:t xml:space="preserve"> however</w:t>
      </w:r>
      <w:r w:rsidR="008E1BEB" w:rsidRPr="00385DFD">
        <w:t>,</w:t>
      </w:r>
      <w:r w:rsidR="004903C6" w:rsidRPr="00385DFD">
        <w:t xml:space="preserve"> c</w:t>
      </w:r>
      <w:r w:rsidRPr="00385DFD">
        <w:t xml:space="preserve">hanges in regulation, technology and client </w:t>
      </w:r>
      <w:r w:rsidR="004903C6" w:rsidRPr="00385DFD">
        <w:t>demand impact</w:t>
      </w:r>
      <w:r w:rsidRPr="00385DFD">
        <w:t xml:space="preserve"> on training and training packages. </w:t>
      </w:r>
      <w:r w:rsidR="004903C6" w:rsidRPr="00385DFD">
        <w:t>Thus, i</w:t>
      </w:r>
      <w:r w:rsidRPr="00385DFD">
        <w:t xml:space="preserve">ndividuals who are responsible for implementing innovations will need </w:t>
      </w:r>
      <w:r w:rsidR="004F3EA8" w:rsidRPr="00385DFD">
        <w:t xml:space="preserve">ongoing </w:t>
      </w:r>
      <w:r w:rsidRPr="00385DFD">
        <w:t>support to keep ab</w:t>
      </w:r>
      <w:r w:rsidR="004F3EA8" w:rsidRPr="00385DFD">
        <w:t>reast of these</w:t>
      </w:r>
      <w:r w:rsidRPr="00385DFD">
        <w:t xml:space="preserve">. Collaborative, informal or incidental learning in the workplace can provide the platform for such </w:t>
      </w:r>
      <w:proofErr w:type="spellStart"/>
      <w:r w:rsidRPr="00385DFD">
        <w:t>upskilling</w:t>
      </w:r>
      <w:proofErr w:type="spellEnd"/>
      <w:r w:rsidRPr="00385DFD">
        <w:t xml:space="preserve">. </w:t>
      </w:r>
      <w:r w:rsidR="008E1BEB" w:rsidRPr="00385DFD">
        <w:t>The a</w:t>
      </w:r>
      <w:r w:rsidR="004903C6" w:rsidRPr="00385DFD">
        <w:t xml:space="preserve">pproaches </w:t>
      </w:r>
      <w:r w:rsidR="008E1BEB" w:rsidRPr="00385DFD">
        <w:t xml:space="preserve">adopted </w:t>
      </w:r>
      <w:r w:rsidR="004903C6" w:rsidRPr="00385DFD">
        <w:t>by</w:t>
      </w:r>
      <w:r w:rsidRPr="00385DFD">
        <w:t xml:space="preserve"> knowledge-based organisations emphasise the importance of having </w:t>
      </w:r>
      <w:r w:rsidR="008E1BEB" w:rsidRPr="00385DFD">
        <w:t>a colleague</w:t>
      </w:r>
      <w:r w:rsidRPr="00385DFD">
        <w:t xml:space="preserve"> in the workplace to provide </w:t>
      </w:r>
      <w:r w:rsidR="004903C6" w:rsidRPr="00385DFD">
        <w:t>support for learning</w:t>
      </w:r>
      <w:r w:rsidR="004F3EA8" w:rsidRPr="00385DFD">
        <w:t>,</w:t>
      </w:r>
      <w:r w:rsidR="004903C6" w:rsidRPr="00385DFD">
        <w:t xml:space="preserve"> </w:t>
      </w:r>
      <w:r w:rsidR="008E1BEB" w:rsidRPr="00385DFD">
        <w:t>along</w:t>
      </w:r>
      <w:r w:rsidR="004903C6" w:rsidRPr="00385DFD">
        <w:t xml:space="preserve"> with project-based work through which new skills can be developed.</w:t>
      </w:r>
      <w:r w:rsidR="007D4EDB" w:rsidRPr="00385DFD">
        <w:t xml:space="preserve"> </w:t>
      </w:r>
      <w:r w:rsidRPr="00385DFD">
        <w:t xml:space="preserve">Equally critical are </w:t>
      </w:r>
      <w:r w:rsidR="004903C6" w:rsidRPr="00385DFD">
        <w:t xml:space="preserve">ongoing </w:t>
      </w:r>
      <w:r w:rsidRPr="00385DFD">
        <w:t xml:space="preserve">industry engagement and networking. While these </w:t>
      </w:r>
      <w:r w:rsidR="004903C6" w:rsidRPr="00385DFD">
        <w:t xml:space="preserve">activities </w:t>
      </w:r>
      <w:r w:rsidRPr="00385DFD">
        <w:t xml:space="preserve">may be individual in nature, their value </w:t>
      </w:r>
      <w:r w:rsidR="008E1BEB" w:rsidRPr="00385DFD">
        <w:t>should not</w:t>
      </w:r>
      <w:r w:rsidRPr="00385DFD">
        <w:t xml:space="preserve"> be under</w:t>
      </w:r>
      <w:r w:rsidR="008E1BEB" w:rsidRPr="00385DFD">
        <w:t>estimated,</w:t>
      </w:r>
      <w:r w:rsidRPr="00385DFD">
        <w:t xml:space="preserve"> particularly as employers view these </w:t>
      </w:r>
      <w:r w:rsidR="008E1BEB" w:rsidRPr="00385DFD">
        <w:t>activities</w:t>
      </w:r>
      <w:r w:rsidRPr="00385DFD">
        <w:t xml:space="preserve"> favourably. </w:t>
      </w:r>
    </w:p>
    <w:p w:rsidR="006E53DA" w:rsidRPr="00724B8F" w:rsidRDefault="006E53DA" w:rsidP="00385DFD">
      <w:pPr>
        <w:pStyle w:val="Text"/>
      </w:pPr>
      <w:r w:rsidRPr="00385DFD">
        <w:t>Finally, it is important to acknowledg</w:t>
      </w:r>
      <w:r>
        <w:t xml:space="preserve">e that client demands and technological and regulatory change will </w:t>
      </w:r>
      <w:r w:rsidR="008E1BEB">
        <w:t>remain issues in the VET environment, meaning that</w:t>
      </w:r>
      <w:r>
        <w:t xml:space="preserve"> practitioners’ currency will be an ongoing challenge. Strategies such as continuing professional development and close engagement with industry are valuable and valued, but require funding to support and sustain them. Further, </w:t>
      </w:r>
      <w:r w:rsidR="00477BF4">
        <w:t xml:space="preserve">organisations and individual practitioners require </w:t>
      </w:r>
      <w:r>
        <w:t xml:space="preserve">innovative thinking to determine how updating might more effectively occur in the workplace. Importantly, this demands that training providers and individual practitioners </w:t>
      </w:r>
      <w:r w:rsidR="004F3EA8">
        <w:t>recognise</w:t>
      </w:r>
      <w:r>
        <w:t xml:space="preserve"> industry currency as the key to the ongoing credibility of the sector. </w:t>
      </w:r>
    </w:p>
    <w:p w:rsidR="009E231A" w:rsidRDefault="00FE4A2D" w:rsidP="004903C6">
      <w:pPr>
        <w:pStyle w:val="Heading1"/>
      </w:pPr>
      <w:r w:rsidRPr="005C2FCF">
        <w:br w:type="page"/>
      </w:r>
      <w:bookmarkStart w:id="36" w:name="_Toc357518783"/>
      <w:r w:rsidR="003A39BE">
        <w:lastRenderedPageBreak/>
        <w:t>Introduction</w:t>
      </w:r>
      <w:bookmarkEnd w:id="36"/>
    </w:p>
    <w:p w:rsidR="007B06D9" w:rsidRDefault="00F849E6" w:rsidP="00673D4D">
      <w:pPr>
        <w:pStyle w:val="Text"/>
      </w:pPr>
      <w:r>
        <w:t>The</w:t>
      </w:r>
      <w:r w:rsidR="00ED784F">
        <w:t xml:space="preserve"> vocational education and training (VET) sector is char</w:t>
      </w:r>
      <w:r w:rsidR="00096214">
        <w:t>ged</w:t>
      </w:r>
      <w:r w:rsidR="00C2008E">
        <w:t xml:space="preserve"> with</w:t>
      </w:r>
      <w:r w:rsidR="00096214">
        <w:t xml:space="preserve"> providing</w:t>
      </w:r>
      <w:r>
        <w:t xml:space="preserve"> high-</w:t>
      </w:r>
      <w:r w:rsidR="00ED784F">
        <w:t>quality training</w:t>
      </w:r>
      <w:r w:rsidR="001A5896">
        <w:rPr>
          <w:color w:val="FF0000"/>
        </w:rPr>
        <w:t xml:space="preserve"> </w:t>
      </w:r>
      <w:r>
        <w:t>that</w:t>
      </w:r>
      <w:r w:rsidR="00ED784F">
        <w:t xml:space="preserve"> meet</w:t>
      </w:r>
      <w:r w:rsidR="004F3EA8">
        <w:t>s</w:t>
      </w:r>
      <w:r w:rsidR="00ED784F">
        <w:t xml:space="preserve"> </w:t>
      </w:r>
      <w:r w:rsidR="00CC075A">
        <w:t>industry and individual employer needs</w:t>
      </w:r>
      <w:r w:rsidR="00ED784F">
        <w:t xml:space="preserve">. </w:t>
      </w:r>
      <w:r w:rsidR="00E83980">
        <w:t xml:space="preserve">A key measure of quality is the work-readiness of </w:t>
      </w:r>
      <w:r w:rsidR="002D0A75">
        <w:t>individuals who</w:t>
      </w:r>
      <w:r w:rsidR="00E83980">
        <w:t xml:space="preserve"> complete nationally recognised training</w:t>
      </w:r>
      <w:r w:rsidR="002D0A75">
        <w:t xml:space="preserve">. Achievement of work-readiness or competence is </w:t>
      </w:r>
      <w:r w:rsidR="00E83980">
        <w:t xml:space="preserve">dependent upon the teaching expertise and industry currency of </w:t>
      </w:r>
      <w:r w:rsidR="002D0A75">
        <w:t>teachers, trainers and assessors</w:t>
      </w:r>
      <w:r w:rsidR="00E83980">
        <w:t xml:space="preserve">. </w:t>
      </w:r>
      <w:r w:rsidR="00CC075A">
        <w:t>The knowledge and skills required in occupatio</w:t>
      </w:r>
      <w:r>
        <w:t>ns do not remain static, which</w:t>
      </w:r>
      <w:r w:rsidR="00CC075A">
        <w:t xml:space="preserve"> means that workers need to learn new skills and keep on top of these changes. VET practitioners are training the individuals moving into occupations </w:t>
      </w:r>
      <w:r w:rsidR="004F3EA8">
        <w:t xml:space="preserve">whose requirements change, </w:t>
      </w:r>
      <w:r w:rsidR="00966951">
        <w:t xml:space="preserve">which means </w:t>
      </w:r>
      <w:r w:rsidR="00CC075A">
        <w:t xml:space="preserve">they not only need to ensure that their </w:t>
      </w:r>
      <w:r w:rsidR="009C2617">
        <w:t xml:space="preserve">own </w:t>
      </w:r>
      <w:r w:rsidR="00CC075A">
        <w:t>industry skills and knowledge are current</w:t>
      </w:r>
      <w:r w:rsidR="007F460D">
        <w:t xml:space="preserve"> but</w:t>
      </w:r>
      <w:r w:rsidR="009C2617">
        <w:t xml:space="preserve"> they also </w:t>
      </w:r>
      <w:r w:rsidR="00966951">
        <w:t xml:space="preserve">need </w:t>
      </w:r>
      <w:r w:rsidR="009C2617">
        <w:t>to pass on ways by which those they train can maintain their skills and knowledge</w:t>
      </w:r>
      <w:r w:rsidR="00C2008E">
        <w:t>. Thus, industry currency is a</w:t>
      </w:r>
      <w:r w:rsidR="00673D4D">
        <w:t xml:space="preserve"> crucial aspect of VET practitioner capability. </w:t>
      </w:r>
    </w:p>
    <w:p w:rsidR="00B31D31" w:rsidRDefault="009C2617" w:rsidP="00D3759F">
      <w:pPr>
        <w:pStyle w:val="Text"/>
      </w:pPr>
      <w:r>
        <w:t>In recognition of this</w:t>
      </w:r>
      <w:r w:rsidR="00F849E6">
        <w:t>,</w:t>
      </w:r>
      <w:r>
        <w:t xml:space="preserve"> </w:t>
      </w:r>
      <w:r w:rsidR="00262244">
        <w:t xml:space="preserve">Standard 1.4 of the </w:t>
      </w:r>
      <w:r w:rsidR="00F849E6">
        <w:t xml:space="preserve">former </w:t>
      </w:r>
      <w:r w:rsidR="00262244" w:rsidRPr="009C2617">
        <w:t xml:space="preserve">Australian Quality Training Framework </w:t>
      </w:r>
      <w:r w:rsidR="00D3759F">
        <w:t xml:space="preserve">(AQTF) </w:t>
      </w:r>
      <w:r w:rsidR="00262244" w:rsidRPr="009C2617">
        <w:t xml:space="preserve">Essential Conditions and Standards for </w:t>
      </w:r>
      <w:r w:rsidR="000A0809">
        <w:t>I</w:t>
      </w:r>
      <w:r w:rsidR="00262244" w:rsidRPr="009C2617">
        <w:t>nitial and Continuing Registration</w:t>
      </w:r>
      <w:r w:rsidR="00262244">
        <w:t xml:space="preserve"> and SNR 4.4 and 15.4 of the </w:t>
      </w:r>
      <w:r w:rsidR="00673D4D" w:rsidRPr="009C2617">
        <w:t xml:space="preserve">Standards for </w:t>
      </w:r>
      <w:r w:rsidR="00262244" w:rsidRPr="009C2617">
        <w:t>NVR</w:t>
      </w:r>
      <w:r w:rsidR="00673D4D" w:rsidRPr="009C2617">
        <w:t xml:space="preserve"> Registered Training Organisations</w:t>
      </w:r>
      <w:r w:rsidR="00673D4D">
        <w:t xml:space="preserve"> </w:t>
      </w:r>
      <w:r w:rsidR="007B06D9">
        <w:t>make clear exactly wh</w:t>
      </w:r>
      <w:r w:rsidR="002C3D54">
        <w:t xml:space="preserve">at competencies and knowledge are </w:t>
      </w:r>
      <w:r w:rsidR="007B06D9">
        <w:t xml:space="preserve">required by </w:t>
      </w:r>
      <w:r w:rsidR="00C010AA">
        <w:t>practitioners</w:t>
      </w:r>
      <w:r w:rsidR="007B06D9">
        <w:t>. T</w:t>
      </w:r>
      <w:r w:rsidR="00673D4D">
        <w:t xml:space="preserve">raining and assessment must be delivered by </w:t>
      </w:r>
      <w:r w:rsidR="00C010AA">
        <w:t>individuals</w:t>
      </w:r>
      <w:r w:rsidR="00673D4D">
        <w:t xml:space="preserve"> who not only have the necessary </w:t>
      </w:r>
      <w:r w:rsidR="002E52AC">
        <w:t>qualification</w:t>
      </w:r>
      <w:r w:rsidR="00C010AA">
        <w:t>s</w:t>
      </w:r>
      <w:r w:rsidR="002E52AC">
        <w:t>,</w:t>
      </w:r>
      <w:r w:rsidR="007B06D9">
        <w:t xml:space="preserve"> </w:t>
      </w:r>
      <w:r w:rsidR="00673D4D">
        <w:t xml:space="preserve">they must also be able to demonstrate </w:t>
      </w:r>
      <w:r w:rsidR="00F849E6">
        <w:t xml:space="preserve">they possess the </w:t>
      </w:r>
      <w:r w:rsidR="00673D4D">
        <w:t>current industry skills relevant to the training and assessment they are undertaking. In addition</w:t>
      </w:r>
      <w:r w:rsidR="00F849E6">
        <w:t>,</w:t>
      </w:r>
      <w:r w:rsidR="00673D4D">
        <w:t xml:space="preserve"> they must continue to develop VET knowledge </w:t>
      </w:r>
      <w:r w:rsidR="007B06D9">
        <w:t>as well as</w:t>
      </w:r>
      <w:r w:rsidR="00673D4D">
        <w:t xml:space="preserve"> </w:t>
      </w:r>
      <w:r w:rsidR="007B06D9">
        <w:t xml:space="preserve">relevant </w:t>
      </w:r>
      <w:r w:rsidR="00673D4D">
        <w:t xml:space="preserve">industry skills </w:t>
      </w:r>
      <w:r w:rsidR="007B06D9">
        <w:t xml:space="preserve">and knowledge. </w:t>
      </w:r>
      <w:r w:rsidR="00C010AA">
        <w:t xml:space="preserve">What is less clearly defined is where industry currency is most relevant, how it is </w:t>
      </w:r>
      <w:r w:rsidR="00D3759F">
        <w:t>realised</w:t>
      </w:r>
      <w:r w:rsidR="00C010AA">
        <w:t xml:space="preserve"> in practice and how </w:t>
      </w:r>
      <w:r w:rsidR="00F849E6">
        <w:t>it is</w:t>
      </w:r>
      <w:r w:rsidR="00C010AA">
        <w:t xml:space="preserve"> </w:t>
      </w:r>
      <w:r w:rsidR="00F849E6">
        <w:t xml:space="preserve">best </w:t>
      </w:r>
      <w:r w:rsidR="00C010AA">
        <w:t>support</w:t>
      </w:r>
      <w:r w:rsidR="00F849E6">
        <w:t>ed and maintained</w:t>
      </w:r>
      <w:r w:rsidR="00C010AA">
        <w:t>.</w:t>
      </w:r>
      <w:r w:rsidR="00C76DA8">
        <w:t xml:space="preserve"> </w:t>
      </w:r>
      <w:r>
        <w:t>A</w:t>
      </w:r>
      <w:r w:rsidR="008A2E8D" w:rsidRPr="00161591">
        <w:t>lthough the importance of maintaining industry currency is well documented from the practitioner perspective (</w:t>
      </w:r>
      <w:proofErr w:type="spellStart"/>
      <w:r w:rsidR="008A2E8D" w:rsidRPr="00161591">
        <w:t>Wheelahan</w:t>
      </w:r>
      <w:proofErr w:type="spellEnd"/>
      <w:r w:rsidR="008A2E8D" w:rsidRPr="00161591">
        <w:t xml:space="preserve"> 2010; Guthrie 2010)</w:t>
      </w:r>
      <w:r w:rsidR="00966951">
        <w:t>, with</w:t>
      </w:r>
      <w:r w:rsidR="008A2E8D" w:rsidRPr="00161591">
        <w:t xml:space="preserve"> concerns expressed about the lack of it from an industry perspective (</w:t>
      </w:r>
      <w:proofErr w:type="spellStart"/>
      <w:r w:rsidR="008A2E8D" w:rsidRPr="00161591">
        <w:t>Toze</w:t>
      </w:r>
      <w:proofErr w:type="spellEnd"/>
      <w:r w:rsidR="008A2E8D" w:rsidRPr="00161591">
        <w:t xml:space="preserve"> &amp; Tierney 2010; Precision Consulting 2008; Productivity Commission 2011)</w:t>
      </w:r>
      <w:r w:rsidR="00F849E6">
        <w:t>,</w:t>
      </w:r>
      <w:r w:rsidR="008A2E8D" w:rsidRPr="00161591">
        <w:t xml:space="preserve"> there are still gaps in the sector’s understanding of industry’s views of currency, its importance and how it can be developed and maintained.</w:t>
      </w:r>
    </w:p>
    <w:p w:rsidR="003A39BE" w:rsidRDefault="003A39BE" w:rsidP="00385DFD">
      <w:pPr>
        <w:pStyle w:val="Heading2"/>
      </w:pPr>
      <w:bookmarkStart w:id="37" w:name="_Toc357518784"/>
      <w:r>
        <w:t>Research purpose</w:t>
      </w:r>
      <w:r w:rsidR="00DF4918">
        <w:t>s</w:t>
      </w:r>
      <w:r>
        <w:t xml:space="preserve"> and questions</w:t>
      </w:r>
      <w:bookmarkEnd w:id="37"/>
    </w:p>
    <w:p w:rsidR="00573515" w:rsidRDefault="00B31259" w:rsidP="003A39BE">
      <w:pPr>
        <w:pStyle w:val="Text"/>
      </w:pPr>
      <w:r>
        <w:t xml:space="preserve">The purpose of this research was to take an industry-focused approach to the investigation of </w:t>
      </w:r>
      <w:r w:rsidR="004D2956">
        <w:t>industry currency and professional obsolescence</w:t>
      </w:r>
      <w:r w:rsidR="00C45AD8">
        <w:t xml:space="preserve"> in </w:t>
      </w:r>
      <w:r w:rsidR="00966951">
        <w:t>vocational education and training</w:t>
      </w:r>
      <w:r w:rsidR="00C45AD8">
        <w:t xml:space="preserve"> and the implications of each for practitioners, registered training organisations </w:t>
      </w:r>
      <w:r w:rsidR="00583E40">
        <w:t xml:space="preserve">(RTOs) </w:t>
      </w:r>
      <w:r w:rsidR="00C45AD8">
        <w:t>and industry. The study had multiple aims. T</w:t>
      </w:r>
      <w:r>
        <w:t xml:space="preserve">he first was to </w:t>
      </w:r>
      <w:r w:rsidR="004D2956">
        <w:t>explore</w:t>
      </w:r>
      <w:r w:rsidR="006D2D5F">
        <w:t xml:space="preserve"> </w:t>
      </w:r>
      <w:r w:rsidR="00573515">
        <w:t>employer, auditor and industry representative</w:t>
      </w:r>
      <w:r w:rsidR="006D2D5F">
        <w:t xml:space="preserve"> perspectives </w:t>
      </w:r>
      <w:r w:rsidR="000E2B97">
        <w:t>on</w:t>
      </w:r>
      <w:r w:rsidR="006D2D5F">
        <w:t xml:space="preserve"> </w:t>
      </w:r>
      <w:r w:rsidR="00DF4918">
        <w:t xml:space="preserve">the meaning of </w:t>
      </w:r>
      <w:r w:rsidR="006D2D5F">
        <w:t xml:space="preserve">industry </w:t>
      </w:r>
      <w:r w:rsidR="000E2B97">
        <w:t>currency</w:t>
      </w:r>
      <w:r w:rsidR="00DF4918">
        <w:t xml:space="preserve"> and </w:t>
      </w:r>
      <w:r w:rsidR="000E2B97">
        <w:t xml:space="preserve">how </w:t>
      </w:r>
      <w:r w:rsidR="00DF4918">
        <w:t>it</w:t>
      </w:r>
      <w:r w:rsidR="000E2B97">
        <w:t xml:space="preserve"> might be developed and demonstrated</w:t>
      </w:r>
      <w:r w:rsidR="0003592E">
        <w:t xml:space="preserve"> by </w:t>
      </w:r>
      <w:r w:rsidR="00573515">
        <w:t>practitioners</w:t>
      </w:r>
      <w:r w:rsidR="00C45AD8">
        <w:t>. The</w:t>
      </w:r>
      <w:r w:rsidR="00DF4918">
        <w:t xml:space="preserve"> second was</w:t>
      </w:r>
      <w:r w:rsidR="00720E8D">
        <w:t xml:space="preserve"> to </w:t>
      </w:r>
      <w:r w:rsidR="004D2956">
        <w:t>look at</w:t>
      </w:r>
      <w:r w:rsidR="00720E8D">
        <w:t xml:space="preserve"> </w:t>
      </w:r>
      <w:r w:rsidR="007D12B0">
        <w:t>how</w:t>
      </w:r>
      <w:r w:rsidR="00C45AD8">
        <w:t xml:space="preserve"> </w:t>
      </w:r>
      <w:r w:rsidR="00720E8D">
        <w:t xml:space="preserve">knowledge-based organisations </w:t>
      </w:r>
      <w:r w:rsidR="007D12B0">
        <w:t>manage</w:t>
      </w:r>
      <w:r w:rsidR="00573515">
        <w:t>d</w:t>
      </w:r>
      <w:r w:rsidR="00DF4918">
        <w:t xml:space="preserve"> </w:t>
      </w:r>
      <w:r w:rsidR="00540AA8">
        <w:t>skills obsolescence</w:t>
      </w:r>
      <w:r w:rsidR="00DF4918">
        <w:t xml:space="preserve"> amongst professionals in their employ</w:t>
      </w:r>
      <w:r w:rsidR="00540AA8">
        <w:t xml:space="preserve">. </w:t>
      </w:r>
      <w:r w:rsidR="004D2956">
        <w:t>By examining</w:t>
      </w:r>
      <w:r>
        <w:t xml:space="preserve"> these issues through different lenses, the </w:t>
      </w:r>
      <w:r w:rsidR="00C45AD8">
        <w:t>objective</w:t>
      </w:r>
      <w:r>
        <w:t xml:space="preserve"> was</w:t>
      </w:r>
      <w:r w:rsidR="00937FD7">
        <w:t xml:space="preserve"> to develop a </w:t>
      </w:r>
      <w:r w:rsidR="007D12B0">
        <w:t>greater</w:t>
      </w:r>
      <w:r w:rsidR="00937FD7">
        <w:t xml:space="preserve"> understanding </w:t>
      </w:r>
      <w:r w:rsidR="00540AA8">
        <w:t xml:space="preserve">of </w:t>
      </w:r>
      <w:r w:rsidR="00C45AD8">
        <w:t xml:space="preserve">what </w:t>
      </w:r>
      <w:r w:rsidR="004D2956">
        <w:t>is meant by VET practitioner industry currency</w:t>
      </w:r>
      <w:r w:rsidR="00C45AD8">
        <w:t xml:space="preserve">, how it is manifested in practice </w:t>
      </w:r>
      <w:r w:rsidR="00540AA8">
        <w:t xml:space="preserve">and how </w:t>
      </w:r>
      <w:r w:rsidR="004D2956">
        <w:t>its maintenance</w:t>
      </w:r>
      <w:r w:rsidR="00540AA8">
        <w:t xml:space="preserve"> might be best managed</w:t>
      </w:r>
      <w:r w:rsidR="00937FD7">
        <w:t>.</w:t>
      </w:r>
      <w:r w:rsidR="00966951" w:rsidRPr="00966951">
        <w:t xml:space="preserve"> </w:t>
      </w:r>
      <w:r w:rsidR="00966951">
        <w:t>The report explores the issues of industry currency and professional obsolescence from the viewpoint of those working in the plumbing, hairdressing and printing industries as well as professionals working in the science, engineering, human resources and health sectors.</w:t>
      </w:r>
    </w:p>
    <w:p w:rsidR="00CA436F" w:rsidRDefault="00CA436F" w:rsidP="003A39BE">
      <w:pPr>
        <w:pStyle w:val="Text"/>
      </w:pPr>
      <w:r>
        <w:t>The questions addressed in this study were:</w:t>
      </w:r>
    </w:p>
    <w:p w:rsidR="00CA436F" w:rsidRDefault="00CA436F" w:rsidP="00385DFD">
      <w:pPr>
        <w:pStyle w:val="Dotpoint1"/>
      </w:pPr>
      <w:r>
        <w:t>What do key industry stakeholders, primarily employers</w:t>
      </w:r>
      <w:r w:rsidR="0085747A">
        <w:t xml:space="preserve"> and </w:t>
      </w:r>
      <w:r>
        <w:t>Australian Quality Tra</w:t>
      </w:r>
      <w:r w:rsidR="0085747A">
        <w:t xml:space="preserve">ining Framework </w:t>
      </w:r>
      <w:r w:rsidR="00966951">
        <w:t xml:space="preserve">(AQTF) </w:t>
      </w:r>
      <w:r w:rsidR="0085747A">
        <w:t>auditors</w:t>
      </w:r>
      <w:r w:rsidR="00966951">
        <w:t>,</w:t>
      </w:r>
      <w:r w:rsidR="0085747A">
        <w:t xml:space="preserve"> </w:t>
      </w:r>
      <w:r>
        <w:t>think about industry currency and what V</w:t>
      </w:r>
      <w:r w:rsidR="00C45AD8">
        <w:t>ET</w:t>
      </w:r>
      <w:r>
        <w:t xml:space="preserve"> practitioners need to do to stay current?</w:t>
      </w:r>
    </w:p>
    <w:p w:rsidR="00CA436F" w:rsidRDefault="00CA436F" w:rsidP="00385DFD">
      <w:pPr>
        <w:pStyle w:val="Dotpoint1"/>
      </w:pPr>
      <w:r>
        <w:lastRenderedPageBreak/>
        <w:t>In what way do knowledge-based organisations manage the various forms of professional obsolescence in their professional workforce</w:t>
      </w:r>
      <w:r w:rsidR="00583E40">
        <w:t>s</w:t>
      </w:r>
      <w:r>
        <w:t>?</w:t>
      </w:r>
    </w:p>
    <w:p w:rsidR="00CA436F" w:rsidRDefault="00CA436F" w:rsidP="00385DFD">
      <w:pPr>
        <w:pStyle w:val="Dotpoint1"/>
      </w:pPr>
      <w:r>
        <w:t>In what ways can approaches to the problems drawn from industry and the professions be applied strategically in VET organisations?</w:t>
      </w:r>
    </w:p>
    <w:p w:rsidR="00CA436F" w:rsidRDefault="00CA436F" w:rsidP="00385DFD">
      <w:pPr>
        <w:pStyle w:val="Dotpoint1"/>
      </w:pPr>
      <w:r>
        <w:t>In what ways might individual practitioners and registered training organisations use this knowledge to better maintain their vocational competence effectively and efficiently?</w:t>
      </w:r>
    </w:p>
    <w:p w:rsidR="003A39BE" w:rsidRDefault="003A39BE" w:rsidP="00385DFD">
      <w:pPr>
        <w:pStyle w:val="Heading2"/>
      </w:pPr>
      <w:bookmarkStart w:id="38" w:name="_Toc357518785"/>
      <w:r>
        <w:t>Research methods and procedures</w:t>
      </w:r>
      <w:bookmarkEnd w:id="38"/>
    </w:p>
    <w:p w:rsidR="006D2D5F" w:rsidRPr="00385DFD" w:rsidRDefault="00C45AD8" w:rsidP="00385DFD">
      <w:pPr>
        <w:pStyle w:val="Text"/>
      </w:pPr>
      <w:r>
        <w:t xml:space="preserve">Information was gathered </w:t>
      </w:r>
      <w:r w:rsidR="0003592E">
        <w:t>through</w:t>
      </w:r>
      <w:r w:rsidR="009F77AF">
        <w:t xml:space="preserve"> </w:t>
      </w:r>
      <w:r w:rsidR="007F19DD">
        <w:t>semi-structured interviews</w:t>
      </w:r>
      <w:r w:rsidR="007D12B0">
        <w:t xml:space="preserve"> </w:t>
      </w:r>
      <w:r w:rsidR="00583E40">
        <w:t>informed</w:t>
      </w:r>
      <w:r w:rsidR="007D12B0">
        <w:t xml:space="preserve"> by a review of literature</w:t>
      </w:r>
      <w:r w:rsidR="007F19DD">
        <w:t>. A</w:t>
      </w:r>
      <w:r w:rsidR="002C58C8">
        <w:t xml:space="preserve"> </w:t>
      </w:r>
      <w:r w:rsidR="006D0ABD">
        <w:t xml:space="preserve">questionnaire </w:t>
      </w:r>
      <w:r w:rsidR="007F19DD">
        <w:t xml:space="preserve">was also used </w:t>
      </w:r>
      <w:r w:rsidR="007D12B0">
        <w:t>with</w:t>
      </w:r>
      <w:r w:rsidR="007F19DD">
        <w:t xml:space="preserve"> the</w:t>
      </w:r>
      <w:r w:rsidR="00145AD2">
        <w:t xml:space="preserve"> </w:t>
      </w:r>
      <w:r w:rsidR="009F77AF">
        <w:t>knowledge-based organisation</w:t>
      </w:r>
      <w:r>
        <w:t>s in the study</w:t>
      </w:r>
      <w:r w:rsidR="002C58C8">
        <w:t xml:space="preserve">. </w:t>
      </w:r>
      <w:r w:rsidR="00D3759F">
        <w:t>The i</w:t>
      </w:r>
      <w:r w:rsidR="007F19DD">
        <w:t>nterview schedules and the literature review are located in</w:t>
      </w:r>
      <w:r w:rsidR="00145AD2">
        <w:t xml:space="preserve"> the </w:t>
      </w:r>
      <w:r w:rsidR="00145AD2" w:rsidRPr="00385DFD">
        <w:t>support document.</w:t>
      </w:r>
    </w:p>
    <w:p w:rsidR="005E488F" w:rsidRDefault="007F6AE2" w:rsidP="00385DFD">
      <w:pPr>
        <w:pStyle w:val="Text"/>
      </w:pPr>
      <w:r w:rsidRPr="00385DFD">
        <w:t>For the industry currency</w:t>
      </w:r>
      <w:r w:rsidR="002C58C8" w:rsidRPr="00385DFD">
        <w:t xml:space="preserve"> focus</w:t>
      </w:r>
      <w:r w:rsidRPr="00385DFD">
        <w:t xml:space="preserve">, </w:t>
      </w:r>
      <w:r w:rsidR="00736870" w:rsidRPr="00385DFD">
        <w:t>2</w:t>
      </w:r>
      <w:r w:rsidR="00CC6753" w:rsidRPr="00385DFD">
        <w:t>2</w:t>
      </w:r>
      <w:r w:rsidR="00736870" w:rsidRPr="00385DFD">
        <w:t xml:space="preserve"> interviews were undertaken with </w:t>
      </w:r>
      <w:r w:rsidRPr="00385DFD">
        <w:t>the key VET stakeholders</w:t>
      </w:r>
      <w:r w:rsidR="0003592E" w:rsidRPr="00385DFD">
        <w:t>.</w:t>
      </w:r>
      <w:r w:rsidR="007F19DD" w:rsidRPr="00385DFD">
        <w:t xml:space="preserve"> </w:t>
      </w:r>
      <w:r w:rsidR="0085747A" w:rsidRPr="00385DFD">
        <w:t>These included</w:t>
      </w:r>
      <w:r w:rsidRPr="00385DFD">
        <w:t xml:space="preserve"> </w:t>
      </w:r>
      <w:r w:rsidR="00736870" w:rsidRPr="00385DFD">
        <w:t>employers</w:t>
      </w:r>
      <w:r w:rsidR="007F19DD" w:rsidRPr="00385DFD">
        <w:t>,</w:t>
      </w:r>
      <w:r w:rsidR="00736870" w:rsidRPr="00385DFD">
        <w:t xml:space="preserve"> auditors </w:t>
      </w:r>
      <w:r w:rsidR="00AA353C" w:rsidRPr="00385DFD">
        <w:t xml:space="preserve">working with the Standards for </w:t>
      </w:r>
      <w:r w:rsidR="00966951">
        <w:t xml:space="preserve">NVR </w:t>
      </w:r>
      <w:r w:rsidR="00AA353C" w:rsidRPr="00385DFD">
        <w:t>Registered</w:t>
      </w:r>
      <w:r w:rsidR="00AA353C">
        <w:t xml:space="preserve"> Training Organisations</w:t>
      </w:r>
      <w:r w:rsidR="00966951">
        <w:t>,</w:t>
      </w:r>
      <w:r w:rsidR="00AA353C">
        <w:t xml:space="preserve"> </w:t>
      </w:r>
      <w:r w:rsidR="00736870">
        <w:t xml:space="preserve">and representatives of </w:t>
      </w:r>
      <w:r w:rsidR="00D3759F">
        <w:t xml:space="preserve">industry skills councils </w:t>
      </w:r>
      <w:r w:rsidR="00736870">
        <w:t xml:space="preserve">and </w:t>
      </w:r>
      <w:r w:rsidR="00D3759F">
        <w:t>industry or professional associations</w:t>
      </w:r>
      <w:r>
        <w:t>.</w:t>
      </w:r>
      <w:r w:rsidR="007D4EDB">
        <w:t xml:space="preserve"> </w:t>
      </w:r>
      <w:r w:rsidR="00583E40">
        <w:t>Interview</w:t>
      </w:r>
      <w:r w:rsidR="002C58C8">
        <w:t>s</w:t>
      </w:r>
      <w:r>
        <w:t xml:space="preserve"> were </w:t>
      </w:r>
      <w:r w:rsidR="00D3759F">
        <w:t>undertaken with representatives from</w:t>
      </w:r>
      <w:r w:rsidR="00736870">
        <w:t xml:space="preserve"> the plumbing, hairdressing and printing</w:t>
      </w:r>
      <w:r>
        <w:t xml:space="preserve"> </w:t>
      </w:r>
      <w:r w:rsidR="00B34AC1">
        <w:t xml:space="preserve">industries </w:t>
      </w:r>
      <w:r w:rsidR="00583E40">
        <w:t>—</w:t>
      </w:r>
      <w:r>
        <w:t xml:space="preserve"> all</w:t>
      </w:r>
      <w:r w:rsidR="00736870">
        <w:t xml:space="preserve"> </w:t>
      </w:r>
      <w:r w:rsidR="004E4D0F">
        <w:t xml:space="preserve">sectors </w:t>
      </w:r>
      <w:r>
        <w:t xml:space="preserve">in which technological </w:t>
      </w:r>
      <w:r w:rsidR="0003592E">
        <w:t xml:space="preserve">or regulatory </w:t>
      </w:r>
      <w:r>
        <w:t xml:space="preserve">change </w:t>
      </w:r>
      <w:r w:rsidR="007F19DD">
        <w:t xml:space="preserve">was seen to be a </w:t>
      </w:r>
      <w:r w:rsidR="0003592E">
        <w:t>significant</w:t>
      </w:r>
      <w:r w:rsidR="007F19DD">
        <w:t xml:space="preserve"> issue</w:t>
      </w:r>
      <w:r w:rsidR="00736870">
        <w:t>.</w:t>
      </w:r>
      <w:r>
        <w:t xml:space="preserve"> </w:t>
      </w:r>
      <w:r w:rsidR="005E488F">
        <w:t>Details of the e</w:t>
      </w:r>
      <w:r w:rsidR="001C030D">
        <w:t xml:space="preserve">mployers </w:t>
      </w:r>
      <w:r w:rsidR="005E488F">
        <w:t>participating in the study are provided in table</w:t>
      </w:r>
      <w:r w:rsidR="00D3759F">
        <w:t xml:space="preserve"> 1</w:t>
      </w:r>
      <w:r w:rsidR="005E488F">
        <w:t>.</w:t>
      </w:r>
      <w:r w:rsidR="00FC7C1E">
        <w:t xml:space="preserve"> In the majority of instances the</w:t>
      </w:r>
      <w:r w:rsidR="00D3759F">
        <w:t xml:space="preserve"> businesses fall into the small-to-</w:t>
      </w:r>
      <w:r w:rsidR="00FC7C1E">
        <w:t>medium enterprises category.</w:t>
      </w:r>
    </w:p>
    <w:p w:rsidR="005E488F" w:rsidRDefault="005E488F" w:rsidP="00385DFD">
      <w:pPr>
        <w:pStyle w:val="tabletitle"/>
      </w:pPr>
      <w:bookmarkStart w:id="39" w:name="_Toc296497393"/>
      <w:bookmarkStart w:id="40" w:name="_Toc355275636"/>
      <w:r>
        <w:t>Table 1</w:t>
      </w:r>
      <w:r>
        <w:tab/>
      </w:r>
      <w:bookmarkEnd w:id="39"/>
      <w:r>
        <w:t xml:space="preserve">Employer informants: industry currency </w:t>
      </w:r>
      <w:r w:rsidRPr="00385DFD">
        <w:t>focus</w:t>
      </w:r>
      <w:r>
        <w:t xml:space="preserve"> (n</w:t>
      </w:r>
      <w:r w:rsidR="00D3759F">
        <w:t xml:space="preserve"> </w:t>
      </w:r>
      <w:r>
        <w:t>= 14)</w:t>
      </w:r>
      <w:bookmarkEnd w:id="40"/>
      <w:r>
        <w:t xml:space="preserve"> </w:t>
      </w:r>
    </w:p>
    <w:tbl>
      <w:tblPr>
        <w:tblW w:w="8789" w:type="dxa"/>
        <w:tblInd w:w="108" w:type="dxa"/>
        <w:tblBorders>
          <w:top w:val="single" w:sz="4" w:space="0" w:color="auto"/>
          <w:bottom w:val="single" w:sz="4" w:space="0" w:color="auto"/>
        </w:tblBorders>
        <w:tblLayout w:type="fixed"/>
        <w:tblLook w:val="0000"/>
      </w:tblPr>
      <w:tblGrid>
        <w:gridCol w:w="1843"/>
        <w:gridCol w:w="2315"/>
        <w:gridCol w:w="2315"/>
        <w:gridCol w:w="2316"/>
      </w:tblGrid>
      <w:tr w:rsidR="005E488F" w:rsidRPr="00385DFD" w:rsidTr="00385DFD">
        <w:trPr>
          <w:cantSplit/>
        </w:trPr>
        <w:tc>
          <w:tcPr>
            <w:tcW w:w="1843" w:type="dxa"/>
            <w:tcBorders>
              <w:top w:val="single" w:sz="4" w:space="0" w:color="auto"/>
              <w:left w:val="nil"/>
              <w:bottom w:val="single" w:sz="4" w:space="0" w:color="auto"/>
            </w:tcBorders>
          </w:tcPr>
          <w:p w:rsidR="005E488F" w:rsidRPr="00385DFD" w:rsidRDefault="005E488F" w:rsidP="00385DFD">
            <w:pPr>
              <w:pStyle w:val="Tablehead1"/>
            </w:pPr>
            <w:r w:rsidRPr="00385DFD">
              <w:t xml:space="preserve">Industry </w:t>
            </w:r>
          </w:p>
        </w:tc>
        <w:tc>
          <w:tcPr>
            <w:tcW w:w="2315" w:type="dxa"/>
            <w:tcBorders>
              <w:top w:val="single" w:sz="4" w:space="0" w:color="auto"/>
              <w:left w:val="nil"/>
              <w:bottom w:val="single" w:sz="4" w:space="0" w:color="auto"/>
            </w:tcBorders>
          </w:tcPr>
          <w:p w:rsidR="005E488F" w:rsidRPr="00385DFD" w:rsidRDefault="005E488F" w:rsidP="00385DFD">
            <w:pPr>
              <w:pStyle w:val="Tablehead1"/>
            </w:pPr>
            <w:r w:rsidRPr="00385DFD">
              <w:t>Informant position</w:t>
            </w:r>
          </w:p>
        </w:tc>
        <w:tc>
          <w:tcPr>
            <w:tcW w:w="2315" w:type="dxa"/>
            <w:tcBorders>
              <w:top w:val="single" w:sz="4" w:space="0" w:color="auto"/>
              <w:left w:val="nil"/>
              <w:bottom w:val="single" w:sz="4" w:space="0" w:color="auto"/>
            </w:tcBorders>
          </w:tcPr>
          <w:p w:rsidR="005E488F" w:rsidRPr="00385DFD" w:rsidRDefault="005E488F" w:rsidP="00385DFD">
            <w:pPr>
              <w:pStyle w:val="Tablehead1"/>
            </w:pPr>
            <w:r w:rsidRPr="00385DFD">
              <w:t>Company size</w:t>
            </w:r>
          </w:p>
        </w:tc>
        <w:tc>
          <w:tcPr>
            <w:tcW w:w="2316" w:type="dxa"/>
            <w:tcBorders>
              <w:top w:val="single" w:sz="4" w:space="0" w:color="auto"/>
              <w:left w:val="nil"/>
              <w:bottom w:val="single" w:sz="4" w:space="0" w:color="auto"/>
            </w:tcBorders>
          </w:tcPr>
          <w:p w:rsidR="005E488F" w:rsidRPr="00385DFD" w:rsidRDefault="005E488F" w:rsidP="00385DFD">
            <w:pPr>
              <w:pStyle w:val="Tablehead1"/>
            </w:pPr>
            <w:r w:rsidRPr="00385DFD">
              <w:t>Location</w:t>
            </w:r>
          </w:p>
        </w:tc>
      </w:tr>
      <w:tr w:rsidR="005E488F" w:rsidRPr="00385DFD" w:rsidTr="00385DFD">
        <w:trPr>
          <w:cantSplit/>
        </w:trPr>
        <w:tc>
          <w:tcPr>
            <w:tcW w:w="1843" w:type="dxa"/>
            <w:tcBorders>
              <w:top w:val="single" w:sz="4" w:space="0" w:color="auto"/>
              <w:left w:val="nil"/>
              <w:bottom w:val="nil"/>
              <w:right w:val="nil"/>
            </w:tcBorders>
          </w:tcPr>
          <w:p w:rsidR="005E488F" w:rsidRPr="00385DFD" w:rsidRDefault="005E488F" w:rsidP="00385DFD">
            <w:pPr>
              <w:pStyle w:val="Tabletext"/>
            </w:pPr>
            <w:r w:rsidRPr="00385DFD">
              <w:t>Plumbing</w:t>
            </w:r>
          </w:p>
        </w:tc>
        <w:tc>
          <w:tcPr>
            <w:tcW w:w="2315" w:type="dxa"/>
            <w:tcBorders>
              <w:top w:val="single" w:sz="4" w:space="0" w:color="auto"/>
              <w:left w:val="nil"/>
              <w:bottom w:val="nil"/>
            </w:tcBorders>
          </w:tcPr>
          <w:p w:rsidR="005E488F" w:rsidRPr="00385DFD" w:rsidRDefault="005E488F" w:rsidP="00385DFD">
            <w:pPr>
              <w:pStyle w:val="Tabletext"/>
            </w:pPr>
            <w:r w:rsidRPr="00385DFD">
              <w:t>Owner/manager</w:t>
            </w:r>
          </w:p>
        </w:tc>
        <w:tc>
          <w:tcPr>
            <w:tcW w:w="2315" w:type="dxa"/>
            <w:tcBorders>
              <w:top w:val="single" w:sz="4" w:space="0" w:color="auto"/>
              <w:left w:val="nil"/>
              <w:bottom w:val="nil"/>
            </w:tcBorders>
          </w:tcPr>
          <w:p w:rsidR="005E488F" w:rsidRPr="00385DFD" w:rsidRDefault="00064214" w:rsidP="00385DFD">
            <w:pPr>
              <w:pStyle w:val="Tabletext"/>
            </w:pPr>
            <w:r w:rsidRPr="00385DFD">
              <w:t>1</w:t>
            </w:r>
            <w:r w:rsidR="00D3759F" w:rsidRPr="00385DFD">
              <w:t>−</w:t>
            </w:r>
            <w:r w:rsidRPr="00385DFD">
              <w:t>20 employees</w:t>
            </w:r>
          </w:p>
        </w:tc>
        <w:tc>
          <w:tcPr>
            <w:tcW w:w="2316" w:type="dxa"/>
            <w:tcBorders>
              <w:top w:val="single" w:sz="4" w:space="0" w:color="auto"/>
              <w:left w:val="nil"/>
              <w:bottom w:val="nil"/>
            </w:tcBorders>
          </w:tcPr>
          <w:p w:rsidR="005E488F" w:rsidRPr="00385DFD" w:rsidRDefault="00064214" w:rsidP="00385DFD">
            <w:pPr>
              <w:pStyle w:val="Tabletext"/>
            </w:pPr>
            <w:r w:rsidRPr="00385DFD">
              <w:t>Metro, Victoria</w:t>
            </w:r>
          </w:p>
        </w:tc>
      </w:tr>
      <w:tr w:rsidR="00064214" w:rsidRPr="00385DFD" w:rsidTr="00385DFD">
        <w:trPr>
          <w:cantSplit/>
        </w:trPr>
        <w:tc>
          <w:tcPr>
            <w:tcW w:w="1843" w:type="dxa"/>
            <w:tcBorders>
              <w:top w:val="nil"/>
              <w:left w:val="nil"/>
              <w:bottom w:val="nil"/>
              <w:right w:val="nil"/>
            </w:tcBorders>
          </w:tcPr>
          <w:p w:rsidR="00064214" w:rsidRPr="00385DFD" w:rsidRDefault="00FC7C1E" w:rsidP="00385DFD">
            <w:pPr>
              <w:pStyle w:val="Tabletext"/>
            </w:pPr>
            <w:r w:rsidRPr="00385DFD">
              <w:t>(4 businesses)</w:t>
            </w:r>
          </w:p>
        </w:tc>
        <w:tc>
          <w:tcPr>
            <w:tcW w:w="2315" w:type="dxa"/>
            <w:tcBorders>
              <w:top w:val="nil"/>
              <w:left w:val="nil"/>
              <w:bottom w:val="nil"/>
            </w:tcBorders>
          </w:tcPr>
          <w:p w:rsidR="00064214" w:rsidRPr="00385DFD" w:rsidRDefault="00064214" w:rsidP="00385DFD">
            <w:pPr>
              <w:pStyle w:val="Tabletext"/>
            </w:pPr>
            <w:r w:rsidRPr="00385DFD">
              <w:t>Owner/manager</w:t>
            </w:r>
          </w:p>
        </w:tc>
        <w:tc>
          <w:tcPr>
            <w:tcW w:w="2315" w:type="dxa"/>
            <w:tcBorders>
              <w:top w:val="nil"/>
              <w:left w:val="nil"/>
              <w:bottom w:val="nil"/>
            </w:tcBorders>
          </w:tcPr>
          <w:p w:rsidR="00064214" w:rsidRPr="00385DFD" w:rsidRDefault="00064214" w:rsidP="00385DFD">
            <w:pPr>
              <w:pStyle w:val="Tabletext"/>
            </w:pPr>
            <w:r w:rsidRPr="00385DFD">
              <w:t>1</w:t>
            </w:r>
            <w:r w:rsidR="00D3759F" w:rsidRPr="00385DFD">
              <w:t>−</w:t>
            </w:r>
            <w:r w:rsidRPr="00385DFD">
              <w:t>20 employees</w:t>
            </w:r>
          </w:p>
        </w:tc>
        <w:tc>
          <w:tcPr>
            <w:tcW w:w="2316" w:type="dxa"/>
            <w:tcBorders>
              <w:top w:val="nil"/>
              <w:left w:val="nil"/>
              <w:bottom w:val="nil"/>
            </w:tcBorders>
          </w:tcPr>
          <w:p w:rsidR="00064214" w:rsidRPr="00385DFD" w:rsidRDefault="00064214" w:rsidP="00385DFD">
            <w:pPr>
              <w:pStyle w:val="Tabletext"/>
            </w:pPr>
            <w:r w:rsidRPr="00385DFD">
              <w:t>Metro, Victoria</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p>
        </w:tc>
        <w:tc>
          <w:tcPr>
            <w:tcW w:w="2315" w:type="dxa"/>
            <w:tcBorders>
              <w:top w:val="nil"/>
              <w:left w:val="nil"/>
              <w:bottom w:val="nil"/>
            </w:tcBorders>
          </w:tcPr>
          <w:p w:rsidR="00064214" w:rsidRPr="00385DFD" w:rsidRDefault="00064214" w:rsidP="00385DFD">
            <w:pPr>
              <w:pStyle w:val="Tabletext"/>
            </w:pPr>
            <w:r w:rsidRPr="00385DFD">
              <w:t>Owner/manager</w:t>
            </w:r>
          </w:p>
        </w:tc>
        <w:tc>
          <w:tcPr>
            <w:tcW w:w="2315" w:type="dxa"/>
            <w:tcBorders>
              <w:top w:val="nil"/>
              <w:left w:val="nil"/>
              <w:bottom w:val="nil"/>
            </w:tcBorders>
          </w:tcPr>
          <w:p w:rsidR="00064214" w:rsidRPr="00385DFD" w:rsidRDefault="00064214" w:rsidP="00385DFD">
            <w:pPr>
              <w:pStyle w:val="Tabletext"/>
            </w:pPr>
            <w:r w:rsidRPr="00385DFD">
              <w:t>1</w:t>
            </w:r>
            <w:r w:rsidR="00D3759F" w:rsidRPr="00385DFD">
              <w:t>−</w:t>
            </w:r>
            <w:r w:rsidRPr="00385DFD">
              <w:t>20 employees</w:t>
            </w:r>
          </w:p>
        </w:tc>
        <w:tc>
          <w:tcPr>
            <w:tcW w:w="2316" w:type="dxa"/>
            <w:tcBorders>
              <w:top w:val="nil"/>
              <w:left w:val="nil"/>
              <w:bottom w:val="nil"/>
            </w:tcBorders>
          </w:tcPr>
          <w:p w:rsidR="00064214" w:rsidRPr="00385DFD" w:rsidRDefault="00064214" w:rsidP="00385DFD">
            <w:pPr>
              <w:pStyle w:val="Tabletext"/>
            </w:pPr>
            <w:r w:rsidRPr="00385DFD">
              <w:t>Metro, Victoria</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p>
        </w:tc>
        <w:tc>
          <w:tcPr>
            <w:tcW w:w="2315" w:type="dxa"/>
            <w:tcBorders>
              <w:top w:val="nil"/>
              <w:left w:val="nil"/>
              <w:bottom w:val="nil"/>
            </w:tcBorders>
          </w:tcPr>
          <w:p w:rsidR="00064214" w:rsidRPr="00385DFD" w:rsidRDefault="00064214" w:rsidP="00385DFD">
            <w:pPr>
              <w:pStyle w:val="Tabletext"/>
            </w:pPr>
            <w:r w:rsidRPr="00385DFD">
              <w:t>Owner/manager</w:t>
            </w:r>
          </w:p>
        </w:tc>
        <w:tc>
          <w:tcPr>
            <w:tcW w:w="2315" w:type="dxa"/>
            <w:tcBorders>
              <w:top w:val="nil"/>
              <w:left w:val="nil"/>
              <w:bottom w:val="nil"/>
            </w:tcBorders>
          </w:tcPr>
          <w:p w:rsidR="00064214" w:rsidRPr="00385DFD" w:rsidRDefault="00064214" w:rsidP="00385DFD">
            <w:pPr>
              <w:pStyle w:val="Tabletext"/>
            </w:pPr>
            <w:r w:rsidRPr="00385DFD">
              <w:t>21</w:t>
            </w:r>
            <w:r w:rsidR="00D3759F" w:rsidRPr="00385DFD">
              <w:t>−</w:t>
            </w:r>
            <w:r w:rsidRPr="00385DFD">
              <w:t>40 employees</w:t>
            </w:r>
          </w:p>
        </w:tc>
        <w:tc>
          <w:tcPr>
            <w:tcW w:w="2316" w:type="dxa"/>
            <w:tcBorders>
              <w:top w:val="nil"/>
              <w:left w:val="nil"/>
              <w:bottom w:val="nil"/>
            </w:tcBorders>
          </w:tcPr>
          <w:p w:rsidR="00064214" w:rsidRPr="00385DFD" w:rsidRDefault="00064214" w:rsidP="00385DFD">
            <w:pPr>
              <w:pStyle w:val="Tabletext"/>
            </w:pPr>
            <w:r w:rsidRPr="00385DFD">
              <w:t>Regional, NSW</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r w:rsidRPr="00385DFD">
              <w:t>Hairdressing</w:t>
            </w:r>
          </w:p>
        </w:tc>
        <w:tc>
          <w:tcPr>
            <w:tcW w:w="2315" w:type="dxa"/>
            <w:tcBorders>
              <w:top w:val="nil"/>
              <w:left w:val="nil"/>
              <w:bottom w:val="nil"/>
            </w:tcBorders>
          </w:tcPr>
          <w:p w:rsidR="00064214" w:rsidRPr="00385DFD" w:rsidRDefault="00064214" w:rsidP="00385DFD">
            <w:pPr>
              <w:pStyle w:val="Tabletext"/>
            </w:pPr>
            <w:r w:rsidRPr="00385DFD">
              <w:t>Salon owner/manager</w:t>
            </w:r>
          </w:p>
        </w:tc>
        <w:tc>
          <w:tcPr>
            <w:tcW w:w="2315" w:type="dxa"/>
            <w:tcBorders>
              <w:top w:val="nil"/>
              <w:left w:val="nil"/>
              <w:bottom w:val="nil"/>
            </w:tcBorders>
          </w:tcPr>
          <w:p w:rsidR="00064214" w:rsidRPr="00385DFD" w:rsidRDefault="00064214" w:rsidP="00385DFD">
            <w:pPr>
              <w:pStyle w:val="Tabletext"/>
            </w:pPr>
            <w:r w:rsidRPr="00385DFD">
              <w:t>1</w:t>
            </w:r>
            <w:r w:rsidR="00D3759F" w:rsidRPr="00385DFD">
              <w:t>−</w:t>
            </w:r>
            <w:r w:rsidRPr="00385DFD">
              <w:t>20 employees</w:t>
            </w:r>
          </w:p>
        </w:tc>
        <w:tc>
          <w:tcPr>
            <w:tcW w:w="2316" w:type="dxa"/>
            <w:tcBorders>
              <w:top w:val="nil"/>
              <w:left w:val="nil"/>
              <w:bottom w:val="nil"/>
            </w:tcBorders>
          </w:tcPr>
          <w:p w:rsidR="00064214" w:rsidRPr="00385DFD" w:rsidRDefault="00064214" w:rsidP="00385DFD">
            <w:pPr>
              <w:pStyle w:val="Tabletext"/>
            </w:pPr>
            <w:r w:rsidRPr="00385DFD">
              <w:t>Metro, Victoria</w:t>
            </w:r>
          </w:p>
        </w:tc>
      </w:tr>
      <w:tr w:rsidR="00064214" w:rsidRPr="00385DFD" w:rsidTr="00385DFD">
        <w:trPr>
          <w:cantSplit/>
        </w:trPr>
        <w:tc>
          <w:tcPr>
            <w:tcW w:w="1843" w:type="dxa"/>
            <w:tcBorders>
              <w:top w:val="nil"/>
              <w:left w:val="nil"/>
              <w:bottom w:val="nil"/>
              <w:right w:val="nil"/>
            </w:tcBorders>
          </w:tcPr>
          <w:p w:rsidR="00064214" w:rsidRPr="00385DFD" w:rsidRDefault="00FC7C1E" w:rsidP="00385DFD">
            <w:pPr>
              <w:pStyle w:val="Tabletext"/>
            </w:pPr>
            <w:r w:rsidRPr="00385DFD">
              <w:t>(5 businesses)</w:t>
            </w:r>
          </w:p>
        </w:tc>
        <w:tc>
          <w:tcPr>
            <w:tcW w:w="2315" w:type="dxa"/>
            <w:tcBorders>
              <w:top w:val="nil"/>
              <w:left w:val="nil"/>
              <w:bottom w:val="nil"/>
            </w:tcBorders>
          </w:tcPr>
          <w:p w:rsidR="00064214" w:rsidRPr="00385DFD" w:rsidRDefault="00064214" w:rsidP="00385DFD">
            <w:pPr>
              <w:pStyle w:val="Tabletext"/>
            </w:pPr>
            <w:r w:rsidRPr="00385DFD">
              <w:t xml:space="preserve">Salon owner/Manager </w:t>
            </w:r>
          </w:p>
        </w:tc>
        <w:tc>
          <w:tcPr>
            <w:tcW w:w="2315" w:type="dxa"/>
            <w:tcBorders>
              <w:top w:val="nil"/>
              <w:left w:val="nil"/>
              <w:bottom w:val="nil"/>
            </w:tcBorders>
          </w:tcPr>
          <w:p w:rsidR="00064214" w:rsidRPr="00385DFD" w:rsidRDefault="00064214" w:rsidP="00385DFD">
            <w:pPr>
              <w:pStyle w:val="Tabletext"/>
            </w:pPr>
            <w:r w:rsidRPr="00385DFD">
              <w:t>1</w:t>
            </w:r>
            <w:r w:rsidR="00D3759F" w:rsidRPr="00385DFD">
              <w:t>−</w:t>
            </w:r>
            <w:r w:rsidRPr="00385DFD">
              <w:t>20 employees</w:t>
            </w:r>
          </w:p>
        </w:tc>
        <w:tc>
          <w:tcPr>
            <w:tcW w:w="2316" w:type="dxa"/>
            <w:tcBorders>
              <w:top w:val="nil"/>
              <w:left w:val="nil"/>
              <w:bottom w:val="nil"/>
            </w:tcBorders>
          </w:tcPr>
          <w:p w:rsidR="00064214" w:rsidRPr="00385DFD" w:rsidRDefault="00064214" w:rsidP="00385DFD">
            <w:pPr>
              <w:pStyle w:val="Tabletext"/>
            </w:pPr>
            <w:r w:rsidRPr="00385DFD">
              <w:t>Metro, Victoria</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p>
        </w:tc>
        <w:tc>
          <w:tcPr>
            <w:tcW w:w="2315" w:type="dxa"/>
            <w:tcBorders>
              <w:top w:val="nil"/>
              <w:left w:val="nil"/>
              <w:bottom w:val="nil"/>
            </w:tcBorders>
          </w:tcPr>
          <w:p w:rsidR="00064214" w:rsidRPr="00385DFD" w:rsidRDefault="00064214" w:rsidP="00385DFD">
            <w:pPr>
              <w:pStyle w:val="Tabletext"/>
            </w:pPr>
            <w:r w:rsidRPr="00385DFD">
              <w:t>Salon owner/manager</w:t>
            </w:r>
          </w:p>
        </w:tc>
        <w:tc>
          <w:tcPr>
            <w:tcW w:w="2315" w:type="dxa"/>
            <w:tcBorders>
              <w:top w:val="nil"/>
              <w:left w:val="nil"/>
              <w:bottom w:val="nil"/>
            </w:tcBorders>
          </w:tcPr>
          <w:p w:rsidR="00064214" w:rsidRPr="00385DFD" w:rsidRDefault="00064214" w:rsidP="00385DFD">
            <w:pPr>
              <w:pStyle w:val="Tabletext"/>
            </w:pPr>
            <w:r w:rsidRPr="00385DFD">
              <w:t>21</w:t>
            </w:r>
            <w:r w:rsidR="00D3759F" w:rsidRPr="00385DFD">
              <w:t>−</w:t>
            </w:r>
            <w:r w:rsidRPr="00385DFD">
              <w:t>40 employees</w:t>
            </w:r>
          </w:p>
        </w:tc>
        <w:tc>
          <w:tcPr>
            <w:tcW w:w="2316" w:type="dxa"/>
            <w:tcBorders>
              <w:top w:val="nil"/>
              <w:left w:val="nil"/>
              <w:bottom w:val="nil"/>
            </w:tcBorders>
          </w:tcPr>
          <w:p w:rsidR="00064214" w:rsidRPr="00385DFD" w:rsidRDefault="00D3759F" w:rsidP="00385DFD">
            <w:pPr>
              <w:pStyle w:val="Tabletext"/>
            </w:pPr>
            <w:r w:rsidRPr="00385DFD">
              <w:t xml:space="preserve">Metro &amp; regional, </w:t>
            </w:r>
            <w:r w:rsidR="00064214" w:rsidRPr="00385DFD">
              <w:t>Victoria</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p>
        </w:tc>
        <w:tc>
          <w:tcPr>
            <w:tcW w:w="2315" w:type="dxa"/>
            <w:tcBorders>
              <w:top w:val="nil"/>
              <w:left w:val="nil"/>
              <w:bottom w:val="nil"/>
            </w:tcBorders>
          </w:tcPr>
          <w:p w:rsidR="00064214" w:rsidRPr="00385DFD" w:rsidRDefault="00064214" w:rsidP="00385DFD">
            <w:pPr>
              <w:pStyle w:val="Tabletext"/>
            </w:pPr>
            <w:r w:rsidRPr="00385DFD">
              <w:t>Salon owner/manager</w:t>
            </w:r>
          </w:p>
        </w:tc>
        <w:tc>
          <w:tcPr>
            <w:tcW w:w="2315" w:type="dxa"/>
            <w:tcBorders>
              <w:top w:val="nil"/>
              <w:left w:val="nil"/>
              <w:bottom w:val="nil"/>
            </w:tcBorders>
          </w:tcPr>
          <w:p w:rsidR="00064214" w:rsidRPr="00385DFD" w:rsidRDefault="00064214" w:rsidP="00385DFD">
            <w:pPr>
              <w:pStyle w:val="Tabletext"/>
            </w:pPr>
            <w:r w:rsidRPr="00385DFD">
              <w:t>1</w:t>
            </w:r>
            <w:r w:rsidR="00D3759F" w:rsidRPr="00385DFD">
              <w:t>−</w:t>
            </w:r>
            <w:r w:rsidRPr="00385DFD">
              <w:t>20 employees</w:t>
            </w:r>
          </w:p>
        </w:tc>
        <w:tc>
          <w:tcPr>
            <w:tcW w:w="2316" w:type="dxa"/>
            <w:tcBorders>
              <w:top w:val="nil"/>
              <w:left w:val="nil"/>
              <w:bottom w:val="nil"/>
            </w:tcBorders>
          </w:tcPr>
          <w:p w:rsidR="00064214" w:rsidRPr="00385DFD" w:rsidRDefault="00D3759F" w:rsidP="00385DFD">
            <w:pPr>
              <w:pStyle w:val="Tabletext"/>
            </w:pPr>
            <w:r w:rsidRPr="00385DFD">
              <w:t>Regional,</w:t>
            </w:r>
            <w:r w:rsidR="00064214" w:rsidRPr="00385DFD">
              <w:t xml:space="preserve"> NSW</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p>
        </w:tc>
        <w:tc>
          <w:tcPr>
            <w:tcW w:w="2315" w:type="dxa"/>
            <w:tcBorders>
              <w:top w:val="nil"/>
              <w:left w:val="nil"/>
              <w:bottom w:val="nil"/>
            </w:tcBorders>
          </w:tcPr>
          <w:p w:rsidR="00064214" w:rsidRPr="00385DFD" w:rsidRDefault="00064214" w:rsidP="00385DFD">
            <w:pPr>
              <w:pStyle w:val="Tabletext"/>
            </w:pPr>
            <w:r w:rsidRPr="00385DFD">
              <w:t>Salon owner/manager</w:t>
            </w:r>
          </w:p>
        </w:tc>
        <w:tc>
          <w:tcPr>
            <w:tcW w:w="2315" w:type="dxa"/>
            <w:tcBorders>
              <w:top w:val="nil"/>
              <w:left w:val="nil"/>
              <w:bottom w:val="nil"/>
            </w:tcBorders>
          </w:tcPr>
          <w:p w:rsidR="00064214" w:rsidRPr="00385DFD" w:rsidRDefault="00D3759F" w:rsidP="00385DFD">
            <w:pPr>
              <w:pStyle w:val="Tabletext"/>
            </w:pPr>
            <w:r w:rsidRPr="00385DFD">
              <w:t>1−</w:t>
            </w:r>
            <w:r w:rsidR="00064214" w:rsidRPr="00385DFD">
              <w:t>20 employees</w:t>
            </w:r>
          </w:p>
        </w:tc>
        <w:tc>
          <w:tcPr>
            <w:tcW w:w="2316" w:type="dxa"/>
            <w:tcBorders>
              <w:top w:val="nil"/>
              <w:left w:val="nil"/>
              <w:bottom w:val="nil"/>
            </w:tcBorders>
          </w:tcPr>
          <w:p w:rsidR="00064214" w:rsidRPr="00385DFD" w:rsidRDefault="00064214" w:rsidP="00385DFD">
            <w:pPr>
              <w:pStyle w:val="Tabletext"/>
            </w:pPr>
            <w:r w:rsidRPr="00385DFD">
              <w:t>Metro, Queensland</w:t>
            </w:r>
          </w:p>
        </w:tc>
      </w:tr>
      <w:tr w:rsidR="00064214" w:rsidRPr="00385DFD" w:rsidTr="00385DFD">
        <w:trPr>
          <w:cantSplit/>
        </w:trPr>
        <w:tc>
          <w:tcPr>
            <w:tcW w:w="1843" w:type="dxa"/>
            <w:tcBorders>
              <w:top w:val="nil"/>
              <w:left w:val="nil"/>
              <w:bottom w:val="nil"/>
              <w:right w:val="nil"/>
            </w:tcBorders>
          </w:tcPr>
          <w:p w:rsidR="00064214" w:rsidRPr="00385DFD" w:rsidRDefault="00FC7C1E" w:rsidP="00385DFD">
            <w:pPr>
              <w:pStyle w:val="Tabletext"/>
            </w:pPr>
            <w:r w:rsidRPr="00385DFD">
              <w:t>Printing</w:t>
            </w:r>
          </w:p>
        </w:tc>
        <w:tc>
          <w:tcPr>
            <w:tcW w:w="2315" w:type="dxa"/>
            <w:tcBorders>
              <w:top w:val="nil"/>
              <w:left w:val="nil"/>
              <w:bottom w:val="nil"/>
            </w:tcBorders>
          </w:tcPr>
          <w:p w:rsidR="00064214" w:rsidRPr="00385DFD" w:rsidRDefault="00583E40" w:rsidP="00385DFD">
            <w:pPr>
              <w:pStyle w:val="Tabletext"/>
            </w:pPr>
            <w:r w:rsidRPr="00385DFD">
              <w:t>HR m</w:t>
            </w:r>
            <w:r w:rsidR="00FC7C1E" w:rsidRPr="00385DFD">
              <w:t>anager</w:t>
            </w:r>
          </w:p>
        </w:tc>
        <w:tc>
          <w:tcPr>
            <w:tcW w:w="2315" w:type="dxa"/>
            <w:tcBorders>
              <w:top w:val="nil"/>
              <w:left w:val="nil"/>
              <w:bottom w:val="nil"/>
            </w:tcBorders>
          </w:tcPr>
          <w:p w:rsidR="00064214" w:rsidRPr="00385DFD" w:rsidRDefault="00FC7C1E" w:rsidP="00385DFD">
            <w:pPr>
              <w:pStyle w:val="Tabletext"/>
            </w:pPr>
            <w:r w:rsidRPr="00385DFD">
              <w:t>Unknown</w:t>
            </w:r>
          </w:p>
        </w:tc>
        <w:tc>
          <w:tcPr>
            <w:tcW w:w="2316" w:type="dxa"/>
            <w:tcBorders>
              <w:top w:val="nil"/>
              <w:left w:val="nil"/>
              <w:bottom w:val="nil"/>
            </w:tcBorders>
          </w:tcPr>
          <w:p w:rsidR="00064214" w:rsidRPr="00385DFD" w:rsidRDefault="00FC7C1E" w:rsidP="00385DFD">
            <w:pPr>
              <w:pStyle w:val="Tabletext"/>
            </w:pPr>
            <w:r w:rsidRPr="00385DFD">
              <w:t>Victoria &amp; NSW</w:t>
            </w:r>
          </w:p>
        </w:tc>
      </w:tr>
      <w:tr w:rsidR="00064214" w:rsidRPr="00385DFD" w:rsidTr="00385DFD">
        <w:trPr>
          <w:cantSplit/>
        </w:trPr>
        <w:tc>
          <w:tcPr>
            <w:tcW w:w="1843" w:type="dxa"/>
            <w:tcBorders>
              <w:top w:val="nil"/>
              <w:left w:val="nil"/>
              <w:bottom w:val="nil"/>
              <w:right w:val="nil"/>
            </w:tcBorders>
          </w:tcPr>
          <w:p w:rsidR="00064214" w:rsidRPr="00385DFD" w:rsidRDefault="00FC7C1E" w:rsidP="00385DFD">
            <w:pPr>
              <w:pStyle w:val="Tabletext"/>
            </w:pPr>
            <w:r w:rsidRPr="00385DFD">
              <w:t>(5 businesses)</w:t>
            </w:r>
          </w:p>
        </w:tc>
        <w:tc>
          <w:tcPr>
            <w:tcW w:w="2315" w:type="dxa"/>
            <w:tcBorders>
              <w:top w:val="nil"/>
              <w:left w:val="nil"/>
              <w:bottom w:val="nil"/>
            </w:tcBorders>
          </w:tcPr>
          <w:p w:rsidR="00064214" w:rsidRPr="00385DFD" w:rsidRDefault="00583E40" w:rsidP="00385DFD">
            <w:pPr>
              <w:pStyle w:val="Tabletext"/>
            </w:pPr>
            <w:r w:rsidRPr="00385DFD">
              <w:t>Managing d</w:t>
            </w:r>
            <w:r w:rsidR="00FC7C1E" w:rsidRPr="00385DFD">
              <w:t>irector</w:t>
            </w:r>
          </w:p>
        </w:tc>
        <w:tc>
          <w:tcPr>
            <w:tcW w:w="2315" w:type="dxa"/>
            <w:tcBorders>
              <w:top w:val="nil"/>
              <w:left w:val="nil"/>
              <w:bottom w:val="nil"/>
            </w:tcBorders>
          </w:tcPr>
          <w:p w:rsidR="00064214" w:rsidRPr="00385DFD" w:rsidRDefault="00D3759F" w:rsidP="00385DFD">
            <w:pPr>
              <w:pStyle w:val="Tabletext"/>
            </w:pPr>
            <w:r w:rsidRPr="00385DFD">
              <w:t>41−</w:t>
            </w:r>
            <w:r w:rsidR="00FC7C1E" w:rsidRPr="00385DFD">
              <w:t>99 employees</w:t>
            </w:r>
          </w:p>
        </w:tc>
        <w:tc>
          <w:tcPr>
            <w:tcW w:w="2316" w:type="dxa"/>
            <w:tcBorders>
              <w:top w:val="nil"/>
              <w:left w:val="nil"/>
              <w:bottom w:val="nil"/>
            </w:tcBorders>
          </w:tcPr>
          <w:p w:rsidR="00064214" w:rsidRPr="00385DFD" w:rsidRDefault="00FC7C1E" w:rsidP="00385DFD">
            <w:pPr>
              <w:pStyle w:val="Tabletext"/>
            </w:pPr>
            <w:r w:rsidRPr="00385DFD">
              <w:t>Victoria</w:t>
            </w:r>
          </w:p>
        </w:tc>
      </w:tr>
      <w:tr w:rsidR="00064214" w:rsidRPr="00385DFD" w:rsidTr="00385DFD">
        <w:trPr>
          <w:cantSplit/>
        </w:trPr>
        <w:tc>
          <w:tcPr>
            <w:tcW w:w="1843" w:type="dxa"/>
            <w:tcBorders>
              <w:top w:val="nil"/>
              <w:left w:val="nil"/>
              <w:bottom w:val="nil"/>
              <w:right w:val="nil"/>
            </w:tcBorders>
          </w:tcPr>
          <w:p w:rsidR="00064214" w:rsidRPr="00385DFD" w:rsidRDefault="00064214" w:rsidP="00385DFD">
            <w:pPr>
              <w:pStyle w:val="Tabletext"/>
            </w:pPr>
          </w:p>
        </w:tc>
        <w:tc>
          <w:tcPr>
            <w:tcW w:w="2315" w:type="dxa"/>
            <w:tcBorders>
              <w:top w:val="nil"/>
              <w:left w:val="nil"/>
              <w:bottom w:val="nil"/>
            </w:tcBorders>
          </w:tcPr>
          <w:p w:rsidR="00064214" w:rsidRPr="00385DFD" w:rsidRDefault="00FC7C1E" w:rsidP="00385DFD">
            <w:pPr>
              <w:pStyle w:val="Tabletext"/>
            </w:pPr>
            <w:r w:rsidRPr="00385DFD">
              <w:t>HR manager</w:t>
            </w:r>
          </w:p>
        </w:tc>
        <w:tc>
          <w:tcPr>
            <w:tcW w:w="2315" w:type="dxa"/>
            <w:tcBorders>
              <w:top w:val="nil"/>
              <w:left w:val="nil"/>
              <w:bottom w:val="nil"/>
            </w:tcBorders>
          </w:tcPr>
          <w:p w:rsidR="00064214" w:rsidRPr="00385DFD" w:rsidRDefault="00FC7C1E" w:rsidP="00385DFD">
            <w:pPr>
              <w:pStyle w:val="Tabletext"/>
            </w:pPr>
            <w:r w:rsidRPr="00385DFD">
              <w:t>Unknown</w:t>
            </w:r>
          </w:p>
        </w:tc>
        <w:tc>
          <w:tcPr>
            <w:tcW w:w="2316" w:type="dxa"/>
            <w:tcBorders>
              <w:top w:val="nil"/>
              <w:left w:val="nil"/>
              <w:bottom w:val="nil"/>
            </w:tcBorders>
          </w:tcPr>
          <w:p w:rsidR="00064214" w:rsidRPr="00385DFD" w:rsidRDefault="00FC7C1E" w:rsidP="00385DFD">
            <w:pPr>
              <w:pStyle w:val="Tabletext"/>
            </w:pPr>
            <w:r w:rsidRPr="00385DFD">
              <w:t>Victoria</w:t>
            </w:r>
          </w:p>
        </w:tc>
      </w:tr>
      <w:tr w:rsidR="00FC7C1E" w:rsidRPr="00385DFD" w:rsidTr="00385DFD">
        <w:trPr>
          <w:cantSplit/>
        </w:trPr>
        <w:tc>
          <w:tcPr>
            <w:tcW w:w="1843" w:type="dxa"/>
            <w:tcBorders>
              <w:top w:val="nil"/>
              <w:left w:val="nil"/>
              <w:bottom w:val="nil"/>
              <w:right w:val="nil"/>
            </w:tcBorders>
          </w:tcPr>
          <w:p w:rsidR="00FC7C1E" w:rsidRPr="00385DFD" w:rsidRDefault="00FC7C1E" w:rsidP="00385DFD">
            <w:pPr>
              <w:pStyle w:val="Tabletext"/>
            </w:pPr>
          </w:p>
        </w:tc>
        <w:tc>
          <w:tcPr>
            <w:tcW w:w="2315" w:type="dxa"/>
            <w:tcBorders>
              <w:top w:val="nil"/>
              <w:left w:val="nil"/>
              <w:bottom w:val="nil"/>
            </w:tcBorders>
          </w:tcPr>
          <w:p w:rsidR="00FC7C1E" w:rsidRPr="00385DFD" w:rsidRDefault="00FC7C1E" w:rsidP="00385DFD">
            <w:pPr>
              <w:pStyle w:val="Tabletext"/>
            </w:pPr>
            <w:r w:rsidRPr="00385DFD">
              <w:t>General manager</w:t>
            </w:r>
          </w:p>
        </w:tc>
        <w:tc>
          <w:tcPr>
            <w:tcW w:w="2315" w:type="dxa"/>
            <w:tcBorders>
              <w:top w:val="nil"/>
              <w:left w:val="nil"/>
              <w:bottom w:val="nil"/>
            </w:tcBorders>
          </w:tcPr>
          <w:p w:rsidR="00FC7C1E" w:rsidRPr="00385DFD" w:rsidRDefault="00D3759F" w:rsidP="00385DFD">
            <w:pPr>
              <w:pStyle w:val="Tabletext"/>
            </w:pPr>
            <w:r w:rsidRPr="00385DFD">
              <w:t>1−</w:t>
            </w:r>
            <w:r w:rsidR="00FC7C1E" w:rsidRPr="00385DFD">
              <w:t>20 employees</w:t>
            </w:r>
          </w:p>
        </w:tc>
        <w:tc>
          <w:tcPr>
            <w:tcW w:w="2316" w:type="dxa"/>
            <w:tcBorders>
              <w:top w:val="nil"/>
              <w:left w:val="nil"/>
              <w:bottom w:val="nil"/>
            </w:tcBorders>
          </w:tcPr>
          <w:p w:rsidR="00FC7C1E" w:rsidRPr="00385DFD" w:rsidRDefault="00FC7C1E" w:rsidP="00385DFD">
            <w:pPr>
              <w:pStyle w:val="Tabletext"/>
            </w:pPr>
            <w:r w:rsidRPr="00385DFD">
              <w:t>Regional, NSW</w:t>
            </w:r>
          </w:p>
        </w:tc>
      </w:tr>
      <w:tr w:rsidR="00FC7C1E" w:rsidRPr="00385DFD" w:rsidTr="00385DFD">
        <w:trPr>
          <w:cantSplit/>
        </w:trPr>
        <w:tc>
          <w:tcPr>
            <w:tcW w:w="1843" w:type="dxa"/>
            <w:tcBorders>
              <w:top w:val="nil"/>
              <w:left w:val="nil"/>
              <w:bottom w:val="single" w:sz="4" w:space="0" w:color="auto"/>
              <w:right w:val="nil"/>
            </w:tcBorders>
          </w:tcPr>
          <w:p w:rsidR="00FC7C1E" w:rsidRPr="00385DFD" w:rsidRDefault="00FC7C1E" w:rsidP="00385DFD">
            <w:pPr>
              <w:pStyle w:val="Tabletext"/>
            </w:pPr>
          </w:p>
        </w:tc>
        <w:tc>
          <w:tcPr>
            <w:tcW w:w="2315" w:type="dxa"/>
            <w:tcBorders>
              <w:top w:val="nil"/>
              <w:left w:val="nil"/>
              <w:bottom w:val="single" w:sz="4" w:space="0" w:color="auto"/>
            </w:tcBorders>
          </w:tcPr>
          <w:p w:rsidR="00FC7C1E" w:rsidRPr="00385DFD" w:rsidRDefault="00583E40" w:rsidP="00385DFD">
            <w:pPr>
              <w:pStyle w:val="Tabletext"/>
            </w:pPr>
            <w:r w:rsidRPr="00385DFD">
              <w:t>HR m</w:t>
            </w:r>
            <w:r w:rsidR="00FC7C1E" w:rsidRPr="00385DFD">
              <w:t>anager</w:t>
            </w:r>
          </w:p>
        </w:tc>
        <w:tc>
          <w:tcPr>
            <w:tcW w:w="2315" w:type="dxa"/>
            <w:tcBorders>
              <w:top w:val="nil"/>
              <w:left w:val="nil"/>
              <w:bottom w:val="single" w:sz="4" w:space="0" w:color="auto"/>
            </w:tcBorders>
          </w:tcPr>
          <w:p w:rsidR="00FC7C1E" w:rsidRPr="00385DFD" w:rsidRDefault="00FC7C1E" w:rsidP="00385DFD">
            <w:pPr>
              <w:pStyle w:val="Tabletext"/>
            </w:pPr>
            <w:r w:rsidRPr="00385DFD">
              <w:t>1</w:t>
            </w:r>
            <w:r w:rsidR="00D3759F" w:rsidRPr="00385DFD">
              <w:t>−</w:t>
            </w:r>
            <w:r w:rsidRPr="00385DFD">
              <w:t>20 employees</w:t>
            </w:r>
          </w:p>
        </w:tc>
        <w:tc>
          <w:tcPr>
            <w:tcW w:w="2316" w:type="dxa"/>
            <w:tcBorders>
              <w:top w:val="nil"/>
              <w:left w:val="nil"/>
              <w:bottom w:val="single" w:sz="4" w:space="0" w:color="auto"/>
            </w:tcBorders>
          </w:tcPr>
          <w:p w:rsidR="00FC7C1E" w:rsidRPr="00385DFD" w:rsidRDefault="00D3759F" w:rsidP="00385DFD">
            <w:pPr>
              <w:pStyle w:val="Tabletext"/>
            </w:pPr>
            <w:r w:rsidRPr="00385DFD">
              <w:t xml:space="preserve">Metro, </w:t>
            </w:r>
            <w:r w:rsidR="00FC7C1E" w:rsidRPr="00385DFD">
              <w:t>Victoria</w:t>
            </w:r>
          </w:p>
        </w:tc>
      </w:tr>
    </w:tbl>
    <w:p w:rsidR="0077552B" w:rsidRPr="00385DFD" w:rsidRDefault="0077552B" w:rsidP="00385DFD">
      <w:pPr>
        <w:pStyle w:val="Textmorebefore"/>
      </w:pPr>
      <w:r>
        <w:t>The other stakeholders included</w:t>
      </w:r>
      <w:r w:rsidR="00A753BA">
        <w:t xml:space="preserve"> two industry auditors who worked nationally across a range of industries</w:t>
      </w:r>
      <w:r w:rsidR="00D3759F">
        <w:t>,</w:t>
      </w:r>
      <w:r w:rsidR="00A753BA">
        <w:t xml:space="preserve"> incl</w:t>
      </w:r>
      <w:r w:rsidR="001E6F07">
        <w:t>uding those under investigation</w:t>
      </w:r>
      <w:r w:rsidR="00D3759F">
        <w:t>,</w:t>
      </w:r>
      <w:r w:rsidR="001E6F07">
        <w:t xml:space="preserve"> and</w:t>
      </w:r>
      <w:r w:rsidR="00A753BA">
        <w:t xml:space="preserve"> </w:t>
      </w:r>
      <w:r w:rsidR="00D3759F">
        <w:t xml:space="preserve">industry skills council </w:t>
      </w:r>
      <w:r w:rsidR="00A753BA">
        <w:t xml:space="preserve">representatives </w:t>
      </w:r>
      <w:r w:rsidR="001E6F07">
        <w:t xml:space="preserve">from the Construction and Property Services </w:t>
      </w:r>
      <w:r w:rsidR="00D3759F">
        <w:t>Industry Skills Council</w:t>
      </w:r>
      <w:r w:rsidR="007D4EDB">
        <w:t xml:space="preserve"> </w:t>
      </w:r>
      <w:r w:rsidR="001E6F07">
        <w:t>(plumbing), Service Skills Australia (hairdressing) and Innovation and Business Skills Australia (printing). Each of these informants had</w:t>
      </w:r>
      <w:r w:rsidR="00A753BA">
        <w:t xml:space="preserve"> training package responsibilities</w:t>
      </w:r>
      <w:r w:rsidR="001E6F07">
        <w:t>. The</w:t>
      </w:r>
      <w:r w:rsidR="00A753BA">
        <w:t xml:space="preserve"> three senior </w:t>
      </w:r>
      <w:r w:rsidR="007F19DD">
        <w:t>officials</w:t>
      </w:r>
      <w:r w:rsidR="00A753BA">
        <w:t xml:space="preserve"> of </w:t>
      </w:r>
      <w:r w:rsidR="001C030D">
        <w:t xml:space="preserve">related </w:t>
      </w:r>
      <w:r w:rsidR="00A753BA">
        <w:t>professional or industry associations</w:t>
      </w:r>
      <w:r w:rsidR="001E6F07">
        <w:t xml:space="preserve"> interviewed came </w:t>
      </w:r>
      <w:r w:rsidR="001E6F07" w:rsidRPr="00385DFD">
        <w:t>from the Master Plumbers Association of Victoria, the Australian Hairdressing Council and the Printing Industries Association of Australia</w:t>
      </w:r>
      <w:r w:rsidR="001C030D" w:rsidRPr="00385DFD">
        <w:t>.</w:t>
      </w:r>
    </w:p>
    <w:p w:rsidR="006935AE" w:rsidRPr="00196FD4" w:rsidRDefault="008D3DDE" w:rsidP="00385DFD">
      <w:pPr>
        <w:pStyle w:val="Text"/>
      </w:pPr>
      <w:r w:rsidRPr="00385DFD">
        <w:t xml:space="preserve">For the focus on professional obsolescence, </w:t>
      </w:r>
      <w:r w:rsidR="00D9653A" w:rsidRPr="00385DFD">
        <w:t>14</w:t>
      </w:r>
      <w:r w:rsidR="009F77AF" w:rsidRPr="00385DFD">
        <w:t xml:space="preserve"> organisations were invited to participate</w:t>
      </w:r>
      <w:r w:rsidR="008506D7" w:rsidRPr="00385DFD">
        <w:t xml:space="preserve"> in the study</w:t>
      </w:r>
      <w:r w:rsidR="00D9653A" w:rsidRPr="00385DFD">
        <w:t>, with</w:t>
      </w:r>
      <w:r w:rsidR="0003592E" w:rsidRPr="00385DFD">
        <w:t xml:space="preserve"> </w:t>
      </w:r>
      <w:r w:rsidR="00D9653A" w:rsidRPr="00385DFD">
        <w:t>nine accepting</w:t>
      </w:r>
      <w:r w:rsidR="008506D7" w:rsidRPr="00385DFD">
        <w:t xml:space="preserve">. </w:t>
      </w:r>
      <w:r w:rsidRPr="00385DFD">
        <w:t>Drawn from</w:t>
      </w:r>
      <w:r w:rsidR="008506D7">
        <w:t xml:space="preserve"> the science, engineering, human resources and health (nursing) </w:t>
      </w:r>
      <w:r w:rsidR="000C7F28">
        <w:t>sectors</w:t>
      </w:r>
      <w:r w:rsidR="00D9653A">
        <w:t>,</w:t>
      </w:r>
      <w:r>
        <w:t xml:space="preserve"> where significant technological change has occurred, the</w:t>
      </w:r>
      <w:r w:rsidR="000C7F28">
        <w:t xml:space="preserve"> organisations</w:t>
      </w:r>
      <w:r w:rsidR="008506D7">
        <w:t xml:space="preserve"> were selected </w:t>
      </w:r>
      <w:r w:rsidR="001C030D">
        <w:t>after</w:t>
      </w:r>
      <w:r>
        <w:t xml:space="preserve"> a</w:t>
      </w:r>
      <w:r w:rsidR="008506D7">
        <w:t xml:space="preserve"> </w:t>
      </w:r>
      <w:r w:rsidR="008506D7">
        <w:lastRenderedPageBreak/>
        <w:t>review of websites</w:t>
      </w:r>
      <w:r w:rsidR="00966951">
        <w:t>,</w:t>
      </w:r>
      <w:r w:rsidR="008506D7">
        <w:t xml:space="preserve"> </w:t>
      </w:r>
      <w:r w:rsidR="001C030D">
        <w:t xml:space="preserve">which </w:t>
      </w:r>
      <w:r w:rsidR="008506D7">
        <w:t xml:space="preserve">revealed they matched </w:t>
      </w:r>
      <w:r>
        <w:t>Zack’s</w:t>
      </w:r>
      <w:r w:rsidR="000F68E0">
        <w:t xml:space="preserve"> (2003</w:t>
      </w:r>
      <w:r w:rsidR="006935AE">
        <w:t>, p.4</w:t>
      </w:r>
      <w:r w:rsidR="000F68E0">
        <w:t>)</w:t>
      </w:r>
      <w:r>
        <w:t xml:space="preserve"> description of a</w:t>
      </w:r>
      <w:r w:rsidR="007D4EDB">
        <w:t xml:space="preserve"> </w:t>
      </w:r>
      <w:r>
        <w:t>‘knowledge-based organisation’</w:t>
      </w:r>
      <w:r w:rsidR="00583E40">
        <w:t xml:space="preserve"> as</w:t>
      </w:r>
      <w:r w:rsidR="00D9653A">
        <w:t xml:space="preserve"> </w:t>
      </w:r>
      <w:r w:rsidR="006935AE">
        <w:t>an organisation that:</w:t>
      </w:r>
    </w:p>
    <w:p w:rsidR="006935AE" w:rsidRPr="00196FD4" w:rsidRDefault="006935AE" w:rsidP="00385DFD">
      <w:pPr>
        <w:pStyle w:val="Quote"/>
      </w:pPr>
      <w:r w:rsidRPr="00196FD4">
        <w:rPr>
          <w:lang w:val="en-US" w:eastAsia="en-AU"/>
        </w:rPr>
        <w:t>holds a knowledge-oriented image of itself</w:t>
      </w:r>
      <w:r w:rsidR="00D9653A">
        <w:rPr>
          <w:lang w:val="en-US" w:eastAsia="en-AU"/>
        </w:rPr>
        <w:t xml:space="preserve"> </w:t>
      </w:r>
      <w:r w:rsidRPr="00196FD4">
        <w:rPr>
          <w:lang w:val="en-US" w:eastAsia="en-AU"/>
        </w:rPr>
        <w:t>…</w:t>
      </w:r>
      <w:r w:rsidR="00D9653A">
        <w:rPr>
          <w:lang w:val="en-US" w:eastAsia="en-AU"/>
        </w:rPr>
        <w:t xml:space="preserve"> </w:t>
      </w:r>
      <w:r w:rsidRPr="00196FD4">
        <w:rPr>
          <w:lang w:val="en-US" w:eastAsia="en-AU"/>
        </w:rPr>
        <w:t>It uses knowledge and learning as its primary criteria for evaluating how it organizes, what it makes, where it locates, who it hires, how it relates to customers, the images it projects, and the nature of its competition</w:t>
      </w:r>
      <w:r w:rsidR="00D9653A">
        <w:rPr>
          <w:lang w:val="en-US" w:eastAsia="en-AU"/>
        </w:rPr>
        <w:t xml:space="preserve">. </w:t>
      </w:r>
      <w:r w:rsidR="00D9653A">
        <w:rPr>
          <w:lang w:val="en-US" w:eastAsia="en-AU"/>
        </w:rPr>
        <w:tab/>
        <w:t>(Zack 2003, p.4)</w:t>
      </w:r>
    </w:p>
    <w:p w:rsidR="00573515" w:rsidRPr="00385DFD" w:rsidRDefault="00573515" w:rsidP="00385DFD">
      <w:pPr>
        <w:pStyle w:val="Text"/>
      </w:pPr>
      <w:r>
        <w:t xml:space="preserve">The nine organisations selected </w:t>
      </w:r>
      <w:r w:rsidR="001E18A3">
        <w:t xml:space="preserve">actively </w:t>
      </w:r>
      <w:r>
        <w:t xml:space="preserve">engaged in </w:t>
      </w:r>
      <w:r w:rsidR="00583E40">
        <w:t xml:space="preserve">knowledge-generation </w:t>
      </w:r>
      <w:r>
        <w:t xml:space="preserve">and </w:t>
      </w:r>
      <w:r w:rsidR="00583E40">
        <w:t>knowledge-sharing</w:t>
      </w:r>
      <w:r w:rsidR="007D4EDB">
        <w:t xml:space="preserve"> </w:t>
      </w:r>
      <w:r w:rsidR="001E18A3">
        <w:t>and considered</w:t>
      </w:r>
      <w:r w:rsidR="00D9653A">
        <w:t xml:space="preserve"> </w:t>
      </w:r>
      <w:r w:rsidR="001E18A3">
        <w:t xml:space="preserve">the application of new knowledge </w:t>
      </w:r>
      <w:r w:rsidR="00D9653A" w:rsidRPr="00385DFD">
        <w:t>to be</w:t>
      </w:r>
      <w:r w:rsidR="001E18A3" w:rsidRPr="00385DFD">
        <w:t xml:space="preserve"> core business and crucial to business survival. </w:t>
      </w:r>
    </w:p>
    <w:p w:rsidR="009F77AF" w:rsidRDefault="00966951" w:rsidP="00385DFD">
      <w:pPr>
        <w:pStyle w:val="Text"/>
      </w:pPr>
      <w:r>
        <w:t>Table 2 gives a</w:t>
      </w:r>
      <w:r w:rsidR="00903050" w:rsidRPr="00385DFD">
        <w:t>n overview of the participating organisations</w:t>
      </w:r>
      <w:r w:rsidR="00903050">
        <w:t xml:space="preserve">. Each </w:t>
      </w:r>
      <w:r w:rsidR="00DC01BB">
        <w:t xml:space="preserve">organisation </w:t>
      </w:r>
      <w:r w:rsidR="00903050">
        <w:t>has</w:t>
      </w:r>
      <w:r w:rsidR="00145AD2">
        <w:t xml:space="preserve"> been provided </w:t>
      </w:r>
      <w:r w:rsidR="00903050">
        <w:t xml:space="preserve">with a pseudonym </w:t>
      </w:r>
      <w:r w:rsidR="00145AD2">
        <w:t>to ensure confidentiality.</w:t>
      </w:r>
    </w:p>
    <w:p w:rsidR="006D2D5F" w:rsidRDefault="006D2D5F" w:rsidP="00385DFD">
      <w:pPr>
        <w:pStyle w:val="tabletitle"/>
      </w:pPr>
      <w:bookmarkStart w:id="41" w:name="_Toc355275637"/>
      <w:r>
        <w:t xml:space="preserve">Table </w:t>
      </w:r>
      <w:r w:rsidR="00C65A9C">
        <w:t>2</w:t>
      </w:r>
      <w:r>
        <w:tab/>
      </w:r>
      <w:r w:rsidR="005E488F">
        <w:t xml:space="preserve">Knowledge-based </w:t>
      </w:r>
      <w:r w:rsidR="005E488F" w:rsidRPr="00385DFD">
        <w:t>organisations</w:t>
      </w:r>
      <w:r w:rsidR="005E488F">
        <w:t>: professional obsolescence focus</w:t>
      </w:r>
      <w:bookmarkEnd w:id="41"/>
    </w:p>
    <w:tbl>
      <w:tblPr>
        <w:tblW w:w="8789" w:type="dxa"/>
        <w:tblInd w:w="108" w:type="dxa"/>
        <w:tblBorders>
          <w:top w:val="single" w:sz="4" w:space="0" w:color="auto"/>
          <w:bottom w:val="single" w:sz="4" w:space="0" w:color="auto"/>
        </w:tblBorders>
        <w:tblLayout w:type="fixed"/>
        <w:tblLook w:val="0000"/>
      </w:tblPr>
      <w:tblGrid>
        <w:gridCol w:w="1372"/>
        <w:gridCol w:w="7417"/>
      </w:tblGrid>
      <w:tr w:rsidR="00F457E2" w:rsidRPr="00385DFD" w:rsidTr="00385DFD">
        <w:trPr>
          <w:cantSplit/>
        </w:trPr>
        <w:tc>
          <w:tcPr>
            <w:tcW w:w="1350" w:type="dxa"/>
            <w:tcBorders>
              <w:top w:val="single" w:sz="4" w:space="0" w:color="auto"/>
              <w:left w:val="nil"/>
              <w:bottom w:val="single" w:sz="4" w:space="0" w:color="auto"/>
            </w:tcBorders>
          </w:tcPr>
          <w:p w:rsidR="00F457E2" w:rsidRPr="00385DFD" w:rsidRDefault="00F457E2" w:rsidP="00385DFD">
            <w:pPr>
              <w:pStyle w:val="Tablehead1"/>
            </w:pPr>
            <w:r w:rsidRPr="00385DFD">
              <w:t>Organisation</w:t>
            </w:r>
          </w:p>
        </w:tc>
        <w:tc>
          <w:tcPr>
            <w:tcW w:w="7297" w:type="dxa"/>
            <w:tcBorders>
              <w:top w:val="single" w:sz="4" w:space="0" w:color="auto"/>
              <w:left w:val="nil"/>
              <w:bottom w:val="single" w:sz="4" w:space="0" w:color="auto"/>
            </w:tcBorders>
          </w:tcPr>
          <w:p w:rsidR="00F457E2" w:rsidRPr="00385DFD" w:rsidRDefault="00F457E2" w:rsidP="00385DFD">
            <w:pPr>
              <w:pStyle w:val="Tablehead1"/>
            </w:pPr>
            <w:r w:rsidRPr="00385DFD">
              <w:t>Description</w:t>
            </w:r>
          </w:p>
        </w:tc>
      </w:tr>
      <w:tr w:rsidR="00F457E2" w:rsidTr="00385DFD">
        <w:trPr>
          <w:cantSplit/>
        </w:trPr>
        <w:tc>
          <w:tcPr>
            <w:tcW w:w="1350" w:type="dxa"/>
            <w:tcBorders>
              <w:top w:val="single" w:sz="4" w:space="0" w:color="auto"/>
              <w:left w:val="nil"/>
              <w:bottom w:val="nil"/>
              <w:right w:val="nil"/>
            </w:tcBorders>
          </w:tcPr>
          <w:p w:rsidR="00F457E2" w:rsidRDefault="00F457E2" w:rsidP="00385DFD">
            <w:pPr>
              <w:pStyle w:val="Tabletext"/>
            </w:pPr>
            <w:r>
              <w:t>Professional Research Services</w:t>
            </w:r>
            <w:r w:rsidR="00903050">
              <w:t xml:space="preserve"> </w:t>
            </w:r>
          </w:p>
        </w:tc>
        <w:tc>
          <w:tcPr>
            <w:tcW w:w="7297" w:type="dxa"/>
            <w:tcBorders>
              <w:top w:val="single" w:sz="4" w:space="0" w:color="auto"/>
              <w:left w:val="nil"/>
              <w:bottom w:val="nil"/>
            </w:tcBorders>
          </w:tcPr>
          <w:p w:rsidR="00F457E2" w:rsidRDefault="00F457E2" w:rsidP="00385DFD">
            <w:pPr>
              <w:pStyle w:val="Tabletext"/>
            </w:pPr>
            <w:r>
              <w:t>Scientific research across a broad range of areas is the major focus of the organisation. These include materials science and engineering, manufacturing and materials, food and agriculture, water, energy and the environment. Research scientists and research managers form the core of the 6500 employees, with 62% of staff being classified as professionals.</w:t>
            </w:r>
          </w:p>
        </w:tc>
      </w:tr>
      <w:tr w:rsidR="00F457E2" w:rsidTr="00385DFD">
        <w:trPr>
          <w:cantSplit/>
        </w:trPr>
        <w:tc>
          <w:tcPr>
            <w:tcW w:w="1350" w:type="dxa"/>
            <w:tcBorders>
              <w:top w:val="nil"/>
              <w:left w:val="nil"/>
              <w:bottom w:val="nil"/>
              <w:right w:val="nil"/>
            </w:tcBorders>
          </w:tcPr>
          <w:p w:rsidR="00F457E2" w:rsidRDefault="00F457E2" w:rsidP="004D4FBB">
            <w:pPr>
              <w:pStyle w:val="Tabletext"/>
            </w:pPr>
            <w:r>
              <w:t>Energy &amp; Resources Agency</w:t>
            </w:r>
            <w:r w:rsidR="00D9653A">
              <w:t xml:space="preserve"> (ERA)</w:t>
            </w:r>
            <w:r w:rsidR="00903050">
              <w:t xml:space="preserve"> </w:t>
            </w:r>
          </w:p>
        </w:tc>
        <w:tc>
          <w:tcPr>
            <w:tcW w:w="7297" w:type="dxa"/>
            <w:tcBorders>
              <w:top w:val="nil"/>
              <w:left w:val="nil"/>
              <w:bottom w:val="nil"/>
            </w:tcBorders>
          </w:tcPr>
          <w:p w:rsidR="00F457E2" w:rsidRDefault="00F457E2" w:rsidP="00385DFD">
            <w:pPr>
              <w:pStyle w:val="Tabletext"/>
            </w:pPr>
            <w:r>
              <w:t xml:space="preserve">ERA’s major focus is on the provision of </w:t>
            </w:r>
            <w:r w:rsidR="00903050">
              <w:t xml:space="preserve">scientific </w:t>
            </w:r>
            <w:r>
              <w:t>evidence to inform government and industry decisions on the social, economic and environmental management of natural resources. The organisation employs approximately 750 staff, 85% of whom are research scientists</w:t>
            </w:r>
            <w:r w:rsidR="00D9653A">
              <w:t>,</w:t>
            </w:r>
            <w:r>
              <w:t xml:space="preserve"> namely, </w:t>
            </w:r>
            <w:r w:rsidR="00583E40">
              <w:t xml:space="preserve">geologists, </w:t>
            </w:r>
            <w:r>
              <w:t>geophysicists and engineers.</w:t>
            </w:r>
          </w:p>
        </w:tc>
      </w:tr>
      <w:tr w:rsidR="00F457E2" w:rsidTr="00385DFD">
        <w:trPr>
          <w:cantSplit/>
        </w:trPr>
        <w:tc>
          <w:tcPr>
            <w:tcW w:w="1350" w:type="dxa"/>
            <w:tcBorders>
              <w:top w:val="nil"/>
              <w:left w:val="nil"/>
              <w:bottom w:val="nil"/>
              <w:right w:val="nil"/>
            </w:tcBorders>
          </w:tcPr>
          <w:p w:rsidR="00903050" w:rsidRPr="00903050" w:rsidRDefault="00F457E2" w:rsidP="004D4FBB">
            <w:pPr>
              <w:pStyle w:val="Tabletext"/>
            </w:pPr>
            <w:r>
              <w:t>Innovative Engineering Solutions</w:t>
            </w:r>
            <w:r w:rsidR="00D9653A">
              <w:t xml:space="preserve"> </w:t>
            </w:r>
            <w:r w:rsidR="00583E40">
              <w:t>(</w:t>
            </w:r>
            <w:r w:rsidR="00D9653A">
              <w:t>IES)</w:t>
            </w:r>
          </w:p>
        </w:tc>
        <w:tc>
          <w:tcPr>
            <w:tcW w:w="7297" w:type="dxa"/>
            <w:tcBorders>
              <w:top w:val="nil"/>
              <w:left w:val="nil"/>
              <w:bottom w:val="nil"/>
            </w:tcBorders>
          </w:tcPr>
          <w:p w:rsidR="00F457E2" w:rsidRDefault="00F457E2" w:rsidP="00385DFD">
            <w:pPr>
              <w:pStyle w:val="Tabletext"/>
            </w:pPr>
            <w:r>
              <w:t xml:space="preserve">Operating globally, the IES has 160 staff in Australia and is a leader in innovative product development in the areas of electrical and electronic engineering, mechanical engineering, software and systems engineering and automated measurement and testing. Approximately 80% are engineering professionals in the mechanical, CAD, </w:t>
            </w:r>
            <w:proofErr w:type="spellStart"/>
            <w:r>
              <w:t>mechatronics</w:t>
            </w:r>
            <w:proofErr w:type="spellEnd"/>
            <w:r>
              <w:t>, electronics, software and industrial design fields.</w:t>
            </w:r>
          </w:p>
        </w:tc>
      </w:tr>
      <w:tr w:rsidR="00F457E2" w:rsidTr="00385DFD">
        <w:trPr>
          <w:cantSplit/>
        </w:trPr>
        <w:tc>
          <w:tcPr>
            <w:tcW w:w="1350" w:type="dxa"/>
            <w:tcBorders>
              <w:top w:val="nil"/>
              <w:left w:val="nil"/>
              <w:bottom w:val="nil"/>
              <w:right w:val="nil"/>
            </w:tcBorders>
          </w:tcPr>
          <w:p w:rsidR="00F457E2" w:rsidRDefault="00F457E2" w:rsidP="00385DFD">
            <w:pPr>
              <w:pStyle w:val="Tabletext"/>
            </w:pPr>
            <w:proofErr w:type="spellStart"/>
            <w:r>
              <w:t>EngineeringCo</w:t>
            </w:r>
            <w:proofErr w:type="spellEnd"/>
          </w:p>
        </w:tc>
        <w:tc>
          <w:tcPr>
            <w:tcW w:w="7297" w:type="dxa"/>
            <w:tcBorders>
              <w:top w:val="nil"/>
              <w:left w:val="nil"/>
              <w:bottom w:val="nil"/>
            </w:tcBorders>
          </w:tcPr>
          <w:p w:rsidR="00F457E2" w:rsidRDefault="00D9653A" w:rsidP="00385DFD">
            <w:pPr>
              <w:pStyle w:val="Tabletext"/>
            </w:pPr>
            <w:r>
              <w:t xml:space="preserve">A stock </w:t>
            </w:r>
            <w:r w:rsidR="00F457E2">
              <w:t>exchange</w:t>
            </w:r>
            <w:r>
              <w:t>-</w:t>
            </w:r>
            <w:r w:rsidR="00F457E2">
              <w:t>liste</w:t>
            </w:r>
            <w:r>
              <w:t>d company with approximately 26 000 employees worldwide, the company’s s</w:t>
            </w:r>
            <w:r w:rsidR="00F457E2">
              <w:t>ervices include asset maintenance, consultancy, engineering and construction. Professionals make up 15% of the workforce</w:t>
            </w:r>
            <w:r>
              <w:t>,</w:t>
            </w:r>
            <w:r w:rsidR="00F457E2">
              <w:t xml:space="preserve"> with engineers being the largest group.</w:t>
            </w:r>
          </w:p>
        </w:tc>
      </w:tr>
      <w:tr w:rsidR="00F457E2" w:rsidTr="00385DFD">
        <w:trPr>
          <w:cantSplit/>
        </w:trPr>
        <w:tc>
          <w:tcPr>
            <w:tcW w:w="1350" w:type="dxa"/>
            <w:tcBorders>
              <w:top w:val="nil"/>
              <w:left w:val="nil"/>
              <w:bottom w:val="nil"/>
              <w:right w:val="nil"/>
            </w:tcBorders>
          </w:tcPr>
          <w:p w:rsidR="00903050" w:rsidRPr="00903050" w:rsidRDefault="00F457E2" w:rsidP="004D4FBB">
            <w:pPr>
              <w:pStyle w:val="Tabletext"/>
            </w:pPr>
            <w:r>
              <w:t>CM Consulting</w:t>
            </w:r>
            <w:r w:rsidR="00903050">
              <w:t xml:space="preserve"> </w:t>
            </w:r>
          </w:p>
        </w:tc>
        <w:tc>
          <w:tcPr>
            <w:tcW w:w="7297" w:type="dxa"/>
            <w:tcBorders>
              <w:top w:val="nil"/>
              <w:left w:val="nil"/>
              <w:bottom w:val="nil"/>
            </w:tcBorders>
          </w:tcPr>
          <w:p w:rsidR="00F457E2" w:rsidRDefault="00F457E2" w:rsidP="00385DFD">
            <w:pPr>
              <w:pStyle w:val="Tabletext"/>
            </w:pPr>
            <w:r>
              <w:t>A global professional ser</w:t>
            </w:r>
            <w:r w:rsidR="00583E40">
              <w:t>vices firm which employs over 6</w:t>
            </w:r>
            <w:r>
              <w:t>000 people in Australia</w:t>
            </w:r>
            <w:r w:rsidR="00CC6753">
              <w:t>,</w:t>
            </w:r>
            <w:r>
              <w:t xml:space="preserve"> </w:t>
            </w:r>
            <w:r w:rsidR="00583E40">
              <w:t xml:space="preserve">90% of whom are professionals. </w:t>
            </w:r>
            <w:r>
              <w:t xml:space="preserve">Services include financial assurance, risk and control solutions and consulting in the areas of business transformation and people and change management. </w:t>
            </w:r>
          </w:p>
        </w:tc>
      </w:tr>
      <w:tr w:rsidR="00F457E2" w:rsidTr="00385DFD">
        <w:trPr>
          <w:cantSplit/>
        </w:trPr>
        <w:tc>
          <w:tcPr>
            <w:tcW w:w="1350" w:type="dxa"/>
            <w:tcBorders>
              <w:top w:val="nil"/>
              <w:left w:val="nil"/>
              <w:bottom w:val="nil"/>
              <w:right w:val="nil"/>
            </w:tcBorders>
          </w:tcPr>
          <w:p w:rsidR="00F457E2" w:rsidRDefault="00D9653A" w:rsidP="00385DFD">
            <w:pPr>
              <w:pStyle w:val="Tabletext"/>
            </w:pPr>
            <w:proofErr w:type="spellStart"/>
            <w:r>
              <w:t>State</w:t>
            </w:r>
            <w:r w:rsidR="00F457E2">
              <w:t>wide</w:t>
            </w:r>
            <w:proofErr w:type="spellEnd"/>
            <w:r w:rsidR="00F457E2">
              <w:t xml:space="preserve"> Health Services</w:t>
            </w:r>
          </w:p>
        </w:tc>
        <w:tc>
          <w:tcPr>
            <w:tcW w:w="7297" w:type="dxa"/>
            <w:tcBorders>
              <w:top w:val="nil"/>
              <w:left w:val="nil"/>
              <w:bottom w:val="nil"/>
            </w:tcBorders>
          </w:tcPr>
          <w:p w:rsidR="00F457E2" w:rsidRDefault="00F457E2" w:rsidP="00385DFD">
            <w:pPr>
              <w:pStyle w:val="Tabletext"/>
            </w:pPr>
            <w:r>
              <w:t>A large public provider of healt</w:t>
            </w:r>
            <w:r w:rsidR="00D9653A">
              <w:t xml:space="preserve">h services with in excess of 70 </w:t>
            </w:r>
            <w:r>
              <w:t>000 staff. Services include hospital and emergency services, mental health, drug and alcohol services, age and respite care</w:t>
            </w:r>
            <w:r w:rsidR="00D9653A">
              <w:t xml:space="preserve"> and primary health care;</w:t>
            </w:r>
            <w:r>
              <w:t xml:space="preserve"> 75% of the </w:t>
            </w:r>
            <w:proofErr w:type="gramStart"/>
            <w:r>
              <w:t>workforce are</w:t>
            </w:r>
            <w:proofErr w:type="gramEnd"/>
            <w:r>
              <w:t xml:space="preserve"> professionals</w:t>
            </w:r>
            <w:r w:rsidR="00D9653A">
              <w:t>,</w:t>
            </w:r>
            <w:r>
              <w:t xml:space="preserve"> including doctors, nurses, physiotherapis</w:t>
            </w:r>
            <w:r w:rsidR="00D9653A">
              <w:t>ts, radiologists, psychologists and</w:t>
            </w:r>
            <w:r w:rsidR="00583E40">
              <w:t xml:space="preserve"> audiologists</w:t>
            </w:r>
            <w:r>
              <w:t>.</w:t>
            </w:r>
          </w:p>
        </w:tc>
      </w:tr>
      <w:tr w:rsidR="00F457E2" w:rsidTr="00385DFD">
        <w:trPr>
          <w:cantSplit/>
        </w:trPr>
        <w:tc>
          <w:tcPr>
            <w:tcW w:w="1350" w:type="dxa"/>
            <w:tcBorders>
              <w:top w:val="nil"/>
              <w:left w:val="nil"/>
              <w:bottom w:val="nil"/>
              <w:right w:val="nil"/>
            </w:tcBorders>
          </w:tcPr>
          <w:p w:rsidR="00F457E2" w:rsidRDefault="00F457E2" w:rsidP="00385DFD">
            <w:pPr>
              <w:pStyle w:val="Tabletext"/>
            </w:pPr>
            <w:r>
              <w:t>Alma Health</w:t>
            </w:r>
          </w:p>
        </w:tc>
        <w:tc>
          <w:tcPr>
            <w:tcW w:w="7297" w:type="dxa"/>
            <w:tcBorders>
              <w:top w:val="nil"/>
              <w:left w:val="nil"/>
              <w:bottom w:val="nil"/>
            </w:tcBorders>
          </w:tcPr>
          <w:p w:rsidR="00F457E2" w:rsidRDefault="00F457E2" w:rsidP="00385DFD">
            <w:pPr>
              <w:pStyle w:val="Tabletext"/>
            </w:pPr>
            <w:r>
              <w:t>A not-for-profit provider of health services</w:t>
            </w:r>
            <w:r w:rsidR="007F460D">
              <w:t>,</w:t>
            </w:r>
            <w:r>
              <w:t xml:space="preserve"> Alma operates hospitals, a medical research institute, and pathology and pharmacy businesses. It employs approximately 8000 staff, 56% of whom are doctors and other health professionals. Of the 2500 nurses, many are employed part-time.</w:t>
            </w:r>
          </w:p>
        </w:tc>
      </w:tr>
      <w:tr w:rsidR="00F457E2" w:rsidTr="00385DFD">
        <w:trPr>
          <w:cantSplit/>
        </w:trPr>
        <w:tc>
          <w:tcPr>
            <w:tcW w:w="1350" w:type="dxa"/>
            <w:tcBorders>
              <w:top w:val="nil"/>
              <w:left w:val="nil"/>
              <w:bottom w:val="nil"/>
              <w:right w:val="nil"/>
            </w:tcBorders>
          </w:tcPr>
          <w:p w:rsidR="00F457E2" w:rsidRDefault="00F457E2" w:rsidP="00385DFD">
            <w:pPr>
              <w:pStyle w:val="Tabletext"/>
            </w:pPr>
            <w:r>
              <w:t>Global Health Care</w:t>
            </w:r>
          </w:p>
        </w:tc>
        <w:tc>
          <w:tcPr>
            <w:tcW w:w="7297" w:type="dxa"/>
            <w:tcBorders>
              <w:top w:val="nil"/>
              <w:left w:val="nil"/>
              <w:bottom w:val="nil"/>
            </w:tcBorders>
          </w:tcPr>
          <w:p w:rsidR="00F457E2" w:rsidRDefault="00F457E2" w:rsidP="00385DFD">
            <w:pPr>
              <w:pStyle w:val="Tabletext"/>
            </w:pPr>
            <w:r>
              <w:t>A global provider of health services, Global Healt</w:t>
            </w:r>
            <w:r w:rsidR="00D9653A">
              <w:t xml:space="preserve">h Care employs approximately 30 </w:t>
            </w:r>
            <w:r>
              <w:t>000 staff across a number of countries. It is recognised as a l</w:t>
            </w:r>
            <w:r w:rsidR="00583E40">
              <w:t>eader in teaching and research</w:t>
            </w:r>
            <w:r w:rsidR="007D4EDB">
              <w:t>; 78</w:t>
            </w:r>
            <w:r>
              <w:t>% of the workforce are professionals and include doctors, nurses and allied health professionals.</w:t>
            </w:r>
          </w:p>
        </w:tc>
      </w:tr>
      <w:tr w:rsidR="00F457E2" w:rsidTr="00385DFD">
        <w:trPr>
          <w:cantSplit/>
        </w:trPr>
        <w:tc>
          <w:tcPr>
            <w:tcW w:w="1350" w:type="dxa"/>
            <w:tcBorders>
              <w:top w:val="nil"/>
              <w:left w:val="nil"/>
              <w:bottom w:val="single" w:sz="4" w:space="0" w:color="auto"/>
              <w:right w:val="nil"/>
            </w:tcBorders>
          </w:tcPr>
          <w:p w:rsidR="00F457E2" w:rsidRDefault="00F457E2" w:rsidP="004D4FBB">
            <w:pPr>
              <w:pStyle w:val="Tabletext"/>
            </w:pPr>
            <w:r>
              <w:t>ERC Health</w:t>
            </w:r>
            <w:r w:rsidR="00D9653A">
              <w:t xml:space="preserve"> (ERC)</w:t>
            </w:r>
          </w:p>
        </w:tc>
        <w:tc>
          <w:tcPr>
            <w:tcW w:w="7297" w:type="dxa"/>
            <w:tcBorders>
              <w:top w:val="nil"/>
              <w:left w:val="nil"/>
              <w:bottom w:val="single" w:sz="4" w:space="0" w:color="auto"/>
            </w:tcBorders>
          </w:tcPr>
          <w:p w:rsidR="00F457E2" w:rsidRPr="00A46165" w:rsidRDefault="00F457E2" w:rsidP="00385DFD">
            <w:pPr>
              <w:pStyle w:val="Tabletext"/>
            </w:pPr>
            <w:r w:rsidRPr="00AF67AE">
              <w:t>A small private hospital with a focus on rehabilitation. Services include inpatient and outpatient allied health services. ERC employs 80 staff and the professional workforce consists of nurses</w:t>
            </w:r>
            <w:r>
              <w:t>, occupational therapists, physiotherapists, speech pathologists and exercise physiologists.</w:t>
            </w:r>
          </w:p>
        </w:tc>
      </w:tr>
    </w:tbl>
    <w:p w:rsidR="00145AD2" w:rsidRDefault="00145AD2" w:rsidP="004D4FBB">
      <w:pPr>
        <w:pStyle w:val="Textmorebefore"/>
      </w:pPr>
      <w:r>
        <w:t xml:space="preserve">Interviews were undertaken with individuals responsible for human resource management within each organisation. </w:t>
      </w:r>
      <w:r w:rsidR="008E1639">
        <w:t xml:space="preserve">While </w:t>
      </w:r>
      <w:r w:rsidR="007F19DD">
        <w:t>titles</w:t>
      </w:r>
      <w:r w:rsidR="008E1639">
        <w:t xml:space="preserve"> varied, the</w:t>
      </w:r>
      <w:r w:rsidR="002C7D31">
        <w:t xml:space="preserve"> term </w:t>
      </w:r>
      <w:r w:rsidR="00D9653A">
        <w:t xml:space="preserve">‘learning and development </w:t>
      </w:r>
      <w:r w:rsidR="002C7D31">
        <w:t>manager</w:t>
      </w:r>
      <w:r w:rsidR="00D9653A">
        <w:t>’</w:t>
      </w:r>
      <w:r w:rsidR="002C7D31">
        <w:t xml:space="preserve"> </w:t>
      </w:r>
      <w:r w:rsidR="001C030D">
        <w:t>has been</w:t>
      </w:r>
      <w:r w:rsidR="002C7D31">
        <w:t xml:space="preserve"> used throughout this report</w:t>
      </w:r>
      <w:r w:rsidR="007F19DD">
        <w:t>.</w:t>
      </w:r>
    </w:p>
    <w:p w:rsidR="002C7D31" w:rsidRDefault="002C7D31" w:rsidP="00F457E2">
      <w:pPr>
        <w:pStyle w:val="Text"/>
      </w:pPr>
      <w:r>
        <w:t xml:space="preserve">Interview </w:t>
      </w:r>
      <w:r w:rsidR="008A3FF5">
        <w:t>protocols and schedules</w:t>
      </w:r>
      <w:r>
        <w:t xml:space="preserve"> were developed to ensure that information was gathered in a systematic way. </w:t>
      </w:r>
      <w:r w:rsidR="007F19DD">
        <w:t>Interviews</w:t>
      </w:r>
      <w:r>
        <w:t xml:space="preserve"> were </w:t>
      </w:r>
      <w:r w:rsidR="007F19DD">
        <w:t xml:space="preserve">electronically recorded, </w:t>
      </w:r>
      <w:r>
        <w:t>transcribed</w:t>
      </w:r>
      <w:r w:rsidR="008A3FF5">
        <w:t xml:space="preserve"> and verified by informants. Information was collated</w:t>
      </w:r>
      <w:r w:rsidR="00DC01BB">
        <w:t xml:space="preserve"> and</w:t>
      </w:r>
      <w:r w:rsidR="008A3FF5">
        <w:t xml:space="preserve"> coded and major</w:t>
      </w:r>
      <w:r>
        <w:t xml:space="preserve"> themes </w:t>
      </w:r>
      <w:r w:rsidR="00DC01BB">
        <w:t xml:space="preserve">were </w:t>
      </w:r>
      <w:r>
        <w:t>identified</w:t>
      </w:r>
      <w:r w:rsidR="002F6490">
        <w:t xml:space="preserve"> both within and across </w:t>
      </w:r>
      <w:r w:rsidR="007F19DD">
        <w:t xml:space="preserve">individual and </w:t>
      </w:r>
      <w:r w:rsidR="002F6490">
        <w:t>organisational responses. This process identified</w:t>
      </w:r>
      <w:r>
        <w:t xml:space="preserve"> consistencies, variations and interrelationships between </w:t>
      </w:r>
      <w:r w:rsidR="008A3FF5">
        <w:t xml:space="preserve">the </w:t>
      </w:r>
      <w:r w:rsidR="008E1639">
        <w:t xml:space="preserve">various </w:t>
      </w:r>
      <w:r w:rsidR="008A3FF5">
        <w:t xml:space="preserve">sets of </w:t>
      </w:r>
      <w:r>
        <w:t>responses</w:t>
      </w:r>
      <w:r w:rsidR="008E1639">
        <w:t>.</w:t>
      </w:r>
    </w:p>
    <w:p w:rsidR="00145AD2" w:rsidRDefault="00145AD2" w:rsidP="004D4FBB">
      <w:pPr>
        <w:pStyle w:val="Heading2"/>
      </w:pPr>
      <w:bookmarkStart w:id="42" w:name="_Toc357518786"/>
      <w:r>
        <w:lastRenderedPageBreak/>
        <w:t>Limitations of the study</w:t>
      </w:r>
      <w:bookmarkEnd w:id="42"/>
    </w:p>
    <w:p w:rsidR="00737EFD" w:rsidRDefault="00D9653A" w:rsidP="00D9653A">
      <w:pPr>
        <w:pStyle w:val="Text"/>
      </w:pPr>
      <w:r>
        <w:t>In addressing</w:t>
      </w:r>
      <w:r w:rsidR="002C7D31">
        <w:t xml:space="preserve"> </w:t>
      </w:r>
      <w:r w:rsidR="001C030D">
        <w:t>professional obsolescence</w:t>
      </w:r>
      <w:r w:rsidR="002C7D31">
        <w:t>, i</w:t>
      </w:r>
      <w:r w:rsidR="007C0067">
        <w:t xml:space="preserve">t was intended to </w:t>
      </w:r>
      <w:r w:rsidR="001C030D">
        <w:t>interview</w:t>
      </w:r>
      <w:r w:rsidR="007C0067">
        <w:t xml:space="preserve"> representatives from professional bodies in the science, engineering, human resource management and health (nursing) </w:t>
      </w:r>
      <w:r w:rsidR="0003592E">
        <w:t>disciplines</w:t>
      </w:r>
      <w:r w:rsidR="007C0067">
        <w:t xml:space="preserve">. </w:t>
      </w:r>
      <w:r w:rsidR="0003592E">
        <w:t>Some</w:t>
      </w:r>
      <w:r w:rsidR="001C030D">
        <w:t xml:space="preserve"> organisations were not prepared to participate, referring </w:t>
      </w:r>
      <w:r w:rsidR="004D2597">
        <w:t xml:space="preserve">researchers to </w:t>
      </w:r>
      <w:r w:rsidR="001C030D">
        <w:t xml:space="preserve">the </w:t>
      </w:r>
      <w:r w:rsidR="004D2597">
        <w:t>material</w:t>
      </w:r>
      <w:r w:rsidR="001C030D">
        <w:t>s</w:t>
      </w:r>
      <w:r w:rsidR="004D2597">
        <w:t xml:space="preserve"> housed on</w:t>
      </w:r>
      <w:r w:rsidR="007C0067">
        <w:t xml:space="preserve"> </w:t>
      </w:r>
      <w:r w:rsidR="00583E40">
        <w:t>their</w:t>
      </w:r>
      <w:r w:rsidR="007C0067">
        <w:t xml:space="preserve"> </w:t>
      </w:r>
      <w:r w:rsidR="009F77AF">
        <w:t xml:space="preserve">websites. Others did not wish to participate in the study. </w:t>
      </w:r>
      <w:r w:rsidR="004D2597">
        <w:t>As a consequence,</w:t>
      </w:r>
      <w:r w:rsidR="009F77AF">
        <w:t xml:space="preserve"> </w:t>
      </w:r>
      <w:r w:rsidR="001C030D">
        <w:t>information</w:t>
      </w:r>
      <w:r w:rsidR="009F77AF">
        <w:t xml:space="preserve"> relating to professional bodies </w:t>
      </w:r>
      <w:r w:rsidR="0003592E">
        <w:t>has been</w:t>
      </w:r>
      <w:r w:rsidR="004D2597">
        <w:t xml:space="preserve"> taken</w:t>
      </w:r>
      <w:r w:rsidR="009F77AF">
        <w:t xml:space="preserve"> from websites only.</w:t>
      </w:r>
      <w:r w:rsidR="002C7D31">
        <w:t xml:space="preserve"> </w:t>
      </w:r>
    </w:p>
    <w:p w:rsidR="007C0067" w:rsidRDefault="0003592E" w:rsidP="00D9653A">
      <w:pPr>
        <w:pStyle w:val="Text"/>
      </w:pPr>
      <w:r>
        <w:t>It is acknowledged that</w:t>
      </w:r>
      <w:r w:rsidR="002C7D31">
        <w:t xml:space="preserve"> a sa</w:t>
      </w:r>
      <w:r w:rsidR="00737EFD">
        <w:t xml:space="preserve">mple size of nine organisations </w:t>
      </w:r>
      <w:r w:rsidR="002C7D31">
        <w:t xml:space="preserve">is not large enough to make </w:t>
      </w:r>
      <w:r w:rsidR="00D9653A">
        <w:t>broad</w:t>
      </w:r>
      <w:r w:rsidR="002C7D31">
        <w:t xml:space="preserve"> claims that can be generalised</w:t>
      </w:r>
      <w:r w:rsidR="00737EFD">
        <w:t xml:space="preserve"> across all knowledge-based organisations</w:t>
      </w:r>
      <w:r w:rsidR="00DC01BB">
        <w:t>; n</w:t>
      </w:r>
      <w:r w:rsidR="00737EFD">
        <w:t xml:space="preserve">or is a sample of </w:t>
      </w:r>
      <w:r w:rsidR="00D9653A">
        <w:t>22</w:t>
      </w:r>
      <w:r w:rsidR="00737EFD">
        <w:t xml:space="preserve"> key stakeholders sufficiently representative of employers, auditors or </w:t>
      </w:r>
      <w:r w:rsidR="00D9653A">
        <w:t xml:space="preserve">industry skills councils </w:t>
      </w:r>
      <w:r w:rsidR="00737EFD">
        <w:t>or profe</w:t>
      </w:r>
      <w:r w:rsidR="00583E40">
        <w:t>ssional/</w:t>
      </w:r>
      <w:r>
        <w:t>industry associations. Therefore, w</w:t>
      </w:r>
      <w:r w:rsidR="00737EFD">
        <w:t>hile the interviews provide a window into attitudes</w:t>
      </w:r>
      <w:r>
        <w:t xml:space="preserve"> across these groups</w:t>
      </w:r>
      <w:r w:rsidR="00737EFD">
        <w:t>, the</w:t>
      </w:r>
      <w:r w:rsidR="002C7D31">
        <w:t xml:space="preserve"> findings should only be seen as indicative.</w:t>
      </w:r>
    </w:p>
    <w:p w:rsidR="003A39BE" w:rsidRDefault="003A39BE" w:rsidP="004D4FBB">
      <w:pPr>
        <w:pStyle w:val="Heading2"/>
      </w:pPr>
      <w:bookmarkStart w:id="43" w:name="_Toc357518787"/>
      <w:r>
        <w:t>Report overview</w:t>
      </w:r>
      <w:bookmarkEnd w:id="43"/>
    </w:p>
    <w:p w:rsidR="006D2D5F" w:rsidRDefault="00883AA0" w:rsidP="004D4FBB">
      <w:pPr>
        <w:pStyle w:val="Text"/>
        <w:ind w:right="141"/>
      </w:pPr>
      <w:r>
        <w:t>The</w:t>
      </w:r>
      <w:r w:rsidR="007C0067">
        <w:t xml:space="preserve"> findings </w:t>
      </w:r>
      <w:r w:rsidR="0003592E">
        <w:t xml:space="preserve">in this report </w:t>
      </w:r>
      <w:r w:rsidR="007C0067">
        <w:t>are pr</w:t>
      </w:r>
      <w:r w:rsidR="003C2173">
        <w:t xml:space="preserve">esented </w:t>
      </w:r>
      <w:r>
        <w:t>from</w:t>
      </w:r>
      <w:r w:rsidR="003C2173">
        <w:t xml:space="preserve"> two </w:t>
      </w:r>
      <w:r>
        <w:t>perspective</w:t>
      </w:r>
      <w:r w:rsidR="00AF67AE">
        <w:t>s:</w:t>
      </w:r>
      <w:r w:rsidR="007C0067">
        <w:t xml:space="preserve"> the first </w:t>
      </w:r>
      <w:r>
        <w:t>looks at the trades, w</w:t>
      </w:r>
      <w:r w:rsidR="00583E40">
        <w:t>h</w:t>
      </w:r>
      <w:r>
        <w:t xml:space="preserve">ere </w:t>
      </w:r>
      <w:r w:rsidR="003C2173">
        <w:t>stakeholder views of industry currency are examined</w:t>
      </w:r>
      <w:r>
        <w:t>, while</w:t>
      </w:r>
      <w:r w:rsidR="004D2597">
        <w:t xml:space="preserve"> </w:t>
      </w:r>
      <w:r>
        <w:t xml:space="preserve">the </w:t>
      </w:r>
      <w:r w:rsidR="00DC01BB">
        <w:t xml:space="preserve">second looks at the professions, </w:t>
      </w:r>
      <w:r>
        <w:t>with</w:t>
      </w:r>
      <w:r w:rsidR="004D4FBB">
        <w:t> </w:t>
      </w:r>
      <w:r>
        <w:t>an emphasis</w:t>
      </w:r>
      <w:r w:rsidR="003C2173">
        <w:t xml:space="preserve"> </w:t>
      </w:r>
      <w:r>
        <w:t xml:space="preserve">on </w:t>
      </w:r>
      <w:r w:rsidR="003C2173">
        <w:t>skills obsoles</w:t>
      </w:r>
      <w:r>
        <w:t>cence and updating</w:t>
      </w:r>
      <w:r w:rsidR="003C2173">
        <w:t xml:space="preserve">. </w:t>
      </w:r>
      <w:r>
        <w:t>A</w:t>
      </w:r>
      <w:r w:rsidR="007C0067">
        <w:t xml:space="preserve"> brief </w:t>
      </w:r>
      <w:r w:rsidR="003C2173">
        <w:t>insight into the</w:t>
      </w:r>
      <w:r w:rsidR="007C0067">
        <w:t xml:space="preserve"> literature relevan</w:t>
      </w:r>
      <w:r w:rsidR="003C2173">
        <w:t xml:space="preserve">t to </w:t>
      </w:r>
      <w:r>
        <w:t>each is presented;</w:t>
      </w:r>
      <w:r w:rsidR="003C2173">
        <w:t xml:space="preserve"> a </w:t>
      </w:r>
      <w:r w:rsidR="004D2597">
        <w:t xml:space="preserve">more </w:t>
      </w:r>
      <w:r w:rsidR="007C0067">
        <w:t xml:space="preserve">comprehensive review of the literature is included as </w:t>
      </w:r>
      <w:r w:rsidR="000C2B6F">
        <w:t>appendix A</w:t>
      </w:r>
      <w:r w:rsidR="007C0067">
        <w:t xml:space="preserve"> in the support document.</w:t>
      </w:r>
    </w:p>
    <w:p w:rsidR="0075606F" w:rsidRDefault="0075606F">
      <w:pPr>
        <w:spacing w:before="0" w:line="240" w:lineRule="auto"/>
      </w:pPr>
      <w:r>
        <w:br w:type="page"/>
      </w:r>
    </w:p>
    <w:p w:rsidR="0075606F" w:rsidRDefault="0075606F" w:rsidP="0075606F">
      <w:pPr>
        <w:pStyle w:val="Heading1"/>
      </w:pPr>
      <w:bookmarkStart w:id="44" w:name="_Toc357518788"/>
      <w:r>
        <w:lastRenderedPageBreak/>
        <w:t>Background</w:t>
      </w:r>
      <w:bookmarkEnd w:id="44"/>
    </w:p>
    <w:p w:rsidR="0075606F" w:rsidRPr="004D4FBB" w:rsidRDefault="0075606F" w:rsidP="004D4FBB">
      <w:pPr>
        <w:pStyle w:val="Text"/>
      </w:pPr>
      <w:r>
        <w:t xml:space="preserve">Although industry currency has been identified as </w:t>
      </w:r>
      <w:r w:rsidR="00883AA0">
        <w:t>a</w:t>
      </w:r>
      <w:r w:rsidR="009163B3">
        <w:t xml:space="preserve"> </w:t>
      </w:r>
      <w:r>
        <w:t xml:space="preserve">significant requirement </w:t>
      </w:r>
      <w:r w:rsidR="002E52AC">
        <w:t>for</w:t>
      </w:r>
      <w:r w:rsidR="00883AA0">
        <w:t xml:space="preserve"> </w:t>
      </w:r>
      <w:r>
        <w:t xml:space="preserve">VET practitioners, there is limited research in Australia that focuses explicitly on industry currency (Productivity Commission 2011; </w:t>
      </w:r>
      <w:proofErr w:type="spellStart"/>
      <w:r>
        <w:t>Toze</w:t>
      </w:r>
      <w:proofErr w:type="spellEnd"/>
      <w:r>
        <w:t xml:space="preserve"> &amp; Tierney 20</w:t>
      </w:r>
      <w:r w:rsidR="00D12452">
        <w:t>10</w:t>
      </w:r>
      <w:r>
        <w:t>; University of Ballarat 2009). Much of the research into VET practitioner capability focus</w:t>
      </w:r>
      <w:r w:rsidR="00883AA0">
        <w:t>es on pedagogical capability,</w:t>
      </w:r>
      <w:r>
        <w:t xml:space="preserve"> </w:t>
      </w:r>
      <w:r w:rsidR="00883AA0">
        <w:t>noting</w:t>
      </w:r>
      <w:r>
        <w:t xml:space="preserve"> industry currency as one aspect </w:t>
      </w:r>
      <w:r w:rsidR="00583E40">
        <w:t>of broad</w:t>
      </w:r>
      <w:r w:rsidR="00883AA0">
        <w:t xml:space="preserve">er capability </w:t>
      </w:r>
      <w:r>
        <w:t>affecting the quality of teaching, learning and assessment (</w:t>
      </w:r>
      <w:proofErr w:type="spellStart"/>
      <w:r>
        <w:t>Callan</w:t>
      </w:r>
      <w:proofErr w:type="spellEnd"/>
      <w:r>
        <w:t xml:space="preserve"> 2006; Guthrie, Perkins &amp; Nguyen 2006; Mitchell 2010; </w:t>
      </w:r>
      <w:proofErr w:type="spellStart"/>
      <w:r>
        <w:t>Wheelahan</w:t>
      </w:r>
      <w:proofErr w:type="spellEnd"/>
      <w:r>
        <w:t xml:space="preserve"> 2010). </w:t>
      </w:r>
      <w:r w:rsidR="009163B3">
        <w:t>Further</w:t>
      </w:r>
      <w:r w:rsidR="003761BE">
        <w:t xml:space="preserve">, </w:t>
      </w:r>
      <w:r w:rsidR="009163B3">
        <w:t xml:space="preserve">there is evidence that </w:t>
      </w:r>
      <w:r w:rsidR="003761BE">
        <w:t>s</w:t>
      </w:r>
      <w:r>
        <w:t>takeholder understanding</w:t>
      </w:r>
      <w:r w:rsidR="00DC01BB">
        <w:t>s</w:t>
      </w:r>
      <w:r>
        <w:t xml:space="preserve"> </w:t>
      </w:r>
      <w:r w:rsidR="00DC01BB">
        <w:t>vary</w:t>
      </w:r>
      <w:r>
        <w:t xml:space="preserve"> over what constitutes industry currency and how an industry currency strategy should be planned, measured and benchmarked (</w:t>
      </w:r>
      <w:proofErr w:type="spellStart"/>
      <w:r>
        <w:t>Toze</w:t>
      </w:r>
      <w:proofErr w:type="spellEnd"/>
      <w:r>
        <w:t xml:space="preserve"> &amp; Tierney 20</w:t>
      </w:r>
      <w:r w:rsidR="00D12452">
        <w:t>10</w:t>
      </w:r>
      <w:r>
        <w:t xml:space="preserve">). </w:t>
      </w:r>
      <w:r w:rsidR="008D15F4">
        <w:t xml:space="preserve">For example, </w:t>
      </w:r>
      <w:proofErr w:type="spellStart"/>
      <w:r w:rsidR="008D15F4">
        <w:t>Toze</w:t>
      </w:r>
      <w:proofErr w:type="spellEnd"/>
      <w:r w:rsidR="008D15F4">
        <w:t xml:space="preserve"> and Tierney</w:t>
      </w:r>
      <w:r>
        <w:t xml:space="preserve"> </w:t>
      </w:r>
      <w:r w:rsidR="00883AA0">
        <w:t xml:space="preserve">(2010) </w:t>
      </w:r>
      <w:r>
        <w:t xml:space="preserve">found that industry currency was often confused with industry placement, resulting in a very narrow concept of the range of activities and experiences that can be used to maintain currency. </w:t>
      </w:r>
      <w:r w:rsidR="009163B3">
        <w:t>They</w:t>
      </w:r>
      <w:r w:rsidR="003761BE">
        <w:t xml:space="preserve"> suggest</w:t>
      </w:r>
      <w:r>
        <w:t xml:space="preserve"> </w:t>
      </w:r>
      <w:r w:rsidR="00DC01BB">
        <w:t xml:space="preserve">that </w:t>
      </w:r>
      <w:r>
        <w:t xml:space="preserve">there needs to be greater recognition that the currency requirements of individual practitioners </w:t>
      </w:r>
      <w:r w:rsidRPr="004D4FBB">
        <w:t xml:space="preserve">often </w:t>
      </w:r>
      <w:r w:rsidR="00883AA0" w:rsidRPr="004D4FBB">
        <w:t>constitute</w:t>
      </w:r>
      <w:r w:rsidRPr="004D4FBB">
        <w:t xml:space="preserve"> a much more complex combination of activities</w:t>
      </w:r>
      <w:r w:rsidR="00583E40" w:rsidRPr="004D4FBB">
        <w:t xml:space="preserve"> and are</w:t>
      </w:r>
      <w:r w:rsidRPr="004D4FBB">
        <w:t xml:space="preserve"> appropriate to the contexts in which they are delivering. </w:t>
      </w:r>
    </w:p>
    <w:p w:rsidR="003761BE" w:rsidRPr="004D4FBB" w:rsidRDefault="003761BE" w:rsidP="004D4FBB">
      <w:pPr>
        <w:pStyle w:val="Text"/>
      </w:pPr>
      <w:proofErr w:type="spellStart"/>
      <w:r w:rsidRPr="004D4FBB">
        <w:t>Callan</w:t>
      </w:r>
      <w:proofErr w:type="spellEnd"/>
      <w:r w:rsidRPr="004D4FBB">
        <w:t xml:space="preserve"> (2006, p.30) </w:t>
      </w:r>
      <w:r w:rsidR="008D15F4" w:rsidRPr="004D4FBB">
        <w:t>provides a more</w:t>
      </w:r>
      <w:r w:rsidR="00883AA0" w:rsidRPr="004D4FBB">
        <w:t xml:space="preserve"> detailed</w:t>
      </w:r>
      <w:r w:rsidR="008D15F4" w:rsidRPr="004D4FBB">
        <w:t xml:space="preserve"> description</w:t>
      </w:r>
      <w:r w:rsidR="009163B3" w:rsidRPr="004D4FBB">
        <w:t xml:space="preserve"> </w:t>
      </w:r>
      <w:r w:rsidR="008D15F4" w:rsidRPr="004D4FBB">
        <w:t>of currency</w:t>
      </w:r>
      <w:r w:rsidR="00E15C86" w:rsidRPr="004D4FBB">
        <w:t>.</w:t>
      </w:r>
      <w:r w:rsidR="008D15F4" w:rsidRPr="004D4FBB">
        <w:t xml:space="preserve"> </w:t>
      </w:r>
      <w:r w:rsidR="00E15C86" w:rsidRPr="004D4FBB">
        <w:t xml:space="preserve">He suggests </w:t>
      </w:r>
      <w:r w:rsidR="009163B3" w:rsidRPr="004D4FBB">
        <w:t>that VET practitioners need to</w:t>
      </w:r>
      <w:r w:rsidR="00674273" w:rsidRPr="004D4FBB">
        <w:t xml:space="preserve"> </w:t>
      </w:r>
      <w:r w:rsidRPr="004D4FBB">
        <w:t>demonstrate the dual identity of being an educational professional and an industry professional</w:t>
      </w:r>
      <w:r w:rsidR="00674273" w:rsidRPr="004D4FBB">
        <w:t xml:space="preserve">; </w:t>
      </w:r>
      <w:r w:rsidRPr="004D4FBB">
        <w:t>demonstrate technical expertise in their subject areas</w:t>
      </w:r>
      <w:r w:rsidR="00674273" w:rsidRPr="004D4FBB">
        <w:t xml:space="preserve">; </w:t>
      </w:r>
      <w:r w:rsidRPr="004D4FBB">
        <w:t>possess industry skills and current knowledge, which allows appropriate decisions about the type, delivery and assessment of training</w:t>
      </w:r>
      <w:r w:rsidR="00674273" w:rsidRPr="004D4FBB">
        <w:t xml:space="preserve">; </w:t>
      </w:r>
      <w:r w:rsidRPr="004D4FBB">
        <w:t>advocate the training requirements of industry to other members of their teaching teams</w:t>
      </w:r>
      <w:r w:rsidR="00674273" w:rsidRPr="004D4FBB">
        <w:t xml:space="preserve">; </w:t>
      </w:r>
      <w:r w:rsidRPr="004D4FBB">
        <w:t>show familiarity with developments in their industry and knowledge of leading practices and emerging trends in the industry or discipline area</w:t>
      </w:r>
      <w:r w:rsidR="00DC01BB">
        <w:t>,</w:t>
      </w:r>
      <w:r w:rsidR="007F460D">
        <w:t xml:space="preserve"> </w:t>
      </w:r>
      <w:r w:rsidRPr="004D4FBB">
        <w:t>nationally and internationally</w:t>
      </w:r>
      <w:r w:rsidR="00674273" w:rsidRPr="004D4FBB">
        <w:t xml:space="preserve">; </w:t>
      </w:r>
      <w:r w:rsidRPr="004D4FBB">
        <w:t xml:space="preserve">demonstrate well-developed networks in their industry </w:t>
      </w:r>
      <w:r w:rsidR="00DC01BB">
        <w:t>upon which</w:t>
      </w:r>
      <w:r w:rsidR="00583E40" w:rsidRPr="004D4FBB">
        <w:t xml:space="preserve"> </w:t>
      </w:r>
      <w:r w:rsidRPr="004D4FBB">
        <w:t>they can regularly call</w:t>
      </w:r>
      <w:r w:rsidR="00883AA0" w:rsidRPr="004D4FBB">
        <w:t>;</w:t>
      </w:r>
      <w:r w:rsidR="009163B3" w:rsidRPr="004D4FBB">
        <w:t xml:space="preserve"> and</w:t>
      </w:r>
      <w:r w:rsidR="00674273" w:rsidRPr="004D4FBB">
        <w:t xml:space="preserve"> </w:t>
      </w:r>
      <w:r w:rsidRPr="004D4FBB">
        <w:t>understand workplaces and their structures, cultures and politics.</w:t>
      </w:r>
      <w:r w:rsidR="00674273" w:rsidRPr="004D4FBB">
        <w:t xml:space="preserve"> As a cluster, these </w:t>
      </w:r>
      <w:r w:rsidR="00546D43" w:rsidRPr="004D4FBB">
        <w:t xml:space="preserve">capabilities come close to meeting the need for </w:t>
      </w:r>
      <w:r w:rsidR="00883AA0" w:rsidRPr="004D4FBB">
        <w:t>the</w:t>
      </w:r>
      <w:r w:rsidR="00546D43" w:rsidRPr="004D4FBB">
        <w:t xml:space="preserve"> more expansive notion of industry currency identified b</w:t>
      </w:r>
      <w:r w:rsidR="00546D43" w:rsidRPr="0067503F">
        <w:t xml:space="preserve">y </w:t>
      </w:r>
      <w:proofErr w:type="spellStart"/>
      <w:r w:rsidR="00546D43" w:rsidRPr="0067503F">
        <w:t>Wheelahan</w:t>
      </w:r>
      <w:proofErr w:type="spellEnd"/>
      <w:r w:rsidR="00546D43" w:rsidRPr="0067503F">
        <w:t xml:space="preserve"> and </w:t>
      </w:r>
      <w:proofErr w:type="spellStart"/>
      <w:r w:rsidR="00546D43" w:rsidRPr="0067503F">
        <w:t>Moodie</w:t>
      </w:r>
      <w:proofErr w:type="spellEnd"/>
      <w:r w:rsidR="00546D43" w:rsidRPr="0067503F">
        <w:t xml:space="preserve"> (2011)</w:t>
      </w:r>
      <w:r w:rsidR="008D15F4" w:rsidRPr="0067503F">
        <w:t xml:space="preserve"> i</w:t>
      </w:r>
      <w:r w:rsidR="00DC01BB">
        <w:t>n a study on</w:t>
      </w:r>
      <w:r w:rsidR="008D15F4" w:rsidRPr="004D4FBB">
        <w:t xml:space="preserve"> the quality of VET teaching.</w:t>
      </w:r>
      <w:r w:rsidR="00546D43" w:rsidRPr="004D4FBB">
        <w:t xml:space="preserve"> </w:t>
      </w:r>
    </w:p>
    <w:p w:rsidR="00546D43" w:rsidRPr="004D4FBB" w:rsidRDefault="0019015C" w:rsidP="004D4FBB">
      <w:pPr>
        <w:pStyle w:val="Text"/>
      </w:pPr>
      <w:r w:rsidRPr="004D4FBB">
        <w:t xml:space="preserve">Guthrie (2010), in discussing a range of strategies to develop and maintain industry </w:t>
      </w:r>
      <w:r w:rsidR="00453CC6" w:rsidRPr="004D4FBB">
        <w:t>currency</w:t>
      </w:r>
      <w:r w:rsidR="00883AA0" w:rsidRPr="004D4FBB">
        <w:t>, proposes</w:t>
      </w:r>
      <w:r w:rsidR="00453CC6" w:rsidRPr="004D4FBB">
        <w:t xml:space="preserve"> </w:t>
      </w:r>
      <w:r w:rsidR="00DC01BB">
        <w:t xml:space="preserve">as valuable approaches: </w:t>
      </w:r>
      <w:r w:rsidR="008A2E8D" w:rsidRPr="004D4FBB">
        <w:t xml:space="preserve">part-time industry work incorporating structured information-sharing with VET colleagues; monitoring local, national and international trends and emerging technologies in the vocational area; workplace training and assessment; industry release; industry projects; maintaining industry licences and registration; study tours and site visits; professional reading; </w:t>
      </w:r>
      <w:r w:rsidR="00583E40" w:rsidRPr="004D4FBB">
        <w:t xml:space="preserve">and </w:t>
      </w:r>
      <w:r w:rsidR="008A2E8D" w:rsidRPr="004D4FBB">
        <w:t xml:space="preserve">research and participation in industry networks. </w:t>
      </w:r>
    </w:p>
    <w:p w:rsidR="00513ABD" w:rsidRDefault="00161591" w:rsidP="004D4FBB">
      <w:pPr>
        <w:pStyle w:val="Text"/>
      </w:pPr>
      <w:r w:rsidRPr="004D4FBB">
        <w:t>The</w:t>
      </w:r>
      <w:r w:rsidR="008D15F4" w:rsidRPr="004D4FBB">
        <w:t xml:space="preserve"> paucity of </w:t>
      </w:r>
      <w:r w:rsidR="00FD5629" w:rsidRPr="004D4FBB">
        <w:t>high-quality professional</w:t>
      </w:r>
      <w:r w:rsidR="00FD5629">
        <w:t xml:space="preserve"> development for VET practitioners</w:t>
      </w:r>
      <w:r>
        <w:t xml:space="preserve">, however, </w:t>
      </w:r>
      <w:r w:rsidR="00FD5629">
        <w:t xml:space="preserve">has become an area </w:t>
      </w:r>
      <w:r w:rsidR="00B84060">
        <w:t>for</w:t>
      </w:r>
      <w:r w:rsidR="00FD5629">
        <w:t xml:space="preserve"> debate and much of the concern has centred on the maintenance of industry currency (Guthrie 2010; University of Ballarat 2009; </w:t>
      </w:r>
      <w:proofErr w:type="spellStart"/>
      <w:r w:rsidR="00FD5629">
        <w:t>Toze</w:t>
      </w:r>
      <w:proofErr w:type="spellEnd"/>
      <w:r w:rsidR="00FD5629">
        <w:t xml:space="preserve"> &amp; Tierney 20</w:t>
      </w:r>
      <w:r w:rsidR="00D12452">
        <w:t>10</w:t>
      </w:r>
      <w:r w:rsidR="00FD5629">
        <w:t xml:space="preserve">). According to </w:t>
      </w:r>
      <w:proofErr w:type="spellStart"/>
      <w:r w:rsidR="00FD5629">
        <w:t>Wheelahan</w:t>
      </w:r>
      <w:proofErr w:type="spellEnd"/>
      <w:r w:rsidR="00FD5629">
        <w:t xml:space="preserve"> (2010), this illustrates a failure of the Australian VET sector to comprehend the inherent value of supporting VET practitioners in maintaining industry currency. While there may be tacit recognition of the importance of industry currency to the integrity of the VET system, there seems</w:t>
      </w:r>
      <w:r w:rsidR="00AB6DBF">
        <w:t xml:space="preserve"> to be a resistance to formalising</w:t>
      </w:r>
      <w:r w:rsidR="00FD5629">
        <w:t xml:space="preserve"> the process and thus mov</w:t>
      </w:r>
      <w:r w:rsidR="00DC01BB">
        <w:t>ing</w:t>
      </w:r>
      <w:r w:rsidR="00FD5629">
        <w:t xml:space="preserve"> away from traditional ad hoc or narrow approaches to this issue (Guthrie 2010; University of Ballarat 2009; </w:t>
      </w:r>
      <w:proofErr w:type="spellStart"/>
      <w:r w:rsidR="00FD5629">
        <w:t>Wheelahan</w:t>
      </w:r>
      <w:proofErr w:type="spellEnd"/>
      <w:r w:rsidR="00FD5629">
        <w:t xml:space="preserve"> 2010). Indeed, researchers have found </w:t>
      </w:r>
      <w:r w:rsidR="00513ABD">
        <w:t xml:space="preserve">organisational and industry barriers that militate against successful maintenance of industry currency </w:t>
      </w:r>
      <w:r w:rsidR="00FD5629">
        <w:t xml:space="preserve">(Clayton, Fisher &amp; Hughes 2005; </w:t>
      </w:r>
      <w:proofErr w:type="spellStart"/>
      <w:r w:rsidR="00FD5629">
        <w:t>Toze</w:t>
      </w:r>
      <w:proofErr w:type="spellEnd"/>
      <w:r w:rsidR="00FD5629">
        <w:t xml:space="preserve"> &amp; Tierney 20</w:t>
      </w:r>
      <w:r w:rsidR="00D12452">
        <w:t>10</w:t>
      </w:r>
      <w:r w:rsidR="00FD5629">
        <w:t xml:space="preserve">). </w:t>
      </w:r>
    </w:p>
    <w:p w:rsidR="00513ABD" w:rsidRPr="004D4FBB" w:rsidRDefault="00513ABD" w:rsidP="004D4FBB">
      <w:pPr>
        <w:pStyle w:val="Text"/>
      </w:pPr>
      <w:r>
        <w:t xml:space="preserve">Organisational barriers </w:t>
      </w:r>
      <w:r w:rsidR="00B84060">
        <w:t xml:space="preserve">identified </w:t>
      </w:r>
      <w:r w:rsidR="008D15F4">
        <w:t xml:space="preserve">in the literature </w:t>
      </w:r>
      <w:r>
        <w:t xml:space="preserve">include </w:t>
      </w:r>
      <w:r w:rsidR="00B84060">
        <w:t xml:space="preserve">a </w:t>
      </w:r>
      <w:r>
        <w:t xml:space="preserve">lack of accessibility and planning, work or role intensification, scarcity of time, rigid structures, non-supportive organisational climates, </w:t>
      </w:r>
      <w:r>
        <w:lastRenderedPageBreak/>
        <w:t xml:space="preserve">inadequate budget allocation, outdated policy or work instruction, obsolete resources or equipment, lack of recognition and rewards, and limited availability of specialised VET </w:t>
      </w:r>
      <w:r w:rsidRPr="004D4FBB">
        <w:t xml:space="preserve">practitioners to </w:t>
      </w:r>
      <w:r w:rsidR="00D12452" w:rsidRPr="004D4FBB">
        <w:t>backfill teaching roles (</w:t>
      </w:r>
      <w:proofErr w:type="spellStart"/>
      <w:r w:rsidR="00D12452" w:rsidRPr="004D4FBB">
        <w:t>Callan</w:t>
      </w:r>
      <w:proofErr w:type="spellEnd"/>
      <w:r w:rsidR="00AB6DBF" w:rsidRPr="004D4FBB">
        <w:t xml:space="preserve"> et al.</w:t>
      </w:r>
      <w:r w:rsidR="00D12452" w:rsidRPr="004D4FBB">
        <w:t xml:space="preserve"> </w:t>
      </w:r>
      <w:r w:rsidRPr="004D4FBB">
        <w:t xml:space="preserve">2007; University of Ballarat 2009; </w:t>
      </w:r>
      <w:proofErr w:type="spellStart"/>
      <w:r w:rsidRPr="004D4FBB">
        <w:t>Toze</w:t>
      </w:r>
      <w:proofErr w:type="spellEnd"/>
      <w:r w:rsidRPr="004D4FBB">
        <w:t xml:space="preserve"> &amp; Tierney 20</w:t>
      </w:r>
      <w:r w:rsidR="00D12452" w:rsidRPr="004D4FBB">
        <w:t>10</w:t>
      </w:r>
      <w:r w:rsidRPr="004D4FBB">
        <w:t>).</w:t>
      </w:r>
    </w:p>
    <w:p w:rsidR="00513ABD" w:rsidRPr="004D4FBB" w:rsidRDefault="00513ABD" w:rsidP="004D4FBB">
      <w:pPr>
        <w:pStyle w:val="Text"/>
      </w:pPr>
      <w:r w:rsidRPr="004D4FBB">
        <w:t>Industry barriers include a lack of consideration of how best to obtain a meaningful knowledge and/or skills exchange, issues surrounding accessibility and placement opportunities in local industries, and uncertainty about the capacity of the industry to provide access to up-to-date technology, equipment and processes (</w:t>
      </w:r>
      <w:proofErr w:type="spellStart"/>
      <w:r w:rsidRPr="004D4FBB">
        <w:t>Toze</w:t>
      </w:r>
      <w:proofErr w:type="spellEnd"/>
      <w:r w:rsidRPr="004D4FBB">
        <w:t xml:space="preserve"> &amp; Tierney 20</w:t>
      </w:r>
      <w:r w:rsidR="00D12452" w:rsidRPr="004D4FBB">
        <w:t>10</w:t>
      </w:r>
      <w:r w:rsidRPr="004D4FBB">
        <w:t>). This situation is often exacerbated by geographic isolation</w:t>
      </w:r>
      <w:r w:rsidR="00583E40" w:rsidRPr="004D4FBB">
        <w:t>, an ageing demographic profile</w:t>
      </w:r>
      <w:r w:rsidRPr="004D4FBB">
        <w:t xml:space="preserve"> and institutional settings </w:t>
      </w:r>
      <w:r w:rsidR="00AB6DBF" w:rsidRPr="004D4FBB">
        <w:t>that</w:t>
      </w:r>
      <w:r w:rsidRPr="004D4FBB">
        <w:t xml:space="preserve"> are continually exposed to dynamic and rapid change, including technological advancements (Clayton, Fisher &amp; Hughes 2005).</w:t>
      </w:r>
    </w:p>
    <w:p w:rsidR="00513ABD" w:rsidRPr="004D4FBB" w:rsidRDefault="00FD5629" w:rsidP="004D4FBB">
      <w:pPr>
        <w:pStyle w:val="Text"/>
      </w:pPr>
      <w:r w:rsidRPr="004D4FBB">
        <w:t>Not surprisingly, these barriers mirror those identified in the professions</w:t>
      </w:r>
      <w:r w:rsidR="00AB6DBF" w:rsidRPr="004D4FBB">
        <w:t>,</w:t>
      </w:r>
      <w:r w:rsidR="00513ABD" w:rsidRPr="004D4FBB">
        <w:t xml:space="preserve"> </w:t>
      </w:r>
      <w:r w:rsidR="008D15F4" w:rsidRPr="004D4FBB">
        <w:t>particularly where</w:t>
      </w:r>
      <w:r w:rsidR="00513ABD" w:rsidRPr="004D4FBB">
        <w:t xml:space="preserve"> rapid innovation in technology make</w:t>
      </w:r>
      <w:r w:rsidR="008D15F4" w:rsidRPr="004D4FBB">
        <w:t>s</w:t>
      </w:r>
      <w:r w:rsidR="00513ABD" w:rsidRPr="004D4FBB">
        <w:t xml:space="preserve"> previously acquired knowledge and skills transient, outmoded and ineffective (</w:t>
      </w:r>
      <w:proofErr w:type="spellStart"/>
      <w:r w:rsidR="00513ABD" w:rsidRPr="004D4FBB">
        <w:t>Burack</w:t>
      </w:r>
      <w:proofErr w:type="spellEnd"/>
      <w:r w:rsidR="00513ABD" w:rsidRPr="004D4FBB">
        <w:t xml:space="preserve"> &amp; </w:t>
      </w:r>
      <w:proofErr w:type="spellStart"/>
      <w:r w:rsidR="00513ABD" w:rsidRPr="004D4FBB">
        <w:t>Pati</w:t>
      </w:r>
      <w:proofErr w:type="spellEnd"/>
      <w:r w:rsidR="00513ABD" w:rsidRPr="004D4FBB">
        <w:t xml:space="preserve"> 1970, cited in </w:t>
      </w:r>
      <w:proofErr w:type="spellStart"/>
      <w:r w:rsidR="00513ABD" w:rsidRPr="004D4FBB">
        <w:t>Chauhan</w:t>
      </w:r>
      <w:proofErr w:type="spellEnd"/>
      <w:r w:rsidR="00513ABD" w:rsidRPr="004D4FBB">
        <w:t xml:space="preserve"> &amp; </w:t>
      </w:r>
      <w:proofErr w:type="spellStart"/>
      <w:r w:rsidR="00513ABD" w:rsidRPr="004D4FBB">
        <w:t>Chauhan</w:t>
      </w:r>
      <w:proofErr w:type="spellEnd"/>
      <w:r w:rsidR="00513ABD" w:rsidRPr="004D4FBB">
        <w:t xml:space="preserve"> 2009). Professionals working in information technology and engineering, for example, are confronted by what has been variously described as </w:t>
      </w:r>
      <w:r w:rsidR="00973A7F" w:rsidRPr="004D4FBB">
        <w:t>‘</w:t>
      </w:r>
      <w:r w:rsidR="00513ABD" w:rsidRPr="004D4FBB">
        <w:t>constant technical skill</w:t>
      </w:r>
      <w:r w:rsidR="00973A7F" w:rsidRPr="004D4FBB">
        <w:t>s</w:t>
      </w:r>
      <w:r w:rsidR="00513ABD" w:rsidRPr="004D4FBB">
        <w:t xml:space="preserve"> depletion</w:t>
      </w:r>
      <w:r w:rsidR="00973A7F" w:rsidRPr="004D4FBB">
        <w:t>’</w:t>
      </w:r>
      <w:r w:rsidR="00513ABD" w:rsidRPr="004D4FBB">
        <w:t xml:space="preserve"> (Tsai, </w:t>
      </w:r>
      <w:proofErr w:type="spellStart"/>
      <w:r w:rsidR="00513ABD" w:rsidRPr="004D4FBB">
        <w:t>Compeau</w:t>
      </w:r>
      <w:proofErr w:type="spellEnd"/>
      <w:r w:rsidR="00513ABD" w:rsidRPr="004D4FBB">
        <w:t xml:space="preserve"> &amp; Haggerty 2007) and </w:t>
      </w:r>
      <w:r w:rsidR="00CE1F63" w:rsidRPr="004D4FBB">
        <w:t>‘</w:t>
      </w:r>
      <w:r w:rsidR="00513ABD" w:rsidRPr="004D4FBB">
        <w:t>never-ending competence-destroying innovation</w:t>
      </w:r>
      <w:r w:rsidR="00CE1F63" w:rsidRPr="004D4FBB">
        <w:t>’</w:t>
      </w:r>
      <w:r w:rsidR="00513ABD" w:rsidRPr="004D4FBB">
        <w:t xml:space="preserve"> (</w:t>
      </w:r>
      <w:proofErr w:type="spellStart"/>
      <w:r w:rsidR="00513ABD" w:rsidRPr="004D4FBB">
        <w:t>Tushman</w:t>
      </w:r>
      <w:proofErr w:type="spellEnd"/>
      <w:r w:rsidR="00513ABD" w:rsidRPr="004D4FBB">
        <w:t xml:space="preserve"> &amp; Anderson 1986, p.440).</w:t>
      </w:r>
      <w:r w:rsidR="00BB0292" w:rsidRPr="004D4FBB">
        <w:t xml:space="preserve"> For an individual, the impact can be a decreasing interest in or capacity to keep up with changes as they emerge in industry and the erosion of vital working skills and knowledge</w:t>
      </w:r>
      <w:r w:rsidR="008D15F4" w:rsidRPr="004D4FBB">
        <w:t>,</w:t>
      </w:r>
      <w:r w:rsidR="00374BA0" w:rsidRPr="004D4FBB">
        <w:t xml:space="preserve"> with</w:t>
      </w:r>
      <w:r w:rsidR="00BB0292" w:rsidRPr="004D4FBB">
        <w:t xml:space="preserve"> a</w:t>
      </w:r>
      <w:r w:rsidR="008D15F4" w:rsidRPr="004D4FBB">
        <w:t>n associated</w:t>
      </w:r>
      <w:r w:rsidR="00BB0292" w:rsidRPr="004D4FBB">
        <w:t xml:space="preserve"> loss of confidence and self-esteem</w:t>
      </w:r>
      <w:r w:rsidR="00374BA0" w:rsidRPr="004D4FBB">
        <w:t>.</w:t>
      </w:r>
      <w:r w:rsidR="00674273" w:rsidRPr="004D4FBB">
        <w:t xml:space="preserve"> </w:t>
      </w:r>
      <w:r w:rsidR="008D15F4" w:rsidRPr="004D4FBB">
        <w:t>Some in the VET workforce have been identified as exhibiting similar behaviours</w:t>
      </w:r>
      <w:r w:rsidR="00BB0292" w:rsidRPr="004D4FBB">
        <w:t xml:space="preserve">, particularly </w:t>
      </w:r>
      <w:r w:rsidR="008D15F4" w:rsidRPr="004D4FBB">
        <w:t>in the case of</w:t>
      </w:r>
      <w:r w:rsidR="00BB0292" w:rsidRPr="004D4FBB">
        <w:t xml:space="preserve"> practitioners </w:t>
      </w:r>
      <w:r w:rsidR="008D15F4" w:rsidRPr="004D4FBB">
        <w:t xml:space="preserve">who </w:t>
      </w:r>
      <w:r w:rsidR="00BB0292" w:rsidRPr="004D4FBB">
        <w:t>have been distanced from industry for a period of time.</w:t>
      </w:r>
    </w:p>
    <w:p w:rsidR="00084BE5" w:rsidRPr="004D4FBB" w:rsidRDefault="00BB0292" w:rsidP="004D4FBB">
      <w:pPr>
        <w:pStyle w:val="Text"/>
      </w:pPr>
      <w:r w:rsidRPr="004D4FBB">
        <w:t xml:space="preserve">While there are diverse views in the literature on appropriate approaches, the strategies for </w:t>
      </w:r>
      <w:r w:rsidR="00674273" w:rsidRPr="004D4FBB">
        <w:t>maintaining cu</w:t>
      </w:r>
      <w:r w:rsidR="00CE1F63" w:rsidRPr="004D4FBB">
        <w:t>r</w:t>
      </w:r>
      <w:r w:rsidR="00674273" w:rsidRPr="004D4FBB">
        <w:t>rency</w:t>
      </w:r>
      <w:r w:rsidRPr="004D4FBB">
        <w:t xml:space="preserve"> </w:t>
      </w:r>
      <w:r w:rsidR="00CE1F63" w:rsidRPr="004D4FBB">
        <w:t xml:space="preserve">generally </w:t>
      </w:r>
      <w:r w:rsidRPr="004D4FBB">
        <w:t xml:space="preserve">involve undertaking structured learning, including formal qualifications through educational institutions and/or formal or non-formal courses </w:t>
      </w:r>
      <w:r w:rsidR="00674273" w:rsidRPr="004D4FBB">
        <w:t>conducted by</w:t>
      </w:r>
      <w:r w:rsidRPr="004D4FBB">
        <w:t xml:space="preserve"> </w:t>
      </w:r>
      <w:r w:rsidR="00674273" w:rsidRPr="004D4FBB">
        <w:t>enterprises</w:t>
      </w:r>
      <w:r w:rsidRPr="004D4FBB">
        <w:t xml:space="preserve"> and professional associations; accessing informational materials and resources in the </w:t>
      </w:r>
      <w:r w:rsidR="00674273" w:rsidRPr="004D4FBB">
        <w:t>vocational</w:t>
      </w:r>
      <w:r w:rsidRPr="004D4FBB">
        <w:t xml:space="preserve"> field; engaging in work-based learning, including problem-solving, which is generally designed to enhance knowledge and lift productivity in the workplace</w:t>
      </w:r>
      <w:r w:rsidR="00973A7F" w:rsidRPr="004D4FBB">
        <w:t>;</w:t>
      </w:r>
      <w:r w:rsidRPr="004D4FBB">
        <w:t xml:space="preserve"> and engaging in incidental learning through interpersonal exchange.</w:t>
      </w:r>
      <w:r w:rsidR="00084BE5" w:rsidRPr="004D4FBB">
        <w:t xml:space="preserve"> </w:t>
      </w:r>
    </w:p>
    <w:p w:rsidR="00BB0292" w:rsidRPr="004D4FBB" w:rsidRDefault="00CE1F63" w:rsidP="004D4FBB">
      <w:pPr>
        <w:pStyle w:val="Text"/>
      </w:pPr>
      <w:r w:rsidRPr="004D4FBB">
        <w:t>Importantly, there are</w:t>
      </w:r>
      <w:r w:rsidR="00084BE5" w:rsidRPr="004D4FBB">
        <w:t xml:space="preserve"> consistent </w:t>
      </w:r>
      <w:r w:rsidRPr="004D4FBB">
        <w:t>views in the literature</w:t>
      </w:r>
      <w:r w:rsidR="00084BE5" w:rsidRPr="004D4FBB">
        <w:t xml:space="preserve"> that both the individual and the organisation must accept responsibility for ongoing updating</w:t>
      </w:r>
      <w:r w:rsidR="00AB6DBF" w:rsidRPr="004D4FBB">
        <w:t>, with</w:t>
      </w:r>
      <w:r w:rsidR="00084BE5" w:rsidRPr="004D4FBB">
        <w:t xml:space="preserve"> a </w:t>
      </w:r>
      <w:r w:rsidRPr="004D4FBB">
        <w:t>number</w:t>
      </w:r>
      <w:r w:rsidR="00084BE5" w:rsidRPr="004D4FBB">
        <w:t xml:space="preserve"> of key factors </w:t>
      </w:r>
      <w:r w:rsidRPr="004D4FBB">
        <w:t xml:space="preserve">highlighted </w:t>
      </w:r>
      <w:r w:rsidR="00084BE5" w:rsidRPr="004D4FBB">
        <w:t>that organisations need to consider</w:t>
      </w:r>
      <w:r w:rsidRPr="004D4FBB">
        <w:t xml:space="preserve"> </w:t>
      </w:r>
      <w:r w:rsidR="00084BE5" w:rsidRPr="004D4FBB">
        <w:t>(</w:t>
      </w:r>
      <w:proofErr w:type="spellStart"/>
      <w:r w:rsidR="00084BE5" w:rsidRPr="004D4FBB">
        <w:t>Kreiner</w:t>
      </w:r>
      <w:proofErr w:type="spellEnd"/>
      <w:r w:rsidR="00084BE5" w:rsidRPr="004D4FBB">
        <w:t xml:space="preserve"> 2006; </w:t>
      </w:r>
      <w:proofErr w:type="spellStart"/>
      <w:r w:rsidR="00084BE5" w:rsidRPr="004D4FBB">
        <w:t>Pazy</w:t>
      </w:r>
      <w:proofErr w:type="spellEnd"/>
      <w:r w:rsidR="00084BE5" w:rsidRPr="004D4FBB">
        <w:t xml:space="preserve"> 199</w:t>
      </w:r>
      <w:r w:rsidR="008C2B52" w:rsidRPr="004D4FBB">
        <w:t>6</w:t>
      </w:r>
      <w:r w:rsidR="00084BE5" w:rsidRPr="004D4FBB">
        <w:t xml:space="preserve">). Chief amongst these are getting the organisational climate right, adopting a strategic approach to </w:t>
      </w:r>
      <w:proofErr w:type="spellStart"/>
      <w:r w:rsidR="00084BE5" w:rsidRPr="004D4FBB">
        <w:t>upskilling</w:t>
      </w:r>
      <w:proofErr w:type="spellEnd"/>
      <w:r w:rsidR="00084BE5" w:rsidRPr="004D4FBB">
        <w:t>, encouraging colla</w:t>
      </w:r>
      <w:r w:rsidR="00AB6DBF" w:rsidRPr="004D4FBB">
        <w:t>borative learning and knowledge-</w:t>
      </w:r>
      <w:r w:rsidR="00084BE5" w:rsidRPr="004D4FBB">
        <w:t>shari</w:t>
      </w:r>
      <w:r w:rsidR="00034542" w:rsidRPr="004D4FBB">
        <w:t>ng and ensuring</w:t>
      </w:r>
      <w:r w:rsidRPr="004D4FBB">
        <w:t xml:space="preserve"> that</w:t>
      </w:r>
      <w:r w:rsidR="00034542" w:rsidRPr="004D4FBB">
        <w:t xml:space="preserve"> </w:t>
      </w:r>
      <w:r w:rsidR="00D75D4F" w:rsidRPr="004D4FBB">
        <w:t>updating activities</w:t>
      </w:r>
      <w:r w:rsidR="00034542" w:rsidRPr="004D4FBB">
        <w:t xml:space="preserve"> focus on the employees’ current job and </w:t>
      </w:r>
      <w:r w:rsidR="00973A7F" w:rsidRPr="004D4FBB">
        <w:t>are</w:t>
      </w:r>
      <w:r w:rsidR="00084BE5" w:rsidRPr="004D4FBB">
        <w:t xml:space="preserve"> ‘embedded in the rhythms of daily work’ (Knight</w:t>
      </w:r>
      <w:r w:rsidR="00034542" w:rsidRPr="004D4FBB">
        <w:t xml:space="preserve"> 1998,</w:t>
      </w:r>
      <w:r w:rsidR="006335BF" w:rsidRPr="004D4FBB">
        <w:t xml:space="preserve"> </w:t>
      </w:r>
      <w:r w:rsidR="00034542" w:rsidRPr="004D4FBB">
        <w:t>p.254).</w:t>
      </w:r>
    </w:p>
    <w:p w:rsidR="00AB6DBF" w:rsidRDefault="00BF2DB0" w:rsidP="004D4FBB">
      <w:pPr>
        <w:pStyle w:val="Text"/>
      </w:pPr>
      <w:r w:rsidRPr="004D4FBB">
        <w:t>Regardless of vocation or location, the maintenance of industry curre</w:t>
      </w:r>
      <w:r>
        <w:t>ncy brings major challenges for individual workers and the organisations that employ them. The literature on both VET practitioners and the professions reveal</w:t>
      </w:r>
      <w:r w:rsidR="00973A7F">
        <w:t>s</w:t>
      </w:r>
      <w:r>
        <w:t xml:space="preserve"> similar issues. Organisational approaches adopted for the professions signpost a way forward for </w:t>
      </w:r>
      <w:r w:rsidR="00097D0E">
        <w:t>the</w:t>
      </w:r>
      <w:r>
        <w:t xml:space="preserve"> maintenance </w:t>
      </w:r>
      <w:r w:rsidR="00097D0E">
        <w:t>of industry currency of</w:t>
      </w:r>
      <w:r>
        <w:t xml:space="preserve"> VET teachers, trainers and assessors.</w:t>
      </w:r>
      <w:r w:rsidR="008D15F4">
        <w:t xml:space="preserve"> Insights from industry may also assist in addressing </w:t>
      </w:r>
      <w:r w:rsidR="000B6D08">
        <w:t>this issue</w:t>
      </w:r>
      <w:r w:rsidR="008D15F4">
        <w:t>.</w:t>
      </w:r>
    </w:p>
    <w:p w:rsidR="00AB6DBF" w:rsidRDefault="00AB6DBF">
      <w:pPr>
        <w:spacing w:before="0" w:line="240" w:lineRule="auto"/>
      </w:pPr>
      <w:r>
        <w:br w:type="page"/>
      </w:r>
    </w:p>
    <w:p w:rsidR="00FB536C" w:rsidRDefault="00AF5735" w:rsidP="004D4FBB">
      <w:pPr>
        <w:pStyle w:val="Heading1"/>
      </w:pPr>
      <w:bookmarkStart w:id="45" w:name="_Toc357518789"/>
      <w:r>
        <w:lastRenderedPageBreak/>
        <w:t>Currency: the trade</w:t>
      </w:r>
      <w:r w:rsidR="00030BF9">
        <w:t>s</w:t>
      </w:r>
      <w:r>
        <w:t xml:space="preserve"> lens</w:t>
      </w:r>
      <w:bookmarkEnd w:id="45"/>
    </w:p>
    <w:p w:rsidR="00CA03AA" w:rsidRDefault="00AB6DBF" w:rsidP="004D4FBB">
      <w:pPr>
        <w:pStyle w:val="Text"/>
        <w:ind w:right="-143"/>
      </w:pPr>
      <w:r>
        <w:t>The</w:t>
      </w:r>
      <w:r w:rsidR="001D0475">
        <w:t xml:space="preserve"> review of </w:t>
      </w:r>
      <w:r w:rsidR="000B0949">
        <w:t xml:space="preserve">the </w:t>
      </w:r>
      <w:r w:rsidR="001D0475">
        <w:t>literature</w:t>
      </w:r>
      <w:r w:rsidR="000B0949">
        <w:t xml:space="preserve"> undertaken for this study</w:t>
      </w:r>
      <w:r w:rsidR="001D0475">
        <w:t xml:space="preserve"> revealed little research on </w:t>
      </w:r>
      <w:r w:rsidR="000B0949">
        <w:t>industry currency from</w:t>
      </w:r>
      <w:r w:rsidR="004D4FBB">
        <w:t> </w:t>
      </w:r>
      <w:r w:rsidR="000B0949">
        <w:t>an employer perspective</w:t>
      </w:r>
      <w:r>
        <w:t>,</w:t>
      </w:r>
      <w:r w:rsidR="001D0475">
        <w:t xml:space="preserve"> either nationally or internationally. </w:t>
      </w:r>
      <w:r w:rsidR="000B0949">
        <w:t xml:space="preserve">In fact, </w:t>
      </w:r>
      <w:r w:rsidR="001D0475">
        <w:t>Australia appears to be the leader in research on currency as it relates to VET workforce development an</w:t>
      </w:r>
      <w:r w:rsidR="000B0949">
        <w:t>d training and assessment needs.</w:t>
      </w:r>
      <w:r w:rsidR="001D0475">
        <w:t xml:space="preserve"> </w:t>
      </w:r>
      <w:r w:rsidR="0069017E">
        <w:t>W</w:t>
      </w:r>
      <w:r w:rsidR="001D0475">
        <w:t xml:space="preserve">ith the exception of a few studies such as that undertaken in </w:t>
      </w:r>
      <w:r w:rsidR="000B0949">
        <w:t xml:space="preserve">Queensland by </w:t>
      </w:r>
      <w:proofErr w:type="spellStart"/>
      <w:r w:rsidR="000B0949">
        <w:t>Toze</w:t>
      </w:r>
      <w:proofErr w:type="spellEnd"/>
      <w:r w:rsidR="000B0949">
        <w:t xml:space="preserve"> and Tierney</w:t>
      </w:r>
      <w:r w:rsidR="0069017E">
        <w:t xml:space="preserve"> in 20</w:t>
      </w:r>
      <w:r w:rsidR="00D12452">
        <w:t>10</w:t>
      </w:r>
      <w:r w:rsidR="0069017E">
        <w:t>, the voice of employers was not evident in the literature</w:t>
      </w:r>
      <w:r w:rsidR="000B0949">
        <w:t xml:space="preserve">. </w:t>
      </w:r>
      <w:r w:rsidR="0069017E">
        <w:t>There</w:t>
      </w:r>
      <w:r w:rsidR="001D0475">
        <w:t xml:space="preserve"> </w:t>
      </w:r>
      <w:r w:rsidR="008458CF">
        <w:t>was</w:t>
      </w:r>
      <w:r w:rsidR="0069017E">
        <w:t>,</w:t>
      </w:r>
      <w:r w:rsidR="001D0475">
        <w:t xml:space="preserve"> </w:t>
      </w:r>
      <w:r w:rsidR="0069017E">
        <w:t>however,</w:t>
      </w:r>
      <w:r w:rsidR="001D0475">
        <w:t xml:space="preserve"> </w:t>
      </w:r>
      <w:r>
        <w:t>some</w:t>
      </w:r>
      <w:r w:rsidR="0069017E">
        <w:t xml:space="preserve"> </w:t>
      </w:r>
      <w:r w:rsidR="001D0475">
        <w:t xml:space="preserve">evidence to suggest that the industry currency of </w:t>
      </w:r>
      <w:r w:rsidR="008458CF">
        <w:t>trainers</w:t>
      </w:r>
      <w:r w:rsidR="001D0475">
        <w:t xml:space="preserve"> </w:t>
      </w:r>
      <w:r w:rsidR="008458CF">
        <w:t xml:space="preserve">and assessors </w:t>
      </w:r>
      <w:r w:rsidR="000B0949">
        <w:t>is</w:t>
      </w:r>
      <w:r w:rsidR="001D0475">
        <w:t xml:space="preserve"> of concern to industry (</w:t>
      </w:r>
      <w:proofErr w:type="spellStart"/>
      <w:r w:rsidR="001D0475">
        <w:t>Toze</w:t>
      </w:r>
      <w:proofErr w:type="spellEnd"/>
      <w:r w:rsidR="001D0475">
        <w:t xml:space="preserve"> &amp; Tierney 20</w:t>
      </w:r>
      <w:r w:rsidR="00D12452">
        <w:t>10</w:t>
      </w:r>
      <w:r w:rsidR="001D0475">
        <w:t>; Precisi</w:t>
      </w:r>
      <w:r w:rsidR="00DC01BB">
        <w:t>on Consulting 2008; Innovation and</w:t>
      </w:r>
      <w:r w:rsidR="001D0475">
        <w:t xml:space="preserve"> Business Skills Australia 201</w:t>
      </w:r>
      <w:r w:rsidR="0053659D">
        <w:t>0</w:t>
      </w:r>
      <w:r w:rsidR="001D0475">
        <w:t xml:space="preserve">). </w:t>
      </w:r>
      <w:r w:rsidR="008458CF">
        <w:t>In light of this</w:t>
      </w:r>
      <w:r w:rsidR="001D0475">
        <w:t xml:space="preserve">, </w:t>
      </w:r>
      <w:r w:rsidR="000B0949">
        <w:t>the focus of</w:t>
      </w:r>
      <w:r w:rsidR="00693B93">
        <w:t xml:space="preserve"> </w:t>
      </w:r>
      <w:r w:rsidR="000B0949">
        <w:t xml:space="preserve">this </w:t>
      </w:r>
      <w:r w:rsidR="00784BAE">
        <w:t xml:space="preserve">component </w:t>
      </w:r>
      <w:r w:rsidR="000B0949">
        <w:t xml:space="preserve">of the </w:t>
      </w:r>
      <w:r w:rsidR="00693B93">
        <w:t xml:space="preserve">research </w:t>
      </w:r>
      <w:r w:rsidR="000B0949">
        <w:t xml:space="preserve">was on </w:t>
      </w:r>
      <w:r w:rsidR="0069017E">
        <w:t>employer, auditor and industry representative</w:t>
      </w:r>
      <w:r w:rsidR="00CA03AA">
        <w:t xml:space="preserve"> </w:t>
      </w:r>
      <w:r w:rsidR="00693B93">
        <w:t xml:space="preserve">understandings </w:t>
      </w:r>
      <w:r w:rsidR="00CA03AA">
        <w:t>of industry currency</w:t>
      </w:r>
      <w:r w:rsidR="00AA0DD7">
        <w:t xml:space="preserve"> and </w:t>
      </w:r>
      <w:r w:rsidR="000B0949">
        <w:t xml:space="preserve">their </w:t>
      </w:r>
      <w:r w:rsidR="00CA03AA">
        <w:t>views on the importance (or otherwise) of industry currency</w:t>
      </w:r>
      <w:r w:rsidR="000B0949">
        <w:t xml:space="preserve"> in </w:t>
      </w:r>
      <w:r w:rsidR="00DC01BB">
        <w:t>vocational education and training</w:t>
      </w:r>
      <w:r w:rsidR="000B0949">
        <w:t>.</w:t>
      </w:r>
      <w:r w:rsidR="001D0475">
        <w:t xml:space="preserve"> </w:t>
      </w:r>
      <w:r w:rsidR="0069017E">
        <w:t>These key stakeholders</w:t>
      </w:r>
      <w:r w:rsidR="001D0475">
        <w:t xml:space="preserve"> were </w:t>
      </w:r>
      <w:r w:rsidR="0069017E">
        <w:t xml:space="preserve">also </w:t>
      </w:r>
      <w:r w:rsidR="001D0475">
        <w:t>asked to provide</w:t>
      </w:r>
      <w:r w:rsidR="00CA03AA">
        <w:t xml:space="preserve"> ideas about how trainers and training organisations might manage the maintenance and improvement of industry currency. </w:t>
      </w:r>
    </w:p>
    <w:p w:rsidR="006E0DDE" w:rsidRDefault="006E0DDE" w:rsidP="004D4FBB">
      <w:pPr>
        <w:pStyle w:val="Heading2"/>
      </w:pPr>
      <w:bookmarkStart w:id="46" w:name="_Toc357518790"/>
      <w:r>
        <w:t>Interview outcomes</w:t>
      </w:r>
      <w:bookmarkEnd w:id="46"/>
    </w:p>
    <w:p w:rsidR="00141678" w:rsidRPr="004D4FBB" w:rsidRDefault="00886F07" w:rsidP="004D4FBB">
      <w:pPr>
        <w:pStyle w:val="Text"/>
      </w:pPr>
      <w:r>
        <w:t>The employers interviewed</w:t>
      </w:r>
      <w:r w:rsidR="00C30B59">
        <w:t xml:space="preserve"> </w:t>
      </w:r>
      <w:r w:rsidR="00784BAE">
        <w:t>believed</w:t>
      </w:r>
      <w:r w:rsidR="00C30B59">
        <w:t xml:space="preserve"> they had a responsibility to kee</w:t>
      </w:r>
      <w:r w:rsidR="00784BAE">
        <w:t xml:space="preserve">p themselves and their staff up to </w:t>
      </w:r>
      <w:r w:rsidR="00C30B59">
        <w:t xml:space="preserve">date </w:t>
      </w:r>
      <w:r w:rsidR="00784BAE">
        <w:t>through support for</w:t>
      </w:r>
      <w:r w:rsidR="00C30B59">
        <w:t xml:space="preserve"> staff requests for </w:t>
      </w:r>
      <w:proofErr w:type="spellStart"/>
      <w:r w:rsidR="00C30B59">
        <w:t>upskilling</w:t>
      </w:r>
      <w:proofErr w:type="spellEnd"/>
      <w:r w:rsidR="00C30B59">
        <w:t xml:space="preserve"> and paying for the activities</w:t>
      </w:r>
      <w:r>
        <w:t xml:space="preserve"> </w:t>
      </w:r>
      <w:r w:rsidR="00DC01BB">
        <w:t>undertaken</w:t>
      </w:r>
      <w:r w:rsidR="00C30B59">
        <w:t xml:space="preserve">. </w:t>
      </w:r>
      <w:r>
        <w:t>Employers</w:t>
      </w:r>
      <w:r w:rsidR="00141678">
        <w:t xml:space="preserve"> spoke about training as being important to </w:t>
      </w:r>
      <w:r w:rsidR="00784BAE">
        <w:t>the ongoing</w:t>
      </w:r>
      <w:r w:rsidR="00141678">
        <w:t xml:space="preserve"> improve</w:t>
      </w:r>
      <w:r w:rsidR="00784BAE">
        <w:t>ment of</w:t>
      </w:r>
      <w:r w:rsidR="00141678">
        <w:t xml:space="preserve"> c</w:t>
      </w:r>
      <w:r>
        <w:t>lient service and customer satisfaction.</w:t>
      </w:r>
      <w:r w:rsidR="00141678">
        <w:t xml:space="preserve"> For the hairdressing employers in particular </w:t>
      </w:r>
      <w:r>
        <w:t>ongoing training</w:t>
      </w:r>
      <w:r w:rsidR="00141678">
        <w:t xml:space="preserve"> was integral to providing cus</w:t>
      </w:r>
      <w:r w:rsidR="00784BAE">
        <w:t>tomers with a consistent</w:t>
      </w:r>
      <w:r w:rsidR="00106DD9">
        <w:t xml:space="preserve">ly high </w:t>
      </w:r>
      <w:r w:rsidR="00141678" w:rsidRPr="004D4FBB">
        <w:t xml:space="preserve">quality experience. </w:t>
      </w:r>
      <w:r w:rsidR="009C452D" w:rsidRPr="004D4FBB">
        <w:t>Also</w:t>
      </w:r>
      <w:r w:rsidR="00141678" w:rsidRPr="004D4FBB">
        <w:t xml:space="preserve"> </w:t>
      </w:r>
      <w:r w:rsidR="00AA0DD7" w:rsidRPr="004D4FBB">
        <w:t>emphasised</w:t>
      </w:r>
      <w:r w:rsidR="00141678" w:rsidRPr="004D4FBB">
        <w:t xml:space="preserve"> </w:t>
      </w:r>
      <w:r w:rsidR="009C452D" w:rsidRPr="004D4FBB">
        <w:t xml:space="preserve">was </w:t>
      </w:r>
      <w:r w:rsidR="00141678" w:rsidRPr="004D4FBB">
        <w:t>the importance of trai</w:t>
      </w:r>
      <w:r w:rsidR="00AA0DD7" w:rsidRPr="004D4FBB">
        <w:t xml:space="preserve">ning </w:t>
      </w:r>
      <w:r w:rsidR="00784BAE" w:rsidRPr="004D4FBB">
        <w:t xml:space="preserve">as contributing </w:t>
      </w:r>
      <w:r w:rsidRPr="004D4FBB">
        <w:t>to</w:t>
      </w:r>
      <w:r w:rsidR="00AA0DD7" w:rsidRPr="004D4FBB">
        <w:t xml:space="preserve"> staff satisfaction</w:t>
      </w:r>
      <w:r w:rsidR="009C452D" w:rsidRPr="004D4FBB">
        <w:t>. M</w:t>
      </w:r>
      <w:r w:rsidR="00AA0DD7" w:rsidRPr="004D4FBB">
        <w:t xml:space="preserve">aking an investment in </w:t>
      </w:r>
      <w:r w:rsidR="00141678" w:rsidRPr="004D4FBB">
        <w:t>training was a way of saying that employees</w:t>
      </w:r>
      <w:r w:rsidR="004514A3" w:rsidRPr="004D4FBB">
        <w:t xml:space="preserve"> were valued</w:t>
      </w:r>
      <w:r w:rsidR="00AA0DD7" w:rsidRPr="004D4FBB">
        <w:t>.</w:t>
      </w:r>
    </w:p>
    <w:p w:rsidR="00141678" w:rsidRDefault="00141678" w:rsidP="004D4FBB">
      <w:pPr>
        <w:pStyle w:val="Text"/>
      </w:pPr>
      <w:r w:rsidRPr="004D4FBB">
        <w:t xml:space="preserve">All of the employers </w:t>
      </w:r>
      <w:r w:rsidR="009C452D" w:rsidRPr="004D4FBB">
        <w:t>interviewed</w:t>
      </w:r>
      <w:r w:rsidRPr="004D4FBB">
        <w:t xml:space="preserve"> took the need</w:t>
      </w:r>
      <w:r>
        <w:t xml:space="preserve"> </w:t>
      </w:r>
      <w:r w:rsidR="00973A7F">
        <w:t>for</w:t>
      </w:r>
      <w:r>
        <w:t xml:space="preserve"> training seriously</w:t>
      </w:r>
      <w:r w:rsidR="00784BAE">
        <w:t>,</w:t>
      </w:r>
      <w:r>
        <w:t xml:space="preserve"> </w:t>
      </w:r>
      <w:r w:rsidR="00886F07">
        <w:t xml:space="preserve">noting that </w:t>
      </w:r>
      <w:r w:rsidR="009C452D">
        <w:t>it</w:t>
      </w:r>
      <w:r>
        <w:t xml:space="preserve"> was generally undertaken across </w:t>
      </w:r>
      <w:r w:rsidR="00784BAE">
        <w:t>the</w:t>
      </w:r>
      <w:r>
        <w:t xml:space="preserve"> whole business</w:t>
      </w:r>
      <w:r w:rsidR="00973A7F">
        <w:t xml:space="preserve"> —</w:t>
      </w:r>
      <w:r>
        <w:t xml:space="preserve"> from management to apprentices. </w:t>
      </w:r>
      <w:r w:rsidR="009C452D">
        <w:t>Training</w:t>
      </w:r>
      <w:r>
        <w:t xml:space="preserve"> was typically paid by the employer and generally </w:t>
      </w:r>
      <w:r w:rsidR="00784BAE">
        <w:t>undertaken</w:t>
      </w:r>
      <w:r>
        <w:t xml:space="preserve"> during working hours</w:t>
      </w:r>
      <w:r w:rsidR="00784BAE">
        <w:t>,</w:t>
      </w:r>
      <w:r>
        <w:t xml:space="preserve"> unless it </w:t>
      </w:r>
      <w:r w:rsidR="00AA0DD7">
        <w:t>was</w:t>
      </w:r>
      <w:r>
        <w:t xml:space="preserve"> an evening industry event. Employers thought it was important to make time for training and</w:t>
      </w:r>
      <w:r w:rsidR="00DC01BB">
        <w:t>,</w:t>
      </w:r>
      <w:r>
        <w:t xml:space="preserve"> where possible, such as in the hairdressing industry, to i</w:t>
      </w:r>
      <w:r w:rsidR="00973A7F">
        <w:t>nvolve everyone in the training</w:t>
      </w:r>
      <w:r w:rsidR="00DC01BB">
        <w:t>,</w:t>
      </w:r>
      <w:r w:rsidR="00973A7F">
        <w:t xml:space="preserve"> enabling</w:t>
      </w:r>
      <w:r w:rsidR="00784BAE">
        <w:t xml:space="preserve"> them</w:t>
      </w:r>
      <w:r>
        <w:t xml:space="preserve"> all </w:t>
      </w:r>
      <w:r w:rsidR="00784BAE">
        <w:t xml:space="preserve">to </w:t>
      </w:r>
      <w:r>
        <w:t>learn together and from each other. One employer commented:</w:t>
      </w:r>
    </w:p>
    <w:p w:rsidR="00C30B59" w:rsidRDefault="00C30B59" w:rsidP="00784BAE">
      <w:pPr>
        <w:pStyle w:val="Quote"/>
      </w:pPr>
      <w:r>
        <w:t>If there’s a new pro</w:t>
      </w:r>
      <w:r w:rsidR="00784BAE">
        <w:t>duct that comes out, then they [the product supplier]</w:t>
      </w:r>
      <w:r>
        <w:t xml:space="preserve"> provide training and they have a technician come down here …</w:t>
      </w:r>
      <w:r w:rsidR="00784BAE">
        <w:t xml:space="preserve"> </w:t>
      </w:r>
      <w:r>
        <w:t xml:space="preserve">I will rule out the time for my staff across the page, that’s that </w:t>
      </w:r>
      <w:r w:rsidR="00784BAE">
        <w:t>−</w:t>
      </w:r>
      <w:r>
        <w:t xml:space="preserve"> we don’t take clients during that time.</w:t>
      </w:r>
      <w:r w:rsidR="007D4EDB">
        <w:t xml:space="preserve"> </w:t>
      </w:r>
      <w:r>
        <w:t>I don’t do it after hou</w:t>
      </w:r>
      <w:r w:rsidR="009C452D">
        <w:t>rs</w:t>
      </w:r>
      <w:r w:rsidR="00784BAE">
        <w:t>;</w:t>
      </w:r>
      <w:r w:rsidR="009C452D">
        <w:t xml:space="preserve"> I do it during working hours.</w:t>
      </w:r>
    </w:p>
    <w:p w:rsidR="00C30B59" w:rsidRDefault="00C30B59" w:rsidP="00C30B59">
      <w:pPr>
        <w:pStyle w:val="Text"/>
      </w:pPr>
      <w:r>
        <w:t xml:space="preserve">The importance of currency in the hairdressing industry </w:t>
      </w:r>
      <w:r w:rsidR="00AA0DD7">
        <w:t>was</w:t>
      </w:r>
      <w:r>
        <w:t xml:space="preserve"> under</w:t>
      </w:r>
      <w:r w:rsidR="00AA0DD7">
        <w:t>scored by two employers</w:t>
      </w:r>
      <w:r>
        <w:t xml:space="preserve"> who were moving away from traditional </w:t>
      </w:r>
      <w:r w:rsidR="001D7049">
        <w:t xml:space="preserve">training </w:t>
      </w:r>
      <w:r>
        <w:t xml:space="preserve">models and moving to skilling up (and qualifying) </w:t>
      </w:r>
      <w:r w:rsidR="00145176">
        <w:t>staff to provide in-</w:t>
      </w:r>
      <w:r>
        <w:t>salon training for their own staff</w:t>
      </w:r>
      <w:r w:rsidR="00973A7F">
        <w:t>,</w:t>
      </w:r>
      <w:r>
        <w:t xml:space="preserve"> including apprentices</w:t>
      </w:r>
      <w:r w:rsidR="00AA0DD7">
        <w:t>.</w:t>
      </w:r>
      <w:r>
        <w:t xml:space="preserve"> </w:t>
      </w:r>
      <w:r w:rsidR="00AA0DD7">
        <w:t>This involved</w:t>
      </w:r>
      <w:r>
        <w:t xml:space="preserve"> assessment and some resources </w:t>
      </w:r>
      <w:r w:rsidR="00145176">
        <w:t xml:space="preserve">being </w:t>
      </w:r>
      <w:r>
        <w:t xml:space="preserve">provided through partnership arrangements with a large private </w:t>
      </w:r>
      <w:r w:rsidR="006276AA">
        <w:t>registered training organisation</w:t>
      </w:r>
      <w:r>
        <w:t xml:space="preserve"> and product developers. </w:t>
      </w:r>
      <w:r w:rsidR="001D7049">
        <w:t>This</w:t>
      </w:r>
      <w:r w:rsidR="00BF71BD">
        <w:t xml:space="preserve"> approach </w:t>
      </w:r>
      <w:r w:rsidR="001D7049">
        <w:t>gave them</w:t>
      </w:r>
      <w:r w:rsidR="00BF71BD">
        <w:t xml:space="preserve"> greater</w:t>
      </w:r>
      <w:r>
        <w:t xml:space="preserve"> control </w:t>
      </w:r>
      <w:r w:rsidR="00BF71BD">
        <w:t xml:space="preserve">over </w:t>
      </w:r>
      <w:r w:rsidR="001D7049">
        <w:t xml:space="preserve">training </w:t>
      </w:r>
      <w:proofErr w:type="gramStart"/>
      <w:r w:rsidR="001D7049">
        <w:t>quality,</w:t>
      </w:r>
      <w:proofErr w:type="gramEnd"/>
      <w:r>
        <w:t xml:space="preserve"> </w:t>
      </w:r>
      <w:r w:rsidR="00BF71BD">
        <w:t>ensured</w:t>
      </w:r>
      <w:r>
        <w:t xml:space="preserve"> trainers </w:t>
      </w:r>
      <w:r w:rsidR="00BF71BD">
        <w:t>were</w:t>
      </w:r>
      <w:r>
        <w:t xml:space="preserve"> up to date</w:t>
      </w:r>
      <w:r w:rsidR="00BF71BD">
        <w:t xml:space="preserve"> and</w:t>
      </w:r>
      <w:r>
        <w:t xml:space="preserve"> </w:t>
      </w:r>
      <w:r w:rsidR="007219A1">
        <w:t>guaranteed</w:t>
      </w:r>
      <w:r w:rsidR="00784BAE">
        <w:t xml:space="preserve"> top-</w:t>
      </w:r>
      <w:r>
        <w:t xml:space="preserve">end training to meet client expectations. </w:t>
      </w:r>
    </w:p>
    <w:p w:rsidR="00141678" w:rsidRDefault="00141678" w:rsidP="00141678">
      <w:pPr>
        <w:pStyle w:val="Text"/>
      </w:pPr>
      <w:r w:rsidRPr="00141678">
        <w:t>Employers saw it as the responsibilit</w:t>
      </w:r>
      <w:r w:rsidR="00784BAE">
        <w:t xml:space="preserve">y of the VET trainer to keep up to </w:t>
      </w:r>
      <w:r w:rsidRPr="00141678">
        <w:t>date but considered that it was something that should be supported by their employer.</w:t>
      </w:r>
    </w:p>
    <w:p w:rsidR="0033618B" w:rsidRDefault="0033618B" w:rsidP="004D4FBB">
      <w:pPr>
        <w:pStyle w:val="Heading2"/>
      </w:pPr>
      <w:bookmarkStart w:id="47" w:name="_Toc357518791"/>
      <w:r>
        <w:lastRenderedPageBreak/>
        <w:t>Industry currency</w:t>
      </w:r>
      <w:r w:rsidR="00100BB1">
        <w:t>: understandings and indicators</w:t>
      </w:r>
      <w:bookmarkEnd w:id="47"/>
    </w:p>
    <w:p w:rsidR="00E13E77" w:rsidRDefault="00E13E77" w:rsidP="00784BAE">
      <w:pPr>
        <w:pStyle w:val="Text"/>
      </w:pPr>
      <w:r>
        <w:t>When asked whether they were familiar w</w:t>
      </w:r>
      <w:r w:rsidR="001D7049">
        <w:t xml:space="preserve">ith the term </w:t>
      </w:r>
      <w:r w:rsidR="00784BAE">
        <w:t>‘</w:t>
      </w:r>
      <w:r w:rsidR="001D7049">
        <w:t>industry currency</w:t>
      </w:r>
      <w:r w:rsidR="00784BAE">
        <w:t>’</w:t>
      </w:r>
      <w:r w:rsidR="001D7049">
        <w:t xml:space="preserve"> </w:t>
      </w:r>
      <w:r>
        <w:t xml:space="preserve">in relation to VET trainers, most employers said they had heard of it but that it wasn’t a term </w:t>
      </w:r>
      <w:r w:rsidR="007219A1">
        <w:t>they</w:t>
      </w:r>
      <w:r>
        <w:t xml:space="preserve"> generally used. They understood it to mean keeping </w:t>
      </w:r>
      <w:r w:rsidR="00784BAE">
        <w:t>abreast of</w:t>
      </w:r>
      <w:r>
        <w:t xml:space="preserve"> </w:t>
      </w:r>
      <w:r w:rsidR="00784BAE">
        <w:t xml:space="preserve">the </w:t>
      </w:r>
      <w:r w:rsidR="007219A1">
        <w:t>essential</w:t>
      </w:r>
      <w:r>
        <w:t xml:space="preserve"> knowledge, skills and abilities </w:t>
      </w:r>
      <w:r w:rsidR="00784BAE">
        <w:t xml:space="preserve">required </w:t>
      </w:r>
      <w:r>
        <w:t>to meet the needs and expe</w:t>
      </w:r>
      <w:r w:rsidR="00973A7F">
        <w:t>ctations of industry. T</w:t>
      </w:r>
      <w:r>
        <w:t xml:space="preserve">he employers </w:t>
      </w:r>
      <w:r w:rsidR="00973A7F">
        <w:t>considered that</w:t>
      </w:r>
      <w:r>
        <w:t xml:space="preserve"> trainers should know what is needed to teach, be able to answer questions about the industry and have access to the resources needed to teach well. </w:t>
      </w:r>
    </w:p>
    <w:p w:rsidR="00E13E77" w:rsidRDefault="00E13E77" w:rsidP="00784BAE">
      <w:pPr>
        <w:pStyle w:val="Text"/>
      </w:pPr>
      <w:r>
        <w:t>Important</w:t>
      </w:r>
      <w:r w:rsidR="007219A1">
        <w:t>ly, every employer talked about ‘</w:t>
      </w:r>
      <w:r>
        <w:t>industry relevance’</w:t>
      </w:r>
      <w:r w:rsidR="00784BAE">
        <w:t>,</w:t>
      </w:r>
      <w:r>
        <w:t xml:space="preserve"> which they saw as different from industry currency</w:t>
      </w:r>
      <w:r w:rsidR="00784BAE">
        <w:t>,</w:t>
      </w:r>
      <w:r>
        <w:t xml:space="preserve"> and more important. They believed it was more important to have industry relevance</w:t>
      </w:r>
      <w:r w:rsidR="00DC01BB">
        <w:t>, which</w:t>
      </w:r>
      <w:r>
        <w:t xml:space="preserve"> came from having been in the industry and/or having been trained in the industry</w:t>
      </w:r>
      <w:r w:rsidR="00886F07">
        <w:t>.</w:t>
      </w:r>
      <w:r>
        <w:t xml:space="preserve"> It was expected that trainers would have an industry background</w:t>
      </w:r>
      <w:r w:rsidR="00886F07">
        <w:t xml:space="preserve"> and the relevant knowledge</w:t>
      </w:r>
      <w:r>
        <w:t>. One employer commented that:</w:t>
      </w:r>
    </w:p>
    <w:p w:rsidR="00E13E77" w:rsidRDefault="00E13E77" w:rsidP="00E13E77">
      <w:pPr>
        <w:pStyle w:val="Quote"/>
      </w:pPr>
      <w:r>
        <w:t>So far as the cutting edge is concerned, that’s important too but it’s almost like it’s in two compartments. Because if you don’t have the basics or the foundation, then going to the cutting edge of the industry is nowhere near as effective.</w:t>
      </w:r>
    </w:p>
    <w:p w:rsidR="00E13E77" w:rsidRDefault="004D3383" w:rsidP="004066B4">
      <w:pPr>
        <w:pStyle w:val="Text"/>
      </w:pPr>
      <w:r>
        <w:t>A</w:t>
      </w:r>
      <w:r w:rsidR="001D7049">
        <w:t>fter an explanation of the requirements of the Australian Quali</w:t>
      </w:r>
      <w:r w:rsidR="00784BAE">
        <w:t>ty</w:t>
      </w:r>
      <w:r w:rsidR="001D7049">
        <w:t xml:space="preserve"> Training Framework</w:t>
      </w:r>
      <w:r>
        <w:t xml:space="preserve"> and building on their understanding of currency</w:t>
      </w:r>
      <w:r w:rsidR="001D7049">
        <w:t xml:space="preserve">, </w:t>
      </w:r>
      <w:r w:rsidR="00154B3D">
        <w:t>employers were asked to comment on the adequacy of</w:t>
      </w:r>
      <w:r w:rsidR="00E13E77">
        <w:t xml:space="preserve"> the </w:t>
      </w:r>
      <w:r w:rsidR="00DC01BB">
        <w:t>framework’s</w:t>
      </w:r>
      <w:r w:rsidR="00E13E77">
        <w:t xml:space="preserve"> description of industry currency</w:t>
      </w:r>
      <w:r w:rsidR="001D7049">
        <w:t xml:space="preserve"> and how they might </w:t>
      </w:r>
      <w:r w:rsidR="004066B4">
        <w:t>determine whether</w:t>
      </w:r>
      <w:r w:rsidR="001D7049">
        <w:t xml:space="preserve"> these requirements were being met.</w:t>
      </w:r>
      <w:r w:rsidR="00E13E77">
        <w:t xml:space="preserve"> </w:t>
      </w:r>
      <w:r w:rsidR="00C0332E">
        <w:t>T</w:t>
      </w:r>
      <w:r w:rsidR="00E13E77">
        <w:t xml:space="preserve">hey understood the intent of </w:t>
      </w:r>
      <w:r w:rsidR="006A3D1C">
        <w:t>AQTF Element</w:t>
      </w:r>
      <w:r w:rsidR="00E13E77">
        <w:t xml:space="preserve"> </w:t>
      </w:r>
      <w:r w:rsidR="006A3D1C">
        <w:t xml:space="preserve">1.4 </w:t>
      </w:r>
      <w:r w:rsidR="00E13E77">
        <w:t>in trying to require industry currency but they were generally more interested i</w:t>
      </w:r>
      <w:r w:rsidR="00C0332E">
        <w:t>n</w:t>
      </w:r>
      <w:r w:rsidR="00E13E77">
        <w:t xml:space="preserve"> how it was or was</w:t>
      </w:r>
      <w:r w:rsidR="004514A3">
        <w:t xml:space="preserve"> not</w:t>
      </w:r>
      <w:r w:rsidR="00E13E77">
        <w:t xml:space="preserve"> being done. They also </w:t>
      </w:r>
      <w:r w:rsidR="004066B4">
        <w:t>believed</w:t>
      </w:r>
      <w:r w:rsidR="00E13E77">
        <w:t xml:space="preserve"> that trainers must always be able to demonstrate that they possess</w:t>
      </w:r>
      <w:r w:rsidR="007219A1">
        <w:t>ed</w:t>
      </w:r>
      <w:r w:rsidR="00E13E77">
        <w:t xml:space="preserve"> industry</w:t>
      </w:r>
      <w:r>
        <w:t xml:space="preserve"> or </w:t>
      </w:r>
      <w:r w:rsidR="004066B4">
        <w:t>discipline-</w:t>
      </w:r>
      <w:r w:rsidR="00E13E77">
        <w:t>specific knowledge, skills and abilities</w:t>
      </w:r>
      <w:r w:rsidR="004066B4">
        <w:t>,</w:t>
      </w:r>
      <w:r w:rsidR="00E13E77">
        <w:t xml:space="preserve"> complemented </w:t>
      </w:r>
      <w:r>
        <w:t>by</w:t>
      </w:r>
      <w:r w:rsidR="00E13E77">
        <w:t xml:space="preserve"> formal industry and training qualifications. </w:t>
      </w:r>
      <w:r w:rsidR="001D7049">
        <w:t>In particular, t</w:t>
      </w:r>
      <w:r w:rsidR="00E13E77">
        <w:t xml:space="preserve">hey </w:t>
      </w:r>
      <w:r w:rsidR="00100BB1">
        <w:t>highlighted the importance of</w:t>
      </w:r>
      <w:r w:rsidR="00E13E77">
        <w:t xml:space="preserve"> </w:t>
      </w:r>
      <w:r w:rsidR="00973A7F">
        <w:t>skills</w:t>
      </w:r>
      <w:r w:rsidR="00E13E77">
        <w:t xml:space="preserve"> such as:</w:t>
      </w:r>
    </w:p>
    <w:p w:rsidR="00E13E77" w:rsidRDefault="004066B4" w:rsidP="00154B3D">
      <w:pPr>
        <w:pStyle w:val="Dotpoint1"/>
      </w:pPr>
      <w:r>
        <w:t xml:space="preserve">having </w:t>
      </w:r>
      <w:r w:rsidR="00E13E77">
        <w:t xml:space="preserve">knowledge of latest techniques and processes </w:t>
      </w:r>
    </w:p>
    <w:p w:rsidR="00E13E77" w:rsidRDefault="004066B4" w:rsidP="00154B3D">
      <w:pPr>
        <w:pStyle w:val="Dotpoint1"/>
      </w:pPr>
      <w:r>
        <w:t xml:space="preserve">possessing </w:t>
      </w:r>
      <w:r w:rsidR="00E13E77">
        <w:t>a</w:t>
      </w:r>
      <w:r w:rsidR="007D4EDB">
        <w:t xml:space="preserve"> </w:t>
      </w:r>
      <w:r w:rsidR="00E13E77">
        <w:t xml:space="preserve">high level of product knowledge </w:t>
      </w:r>
    </w:p>
    <w:p w:rsidR="00E13E77" w:rsidRDefault="004066B4" w:rsidP="00154B3D">
      <w:pPr>
        <w:pStyle w:val="Dotpoint1"/>
      </w:pPr>
      <w:r>
        <w:t xml:space="preserve">understanding </w:t>
      </w:r>
      <w:r w:rsidR="00BE1C85">
        <w:t>knowledge of occupational health and safety</w:t>
      </w:r>
      <w:r w:rsidR="00DC01BB">
        <w:t xml:space="preserve"> (OHS)</w:t>
      </w:r>
      <w:r w:rsidR="00BE1C85">
        <w:t xml:space="preserve"> and equal employment opportunity</w:t>
      </w:r>
      <w:r w:rsidR="00E13E77">
        <w:t xml:space="preserve"> </w:t>
      </w:r>
      <w:r w:rsidR="00DC01BB">
        <w:t xml:space="preserve">(EEO) </w:t>
      </w:r>
      <w:r w:rsidR="00E13E77">
        <w:t>regulations</w:t>
      </w:r>
    </w:p>
    <w:p w:rsidR="00E13E77" w:rsidRDefault="004066B4" w:rsidP="00154B3D">
      <w:pPr>
        <w:pStyle w:val="Dotpoint1"/>
      </w:pPr>
      <w:r>
        <w:t>be</w:t>
      </w:r>
      <w:r w:rsidR="00973A7F">
        <w:t>ing</w:t>
      </w:r>
      <w:r>
        <w:t xml:space="preserve"> customer/client-orient</w:t>
      </w:r>
      <w:r w:rsidR="00E13E77">
        <w:t>ed</w:t>
      </w:r>
    </w:p>
    <w:p w:rsidR="00E13E77" w:rsidRDefault="007D4EDB" w:rsidP="00154B3D">
      <w:pPr>
        <w:pStyle w:val="Dotpoint1"/>
      </w:pPr>
      <w:r>
        <w:t>possessing</w:t>
      </w:r>
      <w:r w:rsidR="004066B4">
        <w:t xml:space="preserve"> </w:t>
      </w:r>
      <w:r w:rsidR="00E13E77">
        <w:t>formal industry and training qualifications</w:t>
      </w:r>
    </w:p>
    <w:p w:rsidR="00E13E77" w:rsidRDefault="004066B4" w:rsidP="00154B3D">
      <w:pPr>
        <w:pStyle w:val="Dotpoint1"/>
      </w:pPr>
      <w:proofErr w:type="gramStart"/>
      <w:r>
        <w:t>teaching</w:t>
      </w:r>
      <w:proofErr w:type="gramEnd"/>
      <w:r>
        <w:t xml:space="preserve"> </w:t>
      </w:r>
      <w:r w:rsidR="00E13E77">
        <w:t>subject content that reflects current industry practice.</w:t>
      </w:r>
    </w:p>
    <w:p w:rsidR="00E13E77" w:rsidRDefault="00E13E77" w:rsidP="004066B4">
      <w:pPr>
        <w:pStyle w:val="Text"/>
      </w:pPr>
      <w:r>
        <w:t xml:space="preserve">Employers </w:t>
      </w:r>
      <w:r w:rsidR="00100BB1">
        <w:t>considered</w:t>
      </w:r>
      <w:r>
        <w:t xml:space="preserve"> they</w:t>
      </w:r>
      <w:r w:rsidR="004066B4">
        <w:t xml:space="preserve"> could tell if a trainer was up to </w:t>
      </w:r>
      <w:r>
        <w:t xml:space="preserve">date </w:t>
      </w:r>
      <w:r w:rsidR="004066B4">
        <w:t>from</w:t>
      </w:r>
      <w:r>
        <w:t xml:space="preserve"> the feedback </w:t>
      </w:r>
      <w:r w:rsidR="004066B4">
        <w:t>given by</w:t>
      </w:r>
      <w:r>
        <w:t xml:space="preserve"> apprentices and the skills </w:t>
      </w:r>
      <w:r w:rsidR="00793E8A">
        <w:t>their apprentices</w:t>
      </w:r>
      <w:r>
        <w:t xml:space="preserve"> </w:t>
      </w:r>
      <w:r w:rsidR="00100BB1">
        <w:t>brought</w:t>
      </w:r>
      <w:r w:rsidR="00973A7F">
        <w:t xml:space="preserve"> —</w:t>
      </w:r>
      <w:r w:rsidR="00100BB1">
        <w:t xml:space="preserve"> or did not bring</w:t>
      </w:r>
      <w:r w:rsidR="00973A7F">
        <w:t xml:space="preserve"> —</w:t>
      </w:r>
      <w:r>
        <w:t xml:space="preserve"> to the workplace. </w:t>
      </w:r>
      <w:r w:rsidR="00100BB1">
        <w:t>Equally informative was</w:t>
      </w:r>
      <w:r>
        <w:t xml:space="preserve"> feedback from other staff </w:t>
      </w:r>
      <w:r w:rsidR="004066B4">
        <w:t>who</w:t>
      </w:r>
      <w:r>
        <w:t xml:space="preserve"> </w:t>
      </w:r>
      <w:r w:rsidR="00100BB1">
        <w:t>undertook</w:t>
      </w:r>
      <w:r>
        <w:t xml:space="preserve"> training with </w:t>
      </w:r>
      <w:r w:rsidR="006276AA">
        <w:t>registered training organisations</w:t>
      </w:r>
      <w:r>
        <w:t>. Inconsistent training provision</w:t>
      </w:r>
      <w:r w:rsidR="00D9181B">
        <w:t>,</w:t>
      </w:r>
      <w:r w:rsidR="00100BB1">
        <w:t xml:space="preserve"> including the </w:t>
      </w:r>
      <w:r w:rsidR="003F609E">
        <w:t xml:space="preserve">lack of </w:t>
      </w:r>
      <w:r w:rsidR="00100BB1">
        <w:t xml:space="preserve">relevance of </w:t>
      </w:r>
      <w:r>
        <w:t>theory and practice</w:t>
      </w:r>
      <w:r w:rsidR="00D9181B">
        <w:t>,</w:t>
      </w:r>
      <w:r>
        <w:t xml:space="preserve"> was also an indicator that the vocational competence and/or industry currency was lacking. There was a general feeling amongst the hairdressing employers that these </w:t>
      </w:r>
      <w:r w:rsidR="004066B4">
        <w:t>issues</w:t>
      </w:r>
      <w:r>
        <w:t xml:space="preserve"> were harder to monitor since hairdressing </w:t>
      </w:r>
      <w:r w:rsidR="00973A7F">
        <w:t>was no longer</w:t>
      </w:r>
      <w:r>
        <w:t xml:space="preserve"> a licensed trade</w:t>
      </w:r>
      <w:r w:rsidR="00D9181B">
        <w:t>. They considered</w:t>
      </w:r>
      <w:r>
        <w:t xml:space="preserve"> that standards had fallen. </w:t>
      </w:r>
    </w:p>
    <w:p w:rsidR="00E13E77" w:rsidRDefault="00E13E77" w:rsidP="004066B4">
      <w:pPr>
        <w:pStyle w:val="Text"/>
      </w:pPr>
      <w:r>
        <w:t xml:space="preserve">One employer made the point that </w:t>
      </w:r>
      <w:r w:rsidR="004066B4">
        <w:t>currency is important,</w:t>
      </w:r>
      <w:r>
        <w:t xml:space="preserve"> but </w:t>
      </w:r>
      <w:r w:rsidR="004066B4">
        <w:t>so is</w:t>
      </w:r>
      <w:r>
        <w:t xml:space="preserve"> </w:t>
      </w:r>
      <w:r w:rsidR="004066B4">
        <w:t>‘history’; that is,</w:t>
      </w:r>
      <w:r>
        <w:t xml:space="preserve"> industry experience. The employer spoke about </w:t>
      </w:r>
      <w:r w:rsidR="006A3D1C">
        <w:t>i</w:t>
      </w:r>
      <w:r>
        <w:t xml:space="preserve">ndustry basics never changing (a sentiment echoed by others) </w:t>
      </w:r>
      <w:r w:rsidR="006A3D1C">
        <w:t xml:space="preserve">and </w:t>
      </w:r>
      <w:r>
        <w:t xml:space="preserve">that once you </w:t>
      </w:r>
      <w:r w:rsidR="00100BB1">
        <w:t>had</w:t>
      </w:r>
      <w:r>
        <w:t xml:space="preserve"> </w:t>
      </w:r>
      <w:r w:rsidR="00DC01BB">
        <w:t>acquired</w:t>
      </w:r>
      <w:r>
        <w:t xml:space="preserve"> them you </w:t>
      </w:r>
      <w:r w:rsidR="00100BB1">
        <w:t>could</w:t>
      </w:r>
      <w:r>
        <w:t xml:space="preserve"> build on them. The notion of continuous learning was more evident in the responses of the hairdressing employers</w:t>
      </w:r>
      <w:r w:rsidR="004066B4">
        <w:t>,</w:t>
      </w:r>
      <w:r>
        <w:t xml:space="preserve"> where trends and fashions in the hairdressing industry often </w:t>
      </w:r>
      <w:r w:rsidR="004066B4">
        <w:t>moved</w:t>
      </w:r>
      <w:r>
        <w:t xml:space="preserve"> in cycles and </w:t>
      </w:r>
      <w:r w:rsidR="004066B4">
        <w:t xml:space="preserve">where </w:t>
      </w:r>
      <w:r w:rsidR="006A3D1C">
        <w:t>employees were</w:t>
      </w:r>
      <w:r>
        <w:t xml:space="preserve"> also dealing with multi-</w:t>
      </w:r>
      <w:r>
        <w:lastRenderedPageBreak/>
        <w:t xml:space="preserve">generational clients who </w:t>
      </w:r>
      <w:r w:rsidR="006A3D1C">
        <w:t>did not necessarily</w:t>
      </w:r>
      <w:r>
        <w:t xml:space="preserve"> want the latest style</w:t>
      </w:r>
      <w:r w:rsidR="00100BB1">
        <w:t>.</w:t>
      </w:r>
      <w:r w:rsidR="00973A7F">
        <w:t xml:space="preserve"> </w:t>
      </w:r>
      <w:r>
        <w:t xml:space="preserve">With the printing and plumbing employers there was a notion of ‘just in time’ currency </w:t>
      </w:r>
      <w:r w:rsidR="00973A7F">
        <w:t>—</w:t>
      </w:r>
      <w:r w:rsidR="00793E8A">
        <w:t xml:space="preserve"> </w:t>
      </w:r>
      <w:r>
        <w:t>toppin</w:t>
      </w:r>
      <w:r w:rsidR="006A3D1C">
        <w:t xml:space="preserve">g up when </w:t>
      </w:r>
      <w:r w:rsidR="00973A7F">
        <w:t>required</w:t>
      </w:r>
      <w:r w:rsidR="006A3D1C">
        <w:t xml:space="preserve"> for new client or </w:t>
      </w:r>
      <w:r>
        <w:t xml:space="preserve">industry needs. </w:t>
      </w:r>
    </w:p>
    <w:p w:rsidR="00E13E77" w:rsidRDefault="00E13E77" w:rsidP="004066B4">
      <w:pPr>
        <w:pStyle w:val="Text"/>
      </w:pPr>
      <w:r>
        <w:t>Industry currency also played a part in the employers’ decision to choose a training provider</w:t>
      </w:r>
      <w:r w:rsidR="004066B4">
        <w:t>,</w:t>
      </w:r>
      <w:r>
        <w:t xml:space="preserve"> with most using a range of </w:t>
      </w:r>
      <w:r w:rsidR="004066B4">
        <w:t>criteria</w:t>
      </w:r>
      <w:r w:rsidR="006A3D1C">
        <w:t>. K</w:t>
      </w:r>
      <w:r>
        <w:t xml:space="preserve">ey among these </w:t>
      </w:r>
      <w:r w:rsidR="006A3D1C">
        <w:t>were</w:t>
      </w:r>
      <w:r>
        <w:t xml:space="preserve"> </w:t>
      </w:r>
      <w:r w:rsidR="004066B4">
        <w:t xml:space="preserve">the </w:t>
      </w:r>
      <w:r>
        <w:t>relevant experience and reputation of the training provider in both the training arena and the particular</w:t>
      </w:r>
      <w:r w:rsidR="006A3D1C">
        <w:t xml:space="preserve"> industry</w:t>
      </w:r>
      <w:r w:rsidR="00DC01BB">
        <w:t>;</w:t>
      </w:r>
      <w:r>
        <w:t xml:space="preserve"> </w:t>
      </w:r>
      <w:r w:rsidR="004066B4">
        <w:t xml:space="preserve">the </w:t>
      </w:r>
      <w:r>
        <w:t>industry knowledge and experience of trainers</w:t>
      </w:r>
      <w:r w:rsidR="00DC01BB">
        <w:t>;</w:t>
      </w:r>
      <w:r w:rsidR="006A3D1C">
        <w:t xml:space="preserve"> previous testimonials</w:t>
      </w:r>
      <w:r w:rsidR="00DC01BB">
        <w:t>;</w:t>
      </w:r>
      <w:r>
        <w:t xml:space="preserve"> and the ability to transfer ‘rea</w:t>
      </w:r>
      <w:r w:rsidR="006A3D1C">
        <w:t xml:space="preserve">l world’ skills to the students or </w:t>
      </w:r>
      <w:r>
        <w:t>staff.</w:t>
      </w:r>
    </w:p>
    <w:p w:rsidR="00E13E77" w:rsidRDefault="00E13E77" w:rsidP="004066B4">
      <w:pPr>
        <w:pStyle w:val="Text"/>
      </w:pPr>
      <w:r>
        <w:t xml:space="preserve">As </w:t>
      </w:r>
      <w:r w:rsidR="00793E8A">
        <w:t>might have been expected,</w:t>
      </w:r>
      <w:r>
        <w:t xml:space="preserve"> the auditors had a good understanding of vocational competence as described in the </w:t>
      </w:r>
      <w:r w:rsidR="00973A7F">
        <w:t>Austral</w:t>
      </w:r>
      <w:r w:rsidR="00DC01BB">
        <w:t>ian Quality Training Framework</w:t>
      </w:r>
      <w:r>
        <w:t>. They viewed industry currency as a component of vocational competence but not necessarily as interchangeable with industry competence</w:t>
      </w:r>
      <w:r w:rsidR="004066B4">
        <w:t>,</w:t>
      </w:r>
      <w:r>
        <w:t xml:space="preserve"> which was a broader concept. One auditor described industry currency as being ‘the maintenance and extension of vocational competence’.</w:t>
      </w:r>
      <w:r w:rsidR="006A3D1C">
        <w:t xml:space="preserve"> </w:t>
      </w:r>
      <w:r>
        <w:t>The question of interpreting and applying the requirements of the AQTF Element 1.4 in relation to industry currenc</w:t>
      </w:r>
      <w:r w:rsidR="008F1453">
        <w:t>y</w:t>
      </w:r>
      <w:r w:rsidR="006A3D1C">
        <w:t xml:space="preserve">, however, </w:t>
      </w:r>
      <w:r w:rsidR="008F1453">
        <w:t xml:space="preserve">was a more vexed issue. </w:t>
      </w:r>
      <w:r w:rsidR="006A3D1C">
        <w:t>Both auditors</w:t>
      </w:r>
      <w:r w:rsidR="008F1453">
        <w:t xml:space="preserve"> </w:t>
      </w:r>
      <w:r>
        <w:t xml:space="preserve">agreed that trainers and assessors needed to provide actual examples of how they were meeting the requirements. They </w:t>
      </w:r>
      <w:r w:rsidR="004066B4">
        <w:t>discussed</w:t>
      </w:r>
      <w:r>
        <w:t xml:space="preserve"> the need to see evidence of the systems that </w:t>
      </w:r>
      <w:r w:rsidR="006A3D1C">
        <w:t>registered training organisations had</w:t>
      </w:r>
      <w:r>
        <w:t xml:space="preserve"> in place to ensure that trainers and assessors </w:t>
      </w:r>
      <w:r w:rsidR="006A3D1C">
        <w:t>were</w:t>
      </w:r>
      <w:r>
        <w:t xml:space="preserve"> und</w:t>
      </w:r>
      <w:r w:rsidR="006A3D1C">
        <w:t>ertaking continuous development</w:t>
      </w:r>
      <w:r>
        <w:t xml:space="preserve"> and the d</w:t>
      </w:r>
      <w:r w:rsidR="004066B4">
        <w:t xml:space="preserve">ifficulties of confirming this </w:t>
      </w:r>
      <w:r>
        <w:t xml:space="preserve">for compliance purposes. </w:t>
      </w:r>
    </w:p>
    <w:p w:rsidR="00E13E77" w:rsidRDefault="00973A7F" w:rsidP="004066B4">
      <w:pPr>
        <w:pStyle w:val="Text"/>
      </w:pPr>
      <w:r>
        <w:t xml:space="preserve">According to the </w:t>
      </w:r>
      <w:r w:rsidR="00C70FAD">
        <w:t>auditors</w:t>
      </w:r>
      <w:r>
        <w:t xml:space="preserve">, the ideal situation </w:t>
      </w:r>
      <w:r w:rsidR="00C70FAD">
        <w:t>encompassed</w:t>
      </w:r>
      <w:r>
        <w:t xml:space="preserve"> i</w:t>
      </w:r>
      <w:r w:rsidR="00E13E77">
        <w:t xml:space="preserve">dentifying </w:t>
      </w:r>
      <w:r w:rsidR="006A3D1C">
        <w:t xml:space="preserve">a </w:t>
      </w:r>
      <w:r w:rsidR="00E13E77">
        <w:t xml:space="preserve">planned </w:t>
      </w:r>
      <w:r w:rsidR="006963A0">
        <w:t>professional development</w:t>
      </w:r>
      <w:r w:rsidR="00E13E77">
        <w:t xml:space="preserve"> </w:t>
      </w:r>
      <w:r w:rsidR="006A3D1C">
        <w:t>activity</w:t>
      </w:r>
      <w:r w:rsidR="00E13E77">
        <w:t xml:space="preserve"> linked back to what the </w:t>
      </w:r>
      <w:r w:rsidR="006A3D1C">
        <w:t>training provider</w:t>
      </w:r>
      <w:r w:rsidR="00E13E77">
        <w:t xml:space="preserve"> </w:t>
      </w:r>
      <w:r w:rsidR="008F1453">
        <w:t>was</w:t>
      </w:r>
      <w:r w:rsidR="00E13E77">
        <w:t xml:space="preserve"> delivering and </w:t>
      </w:r>
      <w:r w:rsidR="004066B4">
        <w:t xml:space="preserve">which was </w:t>
      </w:r>
      <w:r w:rsidR="00E13E77">
        <w:t xml:space="preserve">informed by a good understanding of </w:t>
      </w:r>
      <w:r w:rsidR="00C70FAD">
        <w:t>the direction in which</w:t>
      </w:r>
      <w:r w:rsidR="00E13E77">
        <w:t xml:space="preserve"> the industry </w:t>
      </w:r>
      <w:r w:rsidR="008F1453">
        <w:t>was</w:t>
      </w:r>
      <w:r w:rsidR="00C70FAD">
        <w:t xml:space="preserve"> headed</w:t>
      </w:r>
      <w:r w:rsidR="00131B01">
        <w:t>. However, they indicated that</w:t>
      </w:r>
      <w:r w:rsidR="00E13E77">
        <w:t xml:space="preserve"> in their experience the situation </w:t>
      </w:r>
      <w:r w:rsidR="00131B01">
        <w:t>was</w:t>
      </w:r>
      <w:r w:rsidR="00E13E77">
        <w:t xml:space="preserve"> often less than ideal.</w:t>
      </w:r>
    </w:p>
    <w:p w:rsidR="00E13E77" w:rsidRDefault="00131B01" w:rsidP="00A32694">
      <w:pPr>
        <w:pStyle w:val="Text"/>
      </w:pPr>
      <w:r>
        <w:t>Like the a</w:t>
      </w:r>
      <w:r w:rsidR="00E13E77">
        <w:t>uditors</w:t>
      </w:r>
      <w:r w:rsidR="00DC01BB">
        <w:t>,</w:t>
      </w:r>
      <w:r w:rsidR="00E13E77">
        <w:t xml:space="preserve"> the </w:t>
      </w:r>
      <w:r w:rsidR="004066B4">
        <w:t>i</w:t>
      </w:r>
      <w:r w:rsidR="00D3759F">
        <w:t>ndustry skills council</w:t>
      </w:r>
      <w:r w:rsidR="004066B4">
        <w:t xml:space="preserve"> </w:t>
      </w:r>
      <w:r w:rsidR="00E13E77">
        <w:t>representatives viewed industry currency as an element of vocational competency</w:t>
      </w:r>
      <w:r w:rsidR="004066B4">
        <w:t>, with one commenting</w:t>
      </w:r>
      <w:r w:rsidR="00E13E77">
        <w:t xml:space="preserve"> that vocational competence was a deeper level of understanding and experience</w:t>
      </w:r>
      <w:r w:rsidR="004066B4">
        <w:t>, one</w:t>
      </w:r>
      <w:r w:rsidR="00E13E77">
        <w:t xml:space="preserve"> that underpin</w:t>
      </w:r>
      <w:r>
        <w:t>ned</w:t>
      </w:r>
      <w:r w:rsidR="00E13E77">
        <w:t xml:space="preserve"> a person’s knowledge and last</w:t>
      </w:r>
      <w:r>
        <w:t>ed</w:t>
      </w:r>
      <w:r w:rsidR="00E13E77">
        <w:t xml:space="preserve"> longer than industry currency. </w:t>
      </w:r>
      <w:r w:rsidR="004066B4">
        <w:t>By</w:t>
      </w:r>
      <w:r>
        <w:t xml:space="preserve"> contrast, i</w:t>
      </w:r>
      <w:r w:rsidR="00E13E77">
        <w:t xml:space="preserve">ndustry currency </w:t>
      </w:r>
      <w:r w:rsidR="0061472B">
        <w:t>was</w:t>
      </w:r>
      <w:r w:rsidR="004066B4">
        <w:t xml:space="preserve"> a </w:t>
      </w:r>
      <w:r w:rsidR="00A32694">
        <w:t>more expedient</w:t>
      </w:r>
      <w:r w:rsidR="004066B4">
        <w:t xml:space="preserve"> notion:</w:t>
      </w:r>
      <w:r w:rsidR="00E13E77">
        <w:t xml:space="preserve"> it </w:t>
      </w:r>
      <w:r w:rsidR="0061472B">
        <w:t>was</w:t>
      </w:r>
      <w:r w:rsidR="00E13E77">
        <w:t xml:space="preserve"> </w:t>
      </w:r>
      <w:r w:rsidR="0061472B">
        <w:t>something that could be gained or brushed up</w:t>
      </w:r>
      <w:r w:rsidR="00E13E77">
        <w:t xml:space="preserve"> on relatively quickly</w:t>
      </w:r>
      <w:r w:rsidR="00A32694">
        <w:t>,</w:t>
      </w:r>
      <w:r w:rsidR="00E13E77">
        <w:t xml:space="preserve"> </w:t>
      </w:r>
      <w:r w:rsidR="0061472B">
        <w:t>given</w:t>
      </w:r>
      <w:r w:rsidR="00E13E77">
        <w:t xml:space="preserve"> a strong understanding of the industry</w:t>
      </w:r>
      <w:r>
        <w:t>. This</w:t>
      </w:r>
      <w:r w:rsidR="0061472B">
        <w:t xml:space="preserve"> view </w:t>
      </w:r>
      <w:r>
        <w:t xml:space="preserve">was </w:t>
      </w:r>
      <w:r w:rsidR="0061472B">
        <w:t>echoed by employers</w:t>
      </w:r>
      <w:r w:rsidR="00E13E77">
        <w:t xml:space="preserve">. </w:t>
      </w:r>
    </w:p>
    <w:p w:rsidR="00E13E77" w:rsidRDefault="00E13E77" w:rsidP="00A32694">
      <w:pPr>
        <w:pStyle w:val="Text"/>
      </w:pPr>
      <w:r>
        <w:t xml:space="preserve">From </w:t>
      </w:r>
      <w:r w:rsidR="00A32694">
        <w:t>the</w:t>
      </w:r>
      <w:r>
        <w:t xml:space="preserve"> </w:t>
      </w:r>
      <w:r w:rsidR="00A32694">
        <w:t xml:space="preserve">perspective of </w:t>
      </w:r>
      <w:r>
        <w:t>industry associations</w:t>
      </w:r>
      <w:r w:rsidR="00A32694">
        <w:t>,</w:t>
      </w:r>
      <w:r>
        <w:t xml:space="preserve"> industry currency was understood to mean that a person </w:t>
      </w:r>
      <w:r w:rsidR="00A32694">
        <w:t>possessed</w:t>
      </w:r>
      <w:r>
        <w:t xml:space="preserve"> good underpinning knowledge, good technical capability and was as up to date as possible with changing practices, new technologies and emerging work patterns. All three interviewees agreed that industries themselves var</w:t>
      </w:r>
      <w:r w:rsidR="00A52439">
        <w:t>ied</w:t>
      </w:r>
      <w:r>
        <w:t xml:space="preserve"> in their own currency and many </w:t>
      </w:r>
      <w:r w:rsidR="00A32694">
        <w:t>small-to-</w:t>
      </w:r>
      <w:r w:rsidR="0061472B">
        <w:t>medium enterprises</w:t>
      </w:r>
      <w:r>
        <w:t xml:space="preserve"> battle</w:t>
      </w:r>
      <w:r w:rsidR="00A52439">
        <w:t>d</w:t>
      </w:r>
      <w:r>
        <w:t xml:space="preserve"> to keep </w:t>
      </w:r>
      <w:r w:rsidR="00C70FAD">
        <w:t>up to date</w:t>
      </w:r>
      <w:r>
        <w:t xml:space="preserve">. </w:t>
      </w:r>
    </w:p>
    <w:p w:rsidR="00C30B59" w:rsidRDefault="00BC492F" w:rsidP="00FB2F89">
      <w:pPr>
        <w:pStyle w:val="Heading3"/>
      </w:pPr>
      <w:r>
        <w:t>The importance of industry currency</w:t>
      </w:r>
    </w:p>
    <w:p w:rsidR="00BC492F" w:rsidRDefault="00BC492F" w:rsidP="004D4FBB">
      <w:pPr>
        <w:pStyle w:val="Textlessbefore"/>
      </w:pPr>
      <w:r>
        <w:t xml:space="preserve">All employers agreed that </w:t>
      </w:r>
      <w:r w:rsidR="00E64CB7">
        <w:t>trainers’ industry currency was</w:t>
      </w:r>
      <w:r>
        <w:t xml:space="preserve"> </w:t>
      </w:r>
      <w:r w:rsidR="00A32694">
        <w:t>critical in their industry, considering</w:t>
      </w:r>
      <w:r>
        <w:t xml:space="preserve"> that </w:t>
      </w:r>
      <w:r w:rsidR="00E9742D">
        <w:t>training providers</w:t>
      </w:r>
      <w:r>
        <w:t xml:space="preserve"> </w:t>
      </w:r>
      <w:r w:rsidR="00A32694">
        <w:t>should</w:t>
      </w:r>
      <w:r w:rsidR="00DC01BB">
        <w:t xml:space="preserve"> be forward-</w:t>
      </w:r>
      <w:r>
        <w:t>thinking and assisting business to take a broad industry view. One</w:t>
      </w:r>
      <w:r w:rsidR="004D4FBB">
        <w:t> </w:t>
      </w:r>
      <w:r>
        <w:t xml:space="preserve">employer described the local TAFE </w:t>
      </w:r>
      <w:r w:rsidR="00A32694">
        <w:t xml:space="preserve">(technical and further education) institute </w:t>
      </w:r>
      <w:r>
        <w:t xml:space="preserve">as leading the employers (plumbers) with new practices. </w:t>
      </w:r>
      <w:r w:rsidRPr="00BC492F">
        <w:t xml:space="preserve">Industry currency also gave learners, clients, business owners and the industry a sense of confidence in the reputation of </w:t>
      </w:r>
      <w:r w:rsidR="00E64CB7">
        <w:t>a</w:t>
      </w:r>
      <w:r w:rsidRPr="00BC492F">
        <w:t xml:space="preserve"> training provider and it</w:t>
      </w:r>
      <w:r w:rsidR="00E64CB7">
        <w:t>s</w:t>
      </w:r>
      <w:r w:rsidRPr="00BC492F">
        <w:t xml:space="preserve"> trainers.</w:t>
      </w:r>
      <w:r>
        <w:t xml:space="preserve"> </w:t>
      </w:r>
    </w:p>
    <w:p w:rsidR="00BC492F" w:rsidRDefault="00A32694" w:rsidP="004D4FBB">
      <w:pPr>
        <w:pStyle w:val="Text"/>
        <w:ind w:right="-143"/>
      </w:pPr>
      <w:r>
        <w:t>Possessing trade-</w:t>
      </w:r>
      <w:r w:rsidR="00BC492F">
        <w:t xml:space="preserve">specific knowledge was </w:t>
      </w:r>
      <w:r w:rsidR="00E9742D">
        <w:t xml:space="preserve">seen as </w:t>
      </w:r>
      <w:r w:rsidR="00BC492F">
        <w:t>vital for trainers</w:t>
      </w:r>
      <w:r>
        <w:t>,</w:t>
      </w:r>
      <w:r w:rsidR="00BC492F">
        <w:t xml:space="preserve"> particularly in the licensed trades</w:t>
      </w:r>
      <w:r w:rsidR="00DC01BB">
        <w:t>,</w:t>
      </w:r>
      <w:r w:rsidR="00BC492F">
        <w:t xml:space="preserve"> where know</w:t>
      </w:r>
      <w:r>
        <w:t>ledge of</w:t>
      </w:r>
      <w:r w:rsidR="00BC492F">
        <w:t xml:space="preserve"> </w:t>
      </w:r>
      <w:r w:rsidR="00E9742D">
        <w:t>current</w:t>
      </w:r>
      <w:r w:rsidR="00BC492F">
        <w:t xml:space="preserve"> rules and regulations </w:t>
      </w:r>
      <w:r>
        <w:t xml:space="preserve">was essential for </w:t>
      </w:r>
      <w:r w:rsidR="00E9742D">
        <w:t>ensur</w:t>
      </w:r>
      <w:r w:rsidR="00C70FAD">
        <w:t>ing</w:t>
      </w:r>
      <w:r w:rsidR="00BC492F">
        <w:t xml:space="preserve"> that apprentice</w:t>
      </w:r>
      <w:r>
        <w:t>s were well prepared. Similarly</w:t>
      </w:r>
      <w:r w:rsidR="00BC492F">
        <w:t xml:space="preserve"> </w:t>
      </w:r>
      <w:r>
        <w:t xml:space="preserve">in hairdressing, </w:t>
      </w:r>
      <w:r w:rsidR="00BC492F">
        <w:t>knowledge of the latest style</w:t>
      </w:r>
      <w:r w:rsidR="00DC01BB">
        <w:t>s, processes or methods in hair</w:t>
      </w:r>
      <w:r w:rsidR="00BC492F">
        <w:t xml:space="preserve">styling and product knowledge enabled </w:t>
      </w:r>
      <w:r w:rsidR="00E9742D">
        <w:t>a</w:t>
      </w:r>
      <w:r w:rsidR="00BC492F">
        <w:t xml:space="preserve"> trainer to demonstrate credibility with learners and salon staff. </w:t>
      </w:r>
      <w:r w:rsidR="00BC492F">
        <w:lastRenderedPageBreak/>
        <w:t xml:space="preserve">Employers also </w:t>
      </w:r>
      <w:r>
        <w:t>considered</w:t>
      </w:r>
      <w:r w:rsidR="00BC492F">
        <w:t xml:space="preserve"> it was important to understand t</w:t>
      </w:r>
      <w:r>
        <w:t>he broader aspects of the trade</w:t>
      </w:r>
      <w:r w:rsidR="00DC01BB">
        <w:t>,</w:t>
      </w:r>
      <w:r>
        <w:t xml:space="preserve"> </w:t>
      </w:r>
      <w:r w:rsidR="00BC492F">
        <w:t xml:space="preserve">as they sometimes </w:t>
      </w:r>
      <w:r w:rsidR="009D4D1B">
        <w:t>sought</w:t>
      </w:r>
      <w:r w:rsidR="00BC492F">
        <w:t xml:space="preserve"> advice from trainers on a range of issues not necessarily directly related to training.</w:t>
      </w:r>
    </w:p>
    <w:p w:rsidR="00BC492F" w:rsidRDefault="00BC492F" w:rsidP="00A32694">
      <w:pPr>
        <w:pStyle w:val="Text"/>
      </w:pPr>
      <w:r>
        <w:t>On the question of whether</w:t>
      </w:r>
      <w:r w:rsidR="00C70FAD">
        <w:t>, on</w:t>
      </w:r>
      <w:r w:rsidR="00A32694">
        <w:t xml:space="preserve"> engaging a trainer</w:t>
      </w:r>
      <w:r w:rsidR="00C70FAD">
        <w:t>,</w:t>
      </w:r>
      <w:r>
        <w:t xml:space="preserve"> the employer ask</w:t>
      </w:r>
      <w:r w:rsidR="00E9742D">
        <w:t>ed</w:t>
      </w:r>
      <w:r>
        <w:t xml:space="preserve"> about their industry knowledge</w:t>
      </w:r>
      <w:r w:rsidR="00505D7E">
        <w:t>,</w:t>
      </w:r>
      <w:r>
        <w:t xml:space="preserve"> the hairdressing employers were more likely to </w:t>
      </w:r>
      <w:r w:rsidR="00C70FAD">
        <w:t>show concern</w:t>
      </w:r>
      <w:r>
        <w:t xml:space="preserve"> in this area. Three of the five indicated they asked about industry knowledge and provided examples of the information they sought</w:t>
      </w:r>
      <w:r w:rsidR="00505D7E">
        <w:t>.</w:t>
      </w:r>
      <w:r>
        <w:t xml:space="preserve"> </w:t>
      </w:r>
      <w:r w:rsidR="00505D7E">
        <w:t xml:space="preserve">This </w:t>
      </w:r>
      <w:r w:rsidR="00E9742D">
        <w:t>included</w:t>
      </w:r>
      <w:r>
        <w:t xml:space="preserve"> a summary of the trainer</w:t>
      </w:r>
      <w:r w:rsidR="00A32694">
        <w:t>’s</w:t>
      </w:r>
      <w:r w:rsidR="00C70FAD">
        <w:t xml:space="preserve"> salon, industry</w:t>
      </w:r>
      <w:r>
        <w:t xml:space="preserve"> and trade show experiences</w:t>
      </w:r>
      <w:r w:rsidR="00C70FAD">
        <w:t>,</w:t>
      </w:r>
      <w:r>
        <w:t xml:space="preserve"> and information about the</w:t>
      </w:r>
      <w:r w:rsidR="00A32694">
        <w:t xml:space="preserve">ir </w:t>
      </w:r>
      <w:r>
        <w:t>pr</w:t>
      </w:r>
      <w:r w:rsidR="00A32694">
        <w:t>oduct knowledge. Nevertheless,</w:t>
      </w:r>
      <w:r>
        <w:t xml:space="preserve"> industry knowledge </w:t>
      </w:r>
      <w:r w:rsidR="009D4D1B">
        <w:t>was</w:t>
      </w:r>
      <w:r>
        <w:t xml:space="preserve"> important for the licen</w:t>
      </w:r>
      <w:r w:rsidR="009D4D1B">
        <w:t>s</w:t>
      </w:r>
      <w:r>
        <w:t>ed trades</w:t>
      </w:r>
      <w:r w:rsidR="00C125F0">
        <w:t>,</w:t>
      </w:r>
      <w:r>
        <w:t xml:space="preserve"> </w:t>
      </w:r>
      <w:r w:rsidR="00A32694">
        <w:t xml:space="preserve">with </w:t>
      </w:r>
      <w:r w:rsidR="00C125F0">
        <w:t xml:space="preserve">one </w:t>
      </w:r>
      <w:r>
        <w:t>of the p</w:t>
      </w:r>
      <w:r w:rsidR="00A32694">
        <w:t>lumbing employers describing</w:t>
      </w:r>
      <w:r>
        <w:t xml:space="preserve"> it as a ‘matter of faith’</w:t>
      </w:r>
      <w:r w:rsidR="00A32694">
        <w:t>,</w:t>
      </w:r>
      <w:r>
        <w:t xml:space="preserve"> </w:t>
      </w:r>
      <w:r w:rsidR="00C125F0">
        <w:t xml:space="preserve">suggesting </w:t>
      </w:r>
      <w:r>
        <w:t xml:space="preserve">that the </w:t>
      </w:r>
      <w:r w:rsidR="006276AA">
        <w:t>registered training</w:t>
      </w:r>
      <w:r>
        <w:t xml:space="preserve"> </w:t>
      </w:r>
      <w:r w:rsidR="006276AA">
        <w:t xml:space="preserve">organisation </w:t>
      </w:r>
      <w:r>
        <w:t>was a professional organisation and would</w:t>
      </w:r>
      <w:r w:rsidR="00E64CB7">
        <w:t>, therefore,</w:t>
      </w:r>
      <w:r w:rsidR="009D4D1B">
        <w:t xml:space="preserve"> employ people with up-to-</w:t>
      </w:r>
      <w:r>
        <w:t>date qualifications and knowledge.</w:t>
      </w:r>
    </w:p>
    <w:p w:rsidR="00BC492F" w:rsidRDefault="00BC492F" w:rsidP="00A67983">
      <w:pPr>
        <w:pStyle w:val="Text"/>
      </w:pPr>
      <w:r>
        <w:t xml:space="preserve">Auditors considered industry currency (or </w:t>
      </w:r>
      <w:r w:rsidR="00E64CB7">
        <w:t xml:space="preserve">the </w:t>
      </w:r>
      <w:r>
        <w:t>lack of it) to be a significant risk factor for audit compliance</w:t>
      </w:r>
      <w:r w:rsidR="00A32694">
        <w:t>,</w:t>
      </w:r>
      <w:r>
        <w:t xml:space="preserve"> particularly for </w:t>
      </w:r>
      <w:r w:rsidR="00A32694">
        <w:t xml:space="preserve">the </w:t>
      </w:r>
      <w:r>
        <w:t xml:space="preserve">assessment of training. </w:t>
      </w:r>
      <w:r w:rsidR="00A32694">
        <w:t>T</w:t>
      </w:r>
      <w:r>
        <w:t xml:space="preserve">rainers and assessors </w:t>
      </w:r>
      <w:r w:rsidR="00A32694">
        <w:t>with a</w:t>
      </w:r>
      <w:r w:rsidR="009D4D1B">
        <w:t xml:space="preserve"> limited understanding of</w:t>
      </w:r>
      <w:r>
        <w:t xml:space="preserve"> how the industry </w:t>
      </w:r>
      <w:r w:rsidR="00A32694">
        <w:t>operated</w:t>
      </w:r>
      <w:r>
        <w:t xml:space="preserve"> </w:t>
      </w:r>
      <w:r w:rsidR="009D4D1B">
        <w:t>would</w:t>
      </w:r>
      <w:r>
        <w:t xml:space="preserve"> be unable to ensure </w:t>
      </w:r>
      <w:r w:rsidR="00C70FAD">
        <w:t xml:space="preserve">that </w:t>
      </w:r>
      <w:r w:rsidR="009D4D1B">
        <w:t>training was</w:t>
      </w:r>
      <w:r>
        <w:t xml:space="preserve"> relevant and that the assessment me</w:t>
      </w:r>
      <w:r w:rsidR="009D4D1B">
        <w:t>t</w:t>
      </w:r>
      <w:r>
        <w:t xml:space="preserve"> the needs and standards of industry. The</w:t>
      </w:r>
      <w:r w:rsidR="00A67983">
        <w:t xml:space="preserve"> auditors</w:t>
      </w:r>
      <w:r>
        <w:t xml:space="preserve"> considered </w:t>
      </w:r>
      <w:r w:rsidR="00A67983">
        <w:t xml:space="preserve">that </w:t>
      </w:r>
      <w:r>
        <w:t>the abilit</w:t>
      </w:r>
      <w:r w:rsidR="00A67983">
        <w:t>y to exercise professional judg</w:t>
      </w:r>
      <w:r>
        <w:t xml:space="preserve">ment in assessment would be compromised by a lack of currency. And while </w:t>
      </w:r>
      <w:r w:rsidR="006276AA">
        <w:t>registered training organisations</w:t>
      </w:r>
      <w:r w:rsidR="006335BF">
        <w:t xml:space="preserve"> were</w:t>
      </w:r>
      <w:r>
        <w:t xml:space="preserve"> </w:t>
      </w:r>
      <w:r w:rsidR="006335BF">
        <w:t>‘</w:t>
      </w:r>
      <w:r>
        <w:t>getting better’ at understanding these issues</w:t>
      </w:r>
      <w:r w:rsidR="00A67983">
        <w:t>,</w:t>
      </w:r>
      <w:r>
        <w:t xml:space="preserve"> there was still a long way to go, particularly whe</w:t>
      </w:r>
      <w:r w:rsidR="00A67983">
        <w:t>n</w:t>
      </w:r>
      <w:r>
        <w:t xml:space="preserve"> trainers had been out of an industry for a long time.</w:t>
      </w:r>
    </w:p>
    <w:p w:rsidR="00BC492F" w:rsidRDefault="00A67983" w:rsidP="00A67983">
      <w:pPr>
        <w:pStyle w:val="Text"/>
      </w:pPr>
      <w:r>
        <w:t>Professional a</w:t>
      </w:r>
      <w:r w:rsidR="00BC492F">
        <w:t xml:space="preserve">ssociations agreed </w:t>
      </w:r>
      <w:r w:rsidR="00E64CB7">
        <w:t xml:space="preserve">that </w:t>
      </w:r>
      <w:r w:rsidR="00BC492F">
        <w:t xml:space="preserve">the industry currency of trainers </w:t>
      </w:r>
      <w:r w:rsidR="009D4D1B">
        <w:t>was</w:t>
      </w:r>
      <w:r w:rsidR="00BC492F">
        <w:t xml:space="preserve"> important but saw it as only one of a numbe</w:t>
      </w:r>
      <w:r>
        <w:t>r of competing issues, agreeing also</w:t>
      </w:r>
      <w:r w:rsidR="00BC492F">
        <w:t xml:space="preserve"> t</w:t>
      </w:r>
      <w:r>
        <w:t>hat industry currency and trade-</w:t>
      </w:r>
      <w:r w:rsidR="00BC492F">
        <w:t>specific knowledge w</w:t>
      </w:r>
      <w:r>
        <w:t>ere</w:t>
      </w:r>
      <w:r w:rsidR="00BC492F">
        <w:t xml:space="preserve"> important</w:t>
      </w:r>
      <w:r>
        <w:t>.</w:t>
      </w:r>
      <w:r w:rsidR="00BC492F">
        <w:t xml:space="preserve"> </w:t>
      </w:r>
    </w:p>
    <w:p w:rsidR="00BC492F" w:rsidRPr="00BC492F" w:rsidRDefault="00BC492F" w:rsidP="00D93322">
      <w:pPr>
        <w:pStyle w:val="Text"/>
      </w:pPr>
      <w:r>
        <w:t xml:space="preserve">When asked </w:t>
      </w:r>
      <w:r w:rsidR="00C70FAD">
        <w:t>whether the degree of</w:t>
      </w:r>
      <w:r>
        <w:t xml:space="preserve"> </w:t>
      </w:r>
      <w:r w:rsidR="00A67983">
        <w:t xml:space="preserve">importance of </w:t>
      </w:r>
      <w:r>
        <w:t>industry currency depend</w:t>
      </w:r>
      <w:r w:rsidR="00A67983">
        <w:t>ed</w:t>
      </w:r>
      <w:r>
        <w:t xml:space="preserve"> on the type of training </w:t>
      </w:r>
      <w:r w:rsidR="005B4BD4">
        <w:t xml:space="preserve">being </w:t>
      </w:r>
      <w:r w:rsidR="00A67983">
        <w:t xml:space="preserve">undertaken </w:t>
      </w:r>
      <w:r w:rsidR="00D93322">
        <w:t>—</w:t>
      </w:r>
      <w:r w:rsidR="00A67983">
        <w:t xml:space="preserve"> </w:t>
      </w:r>
      <w:r>
        <w:t xml:space="preserve">training an apprentice, </w:t>
      </w:r>
      <w:r w:rsidR="00A67983">
        <w:t xml:space="preserve">for </w:t>
      </w:r>
      <w:r>
        <w:t>formal or informal qualifications, or for a clear vocational outc</w:t>
      </w:r>
      <w:r w:rsidR="00A67983">
        <w:t xml:space="preserve">ome </w:t>
      </w:r>
      <w:r w:rsidR="00D93322">
        <w:t>—</w:t>
      </w:r>
      <w:r w:rsidR="005B4BD4">
        <w:t xml:space="preserve"> employers agreed </w:t>
      </w:r>
      <w:r w:rsidR="00A67983">
        <w:t xml:space="preserve">that the </w:t>
      </w:r>
      <w:r>
        <w:t xml:space="preserve">same level of importance </w:t>
      </w:r>
      <w:r w:rsidR="00A67983">
        <w:t>applied to</w:t>
      </w:r>
      <w:r>
        <w:t xml:space="preserve"> all types of training</w:t>
      </w:r>
      <w:r w:rsidR="005B4BD4">
        <w:t>.</w:t>
      </w:r>
      <w:r>
        <w:t xml:space="preserve"> One employer spoke about </w:t>
      </w:r>
      <w:r w:rsidR="00D93322">
        <w:t xml:space="preserve">trainers’ </w:t>
      </w:r>
      <w:r>
        <w:t>industry relevance being of vital importance for apprentices because they ne</w:t>
      </w:r>
      <w:r w:rsidR="005B4BD4">
        <w:t xml:space="preserve">eded to be </w:t>
      </w:r>
      <w:r w:rsidR="00D93322">
        <w:t xml:space="preserve">supplied with the </w:t>
      </w:r>
      <w:r w:rsidR="005B4BD4">
        <w:t>most up-to-</w:t>
      </w:r>
      <w:r>
        <w:t xml:space="preserve">date </w:t>
      </w:r>
      <w:r w:rsidR="00D93322">
        <w:t>information</w:t>
      </w:r>
      <w:r>
        <w:t xml:space="preserve">. In general it was considered that all training should be </w:t>
      </w:r>
      <w:r w:rsidR="00C70FAD">
        <w:t>conducted</w:t>
      </w:r>
      <w:r>
        <w:t xml:space="preserve"> by the best trainer </w:t>
      </w:r>
      <w:r w:rsidR="00C70FAD">
        <w:t>available</w:t>
      </w:r>
      <w:r w:rsidR="00EC7F00">
        <w:t>, particularly</w:t>
      </w:r>
      <w:r w:rsidR="005B4BD4">
        <w:t xml:space="preserve"> </w:t>
      </w:r>
      <w:r>
        <w:t xml:space="preserve">as </w:t>
      </w:r>
      <w:r w:rsidR="005B4BD4">
        <w:t>training was done</w:t>
      </w:r>
      <w:r>
        <w:t xml:space="preserve"> during work hours and </w:t>
      </w:r>
      <w:r w:rsidR="005B4BD4">
        <w:t>employers needed to</w:t>
      </w:r>
      <w:r>
        <w:t xml:space="preserve"> get value for their time and money.</w:t>
      </w:r>
      <w:r w:rsidR="007D4EDB">
        <w:t xml:space="preserve"> </w:t>
      </w:r>
    </w:p>
    <w:p w:rsidR="002D52E2" w:rsidRDefault="002D52E2" w:rsidP="004D4FBB">
      <w:pPr>
        <w:pStyle w:val="Heading2"/>
      </w:pPr>
      <w:bookmarkStart w:id="48" w:name="_Toc357518792"/>
      <w:r>
        <w:t>Technological innovation and keeping pace with change</w:t>
      </w:r>
      <w:bookmarkEnd w:id="48"/>
    </w:p>
    <w:p w:rsidR="002D52E2" w:rsidRDefault="002D52E2" w:rsidP="00D93322">
      <w:pPr>
        <w:pStyle w:val="Text"/>
      </w:pPr>
      <w:r>
        <w:t xml:space="preserve">Employers were asked about the influence of technological change on the way </w:t>
      </w:r>
      <w:r w:rsidR="00C70FAD">
        <w:t xml:space="preserve">their </w:t>
      </w:r>
      <w:r>
        <w:t xml:space="preserve">industry operated and </w:t>
      </w:r>
      <w:r w:rsidR="00D93322">
        <w:t>its</w:t>
      </w:r>
      <w:r>
        <w:t xml:space="preserve"> impact on trainer currency. </w:t>
      </w:r>
      <w:r w:rsidR="00D93322">
        <w:t>The responses reflected</w:t>
      </w:r>
      <w:r w:rsidR="00D83730">
        <w:t xml:space="preserve"> distinct industry </w:t>
      </w:r>
      <w:r w:rsidR="00D93322">
        <w:t>differences</w:t>
      </w:r>
      <w:r>
        <w:t>. The hairdressers</w:t>
      </w:r>
      <w:r w:rsidR="00D83730">
        <w:t>, for example,</w:t>
      </w:r>
      <w:r>
        <w:t xml:space="preserve"> considered there had been limited technology-driven change in their industry. The key drivers of change were more aligned to styling techniques, product innovation and consumer trends.</w:t>
      </w:r>
      <w:r w:rsidR="007D4EDB">
        <w:t xml:space="preserve"> </w:t>
      </w:r>
      <w:r>
        <w:t>In the plumbing and printing industries changes in technolog</w:t>
      </w:r>
      <w:r w:rsidR="008204AE">
        <w:t>y</w:t>
      </w:r>
      <w:r>
        <w:t xml:space="preserve"> were having </w:t>
      </w:r>
      <w:r w:rsidR="00C70FAD">
        <w:t xml:space="preserve">a </w:t>
      </w:r>
      <w:r>
        <w:t>greater impact and were creating gaps in the currency of those in the industry as well as trainers. Technological change in these two industries was also creating new industry sectors</w:t>
      </w:r>
      <w:r w:rsidR="00DC01BB">
        <w:t>,</w:t>
      </w:r>
      <w:r>
        <w:t xml:space="preserve"> </w:t>
      </w:r>
      <w:r w:rsidR="00C70FAD">
        <w:t>along with</w:t>
      </w:r>
      <w:r>
        <w:t xml:space="preserve"> the need for qualified people to </w:t>
      </w:r>
      <w:r w:rsidR="00D93322">
        <w:t xml:space="preserve">become </w:t>
      </w:r>
      <w:r>
        <w:t>train</w:t>
      </w:r>
      <w:r w:rsidR="00D93322">
        <w:t>ers</w:t>
      </w:r>
      <w:r>
        <w:t xml:space="preserve"> in them</w:t>
      </w:r>
      <w:r w:rsidR="00D93322">
        <w:t>. However, d</w:t>
      </w:r>
      <w:r w:rsidR="00D83730">
        <w:t>espite these changes it was still the view that the basics of the industries remained the same.</w:t>
      </w:r>
    </w:p>
    <w:p w:rsidR="0056096F" w:rsidRDefault="00C70FAD" w:rsidP="00D349D9">
      <w:pPr>
        <w:pStyle w:val="Text"/>
      </w:pPr>
      <w:r>
        <w:t>By being exposed to new products and equipment</w:t>
      </w:r>
      <w:r w:rsidR="00DC01BB">
        <w:t>,</w:t>
      </w:r>
      <w:r>
        <w:t xml:space="preserve"> e</w:t>
      </w:r>
      <w:r w:rsidR="002D52E2">
        <w:t xml:space="preserve">mployers </w:t>
      </w:r>
      <w:r w:rsidR="0056096F">
        <w:t xml:space="preserve">and </w:t>
      </w:r>
      <w:r w:rsidR="00D83730">
        <w:t>those</w:t>
      </w:r>
      <w:r w:rsidR="00D93322">
        <w:t xml:space="preserve"> who</w:t>
      </w:r>
      <w:r w:rsidR="00D83730">
        <w:t xml:space="preserve"> worked for them</w:t>
      </w:r>
      <w:r w:rsidR="0056096F">
        <w:t xml:space="preserve"> kept current through their everyday work</w:t>
      </w:r>
      <w:r w:rsidR="00D93322">
        <w:t>. W</w:t>
      </w:r>
      <w:r w:rsidR="00EC7F00">
        <w:t>eb searches</w:t>
      </w:r>
      <w:r w:rsidR="0056096F">
        <w:t xml:space="preserve"> and </w:t>
      </w:r>
      <w:r w:rsidR="0056096F" w:rsidRPr="00571D38">
        <w:t>trade magazines</w:t>
      </w:r>
      <w:r w:rsidR="00D93322">
        <w:t xml:space="preserve"> and</w:t>
      </w:r>
      <w:r w:rsidR="0056096F">
        <w:t xml:space="preserve"> product suppliers/vendors who provided product information, tr</w:t>
      </w:r>
      <w:r w:rsidR="00D93322">
        <w:t>ade events and product launches also ensured their currency</w:t>
      </w:r>
      <w:r w:rsidR="00D349D9">
        <w:t>.</w:t>
      </w:r>
      <w:r w:rsidR="0056096F">
        <w:t xml:space="preserve"> Several employers </w:t>
      </w:r>
      <w:r w:rsidR="00D349D9">
        <w:t>discussed membership</w:t>
      </w:r>
      <w:r w:rsidR="0056096F">
        <w:t xml:space="preserve"> </w:t>
      </w:r>
      <w:r w:rsidR="00515706">
        <w:t>of</w:t>
      </w:r>
      <w:r w:rsidR="0056096F">
        <w:t xml:space="preserve"> industry association</w:t>
      </w:r>
      <w:r w:rsidR="00515706">
        <w:t>s</w:t>
      </w:r>
      <w:r>
        <w:t xml:space="preserve"> and how this</w:t>
      </w:r>
      <w:r w:rsidR="0056096F">
        <w:t xml:space="preserve"> kept them up to date with important information via email and/or </w:t>
      </w:r>
      <w:r w:rsidR="00D349D9">
        <w:t>through</w:t>
      </w:r>
      <w:r w:rsidR="0056096F">
        <w:t xml:space="preserve"> </w:t>
      </w:r>
      <w:r w:rsidR="0056096F" w:rsidRPr="00571D38">
        <w:t>industry magazines</w:t>
      </w:r>
      <w:r w:rsidR="00D349D9">
        <w:t>,</w:t>
      </w:r>
      <w:r w:rsidR="0056096F">
        <w:t xml:space="preserve"> </w:t>
      </w:r>
      <w:r>
        <w:t>by providing</w:t>
      </w:r>
      <w:r w:rsidR="0056096F">
        <w:t xml:space="preserve"> useful information about industry trends and changes. One employer said:</w:t>
      </w:r>
    </w:p>
    <w:p w:rsidR="002D52E2" w:rsidRDefault="002D52E2" w:rsidP="0056096F">
      <w:pPr>
        <w:pStyle w:val="Quote"/>
      </w:pPr>
      <w:r>
        <w:lastRenderedPageBreak/>
        <w:t>It’s difficult to keep pace even if you are in the industry. You can’t know everything</w:t>
      </w:r>
      <w:r w:rsidR="00D349D9">
        <w:t>,</w:t>
      </w:r>
      <w:r>
        <w:t xml:space="preserve"> you just need to know where </w:t>
      </w:r>
      <w:r w:rsidR="00D349D9">
        <w:t>to go to get the up-to-date</w:t>
      </w:r>
      <w:r>
        <w:t xml:space="preserve"> information</w:t>
      </w:r>
      <w:r w:rsidR="00D349D9">
        <w:t xml:space="preserve"> if you understand the industry;</w:t>
      </w:r>
      <w:r>
        <w:t xml:space="preserve"> new trends and knowledge can be picked up </w:t>
      </w:r>
      <w:r w:rsidR="00D349D9">
        <w:t>and applied quickly on a client-to-</w:t>
      </w:r>
      <w:r>
        <w:t>client basis. You have to know your stuff if you are talking to a customer/client</w:t>
      </w:r>
      <w:r w:rsidR="00046316">
        <w:t>.</w:t>
      </w:r>
    </w:p>
    <w:p w:rsidR="002D52E2" w:rsidRDefault="0056096F" w:rsidP="00D349D9">
      <w:pPr>
        <w:pStyle w:val="Text"/>
      </w:pPr>
      <w:r>
        <w:t>All employers</w:t>
      </w:r>
      <w:r w:rsidR="002D52E2">
        <w:t xml:space="preserve"> agreed that not being able to meet the customers’ needs and expectations because they were not </w:t>
      </w:r>
      <w:r>
        <w:t>current</w:t>
      </w:r>
      <w:r w:rsidR="002D52E2">
        <w:t xml:space="preserve"> could have a significant impact on their busine</w:t>
      </w:r>
      <w:r w:rsidR="006335BF">
        <w:t>ss. Asked how a</w:t>
      </w:r>
      <w:r w:rsidR="002D52E2">
        <w:t xml:space="preserve"> </w:t>
      </w:r>
      <w:r w:rsidR="00B76DCC">
        <w:t>registered training organisation</w:t>
      </w:r>
      <w:r w:rsidR="002D52E2">
        <w:t xml:space="preserve"> or trainer could assist with keeping them up to date employers had no definitive view but they thought that it was</w:t>
      </w:r>
      <w:r w:rsidR="00505D7E">
        <w:t xml:space="preserve"> not </w:t>
      </w:r>
      <w:r w:rsidR="002D52E2">
        <w:t xml:space="preserve">necessarily something </w:t>
      </w:r>
      <w:r w:rsidR="00B76DCC">
        <w:t xml:space="preserve">a registered training organisation </w:t>
      </w:r>
      <w:r w:rsidR="002D52E2">
        <w:t xml:space="preserve">could </w:t>
      </w:r>
      <w:r w:rsidR="00D349D9">
        <w:t>provide,</w:t>
      </w:r>
      <w:r w:rsidR="002D52E2">
        <w:t xml:space="preserve"> especially as they were dealing with the same need to keep pace. </w:t>
      </w:r>
    </w:p>
    <w:p w:rsidR="002D52E2" w:rsidRDefault="009F3DFB" w:rsidP="00D349D9">
      <w:pPr>
        <w:pStyle w:val="Text"/>
      </w:pPr>
      <w:r>
        <w:t>In relation to trainers, one</w:t>
      </w:r>
      <w:r w:rsidR="002D52E2">
        <w:t xml:space="preserve"> employer said it was ‘not feasible’ for trainers to be </w:t>
      </w:r>
      <w:r w:rsidR="00D349D9">
        <w:t>current,</w:t>
      </w:r>
      <w:r w:rsidR="002D52E2">
        <w:t xml:space="preserve"> because ‘they have to meet the needs of so many different employers and they can’t know it all’. </w:t>
      </w:r>
      <w:r>
        <w:t>Another</w:t>
      </w:r>
      <w:r w:rsidR="002D52E2">
        <w:t xml:space="preserve"> mentioned the issue of trainers being ‘too current’</w:t>
      </w:r>
      <w:r w:rsidR="00DC01BB">
        <w:t>;</w:t>
      </w:r>
      <w:r>
        <w:t xml:space="preserve"> that is</w:t>
      </w:r>
      <w:r w:rsidR="00D349D9">
        <w:t>,</w:t>
      </w:r>
      <w:r>
        <w:t xml:space="preserve"> being in</w:t>
      </w:r>
      <w:r w:rsidR="002D52E2">
        <w:t xml:space="preserve"> advance of </w:t>
      </w:r>
      <w:r>
        <w:t>what is required of a business</w:t>
      </w:r>
      <w:r w:rsidR="002D52E2">
        <w:t xml:space="preserve"> which operates with ‘less than current technology’</w:t>
      </w:r>
      <w:r>
        <w:t>.</w:t>
      </w:r>
      <w:r w:rsidR="002D52E2">
        <w:t xml:space="preserve"> Another spoke about there being an acceptable level of ‘lag’ and that currency was not critical.</w:t>
      </w:r>
    </w:p>
    <w:p w:rsidR="002D52E2" w:rsidRDefault="00D349D9" w:rsidP="00D349D9">
      <w:pPr>
        <w:pStyle w:val="Text"/>
      </w:pPr>
      <w:r>
        <w:t>By contrast</w:t>
      </w:r>
      <w:r w:rsidR="006211EF">
        <w:t>,</w:t>
      </w:r>
      <w:r>
        <w:t xml:space="preserve"> the auditors </w:t>
      </w:r>
      <w:r w:rsidR="00515706">
        <w:t>w</w:t>
      </w:r>
      <w:r w:rsidR="002D52E2">
        <w:t>hen asked about their expectations of the capacity of trainers</w:t>
      </w:r>
      <w:r w:rsidR="00515706">
        <w:t xml:space="preserve"> or </w:t>
      </w:r>
      <w:r w:rsidR="002D52E2">
        <w:t>assessors to keep pace with changes in industry we</w:t>
      </w:r>
      <w:r>
        <w:t>re quite clear</w:t>
      </w:r>
      <w:r w:rsidR="002D52E2">
        <w:t xml:space="preserve">. While </w:t>
      </w:r>
      <w:r w:rsidR="00515706">
        <w:t xml:space="preserve">acknowledging </w:t>
      </w:r>
      <w:r>
        <w:t>the</w:t>
      </w:r>
      <w:r w:rsidR="002D52E2">
        <w:t xml:space="preserve"> difficult</w:t>
      </w:r>
      <w:r>
        <w:t>ies</w:t>
      </w:r>
      <w:r w:rsidR="002D52E2">
        <w:t xml:space="preserve"> </w:t>
      </w:r>
      <w:r>
        <w:t>in</w:t>
      </w:r>
      <w:r w:rsidR="002D52E2">
        <w:t xml:space="preserve"> keep</w:t>
      </w:r>
      <w:r>
        <w:t>ing</w:t>
      </w:r>
      <w:r w:rsidR="002D52E2">
        <w:t xml:space="preserve"> up with technological and other changes</w:t>
      </w:r>
      <w:r>
        <w:t>,</w:t>
      </w:r>
      <w:r w:rsidR="002D52E2">
        <w:t xml:space="preserve"> the auditors had very high expectations</w:t>
      </w:r>
      <w:r w:rsidR="00515706">
        <w:t xml:space="preserve"> about the capacity of trainer</w:t>
      </w:r>
      <w:r w:rsidR="00505D7E">
        <w:t>s</w:t>
      </w:r>
      <w:r w:rsidR="00515706">
        <w:t xml:space="preserve"> and </w:t>
      </w:r>
      <w:r w:rsidR="002D52E2">
        <w:t xml:space="preserve">assessors to keep </w:t>
      </w:r>
      <w:r w:rsidR="00DC01BB">
        <w:t>abreast of</w:t>
      </w:r>
      <w:r w:rsidR="002D52E2">
        <w:t xml:space="preserve"> changes to industry regulations and the regulatory requirements in the training sector. </w:t>
      </w:r>
      <w:r>
        <w:t>H</w:t>
      </w:r>
      <w:r w:rsidR="002D52E2">
        <w:t xml:space="preserve">aving current knowledge was </w:t>
      </w:r>
      <w:r>
        <w:t>considered paramount and</w:t>
      </w:r>
      <w:r w:rsidR="002D52E2">
        <w:t xml:space="preserve"> </w:t>
      </w:r>
      <w:r w:rsidR="00B76DCC">
        <w:t>registered training organisation</w:t>
      </w:r>
      <w:r w:rsidR="002D52E2">
        <w:t xml:space="preserve">s needed to understand that change </w:t>
      </w:r>
      <w:r w:rsidR="009F3DFB">
        <w:t>was</w:t>
      </w:r>
      <w:r w:rsidR="002D52E2">
        <w:t xml:space="preserve"> constant</w:t>
      </w:r>
      <w:r w:rsidR="00515706">
        <w:t xml:space="preserve">. </w:t>
      </w:r>
      <w:r w:rsidR="00C125F0">
        <w:t xml:space="preserve">Providers </w:t>
      </w:r>
      <w:r w:rsidR="00515706">
        <w:t>also needed to be aware of</w:t>
      </w:r>
      <w:r w:rsidR="002D52E2">
        <w:t xml:space="preserve"> whether </w:t>
      </w:r>
      <w:r w:rsidR="006211EF">
        <w:t>their</w:t>
      </w:r>
      <w:r w:rsidR="002D52E2">
        <w:t xml:space="preserve"> </w:t>
      </w:r>
      <w:proofErr w:type="gramStart"/>
      <w:r w:rsidR="002D52E2">
        <w:t xml:space="preserve">staff </w:t>
      </w:r>
      <w:r w:rsidR="009F3DFB">
        <w:t>were</w:t>
      </w:r>
      <w:proofErr w:type="gramEnd"/>
      <w:r w:rsidR="002D52E2">
        <w:t xml:space="preserve"> </w:t>
      </w:r>
      <w:r w:rsidR="006211EF">
        <w:t>keeping up with</w:t>
      </w:r>
      <w:r w:rsidR="002D52E2">
        <w:t xml:space="preserve"> changes. Auditors expect</w:t>
      </w:r>
      <w:r w:rsidR="009F3DFB">
        <w:t>ed</w:t>
      </w:r>
      <w:r w:rsidR="002D52E2">
        <w:t xml:space="preserve"> that </w:t>
      </w:r>
      <w:r w:rsidR="00B76DCC">
        <w:t>registered training organisations</w:t>
      </w:r>
      <w:r w:rsidR="002D52E2">
        <w:t xml:space="preserve"> would be proactive in this area and </w:t>
      </w:r>
      <w:r>
        <w:t>have</w:t>
      </w:r>
      <w:r w:rsidR="002D52E2">
        <w:t xml:space="preserve"> a </w:t>
      </w:r>
      <w:r>
        <w:t>strategy</w:t>
      </w:r>
      <w:r w:rsidR="00EF368D">
        <w:t xml:space="preserve"> </w:t>
      </w:r>
      <w:r w:rsidR="002D52E2">
        <w:t>for identifying gaps in sta</w:t>
      </w:r>
      <w:r w:rsidR="006211EF">
        <w:t>ff currency, also</w:t>
      </w:r>
      <w:r w:rsidR="002D52E2">
        <w:t xml:space="preserve"> p</w:t>
      </w:r>
      <w:r w:rsidR="00EF368D">
        <w:t>roviding</w:t>
      </w:r>
      <w:r w:rsidR="002D52E2">
        <w:t xml:space="preserve"> evidence of how th</w:t>
      </w:r>
      <w:r w:rsidR="00EF368D">
        <w:t>ese gaps would be addressed</w:t>
      </w:r>
      <w:r w:rsidR="002D52E2">
        <w:t>.</w:t>
      </w:r>
    </w:p>
    <w:p w:rsidR="002D52E2" w:rsidRDefault="002D52E2" w:rsidP="00EF368D">
      <w:pPr>
        <w:pStyle w:val="Text"/>
      </w:pPr>
      <w:r>
        <w:t xml:space="preserve">The </w:t>
      </w:r>
      <w:r w:rsidR="00EF368D">
        <w:t>i</w:t>
      </w:r>
      <w:r w:rsidR="00D3759F">
        <w:t>ndustry skills council</w:t>
      </w:r>
      <w:r w:rsidR="00EF368D">
        <w:t xml:space="preserve"> </w:t>
      </w:r>
      <w:r>
        <w:t xml:space="preserve">interviewees </w:t>
      </w:r>
      <w:r w:rsidR="00931CC1">
        <w:t xml:space="preserve">expected </w:t>
      </w:r>
      <w:r>
        <w:t xml:space="preserve">that trainers should be able to keep pace with </w:t>
      </w:r>
      <w:r w:rsidR="00931CC1">
        <w:t xml:space="preserve">industry </w:t>
      </w:r>
      <w:r w:rsidR="00EF368D">
        <w:t xml:space="preserve">changes and commented that the </w:t>
      </w:r>
      <w:r w:rsidR="00DC01BB">
        <w:t xml:space="preserve">skills </w:t>
      </w:r>
      <w:r w:rsidR="00EF368D">
        <w:t>c</w:t>
      </w:r>
      <w:r w:rsidR="00931CC1">
        <w:t>ouncils</w:t>
      </w:r>
      <w:r w:rsidR="009F3DFB">
        <w:t xml:space="preserve"> </w:t>
      </w:r>
      <w:r>
        <w:t>play</w:t>
      </w:r>
      <w:r w:rsidR="009F3DFB">
        <w:t>ed</w:t>
      </w:r>
      <w:r>
        <w:t xml:space="preserve"> a role in assisting </w:t>
      </w:r>
      <w:r w:rsidR="009F3DFB">
        <w:t>through</w:t>
      </w:r>
      <w:r>
        <w:t xml:space="preserve"> the release of industry information on websites and information sessions </w:t>
      </w:r>
      <w:r w:rsidR="00EF368D">
        <w:t xml:space="preserve">relating to </w:t>
      </w:r>
      <w:r>
        <w:t xml:space="preserve">their annual industry </w:t>
      </w:r>
      <w:r w:rsidR="00EF368D">
        <w:t>environment scan</w:t>
      </w:r>
      <w:r w:rsidR="006211EF">
        <w:t>s</w:t>
      </w:r>
      <w:r>
        <w:t>.</w:t>
      </w:r>
    </w:p>
    <w:p w:rsidR="00C30B59" w:rsidRDefault="002D52E2" w:rsidP="00EF368D">
      <w:pPr>
        <w:pStyle w:val="Text"/>
      </w:pPr>
      <w:r>
        <w:t xml:space="preserve">All three interviewees from industry associations spoke about the technological changes affecting their industries and the necessity for trainers to keep pace with these. Failure to do so could put clients at risk of learning irrelevant material and could also lead to a lack of </w:t>
      </w:r>
      <w:r w:rsidR="00BF21BD">
        <w:t>trainer credibility.</w:t>
      </w:r>
      <w:r>
        <w:t xml:space="preserve"> Very real risks to the personal safety of students and of clie</w:t>
      </w:r>
      <w:r w:rsidR="006211EF">
        <w:t>nts</w:t>
      </w:r>
      <w:r>
        <w:t xml:space="preserve"> and a failure to meet industry standards could also </w:t>
      </w:r>
      <w:r w:rsidR="00EF368D">
        <w:t>result</w:t>
      </w:r>
      <w:r>
        <w:t xml:space="preserve"> from outdated regulatory information, training instruction</w:t>
      </w:r>
      <w:r w:rsidR="00DC01BB">
        <w:t xml:space="preserve"> and</w:t>
      </w:r>
      <w:r>
        <w:t xml:space="preserve"> equipment and resources. One interviewee</w:t>
      </w:r>
      <w:r w:rsidR="00BF21BD">
        <w:t>, for example,</w:t>
      </w:r>
      <w:r>
        <w:t xml:space="preserve"> commented that an Energy Safe Victoria audit of training providers </w:t>
      </w:r>
      <w:r w:rsidR="006211EF">
        <w:t>had identified</w:t>
      </w:r>
      <w:r>
        <w:t xml:space="preserve"> </w:t>
      </w:r>
      <w:r w:rsidR="00BF21BD">
        <w:t>incorrect</w:t>
      </w:r>
      <w:r>
        <w:t xml:space="preserve"> regulations</w:t>
      </w:r>
      <w:r w:rsidR="006211EF">
        <w:t xml:space="preserve"> being used</w:t>
      </w:r>
      <w:r>
        <w:t xml:space="preserve">, </w:t>
      </w:r>
      <w:r w:rsidR="00BF21BD">
        <w:t xml:space="preserve">a </w:t>
      </w:r>
      <w:r>
        <w:t>lack of consistency in information and a failure to meet industry standards.</w:t>
      </w:r>
    </w:p>
    <w:p w:rsidR="00C30B59" w:rsidRDefault="00FB2F89" w:rsidP="004D4FBB">
      <w:pPr>
        <w:pStyle w:val="Heading2"/>
      </w:pPr>
      <w:bookmarkStart w:id="49" w:name="_Toc357518793"/>
      <w:r>
        <w:t>Strategies for maintaining industry currency</w:t>
      </w:r>
      <w:bookmarkEnd w:id="49"/>
    </w:p>
    <w:p w:rsidR="00C8429D" w:rsidRDefault="00FB2F89" w:rsidP="00EF368D">
      <w:pPr>
        <w:pStyle w:val="Text"/>
      </w:pPr>
      <w:r w:rsidRPr="00FB2F89">
        <w:t xml:space="preserve">All participants were asked to consider a list of common strategies used by trainers (or often suggested as effective methods) </w:t>
      </w:r>
      <w:r w:rsidR="00EF368D">
        <w:t>for</w:t>
      </w:r>
      <w:r w:rsidRPr="00FB2F89">
        <w:t xml:space="preserve"> maintain</w:t>
      </w:r>
      <w:r w:rsidR="00EF368D">
        <w:t>ing</w:t>
      </w:r>
      <w:r w:rsidRPr="00FB2F89">
        <w:t xml:space="preserve"> industry currency</w:t>
      </w:r>
      <w:r w:rsidR="00EF368D">
        <w:t>; they were</w:t>
      </w:r>
      <w:r w:rsidRPr="00FB2F89">
        <w:t xml:space="preserve"> </w:t>
      </w:r>
      <w:r w:rsidR="00EF368D">
        <w:t>then asked</w:t>
      </w:r>
      <w:r w:rsidRPr="00FB2F89">
        <w:t xml:space="preserve"> to give </w:t>
      </w:r>
      <w:r w:rsidR="006211EF">
        <w:t>their</w:t>
      </w:r>
      <w:r w:rsidRPr="00FB2F89">
        <w:t xml:space="preserve"> opinion </w:t>
      </w:r>
      <w:r w:rsidR="006211EF">
        <w:t>of</w:t>
      </w:r>
      <w:r w:rsidRPr="00FB2F89">
        <w:t xml:space="preserve"> the value of the strategies as applied to their industry. </w:t>
      </w:r>
      <w:r w:rsidR="00C8429D">
        <w:t>These strategies were:</w:t>
      </w:r>
    </w:p>
    <w:p w:rsidR="00C8429D" w:rsidRDefault="00C8429D" w:rsidP="00C8429D">
      <w:pPr>
        <w:pStyle w:val="Dotpoint1"/>
      </w:pPr>
      <w:r>
        <w:t>consultations with industry</w:t>
      </w:r>
    </w:p>
    <w:p w:rsidR="00C8429D" w:rsidRDefault="00C8429D" w:rsidP="00C8429D">
      <w:pPr>
        <w:pStyle w:val="Dotpoint1"/>
      </w:pPr>
      <w:r>
        <w:t>continuing to work in industry</w:t>
      </w:r>
    </w:p>
    <w:p w:rsidR="00C8429D" w:rsidRDefault="00C8429D" w:rsidP="00C8429D">
      <w:pPr>
        <w:pStyle w:val="Dotpoint1"/>
      </w:pPr>
      <w:r>
        <w:t>keeping abreast of regulatory changes and/or occupational licensing requirements</w:t>
      </w:r>
    </w:p>
    <w:p w:rsidR="00C8429D" w:rsidRDefault="00C8429D" w:rsidP="00C8429D">
      <w:pPr>
        <w:pStyle w:val="Dotpoint1"/>
      </w:pPr>
      <w:r>
        <w:lastRenderedPageBreak/>
        <w:t>mentoring apprentices</w:t>
      </w:r>
    </w:p>
    <w:p w:rsidR="00C8429D" w:rsidRDefault="00EF368D" w:rsidP="00C8429D">
      <w:pPr>
        <w:pStyle w:val="Dotpoint1"/>
      </w:pPr>
      <w:r>
        <w:t xml:space="preserve">participating in </w:t>
      </w:r>
      <w:r w:rsidR="00C8429D">
        <w:t>industry release/return to industry/shadowing</w:t>
      </w:r>
    </w:p>
    <w:p w:rsidR="00C8429D" w:rsidRDefault="00C8429D" w:rsidP="00C8429D">
      <w:pPr>
        <w:pStyle w:val="Dotpoint1"/>
      </w:pPr>
      <w:r>
        <w:t>participating in formal (accredited) and/or informal (unaccredited) training or professional learning</w:t>
      </w:r>
    </w:p>
    <w:p w:rsidR="00C8429D" w:rsidRDefault="00EF368D" w:rsidP="00C8429D">
      <w:pPr>
        <w:pStyle w:val="Dotpoint1"/>
      </w:pPr>
      <w:r>
        <w:t>belonging to</w:t>
      </w:r>
      <w:r w:rsidR="00C8429D">
        <w:t xml:space="preserve"> a professional/industry association</w:t>
      </w:r>
    </w:p>
    <w:p w:rsidR="00C8429D" w:rsidRDefault="00EF368D" w:rsidP="00C8429D">
      <w:pPr>
        <w:pStyle w:val="Dotpoint1"/>
      </w:pPr>
      <w:r>
        <w:t xml:space="preserve">accessing </w:t>
      </w:r>
      <w:r w:rsidR="00C8429D">
        <w:t>trade journals/online research</w:t>
      </w:r>
    </w:p>
    <w:p w:rsidR="00C30B59" w:rsidRDefault="00EF368D" w:rsidP="00C8429D">
      <w:pPr>
        <w:pStyle w:val="Dotpoint1"/>
      </w:pPr>
      <w:r>
        <w:t xml:space="preserve">participating in </w:t>
      </w:r>
      <w:r w:rsidR="00C8429D">
        <w:t>research projects</w:t>
      </w:r>
    </w:p>
    <w:p w:rsidR="00C8429D" w:rsidRDefault="00EF368D" w:rsidP="00C8429D">
      <w:pPr>
        <w:pStyle w:val="Dotpoint1"/>
      </w:pPr>
      <w:r>
        <w:t xml:space="preserve">belonging to </w:t>
      </w:r>
      <w:r w:rsidR="00C8429D">
        <w:t>individual industry/employer networks</w:t>
      </w:r>
    </w:p>
    <w:p w:rsidR="00C8429D" w:rsidRDefault="00C8429D" w:rsidP="006211EF">
      <w:pPr>
        <w:pStyle w:val="Dotpoint1"/>
      </w:pPr>
      <w:proofErr w:type="gramStart"/>
      <w:r>
        <w:t>attending</w:t>
      </w:r>
      <w:proofErr w:type="gramEnd"/>
      <w:r>
        <w:t xml:space="preserve"> trade days/exhibitions/conferences</w:t>
      </w:r>
      <w:r w:rsidR="006211EF">
        <w:t>.</w:t>
      </w:r>
    </w:p>
    <w:p w:rsidR="001F5A53" w:rsidRDefault="001F5A53" w:rsidP="006211EF">
      <w:pPr>
        <w:pStyle w:val="Text"/>
      </w:pPr>
      <w:r>
        <w:t>There was a g</w:t>
      </w:r>
      <w:r w:rsidR="00EF368D">
        <w:t>reat</w:t>
      </w:r>
      <w:r>
        <w:t xml:space="preserve"> deal of consistency amongst the responses across the three industries </w:t>
      </w:r>
      <w:r w:rsidR="00EF368D">
        <w:t>in</w:t>
      </w:r>
      <w:r>
        <w:t xml:space="preserve"> </w:t>
      </w:r>
      <w:r w:rsidR="006211EF">
        <w:t>these suggested strategies</w:t>
      </w:r>
      <w:r w:rsidR="00EF368D">
        <w:t>. Employers</w:t>
      </w:r>
      <w:r>
        <w:t xml:space="preserve"> prioritised </w:t>
      </w:r>
      <w:r w:rsidR="00DC01BB">
        <w:t xml:space="preserve">the </w:t>
      </w:r>
      <w:r>
        <w:t xml:space="preserve">six areas they </w:t>
      </w:r>
      <w:r w:rsidR="00EF368D">
        <w:t>believed</w:t>
      </w:r>
      <w:r>
        <w:t xml:space="preserve"> were most important for maintaining currency. Importantly</w:t>
      </w:r>
      <w:r w:rsidR="00EF368D">
        <w:t>,</w:t>
      </w:r>
      <w:r>
        <w:t xml:space="preserve"> they considered that the </w:t>
      </w:r>
      <w:r w:rsidR="00EF368D">
        <w:t>activities</w:t>
      </w:r>
      <w:r>
        <w:t xml:space="preserve"> they </w:t>
      </w:r>
      <w:r w:rsidR="00EF368D">
        <w:t>undertake</w:t>
      </w:r>
      <w:r>
        <w:t xml:space="preserve"> themselves to </w:t>
      </w:r>
      <w:r w:rsidR="00EF368D">
        <w:t>ensure currency were</w:t>
      </w:r>
      <w:r>
        <w:t xml:space="preserve"> valuable for trainers as well. </w:t>
      </w:r>
    </w:p>
    <w:p w:rsidR="001F5A53" w:rsidRDefault="001F5A53" w:rsidP="00BD4907">
      <w:pPr>
        <w:pStyle w:val="Text"/>
      </w:pPr>
      <w:r>
        <w:t>They rated interacting with industry and continuing to work in industry (where possible) as high, but actual industry release was gener</w:t>
      </w:r>
      <w:r w:rsidR="00BD4907">
        <w:t>ally held to be of lesser value, with s</w:t>
      </w:r>
      <w:r>
        <w:t xml:space="preserve">ome </w:t>
      </w:r>
      <w:r w:rsidR="00BD4907">
        <w:t>believing</w:t>
      </w:r>
      <w:r>
        <w:t xml:space="preserve"> it </w:t>
      </w:r>
      <w:r w:rsidR="006211EF">
        <w:t xml:space="preserve">was </w:t>
      </w:r>
      <w:r>
        <w:t xml:space="preserve">not always appropriate for </w:t>
      </w:r>
      <w:r w:rsidR="00542799">
        <w:t>small and medium enterprises</w:t>
      </w:r>
      <w:r w:rsidR="00BD4907">
        <w:t>, while</w:t>
      </w:r>
      <w:r>
        <w:t xml:space="preserve"> the logistics of organising </w:t>
      </w:r>
      <w:r w:rsidR="006211EF">
        <w:t xml:space="preserve">it </w:t>
      </w:r>
      <w:r>
        <w:t xml:space="preserve">in industries </w:t>
      </w:r>
      <w:r w:rsidR="003C3025">
        <w:t>such as</w:t>
      </w:r>
      <w:r>
        <w:t xml:space="preserve"> plumbing were seen as difficult. Mentoring apprentices was valued highly for the opportunities it gave employees to share their knowledge, to ensure their knowledge was up to date, and to learn from </w:t>
      </w:r>
      <w:r w:rsidR="00BD4907">
        <w:t>the apprentices’</w:t>
      </w:r>
      <w:r>
        <w:t xml:space="preserve"> learning. </w:t>
      </w:r>
    </w:p>
    <w:p w:rsidR="001F5A53" w:rsidRDefault="001F5A53" w:rsidP="00BD4907">
      <w:pPr>
        <w:pStyle w:val="Text"/>
      </w:pPr>
      <w:r>
        <w:t>Participating in formal (accredited) and/or informal (unaccredited) training or professional learning w</w:t>
      </w:r>
      <w:r w:rsidR="00BD4907">
        <w:t>as</w:t>
      </w:r>
      <w:r>
        <w:t xml:space="preserve"> also highly regarded</w:t>
      </w:r>
      <w:r w:rsidR="006B1111">
        <w:t xml:space="preserve"> by employers</w:t>
      </w:r>
      <w:r w:rsidR="00BD4907">
        <w:t>, with</w:t>
      </w:r>
      <w:r>
        <w:t xml:space="preserve"> great importance </w:t>
      </w:r>
      <w:r w:rsidR="00BD4907">
        <w:t xml:space="preserve">assigned </w:t>
      </w:r>
      <w:r>
        <w:t xml:space="preserve">to the professional learning provided through product technicians and vendor training. </w:t>
      </w:r>
    </w:p>
    <w:p w:rsidR="001F5A53" w:rsidRDefault="001F5A53" w:rsidP="00BD4907">
      <w:pPr>
        <w:pStyle w:val="Text"/>
      </w:pPr>
      <w:r>
        <w:t xml:space="preserve">For the majority of employers the most important strategies were reading </w:t>
      </w:r>
      <w:r w:rsidRPr="00571D38">
        <w:t>trade journals</w:t>
      </w:r>
      <w:r w:rsidR="00FC7D0D">
        <w:t xml:space="preserve">, </w:t>
      </w:r>
      <w:r w:rsidR="00BD4907">
        <w:t>on</w:t>
      </w:r>
      <w:r>
        <w:t>line res</w:t>
      </w:r>
      <w:r w:rsidR="00FC7D0D">
        <w:t xml:space="preserve">earch and attending trade shows or </w:t>
      </w:r>
      <w:r>
        <w:t>exh</w:t>
      </w:r>
      <w:r w:rsidR="00FC7D0D">
        <w:t xml:space="preserve">ibitions and </w:t>
      </w:r>
      <w:r>
        <w:t xml:space="preserve">conferences. These strategies were </w:t>
      </w:r>
      <w:r w:rsidR="00BD4907">
        <w:t>used substantially by</w:t>
      </w:r>
      <w:r>
        <w:t xml:space="preserve"> </w:t>
      </w:r>
      <w:r w:rsidR="003C3025">
        <w:t xml:space="preserve">the </w:t>
      </w:r>
      <w:r>
        <w:t xml:space="preserve">employers themselves. One employer commented that the fashion industry drives the hair industry and </w:t>
      </w:r>
      <w:r w:rsidR="00BD4907">
        <w:t>so being aware of trends in the wider industry was crucial</w:t>
      </w:r>
      <w:r>
        <w:t xml:space="preserve"> (especially the international </w:t>
      </w:r>
      <w:r w:rsidR="00BD4907">
        <w:t>scene)</w:t>
      </w:r>
      <w:r>
        <w:t xml:space="preserve">. Employers </w:t>
      </w:r>
      <w:r w:rsidR="003C3025">
        <w:t>considered</w:t>
      </w:r>
      <w:r>
        <w:t xml:space="preserve"> it was very important to see trainers at trade days, exhibitions and conferences</w:t>
      </w:r>
      <w:r w:rsidR="00BD4907">
        <w:t>,</w:t>
      </w:r>
      <w:r>
        <w:t xml:space="preserve"> </w:t>
      </w:r>
      <w:r w:rsidR="00FC7D0D">
        <w:t xml:space="preserve">as </w:t>
      </w:r>
      <w:r>
        <w:t xml:space="preserve">these were ‘the cream of events’ for professional learning. </w:t>
      </w:r>
      <w:r w:rsidR="00BD4907">
        <w:t>Meeting</w:t>
      </w:r>
      <w:r>
        <w:t xml:space="preserve"> trainers at these events gave employers the confidence that trainers were interested in broadening their own knowledge and</w:t>
      </w:r>
      <w:r w:rsidR="00BD4907">
        <w:t xml:space="preserve"> thus transmitting it to those being trained</w:t>
      </w:r>
      <w:r>
        <w:t xml:space="preserve">. </w:t>
      </w:r>
    </w:p>
    <w:p w:rsidR="001F5A53" w:rsidRDefault="00542799" w:rsidP="004D4FBB">
      <w:pPr>
        <w:pStyle w:val="Text"/>
        <w:ind w:right="141"/>
      </w:pPr>
      <w:r>
        <w:t>Although</w:t>
      </w:r>
      <w:r w:rsidR="001F5A53">
        <w:t xml:space="preserve"> the majority of employers were members of </w:t>
      </w:r>
      <w:r w:rsidR="00BD4907">
        <w:t>a relevant</w:t>
      </w:r>
      <w:r w:rsidR="001F5A53">
        <w:t xml:space="preserve"> professional</w:t>
      </w:r>
      <w:r w:rsidR="00AF1EA0">
        <w:t xml:space="preserve"> or </w:t>
      </w:r>
      <w:r w:rsidR="001F5A53">
        <w:t>industry association</w:t>
      </w:r>
      <w:r w:rsidR="00AF1EA0">
        <w:t>,</w:t>
      </w:r>
      <w:r w:rsidR="001F5A53">
        <w:t xml:space="preserve"> this was generally rated as </w:t>
      </w:r>
      <w:r w:rsidR="003C3025">
        <w:t>being of medium-to-</w:t>
      </w:r>
      <w:r w:rsidR="001F5A53">
        <w:t>low value by employe</w:t>
      </w:r>
      <w:r w:rsidR="00BD4907">
        <w:t>rs across the three industries, although</w:t>
      </w:r>
      <w:r w:rsidR="001F5A53">
        <w:t xml:space="preserve"> </w:t>
      </w:r>
      <w:r w:rsidR="00BD4907">
        <w:t>a</w:t>
      </w:r>
      <w:r w:rsidR="001F5A53">
        <w:t xml:space="preserve"> number of </w:t>
      </w:r>
      <w:r w:rsidR="002E52AC">
        <w:t>them</w:t>
      </w:r>
      <w:r w:rsidR="001F5A53">
        <w:t xml:space="preserve"> qualified this </w:t>
      </w:r>
      <w:r w:rsidR="00AF1EA0">
        <w:t xml:space="preserve">by </w:t>
      </w:r>
      <w:r w:rsidR="00BD4907">
        <w:t>explaining that its value</w:t>
      </w:r>
      <w:r w:rsidR="001F5A53">
        <w:t xml:space="preserve"> depend</w:t>
      </w:r>
      <w:r w:rsidR="00BD4907">
        <w:t>ed</w:t>
      </w:r>
      <w:r w:rsidR="001F5A53">
        <w:t xml:space="preserve"> on whether the association was proactive in training and </w:t>
      </w:r>
      <w:r w:rsidR="00BD4907">
        <w:t>the extent of their participation in the asso</w:t>
      </w:r>
      <w:r w:rsidR="002A147A">
        <w:t>ciation</w:t>
      </w:r>
      <w:r w:rsidR="001F5A53">
        <w:t>.</w:t>
      </w:r>
      <w:r>
        <w:t xml:space="preserve"> </w:t>
      </w:r>
      <w:r w:rsidR="001F5A53">
        <w:t>As an interesting aside</w:t>
      </w:r>
      <w:r w:rsidR="00AF1EA0">
        <w:t>,</w:t>
      </w:r>
      <w:r w:rsidR="001F5A53">
        <w:t xml:space="preserve"> one printer who specialise</w:t>
      </w:r>
      <w:r w:rsidR="00AF1EA0">
        <w:t>d</w:t>
      </w:r>
      <w:r w:rsidR="001F5A53">
        <w:t xml:space="preserve"> in plastic labels for the horticulture i</w:t>
      </w:r>
      <w:r w:rsidR="003C3025">
        <w:t>ndustry mentioned that they had</w:t>
      </w:r>
      <w:r w:rsidR="001F5A53">
        <w:t xml:space="preserve"> no involvement with their own industry association because the business </w:t>
      </w:r>
      <w:r>
        <w:t>was</w:t>
      </w:r>
      <w:r w:rsidR="001F5A53">
        <w:t xml:space="preserve"> with nurserymen and it </w:t>
      </w:r>
      <w:r w:rsidR="002A147A">
        <w:t xml:space="preserve">therefore </w:t>
      </w:r>
      <w:r w:rsidR="001F5A53">
        <w:t>was more important for them to be involved with the nurser</w:t>
      </w:r>
      <w:r w:rsidR="002A147A">
        <w:t>ymen’s association</w:t>
      </w:r>
      <w:r w:rsidR="001F5A53">
        <w:t xml:space="preserve">. </w:t>
      </w:r>
    </w:p>
    <w:p w:rsidR="00DC01BB" w:rsidRDefault="001F5A53" w:rsidP="002A147A">
      <w:pPr>
        <w:pStyle w:val="Text"/>
      </w:pPr>
      <w:r>
        <w:t xml:space="preserve">The type of training </w:t>
      </w:r>
      <w:r w:rsidR="003C3025">
        <w:t xml:space="preserve">that </w:t>
      </w:r>
      <w:r w:rsidR="00AF1EA0">
        <w:t>employers</w:t>
      </w:r>
      <w:r w:rsidR="002A147A">
        <w:t xml:space="preserve"> arranged </w:t>
      </w:r>
      <w:r>
        <w:t xml:space="preserve">for apprentices </w:t>
      </w:r>
      <w:r w:rsidR="00670A8C">
        <w:t>was</w:t>
      </w:r>
      <w:r>
        <w:t xml:space="preserve"> mostly formal</w:t>
      </w:r>
      <w:r w:rsidR="003C3025">
        <w:t>, with</w:t>
      </w:r>
      <w:r>
        <w:t xml:space="preserve"> more informal on-the-job training, short courses, product training, trade training presentations and demonstrations for the more experienced staff</w:t>
      </w:r>
      <w:r w:rsidR="002A147A">
        <w:t>. Vendor and product-</w:t>
      </w:r>
      <w:r>
        <w:t xml:space="preserve">specific training </w:t>
      </w:r>
      <w:r w:rsidR="00CB1634">
        <w:t>was</w:t>
      </w:r>
      <w:r>
        <w:t xml:space="preserve"> very important in all of the </w:t>
      </w:r>
      <w:r>
        <w:lastRenderedPageBreak/>
        <w:t>industries</w:t>
      </w:r>
      <w:r w:rsidR="002A147A">
        <w:t>,</w:t>
      </w:r>
      <w:r>
        <w:t xml:space="preserve"> and where possible employers work</w:t>
      </w:r>
      <w:r w:rsidR="00CB1634">
        <w:t>ed</w:t>
      </w:r>
      <w:r>
        <w:t xml:space="preserve"> closely with suppliers and product developers to make sure they </w:t>
      </w:r>
      <w:r w:rsidR="00670A8C">
        <w:t>were current</w:t>
      </w:r>
      <w:r>
        <w:t xml:space="preserve"> or ahead of the trends and changes in products. This </w:t>
      </w:r>
      <w:r w:rsidR="00670A8C">
        <w:t>was</w:t>
      </w:r>
      <w:r>
        <w:t xml:space="preserve"> particularly relevant in the hairdressing industry</w:t>
      </w:r>
      <w:r w:rsidR="002A147A">
        <w:t>,</w:t>
      </w:r>
      <w:r>
        <w:t xml:space="preserve"> where product suppliers and product technicians </w:t>
      </w:r>
      <w:r w:rsidR="002A147A">
        <w:t xml:space="preserve">were </w:t>
      </w:r>
      <w:r w:rsidR="00DC01BB">
        <w:t xml:space="preserve">used </w:t>
      </w:r>
      <w:r w:rsidR="002A147A">
        <w:t>for the provision of salon-</w:t>
      </w:r>
      <w:r>
        <w:t>based training.</w:t>
      </w:r>
      <w:r w:rsidR="00D708E1">
        <w:t xml:space="preserve"> </w:t>
      </w:r>
    </w:p>
    <w:p w:rsidR="00A12452" w:rsidRDefault="004A7F6F" w:rsidP="002A147A">
      <w:pPr>
        <w:pStyle w:val="Text"/>
      </w:pPr>
      <w:r>
        <w:t>F</w:t>
      </w:r>
      <w:r w:rsidR="008B1736">
        <w:t xml:space="preserve">igure </w:t>
      </w:r>
      <w:r>
        <w:t xml:space="preserve">1 </w:t>
      </w:r>
      <w:r w:rsidR="008B1736">
        <w:t xml:space="preserve">provides a breakdown of </w:t>
      </w:r>
      <w:r>
        <w:t xml:space="preserve">employer </w:t>
      </w:r>
      <w:r w:rsidR="008B1736">
        <w:t xml:space="preserve">ratings of </w:t>
      </w:r>
      <w:r>
        <w:t xml:space="preserve">the value </w:t>
      </w:r>
      <w:r w:rsidR="00A40AEE">
        <w:t>placed on</w:t>
      </w:r>
      <w:r>
        <w:t xml:space="preserve"> various updating strategies </w:t>
      </w:r>
      <w:r w:rsidR="00A40AEE">
        <w:t>within</w:t>
      </w:r>
      <w:r w:rsidR="008B1736">
        <w:t xml:space="preserve"> the hairdressing, plumbing and printing</w:t>
      </w:r>
      <w:r w:rsidR="00A40AEE">
        <w:t xml:space="preserve"> industries</w:t>
      </w:r>
      <w:r w:rsidR="008B1736">
        <w:t>.</w:t>
      </w:r>
    </w:p>
    <w:p w:rsidR="00A12452" w:rsidRDefault="004D4FBB" w:rsidP="004D4FBB">
      <w:pPr>
        <w:pStyle w:val="Figuretitle"/>
      </w:pPr>
      <w:r>
        <w:rPr>
          <w:noProof/>
          <w:lang w:eastAsia="en-AU"/>
        </w:rPr>
        <w:drawing>
          <wp:anchor distT="0" distB="0" distL="114300" distR="114300" simplePos="0" relativeHeight="251672576" behindDoc="0" locked="0" layoutInCell="1" allowOverlap="1">
            <wp:simplePos x="0" y="0"/>
            <wp:positionH relativeFrom="column">
              <wp:posOffset>-3810</wp:posOffset>
            </wp:positionH>
            <wp:positionV relativeFrom="paragraph">
              <wp:posOffset>475615</wp:posOffset>
            </wp:positionV>
            <wp:extent cx="5580380" cy="4076700"/>
            <wp:effectExtent l="19050" t="0" r="1270" b="0"/>
            <wp:wrapTopAndBottom/>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580380" cy="4076700"/>
                    </a:xfrm>
                    <a:prstGeom prst="rect">
                      <a:avLst/>
                    </a:prstGeom>
                    <a:noFill/>
                    <a:ln w="9525">
                      <a:noFill/>
                      <a:miter lim="800000"/>
                      <a:headEnd/>
                      <a:tailEnd/>
                    </a:ln>
                  </pic:spPr>
                </pic:pic>
              </a:graphicData>
            </a:graphic>
          </wp:anchor>
        </w:drawing>
      </w:r>
      <w:bookmarkStart w:id="50" w:name="_Toc355275754"/>
      <w:r w:rsidR="00A12452">
        <w:t>Figure 1</w:t>
      </w:r>
      <w:r>
        <w:tab/>
      </w:r>
      <w:r w:rsidR="00A12452">
        <w:t>Employer ratings of value of updating strategies</w:t>
      </w:r>
      <w:bookmarkEnd w:id="50"/>
    </w:p>
    <w:p w:rsidR="00711A96" w:rsidRDefault="00711A96" w:rsidP="004D4FBB">
      <w:pPr>
        <w:pStyle w:val="Textmorebefore"/>
      </w:pPr>
      <w:r>
        <w:t xml:space="preserve">The auditors saw the value in many of the strategies used by trainers </w:t>
      </w:r>
      <w:r w:rsidR="003C3025">
        <w:t>for</w:t>
      </w:r>
      <w:r>
        <w:t xml:space="preserve"> maintain</w:t>
      </w:r>
      <w:r w:rsidR="003C3025">
        <w:t>ing</w:t>
      </w:r>
      <w:r>
        <w:t xml:space="preserve"> their industry currency but they </w:t>
      </w:r>
      <w:r w:rsidR="009C76A1">
        <w:t>placed greater</w:t>
      </w:r>
      <w:r>
        <w:t xml:space="preserve"> value </w:t>
      </w:r>
      <w:r w:rsidR="009C76A1">
        <w:t xml:space="preserve">on </w:t>
      </w:r>
      <w:r w:rsidR="00397E63">
        <w:t>those with direct</w:t>
      </w:r>
      <w:r>
        <w:t xml:space="preserve"> links into industry</w:t>
      </w:r>
      <w:r w:rsidR="002A147A">
        <w:t>,</w:t>
      </w:r>
      <w:r>
        <w:t xml:space="preserve"> such as industry consultations, continuing to work in industry, industry release and participating in formal and/or informal training</w:t>
      </w:r>
      <w:r w:rsidR="002A147A">
        <w:t xml:space="preserve"> or professional learning. B</w:t>
      </w:r>
      <w:r>
        <w:t xml:space="preserve">oth spoke of the difficulty of ‘proving the value’ of some strategies that appeared to </w:t>
      </w:r>
      <w:r w:rsidR="003C3025">
        <w:t xml:space="preserve">them to </w:t>
      </w:r>
      <w:r>
        <w:t>be more superficial.</w:t>
      </w:r>
      <w:r w:rsidR="009C76A1">
        <w:t xml:space="preserve"> For example, </w:t>
      </w:r>
      <w:r>
        <w:t xml:space="preserve">it </w:t>
      </w:r>
      <w:r w:rsidR="009C76A1">
        <w:t>was</w:t>
      </w:r>
      <w:r>
        <w:t xml:space="preserve"> often difficult to get a </w:t>
      </w:r>
      <w:r w:rsidR="002A147A">
        <w:t xml:space="preserve">real </w:t>
      </w:r>
      <w:r>
        <w:t xml:space="preserve">sense of </w:t>
      </w:r>
      <w:r w:rsidR="002A147A">
        <w:t>the</w:t>
      </w:r>
      <w:r>
        <w:t xml:space="preserve"> value trainers and assessors </w:t>
      </w:r>
      <w:r w:rsidR="009C76A1">
        <w:t>got</w:t>
      </w:r>
      <w:r>
        <w:t xml:space="preserve"> </w:t>
      </w:r>
      <w:r w:rsidR="00CB1634">
        <w:t>from some activities such as on</w:t>
      </w:r>
      <w:r>
        <w:t xml:space="preserve">line research, reading </w:t>
      </w:r>
      <w:r w:rsidRPr="00571D38">
        <w:t>journals and magazines</w:t>
      </w:r>
      <w:r>
        <w:t xml:space="preserve">. They acknowledged that they </w:t>
      </w:r>
      <w:r w:rsidR="009C76A1">
        <w:t>could</w:t>
      </w:r>
      <w:r>
        <w:t xml:space="preserve"> be valuable strategies but only to the extent that the trainer</w:t>
      </w:r>
      <w:r w:rsidR="00CB1634">
        <w:t xml:space="preserve"> or </w:t>
      </w:r>
      <w:r>
        <w:t xml:space="preserve">assessor </w:t>
      </w:r>
      <w:r w:rsidR="009C76A1">
        <w:t>could</w:t>
      </w:r>
      <w:r>
        <w:t xml:space="preserve"> demonstrate how the knowledge they gain</w:t>
      </w:r>
      <w:r w:rsidR="009C76A1">
        <w:t>ed was applied</w:t>
      </w:r>
      <w:r w:rsidR="00DC01BB">
        <w:t>.</w:t>
      </w:r>
      <w:r>
        <w:t xml:space="preserve"> </w:t>
      </w:r>
      <w:r w:rsidR="002A147A">
        <w:t>By</w:t>
      </w:r>
      <w:r w:rsidR="00D253A7">
        <w:t xml:space="preserve"> contrast</w:t>
      </w:r>
      <w:r w:rsidR="002A147A">
        <w:t>,</w:t>
      </w:r>
      <w:r>
        <w:t xml:space="preserve"> </w:t>
      </w:r>
      <w:r w:rsidR="00DC01BB">
        <w:t>these and other</w:t>
      </w:r>
      <w:r>
        <w:t xml:space="preserve"> </w:t>
      </w:r>
      <w:r w:rsidR="002A147A">
        <w:t xml:space="preserve">activities </w:t>
      </w:r>
      <w:r w:rsidR="003C3025">
        <w:t xml:space="preserve">such as trade fairs </w:t>
      </w:r>
      <w:r w:rsidR="00D253A7">
        <w:t>were</w:t>
      </w:r>
      <w:r>
        <w:t xml:space="preserve"> accepted without question by employers</w:t>
      </w:r>
      <w:r w:rsidR="002A147A">
        <w:t>,</w:t>
      </w:r>
      <w:r>
        <w:t xml:space="preserve"> who consider</w:t>
      </w:r>
      <w:r w:rsidR="00D253A7">
        <w:t>ed</w:t>
      </w:r>
      <w:r>
        <w:t xml:space="preserve"> them a highly effective way of </w:t>
      </w:r>
      <w:r w:rsidR="002A147A">
        <w:t>identifying</w:t>
      </w:r>
      <w:r>
        <w:t xml:space="preserve"> what </w:t>
      </w:r>
      <w:r w:rsidR="00D253A7">
        <w:t>was</w:t>
      </w:r>
      <w:r>
        <w:t xml:space="preserve"> new in </w:t>
      </w:r>
      <w:r w:rsidR="00D253A7">
        <w:t>industry</w:t>
      </w:r>
      <w:r>
        <w:t xml:space="preserve"> and for networking with peers.</w:t>
      </w:r>
    </w:p>
    <w:p w:rsidR="00CB052E" w:rsidRDefault="00711A96" w:rsidP="009A1180">
      <w:pPr>
        <w:pStyle w:val="Text"/>
      </w:pPr>
      <w:r>
        <w:t xml:space="preserve">The auditors </w:t>
      </w:r>
      <w:r w:rsidR="00CF46AD">
        <w:t xml:space="preserve">also </w:t>
      </w:r>
      <w:r>
        <w:t>consider</w:t>
      </w:r>
      <w:r w:rsidR="00B906C3">
        <w:t xml:space="preserve">ed </w:t>
      </w:r>
      <w:r>
        <w:t>industry association</w:t>
      </w:r>
      <w:r w:rsidR="003240EE">
        <w:t xml:space="preserve"> membership</w:t>
      </w:r>
      <w:r>
        <w:t xml:space="preserve"> could be important where </w:t>
      </w:r>
      <w:r w:rsidR="002A147A">
        <w:t>continuing professional development</w:t>
      </w:r>
      <w:r w:rsidR="00B906C3">
        <w:t xml:space="preserve"> </w:t>
      </w:r>
      <w:r w:rsidR="003240EE">
        <w:t xml:space="preserve">(CPD) </w:t>
      </w:r>
      <w:r w:rsidR="00B906C3">
        <w:t>needed to be demonstrated</w:t>
      </w:r>
      <w:r>
        <w:t xml:space="preserve"> to </w:t>
      </w:r>
      <w:r w:rsidR="002A147A">
        <w:t xml:space="preserve">ensure </w:t>
      </w:r>
      <w:r>
        <w:t>member</w:t>
      </w:r>
      <w:r w:rsidR="002A147A">
        <w:t>ship</w:t>
      </w:r>
      <w:r>
        <w:t xml:space="preserve"> but </w:t>
      </w:r>
      <w:r w:rsidR="003240EE">
        <w:t xml:space="preserve">was </w:t>
      </w:r>
      <w:r>
        <w:t xml:space="preserve">less important if it </w:t>
      </w:r>
      <w:r w:rsidR="009A1180">
        <w:t>entailed</w:t>
      </w:r>
      <w:r>
        <w:t xml:space="preserve"> a subscription </w:t>
      </w:r>
      <w:r w:rsidR="009A1180">
        <w:t>only</w:t>
      </w:r>
      <w:r>
        <w:t xml:space="preserve">. </w:t>
      </w:r>
      <w:r w:rsidR="00CF46AD">
        <w:t>They</w:t>
      </w:r>
      <w:r>
        <w:t xml:space="preserve"> saw the need for a more structured approach to </w:t>
      </w:r>
      <w:r w:rsidR="009A1180">
        <w:t>professional development</w:t>
      </w:r>
      <w:r>
        <w:t xml:space="preserve"> that </w:t>
      </w:r>
      <w:r w:rsidR="00B906C3">
        <w:t>went</w:t>
      </w:r>
      <w:r>
        <w:t xml:space="preserve"> well beyond initial qualifications such as the </w:t>
      </w:r>
      <w:r w:rsidR="00B906C3">
        <w:t xml:space="preserve">Certificate IV in </w:t>
      </w:r>
      <w:r w:rsidR="00B906C3">
        <w:lastRenderedPageBreak/>
        <w:t>Training and Assessment</w:t>
      </w:r>
      <w:r>
        <w:t xml:space="preserve">. This included the concept of a professional association for trainers that included requirements for </w:t>
      </w:r>
      <w:r w:rsidR="009A1180">
        <w:t>professional development</w:t>
      </w:r>
      <w:r>
        <w:t xml:space="preserve"> </w:t>
      </w:r>
      <w:r w:rsidR="00DD695C">
        <w:t xml:space="preserve">as a </w:t>
      </w:r>
      <w:r>
        <w:t>condition of membership.</w:t>
      </w:r>
    </w:p>
    <w:p w:rsidR="00711A96" w:rsidRDefault="003C3025" w:rsidP="009A1180">
      <w:pPr>
        <w:pStyle w:val="Text"/>
      </w:pPr>
      <w:r>
        <w:t>In general the</w:t>
      </w:r>
      <w:r w:rsidR="00711A96">
        <w:t xml:space="preserve"> views </w:t>
      </w:r>
      <w:r>
        <w:t xml:space="preserve">of industry skills councils </w:t>
      </w:r>
      <w:r w:rsidR="00711A96">
        <w:t xml:space="preserve">were </w:t>
      </w:r>
      <w:r w:rsidR="009A1180">
        <w:t>relatively</w:t>
      </w:r>
      <w:r>
        <w:t xml:space="preserve"> consistent, with only minor differences</w:t>
      </w:r>
      <w:r w:rsidR="009B7CBB">
        <w:t xml:space="preserve"> in the value placed on strategies.</w:t>
      </w:r>
      <w:r w:rsidR="00711A96">
        <w:t xml:space="preserve"> </w:t>
      </w:r>
      <w:r w:rsidR="007F078D">
        <w:t>Strategies</w:t>
      </w:r>
      <w:r w:rsidR="00711A96">
        <w:t xml:space="preserve"> that kept trainers actively engaged with industry were rated highly</w:t>
      </w:r>
      <w:r w:rsidR="009A1180">
        <w:t>,</w:t>
      </w:r>
      <w:r w:rsidR="00711A96">
        <w:t xml:space="preserve"> whereas the more ‘passive’ strategies such </w:t>
      </w:r>
      <w:r w:rsidR="00B906C3">
        <w:t xml:space="preserve">as membership of a professional or </w:t>
      </w:r>
      <w:r w:rsidR="00711A96">
        <w:t>industry association or research projects rated muc</w:t>
      </w:r>
      <w:r w:rsidR="00B906C3">
        <w:t>h lower. Reading trade journals or</w:t>
      </w:r>
      <w:r w:rsidR="000E0FDA">
        <w:t xml:space="preserve"> </w:t>
      </w:r>
      <w:r w:rsidR="00CF46AD">
        <w:t>on</w:t>
      </w:r>
      <w:r w:rsidR="00711A96">
        <w:t>line</w:t>
      </w:r>
      <w:r w:rsidR="009A1180">
        <w:t xml:space="preserve"> research</w:t>
      </w:r>
      <w:r w:rsidR="00711A96">
        <w:t xml:space="preserve"> </w:t>
      </w:r>
      <w:r w:rsidR="007D4EDB">
        <w:t>was</w:t>
      </w:r>
      <w:r w:rsidR="00711A96">
        <w:t xml:space="preserve"> considered to be of </w:t>
      </w:r>
      <w:r w:rsidR="00B906C3">
        <w:t xml:space="preserve">medium importance. </w:t>
      </w:r>
      <w:r w:rsidR="007F078D">
        <w:t>As would be expected, t</w:t>
      </w:r>
      <w:r w:rsidR="00B906C3">
        <w:t>he two</w:t>
      </w:r>
      <w:r w:rsidR="0034736F">
        <w:t xml:space="preserve"> </w:t>
      </w:r>
      <w:r w:rsidR="009A1180">
        <w:t>industry skill</w:t>
      </w:r>
      <w:r w:rsidR="00DC01BB">
        <w:t>s</w:t>
      </w:r>
      <w:r w:rsidR="009A1180">
        <w:t xml:space="preserve"> council </w:t>
      </w:r>
      <w:r w:rsidR="00CF46AD">
        <w:t>representatives</w:t>
      </w:r>
      <w:r w:rsidR="00711A96">
        <w:t xml:space="preserve"> for the licensed industries gave high relevance to keeping abreast of regulatory changes and/or occupational licensing requirements. </w:t>
      </w:r>
    </w:p>
    <w:p w:rsidR="009B7CBB" w:rsidRDefault="00711A96" w:rsidP="009A1180">
      <w:pPr>
        <w:pStyle w:val="Text"/>
      </w:pPr>
      <w:r>
        <w:t xml:space="preserve">All </w:t>
      </w:r>
      <w:r w:rsidR="000E0FDA">
        <w:t xml:space="preserve">interviewees </w:t>
      </w:r>
      <w:r>
        <w:t xml:space="preserve">pointed to the importance of participating in formal and/or informal learning, </w:t>
      </w:r>
      <w:r w:rsidR="009B7CBB">
        <w:t>also observing</w:t>
      </w:r>
      <w:r>
        <w:t xml:space="preserve"> that industry ‘owned’ or driven training</w:t>
      </w:r>
      <w:r w:rsidR="007F460D">
        <w:t>,</w:t>
      </w:r>
      <w:r>
        <w:t xml:space="preserve"> such as that organised through industry group</w:t>
      </w:r>
      <w:r w:rsidR="00DC01BB">
        <w:t>s and</w:t>
      </w:r>
      <w:r>
        <w:t xml:space="preserve"> vendor and product training</w:t>
      </w:r>
      <w:r w:rsidR="00DC01BB">
        <w:t>,</w:t>
      </w:r>
      <w:r>
        <w:t xml:space="preserve"> </w:t>
      </w:r>
      <w:r w:rsidR="00DC01BB">
        <w:t>was</w:t>
      </w:r>
      <w:r>
        <w:t xml:space="preserve"> likely to be more highly regarded by industry. Indeed much of the training that takes place in all three industries </w:t>
      </w:r>
      <w:r w:rsidR="007F078D">
        <w:t>was</w:t>
      </w:r>
      <w:r>
        <w:t xml:space="preserve"> provided by equipment suppliers, product manufacturers and/or vendors.</w:t>
      </w:r>
    </w:p>
    <w:p w:rsidR="00711A96" w:rsidRDefault="00711A96" w:rsidP="009A1180">
      <w:pPr>
        <w:pStyle w:val="Text"/>
      </w:pPr>
      <w:r>
        <w:t>The professional associations also tended to favour strategies that put trainers into actual contact with employers and industry</w:t>
      </w:r>
      <w:r w:rsidR="00DC01BB">
        <w:t>;</w:t>
      </w:r>
      <w:r w:rsidR="009B7CBB">
        <w:t xml:space="preserve"> for example,</w:t>
      </w:r>
      <w:r>
        <w:t xml:space="preserve"> con</w:t>
      </w:r>
      <w:r w:rsidR="000E0FDA">
        <w:t>tinuing to work in the industry</w:t>
      </w:r>
      <w:r>
        <w:t>, mentoring apprentices, and industry networking</w:t>
      </w:r>
      <w:r w:rsidR="009A1180">
        <w:t>,</w:t>
      </w:r>
      <w:r>
        <w:t xml:space="preserve"> including through membership of industry associations. </w:t>
      </w:r>
      <w:r w:rsidR="009A1180">
        <w:t>Professional associations largely kept</w:t>
      </w:r>
      <w:r>
        <w:t xml:space="preserve"> their members </w:t>
      </w:r>
      <w:r w:rsidR="000E0FDA">
        <w:t xml:space="preserve">current </w:t>
      </w:r>
      <w:r w:rsidR="009A1180">
        <w:t>by</w:t>
      </w:r>
      <w:r>
        <w:t xml:space="preserve"> offering training, </w:t>
      </w:r>
      <w:r w:rsidR="009A1180">
        <w:t>providing</w:t>
      </w:r>
      <w:r>
        <w:t xml:space="preserve"> training advice, </w:t>
      </w:r>
      <w:r w:rsidR="004B23CA">
        <w:t xml:space="preserve">and </w:t>
      </w:r>
      <w:r w:rsidR="00DC01BB">
        <w:t xml:space="preserve">providing </w:t>
      </w:r>
      <w:r>
        <w:t>professional development activities such as trade shows and conferences.</w:t>
      </w:r>
    </w:p>
    <w:p w:rsidR="00DD695C" w:rsidRDefault="00DD695C" w:rsidP="009A1180">
      <w:pPr>
        <w:pStyle w:val="Text"/>
      </w:pPr>
      <w:r>
        <w:t>Clearly</w:t>
      </w:r>
      <w:r w:rsidR="009A1180">
        <w:t>,</w:t>
      </w:r>
      <w:r>
        <w:t xml:space="preserve"> </w:t>
      </w:r>
      <w:r w:rsidR="009A1180">
        <w:t xml:space="preserve">employers, auditors, industry skills councils and professional association representatives had </w:t>
      </w:r>
      <w:r>
        <w:t>divergent views about the value of various</w:t>
      </w:r>
      <w:r w:rsidR="009A1180">
        <w:t xml:space="preserve"> updating activities</w:t>
      </w:r>
      <w:r>
        <w:t xml:space="preserve">. </w:t>
      </w:r>
      <w:r w:rsidR="009A1180">
        <w:t>Figure 2 highlights these</w:t>
      </w:r>
      <w:r>
        <w:t>.</w:t>
      </w:r>
    </w:p>
    <w:p w:rsidR="00DD695C" w:rsidRDefault="006C6D65" w:rsidP="006C6D65">
      <w:pPr>
        <w:pStyle w:val="Figuretitle"/>
      </w:pPr>
      <w:r>
        <w:rPr>
          <w:noProof/>
          <w:lang w:eastAsia="en-AU"/>
        </w:rPr>
        <w:drawing>
          <wp:anchor distT="0" distB="0" distL="114300" distR="114300" simplePos="0" relativeHeight="251673600" behindDoc="0" locked="0" layoutInCell="1" allowOverlap="1">
            <wp:simplePos x="0" y="0"/>
            <wp:positionH relativeFrom="column">
              <wp:posOffset>4445</wp:posOffset>
            </wp:positionH>
            <wp:positionV relativeFrom="paragraph">
              <wp:posOffset>475615</wp:posOffset>
            </wp:positionV>
            <wp:extent cx="5580380" cy="4181475"/>
            <wp:effectExtent l="19050" t="0" r="1270" b="0"/>
            <wp:wrapTopAndBottom/>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580380" cy="4181475"/>
                    </a:xfrm>
                    <a:prstGeom prst="rect">
                      <a:avLst/>
                    </a:prstGeom>
                    <a:noFill/>
                    <a:ln w="9525">
                      <a:noFill/>
                      <a:miter lim="800000"/>
                      <a:headEnd/>
                      <a:tailEnd/>
                    </a:ln>
                  </pic:spPr>
                </pic:pic>
              </a:graphicData>
            </a:graphic>
          </wp:anchor>
        </w:drawing>
      </w:r>
      <w:bookmarkStart w:id="51" w:name="_Toc355275755"/>
      <w:r w:rsidR="00DD695C">
        <w:t>Figure 2</w:t>
      </w:r>
      <w:r>
        <w:tab/>
      </w:r>
      <w:r w:rsidR="00DD695C">
        <w:t>Comparative analysis of ratings: all informants</w:t>
      </w:r>
      <w:bookmarkEnd w:id="51"/>
    </w:p>
    <w:p w:rsidR="000E0FDA" w:rsidRDefault="00387BF2" w:rsidP="006C6D65">
      <w:pPr>
        <w:pStyle w:val="Heading2"/>
      </w:pPr>
      <w:bookmarkStart w:id="52" w:name="_Toc357518794"/>
      <w:r>
        <w:lastRenderedPageBreak/>
        <w:t>What else might assist in maintaining currency?</w:t>
      </w:r>
      <w:bookmarkEnd w:id="52"/>
    </w:p>
    <w:p w:rsidR="00255DF5" w:rsidRDefault="009B7CBB" w:rsidP="006C6D65">
      <w:pPr>
        <w:pStyle w:val="Text"/>
        <w:ind w:right="-143"/>
      </w:pPr>
      <w:r>
        <w:t>The i</w:t>
      </w:r>
      <w:r w:rsidR="00387BF2">
        <w:t>nterviewees</w:t>
      </w:r>
      <w:r>
        <w:t>, who were well informed about training,</w:t>
      </w:r>
      <w:r w:rsidR="00387BF2">
        <w:t xml:space="preserve"> were asked </w:t>
      </w:r>
      <w:r w:rsidR="0006491E">
        <w:t>whether there</w:t>
      </w:r>
      <w:r w:rsidR="00387BF2">
        <w:t xml:space="preserve"> was anything else</w:t>
      </w:r>
      <w:r w:rsidR="006C6D65">
        <w:t> </w:t>
      </w:r>
      <w:r w:rsidR="00387BF2">
        <w:t xml:space="preserve">that could be done to assist trainers and </w:t>
      </w:r>
      <w:r w:rsidR="00B76DCC">
        <w:t>registered training organisations</w:t>
      </w:r>
      <w:r w:rsidR="005A24C2">
        <w:t xml:space="preserve"> </w:t>
      </w:r>
      <w:r w:rsidR="00387BF2">
        <w:t xml:space="preserve">to maintain industry currency. </w:t>
      </w:r>
      <w:r w:rsidR="009A1180">
        <w:t>Most</w:t>
      </w:r>
      <w:r w:rsidR="00255DF5">
        <w:t xml:space="preserve"> had participated</w:t>
      </w:r>
      <w:r w:rsidR="00387BF2">
        <w:t xml:space="preserve"> in industry consultations </w:t>
      </w:r>
      <w:r w:rsidR="009A1180">
        <w:t>relating to</w:t>
      </w:r>
      <w:r w:rsidR="00387BF2">
        <w:t xml:space="preserve"> training</w:t>
      </w:r>
      <w:r w:rsidR="001C0588">
        <w:t xml:space="preserve"> or</w:t>
      </w:r>
      <w:r w:rsidR="00387BF2">
        <w:t xml:space="preserve"> </w:t>
      </w:r>
      <w:r w:rsidR="00255DF5">
        <w:t>were</w:t>
      </w:r>
      <w:r w:rsidR="005A24C2">
        <w:t xml:space="preserve"> on</w:t>
      </w:r>
      <w:r w:rsidR="006C6D65">
        <w:t> </w:t>
      </w:r>
      <w:r w:rsidR="00D3759F">
        <w:t>industry skills council</w:t>
      </w:r>
      <w:r w:rsidR="009A1180">
        <w:t xml:space="preserve"> </w:t>
      </w:r>
      <w:r w:rsidR="005A24C2" w:rsidRPr="006C6D65">
        <w:t>committees</w:t>
      </w:r>
      <w:r w:rsidR="00387BF2">
        <w:t xml:space="preserve"> or committees with professional associations. Five employers had close involvement with their industry associations</w:t>
      </w:r>
      <w:r w:rsidR="00255DF5">
        <w:t xml:space="preserve">, while others </w:t>
      </w:r>
      <w:r w:rsidR="00387BF2">
        <w:t xml:space="preserve">had been involved in demonstrating products and </w:t>
      </w:r>
      <w:r w:rsidR="009A1180">
        <w:t>discussing</w:t>
      </w:r>
      <w:r w:rsidR="00387BF2">
        <w:t xml:space="preserve"> trends at</w:t>
      </w:r>
      <w:r w:rsidR="00255DF5">
        <w:t xml:space="preserve"> trade shows </w:t>
      </w:r>
      <w:r w:rsidR="005A24C2">
        <w:t xml:space="preserve">as well as </w:t>
      </w:r>
      <w:r>
        <w:t xml:space="preserve">speaking </w:t>
      </w:r>
      <w:r w:rsidR="002E52AC">
        <w:t>to</w:t>
      </w:r>
      <w:r w:rsidR="00255DF5">
        <w:t xml:space="preserve"> TAFE</w:t>
      </w:r>
      <w:r w:rsidR="00387BF2">
        <w:t xml:space="preserve"> apprentice groups</w:t>
      </w:r>
      <w:r w:rsidR="00255DF5">
        <w:t xml:space="preserve">. </w:t>
      </w:r>
    </w:p>
    <w:p w:rsidR="00387BF2" w:rsidRDefault="00255DF5" w:rsidP="00FD549F">
      <w:pPr>
        <w:pStyle w:val="Text"/>
      </w:pPr>
      <w:r>
        <w:t xml:space="preserve">Employers </w:t>
      </w:r>
      <w:r w:rsidR="00FD549F">
        <w:t>considered</w:t>
      </w:r>
      <w:r>
        <w:t xml:space="preserve"> that </w:t>
      </w:r>
      <w:r w:rsidR="00B76DCC">
        <w:t>a registered training organisation</w:t>
      </w:r>
      <w:r>
        <w:t xml:space="preserve"> or </w:t>
      </w:r>
      <w:r w:rsidR="00387BF2">
        <w:t xml:space="preserve">trainer should be proactive in asking for assistance in </w:t>
      </w:r>
      <w:r>
        <w:t>maintaining currency</w:t>
      </w:r>
      <w:r w:rsidR="00387BF2">
        <w:t xml:space="preserve">. A significant number however </w:t>
      </w:r>
      <w:r w:rsidR="00FF428F">
        <w:t>reflected similar views to the following comment</w:t>
      </w:r>
      <w:r w:rsidR="00387BF2">
        <w:t>:</w:t>
      </w:r>
    </w:p>
    <w:p w:rsidR="001235CE" w:rsidRDefault="001235CE" w:rsidP="001235CE">
      <w:pPr>
        <w:pStyle w:val="Quote"/>
      </w:pPr>
      <w:r>
        <w:t>No, I have not been approached by the local public TAFE institute or private provider to assist with the professional development for VET trainers. However, I would not hesitate to assist if the salon was approached.</w:t>
      </w:r>
    </w:p>
    <w:p w:rsidR="001235CE" w:rsidRPr="006C6D65" w:rsidRDefault="00387BF2" w:rsidP="006C6D65">
      <w:pPr>
        <w:pStyle w:val="Text"/>
      </w:pPr>
      <w:r>
        <w:t xml:space="preserve">Employers also </w:t>
      </w:r>
      <w:r w:rsidR="00FD549F">
        <w:t xml:space="preserve">proposed </w:t>
      </w:r>
      <w:r>
        <w:t>a range of strategies to assist trainers to remain current</w:t>
      </w:r>
      <w:r w:rsidR="00FD549F">
        <w:t>,</w:t>
      </w:r>
      <w:r>
        <w:t xml:space="preserve"> such as mentoring, wo</w:t>
      </w:r>
      <w:r w:rsidR="001235CE">
        <w:t xml:space="preserve">rkplace shadowing, scholarships or </w:t>
      </w:r>
      <w:r>
        <w:t xml:space="preserve">awards providing continuing professional development opportunities, speaking at TAFE </w:t>
      </w:r>
      <w:r w:rsidR="0073332D">
        <w:t>professional development</w:t>
      </w:r>
      <w:r>
        <w:t xml:space="preserve"> days, and assisting with trialling new</w:t>
      </w:r>
      <w:r w:rsidR="00FD549F">
        <w:t xml:space="preserve"> technologies. One employer</w:t>
      </w:r>
      <w:r w:rsidRPr="006C6D65">
        <w:t xml:space="preserve"> suggested</w:t>
      </w:r>
      <w:r w:rsidR="001C0588">
        <w:t xml:space="preserve">, by way of </w:t>
      </w:r>
      <w:r w:rsidR="001C0588" w:rsidRPr="006C6D65">
        <w:t>example,</w:t>
      </w:r>
      <w:r w:rsidRPr="006C6D65">
        <w:t xml:space="preserve"> a network of employers who would give trainers the opportunity to have on-site experience.</w:t>
      </w:r>
    </w:p>
    <w:p w:rsidR="00387BF2" w:rsidRPr="006C6D65" w:rsidRDefault="00387BF2" w:rsidP="006C6D65">
      <w:pPr>
        <w:pStyle w:val="Text"/>
        <w:ind w:right="-143"/>
      </w:pPr>
      <w:r w:rsidRPr="006C6D65">
        <w:t xml:space="preserve">Employers indicated that </w:t>
      </w:r>
      <w:r w:rsidR="00FD549F" w:rsidRPr="006C6D65">
        <w:t>small-to-</w:t>
      </w:r>
      <w:r w:rsidR="001235CE" w:rsidRPr="006C6D65">
        <w:t>medium enterprises</w:t>
      </w:r>
      <w:r w:rsidRPr="006C6D65">
        <w:t xml:space="preserve"> </w:t>
      </w:r>
      <w:r w:rsidR="00FD549F" w:rsidRPr="006C6D65">
        <w:t>may</w:t>
      </w:r>
      <w:r w:rsidRPr="006C6D65">
        <w:t xml:space="preserve"> be limited in </w:t>
      </w:r>
      <w:r w:rsidR="00FD549F" w:rsidRPr="006C6D65">
        <w:t>what they could do but would</w:t>
      </w:r>
      <w:r w:rsidR="006C6D65">
        <w:t> </w:t>
      </w:r>
      <w:r w:rsidR="00FD549F" w:rsidRPr="006C6D65">
        <w:t>co</w:t>
      </w:r>
      <w:r w:rsidRPr="006C6D65">
        <w:t xml:space="preserve">operate if they could. They also mentioned that their industry associations could (and </w:t>
      </w:r>
      <w:r w:rsidR="001235CE" w:rsidRPr="006C6D65">
        <w:t>did</w:t>
      </w:r>
      <w:r w:rsidRPr="006C6D65">
        <w:t xml:space="preserve">) play </w:t>
      </w:r>
      <w:r w:rsidR="00FD549F" w:rsidRPr="006C6D65">
        <w:t>an increased</w:t>
      </w:r>
      <w:r w:rsidRPr="006C6D65">
        <w:t xml:space="preserve"> role in running professional development activities and industry briefings for trainers.</w:t>
      </w:r>
    </w:p>
    <w:p w:rsidR="00387BF2" w:rsidRPr="006C6D65" w:rsidRDefault="005A24C2" w:rsidP="006C6D65">
      <w:pPr>
        <w:pStyle w:val="Text"/>
      </w:pPr>
      <w:r w:rsidRPr="006C6D65">
        <w:t>Professional associations</w:t>
      </w:r>
      <w:r w:rsidR="00387BF2" w:rsidRPr="006C6D65">
        <w:t xml:space="preserve"> </w:t>
      </w:r>
      <w:r w:rsidR="00FD549F" w:rsidRPr="006C6D65">
        <w:t>recognised the importance</w:t>
      </w:r>
      <w:r w:rsidR="00387BF2" w:rsidRPr="006C6D65">
        <w:t xml:space="preserve"> for them to have a good understanding of the training system, a good</w:t>
      </w:r>
      <w:r w:rsidR="009B7CBB" w:rsidRPr="006C6D65">
        <w:t xml:space="preserve"> knowledge of the providers </w:t>
      </w:r>
      <w:r w:rsidR="00387BF2" w:rsidRPr="006C6D65">
        <w:t xml:space="preserve">in it and effective networks to link to their members’ training needs. They </w:t>
      </w:r>
      <w:r w:rsidR="001235CE" w:rsidRPr="006C6D65">
        <w:t>considered it was</w:t>
      </w:r>
      <w:r w:rsidR="00387BF2" w:rsidRPr="006C6D65">
        <w:t xml:space="preserve"> in the interests of their members to assist trainers and </w:t>
      </w:r>
      <w:r w:rsidR="001235CE" w:rsidRPr="006C6D65">
        <w:t>training providers</w:t>
      </w:r>
      <w:r w:rsidR="00387BF2" w:rsidRPr="006C6D65">
        <w:t xml:space="preserve"> to understand the industry and to support them where possible with the professional development of trainers. </w:t>
      </w:r>
      <w:r w:rsidR="00FD549F" w:rsidRPr="006C6D65">
        <w:t>They therefore</w:t>
      </w:r>
      <w:r w:rsidR="00387BF2" w:rsidRPr="006C6D65">
        <w:t xml:space="preserve"> actively encourage</w:t>
      </w:r>
      <w:r w:rsidR="001235CE" w:rsidRPr="006C6D65">
        <w:t>d</w:t>
      </w:r>
      <w:r w:rsidR="00387BF2" w:rsidRPr="006C6D65">
        <w:t xml:space="preserve"> trainers to take advantage of the professional deve</w:t>
      </w:r>
      <w:r w:rsidR="001235CE" w:rsidRPr="006C6D65">
        <w:t xml:space="preserve">lopment opportunities </w:t>
      </w:r>
      <w:r w:rsidR="009B7CBB" w:rsidRPr="006C6D65">
        <w:t xml:space="preserve">that </w:t>
      </w:r>
      <w:r w:rsidR="001235CE" w:rsidRPr="006C6D65">
        <w:t>a</w:t>
      </w:r>
      <w:r w:rsidR="00387BF2" w:rsidRPr="006C6D65">
        <w:t>ssociations</w:t>
      </w:r>
      <w:r w:rsidR="009B7CBB" w:rsidRPr="006C6D65">
        <w:t xml:space="preserve"> offered</w:t>
      </w:r>
      <w:r w:rsidR="00387BF2" w:rsidRPr="006C6D65">
        <w:t>.</w:t>
      </w:r>
    </w:p>
    <w:p w:rsidR="00387BF2" w:rsidRPr="006C6D65" w:rsidRDefault="00FD549F" w:rsidP="006C6D65">
      <w:pPr>
        <w:pStyle w:val="Text"/>
      </w:pPr>
      <w:r w:rsidRPr="006C6D65">
        <w:t>I</w:t>
      </w:r>
      <w:r w:rsidR="00D3759F" w:rsidRPr="006C6D65">
        <w:t>ndustry skills council</w:t>
      </w:r>
      <w:r w:rsidRPr="006C6D65">
        <w:t xml:space="preserve"> </w:t>
      </w:r>
      <w:r w:rsidR="001235CE" w:rsidRPr="006C6D65">
        <w:t>representatives</w:t>
      </w:r>
      <w:r w:rsidR="00387BF2" w:rsidRPr="006C6D65">
        <w:t xml:space="preserve"> </w:t>
      </w:r>
      <w:r w:rsidR="005A24C2" w:rsidRPr="006C6D65">
        <w:t>suggested</w:t>
      </w:r>
      <w:r w:rsidR="00387BF2" w:rsidRPr="006C6D65">
        <w:t xml:space="preserve"> that their industry sectors were proactive</w:t>
      </w:r>
      <w:r w:rsidR="001C0588">
        <w:t>,</w:t>
      </w:r>
      <w:r w:rsidR="00387BF2" w:rsidRPr="006C6D65">
        <w:t xml:space="preserve"> and gave examples of training staff exchange activities between organisations such as </w:t>
      </w:r>
      <w:r w:rsidR="009B7CBB" w:rsidRPr="006C6D65">
        <w:t xml:space="preserve">a </w:t>
      </w:r>
      <w:r w:rsidR="00387BF2" w:rsidRPr="006C6D65">
        <w:t xml:space="preserve">TAFE </w:t>
      </w:r>
      <w:r w:rsidR="009B7CBB" w:rsidRPr="006C6D65">
        <w:t xml:space="preserve">institute </w:t>
      </w:r>
      <w:r w:rsidR="00387BF2" w:rsidRPr="006C6D65">
        <w:t>and the Plumbing I</w:t>
      </w:r>
      <w:r w:rsidR="009B7CBB" w:rsidRPr="006C6D65">
        <w:t>ndustries Climate Action Centre</w:t>
      </w:r>
      <w:r w:rsidR="00387BF2" w:rsidRPr="006C6D65">
        <w:t xml:space="preserve"> and industry initiatives such as the Australian Hairdressing Council</w:t>
      </w:r>
      <w:r w:rsidRPr="006C6D65">
        <w:t>,</w:t>
      </w:r>
      <w:r w:rsidR="00387BF2" w:rsidRPr="006C6D65">
        <w:t xml:space="preserve"> which was formed to promote professionalism and training in the hairdressing industry. </w:t>
      </w:r>
      <w:r w:rsidR="001235CE" w:rsidRPr="006C6D65">
        <w:t>They also</w:t>
      </w:r>
      <w:r w:rsidR="00387BF2" w:rsidRPr="006C6D65">
        <w:t xml:space="preserve"> agreed that their role was to promote industry currency to </w:t>
      </w:r>
      <w:r w:rsidR="001235CE" w:rsidRPr="006C6D65">
        <w:t>providers</w:t>
      </w:r>
      <w:r w:rsidR="00387BF2" w:rsidRPr="006C6D65">
        <w:t xml:space="preserve">. While they </w:t>
      </w:r>
      <w:r w:rsidR="001235CE" w:rsidRPr="006C6D65">
        <w:t>did not</w:t>
      </w:r>
      <w:r w:rsidR="00387BF2" w:rsidRPr="006C6D65">
        <w:t xml:space="preserve"> necessarily have a role in providing professional learning activities for trainers and assessors</w:t>
      </w:r>
      <w:r w:rsidR="001235CE" w:rsidRPr="006C6D65">
        <w:t>, they</w:t>
      </w:r>
      <w:r w:rsidR="00387BF2" w:rsidRPr="006C6D65">
        <w:t xml:space="preserve"> encouraged trainers and assessors to take </w:t>
      </w:r>
      <w:r w:rsidR="001C0588">
        <w:t>the opportunities</w:t>
      </w:r>
      <w:r w:rsidR="00387BF2" w:rsidRPr="006C6D65">
        <w:t xml:space="preserve"> provided through </w:t>
      </w:r>
      <w:r w:rsidRPr="006C6D65">
        <w:t xml:space="preserve">industry skills councils’ </w:t>
      </w:r>
      <w:r w:rsidR="00387BF2" w:rsidRPr="006C6D65">
        <w:t xml:space="preserve">industry consultations and events to get closer to industry. </w:t>
      </w:r>
    </w:p>
    <w:p w:rsidR="00387BF2" w:rsidRDefault="00446BFE" w:rsidP="006C6D65">
      <w:pPr>
        <w:pStyle w:val="Text"/>
      </w:pPr>
      <w:r w:rsidRPr="006C6D65">
        <w:t xml:space="preserve">Industry </w:t>
      </w:r>
      <w:r w:rsidR="00FD549F" w:rsidRPr="006C6D65">
        <w:t xml:space="preserve">skills councils </w:t>
      </w:r>
      <w:r w:rsidR="00387BF2" w:rsidRPr="006C6D65">
        <w:t>also assist</w:t>
      </w:r>
      <w:r w:rsidRPr="006C6D65">
        <w:t>ed</w:t>
      </w:r>
      <w:r w:rsidR="00387BF2" w:rsidRPr="006C6D65">
        <w:t xml:space="preserve"> with professional development activities</w:t>
      </w:r>
      <w:r w:rsidR="00FD549F" w:rsidRPr="006C6D65">
        <w:t xml:space="preserve"> related to </w:t>
      </w:r>
      <w:r w:rsidR="00387BF2" w:rsidRPr="006C6D65">
        <w:t>delivery and assessment (al</w:t>
      </w:r>
      <w:r w:rsidR="00FD549F" w:rsidRPr="006C6D65">
        <w:t>though</w:t>
      </w:r>
      <w:r w:rsidR="00387BF2" w:rsidRPr="006C6D65">
        <w:t xml:space="preserve"> these tend</w:t>
      </w:r>
      <w:r w:rsidR="005A24C2" w:rsidRPr="006C6D65">
        <w:t>ed</w:t>
      </w:r>
      <w:r w:rsidR="00387BF2" w:rsidRPr="006C6D65">
        <w:t xml:space="preserve"> to focus on educational aspects rather than specific industry activities), information sessions on training packages in specific industries</w:t>
      </w:r>
      <w:r w:rsidR="001C0588">
        <w:t>,</w:t>
      </w:r>
      <w:r w:rsidR="00387BF2" w:rsidRPr="006C6D65">
        <w:t xml:space="preserve"> and initiatives </w:t>
      </w:r>
      <w:r w:rsidR="00FD549F" w:rsidRPr="006C6D65">
        <w:t>such as</w:t>
      </w:r>
      <w:r w:rsidR="00387BF2" w:rsidRPr="006C6D65">
        <w:t xml:space="preserve"> the Right Way Program developed by Service Skills Australia</w:t>
      </w:r>
      <w:r w:rsidR="00FD549F">
        <w:t>,</w:t>
      </w:r>
      <w:r w:rsidR="00387BF2">
        <w:t xml:space="preserve"> which provide</w:t>
      </w:r>
      <w:r>
        <w:t>d</w:t>
      </w:r>
      <w:r w:rsidR="00387BF2">
        <w:t xml:space="preserve"> industry recognition across the industry sectors (including hairdressing) of quality tra</w:t>
      </w:r>
      <w:r w:rsidR="005A24C2">
        <w:t>ining and assessment facilities, quality trainers and assessors</w:t>
      </w:r>
      <w:r w:rsidR="00C34607">
        <w:t xml:space="preserve"> and quality learning resources</w:t>
      </w:r>
      <w:r w:rsidR="00387BF2">
        <w:t xml:space="preserve">. </w:t>
      </w:r>
    </w:p>
    <w:p w:rsidR="00FB536C" w:rsidRDefault="00387BF2" w:rsidP="00FD549F">
      <w:pPr>
        <w:pStyle w:val="Text"/>
      </w:pPr>
      <w:r>
        <w:t xml:space="preserve">All </w:t>
      </w:r>
      <w:r w:rsidR="00FD549F">
        <w:t xml:space="preserve">industry skills council </w:t>
      </w:r>
      <w:r>
        <w:t xml:space="preserve">representatives </w:t>
      </w:r>
      <w:r w:rsidR="005A24C2">
        <w:t>indicated</w:t>
      </w:r>
      <w:r>
        <w:t xml:space="preserve"> there was no lack of goodwill in industry to be involved in assisting trainers to update knowledge and </w:t>
      </w:r>
      <w:r w:rsidR="005A24C2">
        <w:t>suggested</w:t>
      </w:r>
      <w:r>
        <w:t xml:space="preserve"> they </w:t>
      </w:r>
      <w:r w:rsidR="005A24C2">
        <w:t>were</w:t>
      </w:r>
      <w:r>
        <w:t xml:space="preserve"> regularly involved on </w:t>
      </w:r>
      <w:r w:rsidR="0073332D">
        <w:t>a</w:t>
      </w:r>
      <w:r>
        <w:t xml:space="preserve"> </w:t>
      </w:r>
      <w:r>
        <w:lastRenderedPageBreak/>
        <w:t>one-to-one basis with trainers when asked. There was</w:t>
      </w:r>
      <w:r w:rsidR="005A24C2">
        <w:t xml:space="preserve">, however, </w:t>
      </w:r>
      <w:r>
        <w:t xml:space="preserve">a view that </w:t>
      </w:r>
      <w:r w:rsidR="00EA3658">
        <w:t>registered training organisations</w:t>
      </w:r>
      <w:r>
        <w:t xml:space="preserve"> needed to be more proactive </w:t>
      </w:r>
      <w:r w:rsidR="00446BFE">
        <w:t xml:space="preserve">in </w:t>
      </w:r>
      <w:r>
        <w:t>seeking opportunities to engage with employers</w:t>
      </w:r>
      <w:r w:rsidR="00446BFE">
        <w:t>. The responsibility for this</w:t>
      </w:r>
      <w:r>
        <w:t xml:space="preserve"> </w:t>
      </w:r>
      <w:r w:rsidR="00446BFE">
        <w:t>rested with the providers</w:t>
      </w:r>
      <w:r>
        <w:t xml:space="preserve"> </w:t>
      </w:r>
      <w:r w:rsidR="00446BFE">
        <w:t>not the</w:t>
      </w:r>
      <w:r>
        <w:t xml:space="preserve"> employers. </w:t>
      </w:r>
    </w:p>
    <w:p w:rsidR="00FD549F" w:rsidRDefault="00FD549F" w:rsidP="006C6D65">
      <w:pPr>
        <w:pStyle w:val="Heading2"/>
      </w:pPr>
      <w:bookmarkStart w:id="53" w:name="_Toc357518795"/>
      <w:r>
        <w:t>Summary</w:t>
      </w:r>
      <w:bookmarkEnd w:id="53"/>
    </w:p>
    <w:p w:rsidR="00C34607" w:rsidRDefault="005A24C2" w:rsidP="00C34607">
      <w:pPr>
        <w:pStyle w:val="Text"/>
        <w:rPr>
          <w:highlight w:val="yellow"/>
        </w:rPr>
      </w:pPr>
      <w:r>
        <w:t xml:space="preserve">The key stakeholders interviewed in this </w:t>
      </w:r>
      <w:r w:rsidR="00C34607">
        <w:t>component</w:t>
      </w:r>
      <w:r>
        <w:t xml:space="preserve"> of the research were asked to focus their </w:t>
      </w:r>
      <w:r w:rsidR="001C0588">
        <w:t xml:space="preserve">attention </w:t>
      </w:r>
      <w:r>
        <w:t xml:space="preserve">on the </w:t>
      </w:r>
      <w:r w:rsidR="00897508">
        <w:t>industry currency</w:t>
      </w:r>
      <w:r>
        <w:t xml:space="preserve"> </w:t>
      </w:r>
      <w:r w:rsidR="00C125BD">
        <w:t>of</w:t>
      </w:r>
      <w:r>
        <w:t xml:space="preserve"> trainers</w:t>
      </w:r>
      <w:r w:rsidR="00C125BD">
        <w:t xml:space="preserve"> in </w:t>
      </w:r>
      <w:r>
        <w:t>the VET sector</w:t>
      </w:r>
      <w:r w:rsidR="00897508">
        <w:t xml:space="preserve"> and to suggest how currency might best be maintained</w:t>
      </w:r>
      <w:r w:rsidR="00C125BD">
        <w:t xml:space="preserve">. All acknowledged that this was a critical </w:t>
      </w:r>
      <w:r w:rsidR="005806AB">
        <w:t xml:space="preserve">and challenging </w:t>
      </w:r>
      <w:r w:rsidR="00C125BD">
        <w:t xml:space="preserve">issue </w:t>
      </w:r>
      <w:r w:rsidR="005806AB">
        <w:t xml:space="preserve">and one that needed to be addressed by trainers and </w:t>
      </w:r>
      <w:r w:rsidR="00B76DCC">
        <w:t>registered training organisations</w:t>
      </w:r>
      <w:r w:rsidR="005806AB">
        <w:t xml:space="preserve"> if </w:t>
      </w:r>
      <w:r w:rsidR="00897508">
        <w:t xml:space="preserve">training </w:t>
      </w:r>
      <w:r w:rsidR="005806AB">
        <w:t xml:space="preserve">was to </w:t>
      </w:r>
      <w:r w:rsidR="00897508">
        <w:t>me</w:t>
      </w:r>
      <w:r w:rsidR="005806AB">
        <w:t>e</w:t>
      </w:r>
      <w:r w:rsidR="00897508">
        <w:t xml:space="preserve">t the </w:t>
      </w:r>
      <w:r w:rsidR="005806AB">
        <w:t xml:space="preserve">needs </w:t>
      </w:r>
      <w:r w:rsidR="00897508">
        <w:t xml:space="preserve">of industry. </w:t>
      </w:r>
      <w:r w:rsidR="005806AB">
        <w:t xml:space="preserve">Building on </w:t>
      </w:r>
      <w:r w:rsidR="001C0588">
        <w:t xml:space="preserve">their </w:t>
      </w:r>
      <w:r w:rsidR="005806AB">
        <w:t xml:space="preserve">training in industry and a strong background </w:t>
      </w:r>
      <w:r w:rsidR="00817592">
        <w:t xml:space="preserve">of </w:t>
      </w:r>
      <w:r w:rsidR="005806AB">
        <w:t xml:space="preserve">working in industry, </w:t>
      </w:r>
      <w:r w:rsidR="00817592">
        <w:t>ongoing</w:t>
      </w:r>
      <w:r w:rsidR="005806AB">
        <w:t xml:space="preserve"> close engagement </w:t>
      </w:r>
      <w:r w:rsidR="001C0588">
        <w:t xml:space="preserve">between trainees </w:t>
      </w:r>
      <w:proofErr w:type="gramStart"/>
      <w:r w:rsidR="001C0588">
        <w:t xml:space="preserve">and </w:t>
      </w:r>
      <w:r w:rsidR="005806AB">
        <w:t xml:space="preserve"> enterprises</w:t>
      </w:r>
      <w:proofErr w:type="gramEnd"/>
      <w:r w:rsidR="005806AB">
        <w:t xml:space="preserve"> and involvement in industry networks </w:t>
      </w:r>
      <w:r w:rsidR="008F110A">
        <w:t xml:space="preserve">and events </w:t>
      </w:r>
      <w:r w:rsidR="005806AB">
        <w:t xml:space="preserve">were </w:t>
      </w:r>
      <w:r w:rsidR="00F14A88">
        <w:t>seen to be the most useful</w:t>
      </w:r>
      <w:r w:rsidR="005806AB">
        <w:t xml:space="preserve"> ways </w:t>
      </w:r>
      <w:r w:rsidR="008F110A">
        <w:t>for trainers to</w:t>
      </w:r>
      <w:r w:rsidR="005806AB">
        <w:t xml:space="preserve"> updat</w:t>
      </w:r>
      <w:r w:rsidR="008F110A">
        <w:t>e their</w:t>
      </w:r>
      <w:r w:rsidR="005806AB">
        <w:t xml:space="preserve"> industry skills and knowledge. </w:t>
      </w:r>
      <w:r w:rsidR="00F14A88">
        <w:t xml:space="preserve">Importantly, all informants considered that maintenance of industry currency was a responsibility that both trainers and </w:t>
      </w:r>
      <w:r w:rsidR="00EA3658">
        <w:t>registered training organisations</w:t>
      </w:r>
      <w:r w:rsidR="00F14A88">
        <w:t xml:space="preserve"> </w:t>
      </w:r>
      <w:r w:rsidR="00FD549F">
        <w:t>shared</w:t>
      </w:r>
      <w:r w:rsidR="00C34607">
        <w:t>.</w:t>
      </w:r>
    </w:p>
    <w:p w:rsidR="00C34607" w:rsidRDefault="00C34607">
      <w:pPr>
        <w:spacing w:before="0" w:line="240" w:lineRule="auto"/>
        <w:rPr>
          <w:highlight w:val="yellow"/>
        </w:rPr>
      </w:pPr>
      <w:r>
        <w:rPr>
          <w:highlight w:val="yellow"/>
        </w:rPr>
        <w:br w:type="page"/>
      </w:r>
    </w:p>
    <w:p w:rsidR="00FA7955" w:rsidRDefault="00FC6870" w:rsidP="006C6D65">
      <w:pPr>
        <w:pStyle w:val="Heading1"/>
      </w:pPr>
      <w:bookmarkStart w:id="54" w:name="_Toc357518796"/>
      <w:r>
        <w:lastRenderedPageBreak/>
        <w:t>Currency: t</w:t>
      </w:r>
      <w:r w:rsidR="004F62BB">
        <w:t>he professional lens</w:t>
      </w:r>
      <w:bookmarkEnd w:id="54"/>
    </w:p>
    <w:p w:rsidR="00C401C4" w:rsidRPr="006C6D65" w:rsidRDefault="00C401C4" w:rsidP="006C6D65">
      <w:pPr>
        <w:pStyle w:val="Text"/>
      </w:pPr>
      <w:r>
        <w:t>For this aspect of the study, the literature on what is termed ‘professional obsolescence’ was examined</w:t>
      </w:r>
      <w:r w:rsidR="008007F8">
        <w:t xml:space="preserve"> (see appendix A in the support document)</w:t>
      </w:r>
      <w:r>
        <w:t xml:space="preserve">. Although a theory of occupational obsolescence was </w:t>
      </w:r>
      <w:r w:rsidR="00CB1076">
        <w:t xml:space="preserve">first </w:t>
      </w:r>
      <w:r>
        <w:t xml:space="preserve">formed </w:t>
      </w:r>
      <w:r w:rsidR="00CB1076">
        <w:t>around the</w:t>
      </w:r>
      <w:r>
        <w:t xml:space="preserve"> 1930s (</w:t>
      </w:r>
      <w:proofErr w:type="spellStart"/>
      <w:r>
        <w:t>Tugwell</w:t>
      </w:r>
      <w:proofErr w:type="spellEnd"/>
      <w:r>
        <w:t xml:space="preserve"> 1931), the term first appear</w:t>
      </w:r>
      <w:r w:rsidR="00CB1076">
        <w:t>ed</w:t>
      </w:r>
      <w:r>
        <w:t xml:space="preserve"> in the literature in the 1960s (Mahler 1965; Ferdinand 1966; Rothman &amp; </w:t>
      </w:r>
      <w:proofErr w:type="spellStart"/>
      <w:r>
        <w:t>Perrucci</w:t>
      </w:r>
      <w:proofErr w:type="spellEnd"/>
      <w:r>
        <w:t xml:space="preserve"> 1970). Since that period a significant amount of research has been undertaken </w:t>
      </w:r>
      <w:r w:rsidR="00C34607">
        <w:t xml:space="preserve">that </w:t>
      </w:r>
      <w:r>
        <w:t>examin</w:t>
      </w:r>
      <w:r w:rsidR="00C34607">
        <w:t>ed</w:t>
      </w:r>
      <w:r>
        <w:t xml:space="preserve"> obsolescence in a range of professional domains. In clarifying the term, </w:t>
      </w:r>
      <w:proofErr w:type="spellStart"/>
      <w:r>
        <w:t>Chauhan</w:t>
      </w:r>
      <w:proofErr w:type="spellEnd"/>
      <w:r>
        <w:t xml:space="preserve"> and </w:t>
      </w:r>
      <w:proofErr w:type="spellStart"/>
      <w:r>
        <w:t>Chauhan</w:t>
      </w:r>
      <w:proofErr w:type="spellEnd"/>
      <w:r>
        <w:t xml:space="preserve"> (2009, p.1) asserted that ‘the most commonly subscribed definitions of obsolescence are those related to job performance’, whereby there is ‘a discrepancy between job </w:t>
      </w:r>
      <w:r w:rsidRPr="006C6D65">
        <w:t>performance and an expected level of competence which incorporates new knowledge being introduced into a profession’.</w:t>
      </w:r>
      <w:r w:rsidR="007D4EDB" w:rsidRPr="006C6D65">
        <w:t xml:space="preserve"> </w:t>
      </w:r>
      <w:r w:rsidRPr="006C6D65">
        <w:t>This condition occurs when the technical skills and domain knowledge of</w:t>
      </w:r>
      <w:r w:rsidR="00BA5C12" w:rsidRPr="006C6D65">
        <w:t xml:space="preserve"> an individual no longer match</w:t>
      </w:r>
      <w:r w:rsidRPr="006C6D65">
        <w:t xml:space="preserve"> the performance standards required in the workplace. </w:t>
      </w:r>
    </w:p>
    <w:p w:rsidR="00CB1076" w:rsidRPr="006C6D65" w:rsidRDefault="00C401C4" w:rsidP="006C6D65">
      <w:pPr>
        <w:pStyle w:val="Text"/>
      </w:pPr>
      <w:r w:rsidRPr="006C6D65">
        <w:t>Much of the research on the topic has emerged from fields such as engineering, information and communications technology</w:t>
      </w:r>
      <w:r w:rsidR="001C0588">
        <w:t xml:space="preserve"> (ICT)</w:t>
      </w:r>
      <w:r w:rsidRPr="006C6D65">
        <w:t xml:space="preserve"> and management </w:t>
      </w:r>
      <w:r w:rsidR="00BA5C12" w:rsidRPr="006C6D65">
        <w:t>—</w:t>
      </w:r>
      <w:r w:rsidRPr="006C6D65">
        <w:t xml:space="preserve"> all fields where technological change has </w:t>
      </w:r>
      <w:r w:rsidR="00CB1076" w:rsidRPr="006C6D65">
        <w:t>demanded</w:t>
      </w:r>
      <w:r w:rsidRPr="006C6D65">
        <w:t xml:space="preserve"> the ongoing development of new skills, new knowledge and new ways of working. </w:t>
      </w:r>
      <w:r w:rsidR="00CB1076" w:rsidRPr="006C6D65">
        <w:t>Without ongoing nurturing, s</w:t>
      </w:r>
      <w:r w:rsidRPr="006C6D65">
        <w:t xml:space="preserve">kills and knowledge </w:t>
      </w:r>
      <w:r w:rsidR="00CB1076" w:rsidRPr="006C6D65">
        <w:t>can fade or</w:t>
      </w:r>
      <w:r w:rsidR="00BA5C12" w:rsidRPr="006C6D65">
        <w:t xml:space="preserve"> become obsolete, a concern </w:t>
      </w:r>
      <w:r w:rsidRPr="006C6D65">
        <w:t xml:space="preserve">for </w:t>
      </w:r>
      <w:r w:rsidR="00CB1076" w:rsidRPr="006C6D65">
        <w:t>professionals (and V</w:t>
      </w:r>
      <w:r w:rsidR="00BA5C12" w:rsidRPr="006C6D65">
        <w:t>ET practitioners)</w:t>
      </w:r>
      <w:r w:rsidRPr="006C6D65">
        <w:t xml:space="preserve">. </w:t>
      </w:r>
    </w:p>
    <w:p w:rsidR="004F62BB" w:rsidRDefault="00C401C4" w:rsidP="006C6D65">
      <w:pPr>
        <w:pStyle w:val="Text"/>
      </w:pPr>
      <w:r w:rsidRPr="006C6D65">
        <w:t>While much of the literature examined</w:t>
      </w:r>
      <w:r>
        <w:t xml:space="preserve"> focused on the reasons why obsolescence occurs, numerous studies also investigated possible strategies for addressing this </w:t>
      </w:r>
      <w:r w:rsidR="00BA5C12">
        <w:t>issue</w:t>
      </w:r>
      <w:r>
        <w:t xml:space="preserve"> from an organisational perspective.</w:t>
      </w:r>
      <w:r w:rsidR="00CB1076">
        <w:t xml:space="preserve"> </w:t>
      </w:r>
      <w:r>
        <w:t xml:space="preserve">The nine </w:t>
      </w:r>
      <w:r w:rsidR="00CB1076">
        <w:t>organisations from the engineering, health, human resources and science sectors</w:t>
      </w:r>
      <w:r>
        <w:t xml:space="preserve"> in this study were all confronting </w:t>
      </w:r>
      <w:r w:rsidR="00CB1076">
        <w:t xml:space="preserve">the challenge of professional obsolescence and </w:t>
      </w:r>
      <w:r w:rsidR="00BA5C12">
        <w:t xml:space="preserve">had adopted a variety </w:t>
      </w:r>
      <w:r w:rsidR="00CB1076">
        <w:t xml:space="preserve">of </w:t>
      </w:r>
      <w:r w:rsidR="00BA5C12">
        <w:t>approaches</w:t>
      </w:r>
      <w:r w:rsidR="00CB1076">
        <w:t xml:space="preserve"> to keep their highly skilled workforces abreast </w:t>
      </w:r>
      <w:r w:rsidR="00EE63D2">
        <w:t>of emerging industry trends.</w:t>
      </w:r>
    </w:p>
    <w:p w:rsidR="00FA7955" w:rsidRDefault="00E630F8" w:rsidP="006C6D65">
      <w:pPr>
        <w:pStyle w:val="Heading2"/>
      </w:pPr>
      <w:bookmarkStart w:id="55" w:name="_Toc357518797"/>
      <w:r>
        <w:t>Questionnaire outcomes</w:t>
      </w:r>
      <w:bookmarkEnd w:id="55"/>
    </w:p>
    <w:p w:rsidR="00897B9C" w:rsidRDefault="00FA7955" w:rsidP="00BA5C12">
      <w:pPr>
        <w:pStyle w:val="Text"/>
      </w:pPr>
      <w:r>
        <w:t>The literature</w:t>
      </w:r>
      <w:r w:rsidR="00B94025">
        <w:t xml:space="preserve"> suggests a number of organisational factors that </w:t>
      </w:r>
      <w:r w:rsidR="00BA5C12">
        <w:t>influence</w:t>
      </w:r>
      <w:r w:rsidR="00B94025">
        <w:t xml:space="preserve"> whether individuals keep their vocational skills and knowledge current. </w:t>
      </w:r>
      <w:r w:rsidR="00897B9C">
        <w:t xml:space="preserve">Chief amongst these is </w:t>
      </w:r>
      <w:r w:rsidR="00C34607">
        <w:t xml:space="preserve">the presence of </w:t>
      </w:r>
      <w:r w:rsidR="00897B9C">
        <w:t xml:space="preserve">an organisational climate </w:t>
      </w:r>
      <w:r w:rsidR="00C34607">
        <w:t>in which</w:t>
      </w:r>
      <w:r w:rsidR="00897B9C">
        <w:t xml:space="preserve"> updating</w:t>
      </w:r>
      <w:r w:rsidR="00C34607">
        <w:t xml:space="preserve"> is encouraged</w:t>
      </w:r>
      <w:r w:rsidR="00A8037F">
        <w:t xml:space="preserve">. The second relates to organisational encouragement of </w:t>
      </w:r>
      <w:r w:rsidR="00BA5C12">
        <w:t>knowledge-</w:t>
      </w:r>
      <w:r w:rsidR="00815772">
        <w:t>sharing</w:t>
      </w:r>
      <w:r w:rsidR="00A8037F">
        <w:t xml:space="preserve"> amongst </w:t>
      </w:r>
      <w:r w:rsidR="00045FF8">
        <w:t>employees</w:t>
      </w:r>
      <w:r w:rsidR="001C0588">
        <w:t>,</w:t>
      </w:r>
      <w:r w:rsidR="00A8037F">
        <w:t xml:space="preserve"> the third</w:t>
      </w:r>
      <w:r w:rsidR="00815772">
        <w:t xml:space="preserve"> factor</w:t>
      </w:r>
      <w:r w:rsidR="00A8037F">
        <w:t xml:space="preserve"> </w:t>
      </w:r>
      <w:r w:rsidR="00045FF8">
        <w:t xml:space="preserve">relates to </w:t>
      </w:r>
      <w:r w:rsidR="00A8037F">
        <w:t xml:space="preserve">having policies </w:t>
      </w:r>
      <w:r w:rsidR="00815772">
        <w:t xml:space="preserve">in place </w:t>
      </w:r>
      <w:r w:rsidR="00A8037F">
        <w:t xml:space="preserve">which reward those </w:t>
      </w:r>
      <w:r w:rsidR="00045FF8">
        <w:t xml:space="preserve">who </w:t>
      </w:r>
      <w:r w:rsidR="00815772">
        <w:t>continue to learn</w:t>
      </w:r>
      <w:r w:rsidR="001C0588">
        <w:t xml:space="preserve"> and</w:t>
      </w:r>
      <w:r w:rsidR="00C34607">
        <w:t xml:space="preserve"> t</w:t>
      </w:r>
      <w:r w:rsidR="00A8037F">
        <w:t xml:space="preserve">he final factor </w:t>
      </w:r>
      <w:r w:rsidR="001C0588">
        <w:t>encompasses ensuring that</w:t>
      </w:r>
      <w:r w:rsidR="00A12C80">
        <w:t xml:space="preserve"> </w:t>
      </w:r>
      <w:r w:rsidR="000915BC">
        <w:t>appropriate</w:t>
      </w:r>
      <w:r w:rsidR="00A8037F">
        <w:t xml:space="preserve"> updating activities</w:t>
      </w:r>
      <w:r w:rsidR="00A12C80">
        <w:t xml:space="preserve"> </w:t>
      </w:r>
      <w:r w:rsidR="001C0588">
        <w:t xml:space="preserve">are </w:t>
      </w:r>
      <w:r w:rsidR="00A12C80">
        <w:t xml:space="preserve">available </w:t>
      </w:r>
      <w:r w:rsidR="000915BC">
        <w:t>for staff</w:t>
      </w:r>
      <w:r w:rsidR="00A8037F">
        <w:t>.</w:t>
      </w:r>
    </w:p>
    <w:p w:rsidR="0002301C" w:rsidRDefault="0000230E" w:rsidP="00897B9C">
      <w:pPr>
        <w:pStyle w:val="Text"/>
      </w:pPr>
      <w:r>
        <w:t xml:space="preserve">To establish baseline information about </w:t>
      </w:r>
      <w:r w:rsidR="00320975">
        <w:t xml:space="preserve">participating </w:t>
      </w:r>
      <w:r>
        <w:t>organisations</w:t>
      </w:r>
      <w:r w:rsidR="00BD7961">
        <w:t xml:space="preserve">, </w:t>
      </w:r>
      <w:r w:rsidR="00BA5C12">
        <w:t xml:space="preserve">learning and development </w:t>
      </w:r>
      <w:r w:rsidR="00320975">
        <w:t>managers</w:t>
      </w:r>
      <w:r w:rsidR="00FC075B">
        <w:t xml:space="preserve"> </w:t>
      </w:r>
      <w:r w:rsidR="00BD7961">
        <w:t xml:space="preserve">were asked to </w:t>
      </w:r>
      <w:r w:rsidR="000915BC">
        <w:t>provide rating</w:t>
      </w:r>
      <w:r w:rsidR="0073332D">
        <w:t>s</w:t>
      </w:r>
      <w:r w:rsidR="000915BC">
        <w:t xml:space="preserve"> against</w:t>
      </w:r>
      <w:r w:rsidR="00BD7961">
        <w:t xml:space="preserve"> 25 statements</w:t>
      </w:r>
      <w:r w:rsidR="00A12C80">
        <w:t xml:space="preserve"> </w:t>
      </w:r>
      <w:r w:rsidR="008A6442">
        <w:t xml:space="preserve">prior to interview </w:t>
      </w:r>
      <w:r w:rsidR="00A12C80">
        <w:t xml:space="preserve">(see appendix </w:t>
      </w:r>
      <w:r w:rsidR="008007F8">
        <w:t>D</w:t>
      </w:r>
      <w:r w:rsidR="00A12C80">
        <w:t xml:space="preserve"> in </w:t>
      </w:r>
      <w:r w:rsidR="008007F8">
        <w:t xml:space="preserve">the </w:t>
      </w:r>
      <w:r w:rsidR="00EE63D2">
        <w:t>s</w:t>
      </w:r>
      <w:r w:rsidR="00A12C80">
        <w:t xml:space="preserve">upport </w:t>
      </w:r>
      <w:r w:rsidR="00EE63D2">
        <w:t>d</w:t>
      </w:r>
      <w:r w:rsidR="00A12C80">
        <w:t>ocument)</w:t>
      </w:r>
      <w:r w:rsidR="00320975">
        <w:t xml:space="preserve">. </w:t>
      </w:r>
      <w:r w:rsidR="008A6442">
        <w:t>These statements</w:t>
      </w:r>
      <w:r w:rsidR="00320975">
        <w:t xml:space="preserve"> </w:t>
      </w:r>
      <w:r>
        <w:t xml:space="preserve">mirrored those used in </w:t>
      </w:r>
      <w:r w:rsidR="00320975">
        <w:t>a study on</w:t>
      </w:r>
      <w:r>
        <w:t xml:space="preserve"> </w:t>
      </w:r>
      <w:r w:rsidR="00A12C80">
        <w:t>ICT</w:t>
      </w:r>
      <w:r>
        <w:t xml:space="preserve"> professionals by </w:t>
      </w:r>
      <w:r w:rsidRPr="0067503F">
        <w:t xml:space="preserve">Blanton, </w:t>
      </w:r>
      <w:proofErr w:type="spellStart"/>
      <w:r w:rsidRPr="0067503F">
        <w:t>Sc</w:t>
      </w:r>
      <w:r w:rsidR="00BA5C12" w:rsidRPr="0067503F">
        <w:t>hambach</w:t>
      </w:r>
      <w:proofErr w:type="spellEnd"/>
      <w:r w:rsidR="00BA5C12" w:rsidRPr="0067503F">
        <w:t xml:space="preserve"> and Trimmer (1998, pp.4—</w:t>
      </w:r>
      <w:r w:rsidRPr="0067503F">
        <w:t>19)</w:t>
      </w:r>
      <w:r w:rsidR="008A6442" w:rsidRPr="0067503F">
        <w:t xml:space="preserve"> w</w:t>
      </w:r>
      <w:r w:rsidR="008A6442">
        <w:t>hich addressed various organisational factors</w:t>
      </w:r>
      <w:r>
        <w:t>.</w:t>
      </w:r>
      <w:r w:rsidR="007D4EDB">
        <w:t xml:space="preserve"> </w:t>
      </w:r>
      <w:r w:rsidR="00C5645E">
        <w:t xml:space="preserve">A </w:t>
      </w:r>
      <w:r w:rsidR="00320975">
        <w:t>summary</w:t>
      </w:r>
      <w:r w:rsidR="00E31A02">
        <w:t xml:space="preserve"> of </w:t>
      </w:r>
      <w:r w:rsidR="009C3818">
        <w:t xml:space="preserve">findings </w:t>
      </w:r>
      <w:r w:rsidR="008A6442">
        <w:t>for each factor follows</w:t>
      </w:r>
      <w:r w:rsidR="009C3818">
        <w:t>.</w:t>
      </w:r>
    </w:p>
    <w:p w:rsidR="00BD7961" w:rsidRDefault="00BD7961" w:rsidP="006C6D65">
      <w:pPr>
        <w:pStyle w:val="Heading2"/>
      </w:pPr>
      <w:bookmarkStart w:id="56" w:name="_Toc357518798"/>
      <w:r>
        <w:t>Organisational updating climate</w:t>
      </w:r>
      <w:bookmarkEnd w:id="56"/>
    </w:p>
    <w:p w:rsidR="00BD7961" w:rsidRDefault="00FB6F11" w:rsidP="007A7EFA">
      <w:pPr>
        <w:pStyle w:val="Text"/>
      </w:pPr>
      <w:r>
        <w:t xml:space="preserve">Of the </w:t>
      </w:r>
      <w:r w:rsidR="008A6559">
        <w:t>nine</w:t>
      </w:r>
      <w:r>
        <w:t xml:space="preserve"> organisations, </w:t>
      </w:r>
      <w:r w:rsidR="004B5EA5">
        <w:t>all s</w:t>
      </w:r>
      <w:r>
        <w:t xml:space="preserve">trongly agreed </w:t>
      </w:r>
      <w:r w:rsidR="004B5EA5">
        <w:t xml:space="preserve">or agreed </w:t>
      </w:r>
      <w:r>
        <w:t>that the</w:t>
      </w:r>
      <w:r w:rsidR="004B5EA5">
        <w:t>ir</w:t>
      </w:r>
      <w:r>
        <w:t xml:space="preserve"> organisation </w:t>
      </w:r>
      <w:r w:rsidR="004B5EA5">
        <w:t xml:space="preserve">openly </w:t>
      </w:r>
      <w:r>
        <w:t xml:space="preserve">encouraged the growth of its professional </w:t>
      </w:r>
      <w:r w:rsidR="0026464B">
        <w:t>workforce;</w:t>
      </w:r>
      <w:r w:rsidR="006957EC">
        <w:t xml:space="preserve"> however</w:t>
      </w:r>
      <w:r w:rsidR="00C64DBC">
        <w:t>,</w:t>
      </w:r>
      <w:r>
        <w:t xml:space="preserve"> </w:t>
      </w:r>
      <w:r w:rsidR="004B5EA5">
        <w:t xml:space="preserve">policies in </w:t>
      </w:r>
      <w:r w:rsidR="007953F0">
        <w:t>more than</w:t>
      </w:r>
      <w:r w:rsidR="004B5EA5">
        <w:t xml:space="preserve"> half </w:t>
      </w:r>
      <w:r w:rsidR="00C64DBC">
        <w:t xml:space="preserve">of them </w:t>
      </w:r>
      <w:r w:rsidR="004B5EA5">
        <w:t xml:space="preserve">did not </w:t>
      </w:r>
      <w:r w:rsidR="007A7EFA">
        <w:t xml:space="preserve">explicitly </w:t>
      </w:r>
      <w:r w:rsidR="007953F0">
        <w:t>stress</w:t>
      </w:r>
      <w:r w:rsidR="004B5EA5">
        <w:t xml:space="preserve"> the importance of keeping </w:t>
      </w:r>
      <w:r w:rsidR="000F5DB5">
        <w:t>current</w:t>
      </w:r>
      <w:r w:rsidR="004B5EA5">
        <w:t xml:space="preserve"> with </w:t>
      </w:r>
      <w:r w:rsidR="000F5DB5">
        <w:t>industry knowledge and skills.</w:t>
      </w:r>
      <w:r w:rsidR="004B5EA5">
        <w:t xml:space="preserve"> </w:t>
      </w:r>
      <w:r w:rsidR="006957EC">
        <w:t xml:space="preserve">Rather, the emphasis tended to be on </w:t>
      </w:r>
      <w:r>
        <w:t xml:space="preserve">high professional standards </w:t>
      </w:r>
      <w:r w:rsidR="006957EC">
        <w:t>in</w:t>
      </w:r>
      <w:r w:rsidR="00E31A02">
        <w:t xml:space="preserve"> </w:t>
      </w:r>
      <w:r w:rsidR="006957EC">
        <w:t xml:space="preserve">all of the </w:t>
      </w:r>
      <w:r w:rsidR="00E31A02">
        <w:t>workplaces</w:t>
      </w:r>
      <w:r w:rsidR="006957EC">
        <w:t xml:space="preserve"> and</w:t>
      </w:r>
      <w:r w:rsidR="007A7EFA">
        <w:t>,</w:t>
      </w:r>
      <w:r w:rsidR="006957EC">
        <w:t xml:space="preserve"> as</w:t>
      </w:r>
      <w:r w:rsidR="002614A8">
        <w:t xml:space="preserve"> </w:t>
      </w:r>
      <w:r w:rsidR="006957EC">
        <w:t xml:space="preserve">they were </w:t>
      </w:r>
      <w:r w:rsidR="002614A8">
        <w:t>knowledge-leading</w:t>
      </w:r>
      <w:r w:rsidR="00C51122">
        <w:t xml:space="preserve"> </w:t>
      </w:r>
      <w:r>
        <w:t xml:space="preserve">organisations, </w:t>
      </w:r>
      <w:r w:rsidR="000F5DB5">
        <w:t>most</w:t>
      </w:r>
      <w:r>
        <w:t xml:space="preserve"> managers suggested that innovation and technological </w:t>
      </w:r>
      <w:r w:rsidR="00A12C80">
        <w:t xml:space="preserve">change </w:t>
      </w:r>
      <w:r w:rsidR="00E31A02">
        <w:t xml:space="preserve">were </w:t>
      </w:r>
      <w:r>
        <w:lastRenderedPageBreak/>
        <w:t>enthusiastically received</w:t>
      </w:r>
      <w:r w:rsidR="000F5DB5">
        <w:t xml:space="preserve"> and</w:t>
      </w:r>
      <w:r w:rsidR="00E31A02">
        <w:t xml:space="preserve"> </w:t>
      </w:r>
      <w:r w:rsidR="002614A8">
        <w:t xml:space="preserve">constantly </w:t>
      </w:r>
      <w:r>
        <w:t>expected</w:t>
      </w:r>
      <w:r w:rsidR="00E31A02">
        <w:t>. In every instance, t</w:t>
      </w:r>
      <w:r w:rsidR="00FC075B">
        <w:t xml:space="preserve">he </w:t>
      </w:r>
      <w:r w:rsidR="00E31A02">
        <w:t>organisation</w:t>
      </w:r>
      <w:r w:rsidR="000F5DB5">
        <w:t>al</w:t>
      </w:r>
      <w:r w:rsidR="00E31A02">
        <w:t xml:space="preserve"> </w:t>
      </w:r>
      <w:r w:rsidR="00FC075B">
        <w:t xml:space="preserve">climate for </w:t>
      </w:r>
      <w:r w:rsidR="000F5DB5">
        <w:t>maintaining currency</w:t>
      </w:r>
      <w:r w:rsidR="00FC075B">
        <w:t xml:space="preserve"> was </w:t>
      </w:r>
      <w:r w:rsidR="00E31A02">
        <w:t xml:space="preserve">rated as </w:t>
      </w:r>
      <w:r w:rsidR="00FC075B">
        <w:t>highly encouraging.</w:t>
      </w:r>
      <w:r>
        <w:t xml:space="preserve"> </w:t>
      </w:r>
    </w:p>
    <w:p w:rsidR="00BD7961" w:rsidRDefault="00BD7961" w:rsidP="006C6D65">
      <w:pPr>
        <w:pStyle w:val="Heading3"/>
      </w:pPr>
      <w:r>
        <w:t>Information exchange</w:t>
      </w:r>
    </w:p>
    <w:p w:rsidR="00B85F93" w:rsidRDefault="0084704F" w:rsidP="006C6D65">
      <w:pPr>
        <w:pStyle w:val="Textlessbefore"/>
        <w:ind w:right="141"/>
      </w:pPr>
      <w:r>
        <w:t>In every case, c</w:t>
      </w:r>
      <w:r w:rsidR="000F5DB5">
        <w:t>ooperation</w:t>
      </w:r>
      <w:r w:rsidR="009C3818">
        <w:t xml:space="preserve"> between professionals was seen to be a</w:t>
      </w:r>
      <w:r w:rsidR="00A12C80">
        <w:t>n</w:t>
      </w:r>
      <w:r w:rsidR="00C51122">
        <w:t xml:space="preserve"> accepted</w:t>
      </w:r>
      <w:r w:rsidR="009C3818">
        <w:t xml:space="preserve"> </w:t>
      </w:r>
      <w:r w:rsidR="00C51122">
        <w:t xml:space="preserve">workplace </w:t>
      </w:r>
      <w:r w:rsidR="009C3818">
        <w:t>activity</w:t>
      </w:r>
      <w:r w:rsidR="00C51122">
        <w:t>.</w:t>
      </w:r>
      <w:r w:rsidR="009C3818">
        <w:t xml:space="preserve"> In </w:t>
      </w:r>
      <w:r w:rsidR="00C51122">
        <w:t>Professional Research Services</w:t>
      </w:r>
      <w:r w:rsidR="009C3818">
        <w:t>,</w:t>
      </w:r>
      <w:r w:rsidR="00C51122">
        <w:t xml:space="preserve"> Energy and Resources Agency, </w:t>
      </w:r>
      <w:proofErr w:type="spellStart"/>
      <w:r w:rsidR="00C51122">
        <w:t>EngineeringCo</w:t>
      </w:r>
      <w:proofErr w:type="spellEnd"/>
      <w:r w:rsidR="00C51122">
        <w:t xml:space="preserve"> and ERC Health</w:t>
      </w:r>
      <w:r w:rsidR="009C3818">
        <w:t xml:space="preserve"> in particular</w:t>
      </w:r>
      <w:r w:rsidR="00B417FE">
        <w:t>,</w:t>
      </w:r>
      <w:r w:rsidR="009C3818">
        <w:t xml:space="preserve"> </w:t>
      </w:r>
      <w:r w:rsidR="007A7EFA">
        <w:t xml:space="preserve">it was confirmed </w:t>
      </w:r>
      <w:r w:rsidR="009C3818">
        <w:t xml:space="preserve">that professionals shared </w:t>
      </w:r>
      <w:r w:rsidR="000F5DB5">
        <w:t>working knowledge</w:t>
      </w:r>
      <w:r w:rsidR="007A7EFA">
        <w:t>,</w:t>
      </w:r>
      <w:r w:rsidR="000F5DB5">
        <w:t xml:space="preserve"> especially when </w:t>
      </w:r>
      <w:r w:rsidR="00A12C80">
        <w:t>dealing with</w:t>
      </w:r>
      <w:r w:rsidR="009C3818">
        <w:t xml:space="preserve"> unfamiliar technical </w:t>
      </w:r>
      <w:r w:rsidR="00A12C80">
        <w:t>aspects of work</w:t>
      </w:r>
      <w:r w:rsidR="009C3818">
        <w:t xml:space="preserve">. </w:t>
      </w:r>
      <w:r>
        <w:t>Colleagues</w:t>
      </w:r>
      <w:r w:rsidR="009C3818">
        <w:t xml:space="preserve"> discussed </w:t>
      </w:r>
      <w:r w:rsidR="000F5DB5">
        <w:t xml:space="preserve">articles </w:t>
      </w:r>
      <w:r w:rsidR="00A12C80">
        <w:t>on</w:t>
      </w:r>
      <w:r w:rsidR="009C3818">
        <w:t xml:space="preserve"> </w:t>
      </w:r>
      <w:r w:rsidR="007953F0">
        <w:t>work-related</w:t>
      </w:r>
      <w:r w:rsidR="009C3818">
        <w:t xml:space="preserve"> topics and acted as </w:t>
      </w:r>
      <w:r w:rsidR="000F5DB5">
        <w:t xml:space="preserve">technical </w:t>
      </w:r>
      <w:r w:rsidR="009C3818">
        <w:t xml:space="preserve">sounding boards for </w:t>
      </w:r>
      <w:r w:rsidR="00622D55">
        <w:t>peers</w:t>
      </w:r>
      <w:r w:rsidR="007A7EFA">
        <w:t>, with</w:t>
      </w:r>
      <w:r w:rsidR="00B85F93">
        <w:t xml:space="preserve"> i</w:t>
      </w:r>
      <w:r>
        <w:t>nformation</w:t>
      </w:r>
      <w:r w:rsidR="009C3818">
        <w:t xml:space="preserve"> exchange </w:t>
      </w:r>
      <w:r w:rsidR="00B417FE">
        <w:t>the norm</w:t>
      </w:r>
      <w:r w:rsidR="00811183">
        <w:t xml:space="preserve"> </w:t>
      </w:r>
      <w:r w:rsidR="00B85F93">
        <w:t xml:space="preserve">across all organisations. </w:t>
      </w:r>
      <w:r w:rsidR="007A7EFA">
        <w:t>According to the managers in the science and human resource organisations, a</w:t>
      </w:r>
      <w:r w:rsidR="00B85F93">
        <w:t xml:space="preserve"> concern for the protection of proprietary information restrict</w:t>
      </w:r>
      <w:r w:rsidR="007A7EFA">
        <w:t>ed</w:t>
      </w:r>
      <w:r w:rsidR="00B85F93">
        <w:t xml:space="preserve"> interaction with professionals outside the organisation. </w:t>
      </w:r>
    </w:p>
    <w:p w:rsidR="00BD7961" w:rsidRDefault="00BD7961" w:rsidP="006C6D65">
      <w:pPr>
        <w:pStyle w:val="Heading3"/>
      </w:pPr>
      <w:r>
        <w:t>Rewards policy</w:t>
      </w:r>
    </w:p>
    <w:p w:rsidR="00BD7961" w:rsidRPr="001C474A" w:rsidRDefault="007A7EFA" w:rsidP="006C6D65">
      <w:pPr>
        <w:pStyle w:val="Textlessbefore"/>
      </w:pPr>
      <w:r>
        <w:t>T</w:t>
      </w:r>
      <w:r w:rsidR="001C474A">
        <w:t xml:space="preserve">he statements </w:t>
      </w:r>
      <w:r>
        <w:t>relating to a</w:t>
      </w:r>
      <w:r w:rsidR="001C474A">
        <w:t xml:space="preserve"> rewards policy </w:t>
      </w:r>
      <w:r w:rsidR="00014CA9">
        <w:t xml:space="preserve">elicited more diverse </w:t>
      </w:r>
      <w:r w:rsidR="007953F0">
        <w:t>responses.</w:t>
      </w:r>
      <w:r w:rsidR="009353A2">
        <w:t xml:space="preserve"> </w:t>
      </w:r>
      <w:r>
        <w:t>Whi</w:t>
      </w:r>
      <w:r w:rsidR="00C34607">
        <w:t xml:space="preserve">le up-to-date professionals </w:t>
      </w:r>
      <w:r>
        <w:t xml:space="preserve">in Professional Research Services, </w:t>
      </w:r>
      <w:proofErr w:type="spellStart"/>
      <w:r>
        <w:t>EngineeringCo</w:t>
      </w:r>
      <w:proofErr w:type="spellEnd"/>
      <w:r>
        <w:t>, CM Consulting and ERC Health had the best opportunity to obtain promotions, t</w:t>
      </w:r>
      <w:r w:rsidR="00B85F93">
        <w:t>he</w:t>
      </w:r>
      <w:r w:rsidR="00014CA9">
        <w:t xml:space="preserve"> </w:t>
      </w:r>
      <w:proofErr w:type="spellStart"/>
      <w:r>
        <w:t>State</w:t>
      </w:r>
      <w:r w:rsidR="00702544">
        <w:t>wide</w:t>
      </w:r>
      <w:proofErr w:type="spellEnd"/>
      <w:r w:rsidR="00702544">
        <w:t xml:space="preserve"> Health representative </w:t>
      </w:r>
      <w:r w:rsidR="00C34607">
        <w:t>offered an opposing</w:t>
      </w:r>
      <w:r>
        <w:t xml:space="preserve"> view. </w:t>
      </w:r>
      <w:r w:rsidR="00D96CA9">
        <w:t>For the</w:t>
      </w:r>
      <w:r w:rsidR="00702544">
        <w:t xml:space="preserve"> </w:t>
      </w:r>
      <w:r w:rsidR="00DC249C">
        <w:t>others</w:t>
      </w:r>
      <w:r w:rsidR="00D96CA9">
        <w:t xml:space="preserve">, currency was deemed to be a possible </w:t>
      </w:r>
      <w:r w:rsidR="00FB3A03">
        <w:t>factor</w:t>
      </w:r>
      <w:r w:rsidR="00702544">
        <w:t xml:space="preserve"> in </w:t>
      </w:r>
      <w:r w:rsidR="00DC249C">
        <w:t>gaining promotion</w:t>
      </w:r>
      <w:r w:rsidR="00702544">
        <w:t xml:space="preserve">. </w:t>
      </w:r>
      <w:r w:rsidR="00D96CA9">
        <w:t>Similar ratings were provided</w:t>
      </w:r>
      <w:r w:rsidR="001C474A">
        <w:t xml:space="preserve"> for the statements ‘</w:t>
      </w:r>
      <w:r w:rsidR="001C474A" w:rsidRPr="001C474A">
        <w:t>This organisation has a performance appraisal system that</w:t>
      </w:r>
      <w:r w:rsidR="001C474A">
        <w:rPr>
          <w:i/>
        </w:rPr>
        <w:t xml:space="preserve"> </w:t>
      </w:r>
      <w:r w:rsidR="001C474A" w:rsidRPr="001C474A">
        <w:t>rewards professional proficiency</w:t>
      </w:r>
      <w:r w:rsidR="001C474A">
        <w:t xml:space="preserve">’ and </w:t>
      </w:r>
      <w:r w:rsidR="001C474A" w:rsidRPr="001C474A">
        <w:t>‘Employees who keep up-to-date on new technology/knowledge are well rewarded in this organisation</w:t>
      </w:r>
      <w:r w:rsidR="001C474A">
        <w:t>’</w:t>
      </w:r>
      <w:r w:rsidR="00125C6D">
        <w:t xml:space="preserve">. </w:t>
      </w:r>
      <w:proofErr w:type="spellStart"/>
      <w:r w:rsidR="00C34607" w:rsidRPr="0067503F">
        <w:t>State</w:t>
      </w:r>
      <w:r w:rsidR="00702544" w:rsidRPr="0067503F">
        <w:t>wide</w:t>
      </w:r>
      <w:proofErr w:type="spellEnd"/>
      <w:r w:rsidR="00702544" w:rsidRPr="0067503F">
        <w:t xml:space="preserve"> Health </w:t>
      </w:r>
      <w:r w:rsidR="00D96CA9" w:rsidRPr="0067503F">
        <w:t>alone</w:t>
      </w:r>
      <w:r w:rsidR="00702544" w:rsidRPr="0067503F">
        <w:t xml:space="preserve"> register</w:t>
      </w:r>
      <w:r w:rsidR="00D96CA9" w:rsidRPr="0067503F">
        <w:t>ed</w:t>
      </w:r>
      <w:r w:rsidR="00125C6D" w:rsidRPr="0067503F">
        <w:t xml:space="preserve"> ‘disagree’ responses </w:t>
      </w:r>
      <w:r w:rsidR="00702544" w:rsidRPr="0067503F">
        <w:t xml:space="preserve">against these </w:t>
      </w:r>
      <w:r w:rsidR="00622D55" w:rsidRPr="0067503F">
        <w:t>statements</w:t>
      </w:r>
      <w:r w:rsidR="0067503F" w:rsidRPr="0067503F">
        <w:t>, indicating that this organisation did not have a rewards policy in place</w:t>
      </w:r>
      <w:r w:rsidR="00622D55" w:rsidRPr="0067503F">
        <w:t>.</w:t>
      </w:r>
      <w:r>
        <w:t xml:space="preserve"> </w:t>
      </w:r>
    </w:p>
    <w:p w:rsidR="00BD7961" w:rsidRPr="00BD7961" w:rsidRDefault="00FB6F11" w:rsidP="006C6D65">
      <w:pPr>
        <w:pStyle w:val="Heading3"/>
      </w:pPr>
      <w:r>
        <w:t>Updating support</w:t>
      </w:r>
    </w:p>
    <w:p w:rsidR="00300671" w:rsidRDefault="00092909" w:rsidP="006C6D65">
      <w:pPr>
        <w:pStyle w:val="Textlessbefore"/>
      </w:pPr>
      <w:r>
        <w:t xml:space="preserve">Regardless of industry focus, </w:t>
      </w:r>
      <w:r w:rsidR="00FB3A03">
        <w:t>managers</w:t>
      </w:r>
      <w:r w:rsidR="004B508A">
        <w:t xml:space="preserve"> either agreed or strongly agreed that </w:t>
      </w:r>
      <w:r w:rsidR="005B66C6">
        <w:t>employees</w:t>
      </w:r>
      <w:r>
        <w:t xml:space="preserve"> </w:t>
      </w:r>
      <w:r w:rsidR="007A7EFA">
        <w:t xml:space="preserve">were encouraged to use work </w:t>
      </w:r>
      <w:r w:rsidR="004B508A">
        <w:t>time for updating skills</w:t>
      </w:r>
      <w:r w:rsidR="00300671">
        <w:t xml:space="preserve"> and were provided with support to </w:t>
      </w:r>
      <w:r>
        <w:t>undertake</w:t>
      </w:r>
      <w:r w:rsidR="00622D55">
        <w:t xml:space="preserve"> </w:t>
      </w:r>
      <w:r w:rsidR="00702544">
        <w:t>developmental</w:t>
      </w:r>
      <w:r w:rsidR="00300671">
        <w:t xml:space="preserve"> activities. </w:t>
      </w:r>
      <w:r w:rsidR="00FB3A03">
        <w:t>T</w:t>
      </w:r>
      <w:r w:rsidR="00300671">
        <w:t xml:space="preserve">ime was </w:t>
      </w:r>
      <w:r w:rsidR="00BE2A4A">
        <w:t xml:space="preserve">also </w:t>
      </w:r>
      <w:r w:rsidR="00300671">
        <w:t xml:space="preserve">provided for </w:t>
      </w:r>
      <w:r w:rsidR="00BE2A4A">
        <w:t>undertaking</w:t>
      </w:r>
      <w:r w:rsidR="00300671">
        <w:t xml:space="preserve"> qualifications</w:t>
      </w:r>
      <w:r w:rsidR="007A7EFA">
        <w:t>,</w:t>
      </w:r>
      <w:r w:rsidR="003B6297">
        <w:t xml:space="preserve"> </w:t>
      </w:r>
      <w:r>
        <w:t>with</w:t>
      </w:r>
      <w:r w:rsidR="003B6297">
        <w:t xml:space="preserve"> </w:t>
      </w:r>
      <w:r w:rsidR="00622D55">
        <w:t xml:space="preserve">a </w:t>
      </w:r>
      <w:r w:rsidR="003B6297">
        <w:t>‘strongly agree’</w:t>
      </w:r>
      <w:r w:rsidR="00622D55">
        <w:t xml:space="preserve"> response</w:t>
      </w:r>
      <w:r w:rsidR="003B6297">
        <w:t xml:space="preserve"> </w:t>
      </w:r>
      <w:r>
        <w:t>being</w:t>
      </w:r>
      <w:r w:rsidR="003B6297">
        <w:t xml:space="preserve"> registered by five </w:t>
      </w:r>
      <w:r>
        <w:t>organisations.</w:t>
      </w:r>
      <w:r w:rsidR="00622D55">
        <w:t xml:space="preserve"> </w:t>
      </w:r>
      <w:r w:rsidR="00BE2A4A">
        <w:t>Most</w:t>
      </w:r>
      <w:r w:rsidR="003B6297">
        <w:t xml:space="preserve"> </w:t>
      </w:r>
      <w:r>
        <w:t xml:space="preserve">also </w:t>
      </w:r>
      <w:r w:rsidR="00300671">
        <w:t xml:space="preserve">agreed that fees for </w:t>
      </w:r>
      <w:r w:rsidR="00BE2A4A">
        <w:t>further study</w:t>
      </w:r>
      <w:r w:rsidR="00300671">
        <w:t xml:space="preserve"> were reimbursed by the organisation</w:t>
      </w:r>
      <w:r w:rsidR="00622D55">
        <w:t>.</w:t>
      </w:r>
      <w:r w:rsidR="003B6297">
        <w:t xml:space="preserve"> </w:t>
      </w:r>
    </w:p>
    <w:p w:rsidR="0008383E" w:rsidRDefault="002973BA" w:rsidP="00897B9C">
      <w:pPr>
        <w:pStyle w:val="Text"/>
      </w:pPr>
      <w:r>
        <w:t xml:space="preserve">Only </w:t>
      </w:r>
      <w:proofErr w:type="spellStart"/>
      <w:r>
        <w:t>EngineeringCo</w:t>
      </w:r>
      <w:proofErr w:type="spellEnd"/>
      <w:r>
        <w:t xml:space="preserve"> </w:t>
      </w:r>
      <w:r w:rsidR="00092909">
        <w:t xml:space="preserve">disagreed that </w:t>
      </w:r>
      <w:r w:rsidR="00277A8D">
        <w:t xml:space="preserve">they </w:t>
      </w:r>
      <w:r w:rsidR="00BE2A4A">
        <w:t>provided</w:t>
      </w:r>
      <w:r w:rsidR="005B66C6">
        <w:t xml:space="preserve"> ‘high quality in-house development activities for professional staff’.</w:t>
      </w:r>
      <w:r>
        <w:t xml:space="preserve"> And</w:t>
      </w:r>
      <w:r w:rsidR="00277A8D">
        <w:t>,</w:t>
      </w:r>
      <w:r>
        <w:t xml:space="preserve"> while the Innovative Engineering Solutions</w:t>
      </w:r>
      <w:r w:rsidR="00D35706">
        <w:t xml:space="preserve"> </w:t>
      </w:r>
      <w:r>
        <w:t xml:space="preserve">manager </w:t>
      </w:r>
      <w:r w:rsidR="001C0588">
        <w:t>disagreed that ‘T</w:t>
      </w:r>
      <w:r w:rsidR="00D35706">
        <w:t xml:space="preserve">he </w:t>
      </w:r>
      <w:r w:rsidR="00300671">
        <w:t>organisation limits training opportunities for its professional staff’</w:t>
      </w:r>
      <w:r>
        <w:t xml:space="preserve">, every other response </w:t>
      </w:r>
      <w:r w:rsidR="00092909">
        <w:t xml:space="preserve">registered </w:t>
      </w:r>
      <w:r w:rsidR="00BE2A4A">
        <w:t>agreement</w:t>
      </w:r>
      <w:r w:rsidR="00092909">
        <w:t>.</w:t>
      </w:r>
      <w:r>
        <w:t xml:space="preserve"> </w:t>
      </w:r>
      <w:r w:rsidR="00277A8D">
        <w:t>Performance</w:t>
      </w:r>
      <w:r w:rsidR="00D35706">
        <w:t xml:space="preserve"> management processes</w:t>
      </w:r>
      <w:r w:rsidR="00300671">
        <w:t xml:space="preserve"> </w:t>
      </w:r>
      <w:r w:rsidR="00277A8D">
        <w:t xml:space="preserve">in all firms </w:t>
      </w:r>
      <w:r w:rsidR="00D35706">
        <w:t xml:space="preserve">provided supervisors with the opportunity to identify developmental opportunities </w:t>
      </w:r>
      <w:r w:rsidR="00FE493E">
        <w:t xml:space="preserve">and </w:t>
      </w:r>
      <w:r w:rsidR="00277A8D">
        <w:t>assist in</w:t>
      </w:r>
      <w:r w:rsidR="00647F7A">
        <w:t xml:space="preserve"> </w:t>
      </w:r>
      <w:r w:rsidR="00FE493E">
        <w:t>develop</w:t>
      </w:r>
      <w:r w:rsidR="000915BC">
        <w:t>ing</w:t>
      </w:r>
      <w:r w:rsidR="00D35706">
        <w:t xml:space="preserve"> learning plans</w:t>
      </w:r>
      <w:r w:rsidR="00647F7A">
        <w:t xml:space="preserve">. </w:t>
      </w:r>
      <w:r w:rsidR="000915BC">
        <w:t>S</w:t>
      </w:r>
      <w:r w:rsidR="00647F7A">
        <w:t xml:space="preserve">trategies were </w:t>
      </w:r>
      <w:r w:rsidR="006F1623">
        <w:t>also</w:t>
      </w:r>
      <w:r w:rsidR="000915BC">
        <w:t xml:space="preserve"> in </w:t>
      </w:r>
      <w:r w:rsidR="00647F7A">
        <w:t xml:space="preserve">place </w:t>
      </w:r>
      <w:r w:rsidR="000915BC">
        <w:t>for recognising</w:t>
      </w:r>
      <w:r w:rsidR="00D35706">
        <w:t xml:space="preserve"> </w:t>
      </w:r>
      <w:r w:rsidR="00FE493E">
        <w:t>those who</w:t>
      </w:r>
      <w:r w:rsidR="00D35706">
        <w:t xml:space="preserve"> </w:t>
      </w:r>
      <w:r w:rsidR="00FE493E">
        <w:t xml:space="preserve">consistently </w:t>
      </w:r>
      <w:r w:rsidR="00D35706">
        <w:t>avail</w:t>
      </w:r>
      <w:r>
        <w:t>ed</w:t>
      </w:r>
      <w:r w:rsidR="00D35706">
        <w:t xml:space="preserve"> themselves of </w:t>
      </w:r>
      <w:r w:rsidR="00277A8D">
        <w:t>learning</w:t>
      </w:r>
      <w:r w:rsidR="00D35706">
        <w:t xml:space="preserve"> opportunities</w:t>
      </w:r>
      <w:r w:rsidR="006F1623">
        <w:t xml:space="preserve"> and there was</w:t>
      </w:r>
      <w:r w:rsidR="0008383E">
        <w:t xml:space="preserve"> </w:t>
      </w:r>
      <w:r w:rsidR="00FE493E">
        <w:t>general</w:t>
      </w:r>
      <w:r w:rsidR="00D35706">
        <w:t xml:space="preserve"> agreement that job</w:t>
      </w:r>
      <w:r w:rsidR="00277A8D">
        <w:t xml:space="preserve"> roles</w:t>
      </w:r>
      <w:r w:rsidR="00D35706">
        <w:t xml:space="preserve"> were designed in a way that allowed professionals to explore </w:t>
      </w:r>
      <w:r w:rsidR="00BE2A4A">
        <w:t>and innovate</w:t>
      </w:r>
      <w:r w:rsidR="00D35706">
        <w:t xml:space="preserve">. </w:t>
      </w:r>
    </w:p>
    <w:p w:rsidR="0008383E" w:rsidRPr="00FA7955" w:rsidRDefault="007A7EFA" w:rsidP="0009085B">
      <w:pPr>
        <w:pStyle w:val="Text"/>
      </w:pPr>
      <w:r>
        <w:t>I</w:t>
      </w:r>
      <w:r w:rsidR="0008383E">
        <w:t xml:space="preserve">t was clear that </w:t>
      </w:r>
      <w:r w:rsidR="006F1623">
        <w:t>the</w:t>
      </w:r>
      <w:r w:rsidR="0008383E">
        <w:t xml:space="preserve"> nine organisations </w:t>
      </w:r>
      <w:r w:rsidR="0009085B">
        <w:t>had environments that offered significant support for updating activities</w:t>
      </w:r>
      <w:r w:rsidR="0008383E">
        <w:t xml:space="preserve">. </w:t>
      </w:r>
      <w:r w:rsidR="00BE2A4A">
        <w:t>Actively encouraging</w:t>
      </w:r>
      <w:r w:rsidR="0008383E">
        <w:t xml:space="preserve"> the exchange of work-related information</w:t>
      </w:r>
      <w:r w:rsidR="00BE2A4A">
        <w:t>, they</w:t>
      </w:r>
      <w:r w:rsidR="0008383E">
        <w:t xml:space="preserve"> supported and rewarded those who took advantage of the o</w:t>
      </w:r>
      <w:r w:rsidR="0009085B">
        <w:t xml:space="preserve">pportunities offered to keep up to </w:t>
      </w:r>
      <w:r w:rsidR="0008383E">
        <w:t>date with shifts in</w:t>
      </w:r>
      <w:r w:rsidR="0009085B">
        <w:t xml:space="preserve"> technical knowledge and skills, with</w:t>
      </w:r>
      <w:r w:rsidR="0008383E">
        <w:t xml:space="preserve"> </w:t>
      </w:r>
      <w:r w:rsidR="0009085B">
        <w:t>t</w:t>
      </w:r>
      <w:r w:rsidR="00536B9B">
        <w:t>wo organisations in particular</w:t>
      </w:r>
      <w:r w:rsidR="0008383E">
        <w:t xml:space="preserve"> having </w:t>
      </w:r>
      <w:r w:rsidR="009353A2">
        <w:t xml:space="preserve">extremely </w:t>
      </w:r>
      <w:r w:rsidR="0008383E">
        <w:t xml:space="preserve">strong </w:t>
      </w:r>
      <w:r w:rsidR="009353A2">
        <w:t>strategies for</w:t>
      </w:r>
      <w:r w:rsidR="0008383E">
        <w:t xml:space="preserve"> ‘keeping ahead of the game’.</w:t>
      </w:r>
    </w:p>
    <w:p w:rsidR="009B1795" w:rsidRDefault="00E630F8" w:rsidP="006C6D65">
      <w:pPr>
        <w:pStyle w:val="Heading2"/>
      </w:pPr>
      <w:bookmarkStart w:id="57" w:name="_Toc357518799"/>
      <w:r>
        <w:lastRenderedPageBreak/>
        <w:t>Interview outcomes</w:t>
      </w:r>
      <w:bookmarkEnd w:id="57"/>
    </w:p>
    <w:p w:rsidR="00323AC4" w:rsidRDefault="00323AC4" w:rsidP="0009085B">
      <w:pPr>
        <w:pStyle w:val="Text"/>
      </w:pPr>
      <w:r>
        <w:t xml:space="preserve">Across </w:t>
      </w:r>
      <w:r w:rsidR="006F1623">
        <w:t>the</w:t>
      </w:r>
      <w:r w:rsidR="005E6B05">
        <w:t xml:space="preserve"> </w:t>
      </w:r>
      <w:r>
        <w:t xml:space="preserve">organisations, currency was generally described as </w:t>
      </w:r>
      <w:r w:rsidR="0009085B">
        <w:t xml:space="preserve">‘being up to </w:t>
      </w:r>
      <w:r w:rsidR="008511D3">
        <w:t xml:space="preserve">date’ </w:t>
      </w:r>
      <w:r w:rsidR="0009085B">
        <w:t>—</w:t>
      </w:r>
      <w:r w:rsidR="00742AEE">
        <w:t xml:space="preserve"> </w:t>
      </w:r>
      <w:r>
        <w:t xml:space="preserve">keeping abreast of </w:t>
      </w:r>
      <w:r w:rsidR="006F1623">
        <w:t xml:space="preserve">industry-specific </w:t>
      </w:r>
      <w:r>
        <w:t>technical innovations as they eme</w:t>
      </w:r>
      <w:r w:rsidR="00742AEE">
        <w:t>rged</w:t>
      </w:r>
      <w:r w:rsidR="001C0588">
        <w:t>,</w:t>
      </w:r>
      <w:r w:rsidR="00742AEE">
        <w:t xml:space="preserve"> as well as </w:t>
      </w:r>
      <w:r w:rsidR="005E6B05">
        <w:t>demonstrating</w:t>
      </w:r>
      <w:r w:rsidR="00742AEE">
        <w:t xml:space="preserve"> the competencies of the job role to the standards set by the profession.</w:t>
      </w:r>
    </w:p>
    <w:p w:rsidR="00742AEE" w:rsidRDefault="008511D3" w:rsidP="00323AC4">
      <w:pPr>
        <w:pStyle w:val="Text"/>
      </w:pPr>
      <w:r>
        <w:t>The</w:t>
      </w:r>
      <w:r w:rsidR="00742AEE">
        <w:t xml:space="preserve"> health </w:t>
      </w:r>
      <w:r w:rsidR="005E6B05">
        <w:t>organisations</w:t>
      </w:r>
      <w:r w:rsidR="00742AEE">
        <w:t xml:space="preserve"> provided </w:t>
      </w:r>
      <w:r w:rsidR="000B761D">
        <w:t xml:space="preserve">reasonably </w:t>
      </w:r>
      <w:r w:rsidR="00742AEE">
        <w:t>consistent responses</w:t>
      </w:r>
      <w:r w:rsidR="005E6B05">
        <w:t xml:space="preserve"> </w:t>
      </w:r>
      <w:r>
        <w:t>when</w:t>
      </w:r>
      <w:r w:rsidR="005E6B05">
        <w:t xml:space="preserve"> defining what being current meant</w:t>
      </w:r>
      <w:r w:rsidR="00742AEE">
        <w:t xml:space="preserve">. </w:t>
      </w:r>
      <w:r w:rsidR="006F1623">
        <w:t>In</w:t>
      </w:r>
      <w:r w:rsidR="0009085B">
        <w:t xml:space="preserve"> </w:t>
      </w:r>
      <w:proofErr w:type="spellStart"/>
      <w:r w:rsidR="0009085B">
        <w:t>State</w:t>
      </w:r>
      <w:r w:rsidR="00742AEE">
        <w:t>wide</w:t>
      </w:r>
      <w:proofErr w:type="spellEnd"/>
      <w:r w:rsidR="00742AEE">
        <w:t xml:space="preserve"> Health</w:t>
      </w:r>
      <w:r>
        <w:t xml:space="preserve"> </w:t>
      </w:r>
      <w:r w:rsidR="006F1623">
        <w:t>it</w:t>
      </w:r>
      <w:r w:rsidR="00742AEE">
        <w:t xml:space="preserve"> was ‘being able to perform their role competently while delivering the highest standards of patient care and eliminating risk of malpractice’. </w:t>
      </w:r>
      <w:r w:rsidR="00E55832">
        <w:t>The</w:t>
      </w:r>
      <w:r w:rsidR="00742AEE">
        <w:t xml:space="preserve"> ERC Health </w:t>
      </w:r>
      <w:r w:rsidR="000B761D">
        <w:t xml:space="preserve">view </w:t>
      </w:r>
      <w:r w:rsidR="00E55832">
        <w:t>focused on</w:t>
      </w:r>
      <w:r w:rsidR="000B761D">
        <w:t xml:space="preserve"> individuals keeping abreast of modern treatment methodologies and having an understanding of current developments within the specific discipline both in Australia and overseas</w:t>
      </w:r>
      <w:r w:rsidR="00E55832">
        <w:t>. For</w:t>
      </w:r>
      <w:r w:rsidR="005E6B05">
        <w:t xml:space="preserve"> </w:t>
      </w:r>
      <w:r w:rsidR="000B761D">
        <w:t xml:space="preserve">Global Heath </w:t>
      </w:r>
      <w:r w:rsidR="00E55832">
        <w:t>it was ‘</w:t>
      </w:r>
      <w:r w:rsidR="000B761D">
        <w:t xml:space="preserve">making sure they have the current knowledge and the current theory’. </w:t>
      </w:r>
    </w:p>
    <w:p w:rsidR="002F584D" w:rsidRDefault="002F584D" w:rsidP="0009085B">
      <w:pPr>
        <w:pStyle w:val="Text"/>
      </w:pPr>
      <w:r>
        <w:t xml:space="preserve">As </w:t>
      </w:r>
      <w:r w:rsidR="0009085B">
        <w:t>high-profile</w:t>
      </w:r>
      <w:r w:rsidR="00E55832">
        <w:t xml:space="preserve"> </w:t>
      </w:r>
      <w:r>
        <w:t xml:space="preserve">knowledge-leading organisations, Innovative Engineering Solutions, Professional Research Services and the Energy </w:t>
      </w:r>
      <w:r w:rsidR="000B1BA6">
        <w:t>and</w:t>
      </w:r>
      <w:r>
        <w:t xml:space="preserve"> Resources Agency placed </w:t>
      </w:r>
      <w:r w:rsidR="00BB3CFC">
        <w:t>great</w:t>
      </w:r>
      <w:r>
        <w:t xml:space="preserve"> emphasis on industry currency</w:t>
      </w:r>
      <w:r w:rsidR="005E6B05">
        <w:t xml:space="preserve"> and professional competence. </w:t>
      </w:r>
      <w:r w:rsidR="000B1BA6">
        <w:t>Updating</w:t>
      </w:r>
      <w:r>
        <w:t xml:space="preserve"> was </w:t>
      </w:r>
      <w:r w:rsidR="000B1BA6">
        <w:t>actively</w:t>
      </w:r>
      <w:r>
        <w:t xml:space="preserve"> encouraged</w:t>
      </w:r>
      <w:r w:rsidR="002138D1">
        <w:t>,</w:t>
      </w:r>
      <w:r>
        <w:t xml:space="preserve"> discussed </w:t>
      </w:r>
      <w:r w:rsidR="00E55832">
        <w:t>often and</w:t>
      </w:r>
      <w:r w:rsidR="002138D1">
        <w:t xml:space="preserve"> measured </w:t>
      </w:r>
      <w:r>
        <w:t xml:space="preserve">within </w:t>
      </w:r>
      <w:r w:rsidR="002138D1">
        <w:t xml:space="preserve">each </w:t>
      </w:r>
      <w:r>
        <w:t>organisation.</w:t>
      </w:r>
      <w:r w:rsidR="002138D1">
        <w:t xml:space="preserve"> </w:t>
      </w:r>
      <w:r w:rsidR="00E55832">
        <w:t>It was noted in relation to</w:t>
      </w:r>
      <w:r w:rsidR="002138D1">
        <w:t xml:space="preserve"> Professional Research Services </w:t>
      </w:r>
      <w:r w:rsidR="00E55832">
        <w:t>that</w:t>
      </w:r>
      <w:r w:rsidR="002138D1">
        <w:t>:</w:t>
      </w:r>
    </w:p>
    <w:p w:rsidR="00BD24B7" w:rsidRDefault="00BD24B7" w:rsidP="006C6D65">
      <w:pPr>
        <w:pStyle w:val="Quote"/>
      </w:pPr>
      <w:r>
        <w:t>We are leading edge so we are constantly seeking to push the boundaries. That’s what we do. We measure our perf</w:t>
      </w:r>
      <w:r w:rsidR="001C0588">
        <w:t xml:space="preserve">ormance in terms of being up to </w:t>
      </w:r>
      <w:r>
        <w:t xml:space="preserve">date by citations in leading scientific publications, the number of publications people produce, the number of citations and the number of awards that people win. </w:t>
      </w:r>
    </w:p>
    <w:p w:rsidR="004F3898" w:rsidRDefault="00CB445F" w:rsidP="006C6D65">
      <w:pPr>
        <w:pStyle w:val="Heading3"/>
      </w:pPr>
      <w:r>
        <w:t xml:space="preserve">Drivers for maintenance of </w:t>
      </w:r>
      <w:r w:rsidR="00001506">
        <w:t xml:space="preserve">industry </w:t>
      </w:r>
      <w:r>
        <w:t>currency</w:t>
      </w:r>
    </w:p>
    <w:p w:rsidR="007C6515" w:rsidRDefault="00C34607" w:rsidP="006C6D65">
      <w:pPr>
        <w:pStyle w:val="Textlessbefore"/>
      </w:pPr>
      <w:r>
        <w:t>The s</w:t>
      </w:r>
      <w:r w:rsidR="007C6515">
        <w:t xml:space="preserve">tandards set by professional bodies were </w:t>
      </w:r>
      <w:r w:rsidR="00BF1F1E">
        <w:t>nominated</w:t>
      </w:r>
      <w:r w:rsidR="00001506">
        <w:t xml:space="preserve"> </w:t>
      </w:r>
      <w:r w:rsidR="001B5DE7">
        <w:t xml:space="preserve">by all </w:t>
      </w:r>
      <w:r w:rsidR="0009085B">
        <w:t xml:space="preserve">learning and development </w:t>
      </w:r>
      <w:r w:rsidR="001B5DE7">
        <w:t xml:space="preserve">managers </w:t>
      </w:r>
      <w:r w:rsidR="007C6515">
        <w:t xml:space="preserve">as influential in </w:t>
      </w:r>
      <w:r w:rsidR="00E66840">
        <w:t>motivating</w:t>
      </w:r>
      <w:r w:rsidR="007C6515">
        <w:t xml:space="preserve"> professionals to keep </w:t>
      </w:r>
      <w:r w:rsidR="00BF1F1E">
        <w:t>current</w:t>
      </w:r>
      <w:r w:rsidR="00F5585C">
        <w:t xml:space="preserve">. </w:t>
      </w:r>
      <w:r w:rsidR="00E66840">
        <w:t>The</w:t>
      </w:r>
      <w:r w:rsidR="007C6515">
        <w:t xml:space="preserve"> need to meet the annual </w:t>
      </w:r>
      <w:r w:rsidR="0009085B">
        <w:t xml:space="preserve">continuing professional development </w:t>
      </w:r>
      <w:r w:rsidR="007C6515">
        <w:t xml:space="preserve">requirements </w:t>
      </w:r>
      <w:r w:rsidR="00BB3CFC">
        <w:t>for ongoing</w:t>
      </w:r>
      <w:r w:rsidR="007C6515">
        <w:t xml:space="preserve"> membership of professional associations wa</w:t>
      </w:r>
      <w:r>
        <w:t>s cited as an important driver</w:t>
      </w:r>
      <w:r w:rsidR="0009085B">
        <w:t>,</w:t>
      </w:r>
      <w:r w:rsidR="007C6515">
        <w:t xml:space="preserve"> albeit one that was personally driven. </w:t>
      </w:r>
      <w:r w:rsidR="00BF1F1E">
        <w:t xml:space="preserve">Regulations, licensing and technological advancements were also seen as powerful </w:t>
      </w:r>
      <w:r w:rsidR="00E66840">
        <w:t>imperatives</w:t>
      </w:r>
      <w:r w:rsidR="00BF1F1E">
        <w:t>.</w:t>
      </w:r>
    </w:p>
    <w:p w:rsidR="00A64402" w:rsidRDefault="00A64402" w:rsidP="006C6D65">
      <w:pPr>
        <w:pStyle w:val="Heading4"/>
      </w:pPr>
      <w:r>
        <w:t>Regulation and licensing</w:t>
      </w:r>
    </w:p>
    <w:p w:rsidR="0063545A" w:rsidRDefault="00BB3CFC" w:rsidP="006C6D65">
      <w:pPr>
        <w:pStyle w:val="Textlessbefore"/>
      </w:pPr>
      <w:r>
        <w:t>T</w:t>
      </w:r>
      <w:r w:rsidR="001B5DE7">
        <w:t xml:space="preserve">he influence of regulation or licensing on </w:t>
      </w:r>
      <w:r w:rsidR="00C34607">
        <w:t xml:space="preserve">the </w:t>
      </w:r>
      <w:r w:rsidR="00E66840">
        <w:t xml:space="preserve">maintenance of </w:t>
      </w:r>
      <w:r w:rsidR="001B5DE7">
        <w:t>currency</w:t>
      </w:r>
      <w:r>
        <w:t xml:space="preserve"> differed according to industry focus</w:t>
      </w:r>
      <w:r w:rsidR="001B5DE7">
        <w:t xml:space="preserve">. </w:t>
      </w:r>
      <w:r w:rsidR="00853C10">
        <w:t xml:space="preserve">For </w:t>
      </w:r>
      <w:r w:rsidR="0063545A">
        <w:t>CM Consulting</w:t>
      </w:r>
      <w:r>
        <w:t>,</w:t>
      </w:r>
      <w:r w:rsidR="00001506">
        <w:t xml:space="preserve"> </w:t>
      </w:r>
      <w:r w:rsidR="00853C10">
        <w:t>regulation was</w:t>
      </w:r>
      <w:r w:rsidR="0063545A">
        <w:t xml:space="preserve"> important </w:t>
      </w:r>
      <w:r w:rsidR="0009085B">
        <w:t>for</w:t>
      </w:r>
      <w:r w:rsidR="0063545A">
        <w:t xml:space="preserve"> the </w:t>
      </w:r>
      <w:r>
        <w:t>financial</w:t>
      </w:r>
      <w:r w:rsidR="0063545A">
        <w:t xml:space="preserve"> aspects of the business</w:t>
      </w:r>
      <w:r w:rsidR="0009085B">
        <w:t>,</w:t>
      </w:r>
      <w:r w:rsidR="00001506">
        <w:t xml:space="preserve"> while for the</w:t>
      </w:r>
      <w:r w:rsidR="0063545A">
        <w:t xml:space="preserve"> engineering </w:t>
      </w:r>
      <w:r w:rsidR="00001506">
        <w:t>firms</w:t>
      </w:r>
      <w:r w:rsidR="0063545A">
        <w:t xml:space="preserve">, </w:t>
      </w:r>
      <w:r w:rsidR="001B5DE7">
        <w:t xml:space="preserve">the need to provide evidence of currency </w:t>
      </w:r>
      <w:r w:rsidR="00C34607">
        <w:t>was</w:t>
      </w:r>
      <w:r w:rsidR="0009085B">
        <w:t xml:space="preserve"> integral</w:t>
      </w:r>
      <w:r w:rsidR="001B5DE7">
        <w:t xml:space="preserve"> </w:t>
      </w:r>
      <w:r>
        <w:t>in the development of</w:t>
      </w:r>
      <w:r w:rsidR="00853C10">
        <w:t xml:space="preserve"> </w:t>
      </w:r>
      <w:r w:rsidR="0009085B">
        <w:t>design</w:t>
      </w:r>
      <w:r w:rsidR="00C34607">
        <w:t xml:space="preserve"> proposals;</w:t>
      </w:r>
      <w:r w:rsidR="0009085B">
        <w:t xml:space="preserve"> for example, m</w:t>
      </w:r>
      <w:r>
        <w:t>any</w:t>
      </w:r>
      <w:r w:rsidR="001B6B8F">
        <w:t xml:space="preserve"> of the products develop</w:t>
      </w:r>
      <w:r w:rsidR="00853C10">
        <w:t>ed</w:t>
      </w:r>
      <w:r w:rsidR="001B6B8F">
        <w:t xml:space="preserve"> </w:t>
      </w:r>
      <w:r>
        <w:t xml:space="preserve">by Innovative Engineering Solutions </w:t>
      </w:r>
      <w:r w:rsidR="0009085B">
        <w:t xml:space="preserve">were in the highly </w:t>
      </w:r>
      <w:r w:rsidR="00DD1225">
        <w:t>regulated</w:t>
      </w:r>
      <w:r w:rsidR="0009085B">
        <w:t xml:space="preserve"> bio</w:t>
      </w:r>
      <w:r w:rsidR="001B6B8F">
        <w:t>medical instruments and devices field</w:t>
      </w:r>
      <w:r>
        <w:t xml:space="preserve">. </w:t>
      </w:r>
    </w:p>
    <w:p w:rsidR="004F081E" w:rsidRDefault="003877D1" w:rsidP="003877D1">
      <w:pPr>
        <w:pStyle w:val="Text"/>
      </w:pPr>
      <w:r>
        <w:t>Unlike in health</w:t>
      </w:r>
      <w:r w:rsidR="001C0588">
        <w:t>,</w:t>
      </w:r>
      <w:r>
        <w:t xml:space="preserve"> where respondents emphasised the critical</w:t>
      </w:r>
      <w:r w:rsidR="00747F50">
        <w:t xml:space="preserve"> nature</w:t>
      </w:r>
      <w:r>
        <w:t xml:space="preserve"> of regulation in driving staff </w:t>
      </w:r>
      <w:proofErr w:type="spellStart"/>
      <w:r>
        <w:t>upskilling</w:t>
      </w:r>
      <w:proofErr w:type="spellEnd"/>
      <w:r>
        <w:t xml:space="preserve"> activity</w:t>
      </w:r>
      <w:r w:rsidR="00A66FAF">
        <w:t xml:space="preserve">, neither regulation nor </w:t>
      </w:r>
      <w:r w:rsidR="00B94DC0">
        <w:t xml:space="preserve">licensing </w:t>
      </w:r>
      <w:r w:rsidR="00E403DF">
        <w:t>was</w:t>
      </w:r>
      <w:r w:rsidR="0063545A">
        <w:t xml:space="preserve"> </w:t>
      </w:r>
      <w:r w:rsidR="00DD1225">
        <w:t>influential</w:t>
      </w:r>
      <w:r w:rsidR="00B2656C">
        <w:t xml:space="preserve"> in the science-focused organisations</w:t>
      </w:r>
      <w:r w:rsidR="005115F9">
        <w:t xml:space="preserve">. </w:t>
      </w:r>
      <w:r w:rsidR="00DD1225">
        <w:t>P</w:t>
      </w:r>
      <w:r w:rsidR="005115F9">
        <w:t>rofessional registration</w:t>
      </w:r>
      <w:r w:rsidR="00A34A45">
        <w:t xml:space="preserve"> meant </w:t>
      </w:r>
      <w:r w:rsidR="005115F9">
        <w:t>individuals</w:t>
      </w:r>
      <w:r w:rsidR="00A34A45">
        <w:t xml:space="preserve"> </w:t>
      </w:r>
      <w:r w:rsidR="00044C7B">
        <w:t>were</w:t>
      </w:r>
      <w:r w:rsidR="00A34A45">
        <w:t xml:space="preserve"> required to undertake a minimum number of hours </w:t>
      </w:r>
      <w:r w:rsidR="00C34607">
        <w:t xml:space="preserve">of </w:t>
      </w:r>
      <w:r w:rsidR="00A34A45">
        <w:t xml:space="preserve">training each year and maintain records </w:t>
      </w:r>
      <w:r w:rsidR="005115F9">
        <w:t>of</w:t>
      </w:r>
      <w:r w:rsidR="00A34A45">
        <w:t xml:space="preserve"> activities </w:t>
      </w:r>
      <w:r w:rsidR="00044C7B">
        <w:t>undertaken</w:t>
      </w:r>
      <w:r w:rsidR="00A34A45">
        <w:t xml:space="preserve">. To ensure an ongoing focus on </w:t>
      </w:r>
      <w:r w:rsidR="00044C7B">
        <w:t>capability-</w:t>
      </w:r>
      <w:r w:rsidR="00A34A45">
        <w:t xml:space="preserve">building </w:t>
      </w:r>
      <w:r w:rsidR="00044C7B">
        <w:t xml:space="preserve">in </w:t>
      </w:r>
      <w:r w:rsidR="00A34A45">
        <w:t>the health workforce, the Australian Health Practitioner Regulation Agency conduct</w:t>
      </w:r>
      <w:r w:rsidR="00BB3CFC">
        <w:t>ed</w:t>
      </w:r>
      <w:r w:rsidR="00A34A45">
        <w:t xml:space="preserve"> random audits of </w:t>
      </w:r>
      <w:r w:rsidR="00747F50">
        <w:t>continuing professional development</w:t>
      </w:r>
      <w:r w:rsidR="00A34A45">
        <w:t xml:space="preserve"> records.</w:t>
      </w:r>
      <w:r w:rsidR="00F55456">
        <w:t xml:space="preserve"> Thus, legislative and regulatory frameworks and standards for health professionals </w:t>
      </w:r>
      <w:r w:rsidR="00DD1225">
        <w:t xml:space="preserve">demanded </w:t>
      </w:r>
      <w:r w:rsidR="001C0588">
        <w:t xml:space="preserve">that </w:t>
      </w:r>
      <w:r w:rsidR="00DD1225">
        <w:t>people kept</w:t>
      </w:r>
      <w:r w:rsidR="00747F50">
        <w:t xml:space="preserve"> up to </w:t>
      </w:r>
      <w:r w:rsidR="00F55456">
        <w:t>date</w:t>
      </w:r>
      <w:r w:rsidR="00BB3CFC">
        <w:t>.</w:t>
      </w:r>
      <w:r w:rsidR="004F081E">
        <w:t xml:space="preserve"> </w:t>
      </w:r>
    </w:p>
    <w:p w:rsidR="00FA6CF3" w:rsidRDefault="00921B8C" w:rsidP="00DD1225">
      <w:pPr>
        <w:pStyle w:val="Text"/>
      </w:pPr>
      <w:r>
        <w:t>Q</w:t>
      </w:r>
      <w:r w:rsidR="004F081E">
        <w:t>uality patient care</w:t>
      </w:r>
      <w:r w:rsidR="00F54DB7">
        <w:t xml:space="preserve"> </w:t>
      </w:r>
      <w:r>
        <w:t>was also</w:t>
      </w:r>
      <w:r w:rsidR="00F54DB7">
        <w:t xml:space="preserve"> a key factor</w:t>
      </w:r>
      <w:r w:rsidR="008A1B55">
        <w:t xml:space="preserve"> in the maintenance of industry currency</w:t>
      </w:r>
      <w:r w:rsidR="00BB3CFC">
        <w:t>. Emphasising this</w:t>
      </w:r>
      <w:r w:rsidR="007A435A">
        <w:t>, the</w:t>
      </w:r>
      <w:r w:rsidR="004F081E">
        <w:t xml:space="preserve"> Global Health respondent suggested</w:t>
      </w:r>
      <w:r w:rsidR="00F54DB7">
        <w:t xml:space="preserve"> ‘we try to f</w:t>
      </w:r>
      <w:r w:rsidR="0036077F">
        <w:t>a</w:t>
      </w:r>
      <w:r w:rsidR="00F54DB7">
        <w:t>ctor in more than the basic training by looking a</w:t>
      </w:r>
      <w:r w:rsidR="00A0647D">
        <w:t>t</w:t>
      </w:r>
      <w:r w:rsidR="007D4EDB">
        <w:t xml:space="preserve"> </w:t>
      </w:r>
      <w:r w:rsidR="00F54DB7">
        <w:t>“what is an ideal nurse?” and “what is exceptional care and safety”’.</w:t>
      </w:r>
      <w:r w:rsidR="0036077F">
        <w:t xml:space="preserve"> </w:t>
      </w:r>
      <w:r w:rsidR="00FA6CF3">
        <w:t xml:space="preserve">Alma Health </w:t>
      </w:r>
      <w:r w:rsidR="0036077F">
        <w:t xml:space="preserve">provided a similar </w:t>
      </w:r>
      <w:r w:rsidR="0036077F">
        <w:lastRenderedPageBreak/>
        <w:t>response</w:t>
      </w:r>
      <w:r w:rsidR="007A435A">
        <w:t>:</w:t>
      </w:r>
      <w:r w:rsidR="00DD1225">
        <w:t xml:space="preserve"> </w:t>
      </w:r>
      <w:r w:rsidR="007A435A">
        <w:t>‘The</w:t>
      </w:r>
      <w:r w:rsidR="00FA6CF3">
        <w:t xml:space="preserve"> primary driver is patient safety. The primary driver is to have clinically competent staff on all shifts to provide safe patient care</w:t>
      </w:r>
      <w:r w:rsidR="00DD1225">
        <w:t>’</w:t>
      </w:r>
      <w:r w:rsidR="00FA6CF3">
        <w:t xml:space="preserve">. </w:t>
      </w:r>
    </w:p>
    <w:p w:rsidR="00BD24B7" w:rsidRDefault="00A64402" w:rsidP="006C6D65">
      <w:pPr>
        <w:pStyle w:val="Heading4"/>
      </w:pPr>
      <w:r>
        <w:t>Technological innovation</w:t>
      </w:r>
    </w:p>
    <w:p w:rsidR="0043555E" w:rsidRDefault="00C34607" w:rsidP="006C6D65">
      <w:pPr>
        <w:pStyle w:val="Textlessbefore"/>
      </w:pPr>
      <w:r>
        <w:t>T</w:t>
      </w:r>
      <w:r w:rsidR="00DD1225">
        <w:t>echnology</w:t>
      </w:r>
      <w:r w:rsidR="001A486F">
        <w:t xml:space="preserve"> was seen </w:t>
      </w:r>
      <w:r w:rsidR="00A64402">
        <w:t xml:space="preserve">as </w:t>
      </w:r>
      <w:r w:rsidR="001A486F">
        <w:t>a prime motivator</w:t>
      </w:r>
      <w:r w:rsidR="00A64402">
        <w:t xml:space="preserve"> </w:t>
      </w:r>
      <w:r w:rsidR="00241002">
        <w:t>for updating</w:t>
      </w:r>
      <w:r w:rsidR="00A64402">
        <w:t xml:space="preserve"> </w:t>
      </w:r>
      <w:r w:rsidR="001A486F">
        <w:t>by the majority of</w:t>
      </w:r>
      <w:r w:rsidR="001C0588">
        <w:t xml:space="preserve"> the</w:t>
      </w:r>
      <w:r w:rsidR="001A486F">
        <w:t xml:space="preserve"> </w:t>
      </w:r>
      <w:r w:rsidR="00747F50">
        <w:t xml:space="preserve">learning and development </w:t>
      </w:r>
      <w:r w:rsidR="001A486F">
        <w:t>managers</w:t>
      </w:r>
      <w:r w:rsidRPr="00C34607">
        <w:t xml:space="preserve"> </w:t>
      </w:r>
      <w:r>
        <w:t>in knowledge-based organisations</w:t>
      </w:r>
      <w:r w:rsidR="001A486F">
        <w:t>.</w:t>
      </w:r>
      <w:r w:rsidR="00A64402">
        <w:t xml:space="preserve"> </w:t>
      </w:r>
      <w:r w:rsidR="00F62DCA">
        <w:t xml:space="preserve">The Professional Research Services </w:t>
      </w:r>
      <w:r w:rsidR="001A486F">
        <w:t xml:space="preserve">response </w:t>
      </w:r>
      <w:r w:rsidR="00F62DCA">
        <w:t>emphasised that</w:t>
      </w:r>
      <w:r w:rsidR="001C0588">
        <w:t>,</w:t>
      </w:r>
      <w:r w:rsidR="00F62DCA">
        <w:t xml:space="preserve"> as innovation was </w:t>
      </w:r>
      <w:r w:rsidR="001A486F">
        <w:t>‘core business’</w:t>
      </w:r>
      <w:r w:rsidR="00F62DCA">
        <w:t xml:space="preserve">, keeping </w:t>
      </w:r>
      <w:r w:rsidR="00DD1225">
        <w:t>abreast of</w:t>
      </w:r>
      <w:r w:rsidR="00F62DCA">
        <w:t xml:space="preserve"> </w:t>
      </w:r>
      <w:r w:rsidR="00747F50">
        <w:t>world</w:t>
      </w:r>
      <w:r w:rsidR="001A486F">
        <w:t xml:space="preserve">wide </w:t>
      </w:r>
      <w:r w:rsidR="008A1B55">
        <w:t>advances</w:t>
      </w:r>
      <w:r w:rsidR="001A486F">
        <w:t xml:space="preserve"> in science</w:t>
      </w:r>
      <w:r w:rsidR="00F62DCA">
        <w:t xml:space="preserve"> was a crucial </w:t>
      </w:r>
      <w:r w:rsidR="00747F50">
        <w:t>component</w:t>
      </w:r>
      <w:r w:rsidR="00F62DCA">
        <w:t xml:space="preserve"> of </w:t>
      </w:r>
      <w:r w:rsidR="00E562A8">
        <w:t>scientist</w:t>
      </w:r>
      <w:r w:rsidR="008A1B55">
        <w:t>s’ work</w:t>
      </w:r>
      <w:r w:rsidR="001A486F">
        <w:t>.</w:t>
      </w:r>
      <w:r w:rsidR="00F62DCA">
        <w:t xml:space="preserve"> </w:t>
      </w:r>
      <w:r w:rsidR="001A486F">
        <w:t xml:space="preserve">To </w:t>
      </w:r>
      <w:r w:rsidR="001C0588">
        <w:t>remain</w:t>
      </w:r>
      <w:r w:rsidR="001A486F">
        <w:t xml:space="preserve"> at the </w:t>
      </w:r>
      <w:r w:rsidR="00F62DCA">
        <w:t xml:space="preserve">cutting edge </w:t>
      </w:r>
      <w:r w:rsidR="00E562A8">
        <w:t xml:space="preserve">of the profession and </w:t>
      </w:r>
      <w:r w:rsidR="001A486F">
        <w:t>to</w:t>
      </w:r>
      <w:r w:rsidR="00BC2DA6">
        <w:t xml:space="preserve"> meet the</w:t>
      </w:r>
      <w:r w:rsidR="00E562A8">
        <w:t xml:space="preserve"> </w:t>
      </w:r>
      <w:r w:rsidR="00BC2DA6">
        <w:t xml:space="preserve">goal of encouraging the uptake and application of </w:t>
      </w:r>
      <w:r w:rsidR="00894098">
        <w:t>the organ</w:t>
      </w:r>
      <w:r w:rsidR="00DD1225">
        <w:t>isation’s</w:t>
      </w:r>
      <w:r w:rsidR="00BC2DA6">
        <w:t xml:space="preserve"> innovations </w:t>
      </w:r>
      <w:r w:rsidR="00894098">
        <w:t xml:space="preserve">meant </w:t>
      </w:r>
      <w:r w:rsidR="00747F50">
        <w:t xml:space="preserve">that </w:t>
      </w:r>
      <w:r w:rsidR="00241002">
        <w:t>updating</w:t>
      </w:r>
      <w:r w:rsidR="001A486F">
        <w:t xml:space="preserve"> was essential</w:t>
      </w:r>
      <w:r w:rsidR="003465BB">
        <w:t>.</w:t>
      </w:r>
      <w:r w:rsidR="001A486F">
        <w:t xml:space="preserve"> </w:t>
      </w:r>
      <w:r w:rsidR="008A1B55">
        <w:t>Similarly, f</w:t>
      </w:r>
      <w:r w:rsidR="001A486F">
        <w:t>or</w:t>
      </w:r>
      <w:r w:rsidR="00BC2DA6">
        <w:t xml:space="preserve"> the Energy and Resources Agency</w:t>
      </w:r>
      <w:r w:rsidR="001A486F">
        <w:t xml:space="preserve">, </w:t>
      </w:r>
      <w:r w:rsidR="003465BB">
        <w:t xml:space="preserve">keeping </w:t>
      </w:r>
      <w:r w:rsidR="00894098">
        <w:t>pace</w:t>
      </w:r>
      <w:r w:rsidR="003465BB">
        <w:t xml:space="preserve"> with technology </w:t>
      </w:r>
      <w:r w:rsidR="001A486F">
        <w:t>was</w:t>
      </w:r>
      <w:r w:rsidR="003465BB">
        <w:t xml:space="preserve"> a</w:t>
      </w:r>
      <w:r w:rsidR="001A486F">
        <w:t>n ever-present</w:t>
      </w:r>
      <w:r w:rsidR="003465BB">
        <w:t xml:space="preserve"> </w:t>
      </w:r>
      <w:r w:rsidR="001A486F">
        <w:t>organisational</w:t>
      </w:r>
      <w:r w:rsidR="003465BB">
        <w:t xml:space="preserve"> </w:t>
      </w:r>
      <w:r w:rsidR="008A1B55">
        <w:t>and individual imperative.</w:t>
      </w:r>
    </w:p>
    <w:p w:rsidR="0043555E" w:rsidRDefault="0043555E" w:rsidP="0043555E">
      <w:pPr>
        <w:pStyle w:val="Quote"/>
      </w:pPr>
      <w:r>
        <w:t xml:space="preserve">They </w:t>
      </w:r>
      <w:r w:rsidR="00894098">
        <w:t xml:space="preserve">[the scientists] </w:t>
      </w:r>
      <w:r>
        <w:t>want to be at the cutting-edge every minute. They are technologically hungry because that is the enabler. It is the technology that enables science.</w:t>
      </w:r>
    </w:p>
    <w:p w:rsidR="0043555E" w:rsidRDefault="00241002" w:rsidP="0043555E">
      <w:pPr>
        <w:pStyle w:val="Text"/>
      </w:pPr>
      <w:r>
        <w:t>Similarly</w:t>
      </w:r>
      <w:r w:rsidR="007203C3">
        <w:t>,</w:t>
      </w:r>
      <w:r w:rsidR="0079766B">
        <w:t xml:space="preserve"> </w:t>
      </w:r>
      <w:r>
        <w:t xml:space="preserve">CM Consulting and </w:t>
      </w:r>
      <w:proofErr w:type="spellStart"/>
      <w:r>
        <w:t>EngineeringCo</w:t>
      </w:r>
      <w:proofErr w:type="spellEnd"/>
      <w:r w:rsidR="00E562A8">
        <w:t xml:space="preserve"> </w:t>
      </w:r>
      <w:r w:rsidR="00747F50">
        <w:t>viewed</w:t>
      </w:r>
      <w:r w:rsidR="007203C3">
        <w:t xml:space="preserve"> </w:t>
      </w:r>
      <w:r w:rsidR="00E562A8">
        <w:t xml:space="preserve">keeping </w:t>
      </w:r>
      <w:r>
        <w:t>technologically current</w:t>
      </w:r>
      <w:r w:rsidR="00894098">
        <w:t xml:space="preserve"> as</w:t>
      </w:r>
      <w:r w:rsidR="00E562A8">
        <w:t xml:space="preserve"> a means of </w:t>
      </w:r>
      <w:r w:rsidR="007203C3">
        <w:t xml:space="preserve">ensuring </w:t>
      </w:r>
      <w:r w:rsidR="00894098">
        <w:t>positive</w:t>
      </w:r>
      <w:r>
        <w:t xml:space="preserve"> client</w:t>
      </w:r>
      <w:r w:rsidR="00E562A8">
        <w:t xml:space="preserve"> </w:t>
      </w:r>
      <w:r w:rsidR="007203C3">
        <w:t>outcomes</w:t>
      </w:r>
      <w:r w:rsidR="00747F50">
        <w:t xml:space="preserve">. </w:t>
      </w:r>
    </w:p>
    <w:p w:rsidR="00421C27" w:rsidRDefault="007378CE" w:rsidP="00421C27">
      <w:pPr>
        <w:pStyle w:val="Text"/>
      </w:pPr>
      <w:r>
        <w:t>In the health arena, t</w:t>
      </w:r>
      <w:r w:rsidR="007203C3">
        <w:t>echnological</w:t>
      </w:r>
      <w:r w:rsidR="00CF01C3">
        <w:t xml:space="preserve"> advances </w:t>
      </w:r>
      <w:r w:rsidR="007203C3">
        <w:t>in</w:t>
      </w:r>
      <w:r w:rsidR="00CF01C3">
        <w:t xml:space="preserve"> new surgery techniques, medical diagnostic equipment (software and systems) and innovations in patient care</w:t>
      </w:r>
      <w:r w:rsidR="00894098">
        <w:t xml:space="preserve"> were constantly e</w:t>
      </w:r>
      <w:r w:rsidR="000A789A">
        <w:t>volving</w:t>
      </w:r>
      <w:r w:rsidR="00CF01C3">
        <w:t xml:space="preserve">. </w:t>
      </w:r>
      <w:r w:rsidR="007203C3">
        <w:t xml:space="preserve">In light </w:t>
      </w:r>
      <w:r w:rsidR="0026393A">
        <w:t xml:space="preserve">of </w:t>
      </w:r>
      <w:r w:rsidR="00894098">
        <w:t>this</w:t>
      </w:r>
      <w:r w:rsidR="007203C3">
        <w:t xml:space="preserve">, </w:t>
      </w:r>
      <w:proofErr w:type="spellStart"/>
      <w:r w:rsidR="00747F50">
        <w:t>State</w:t>
      </w:r>
      <w:r w:rsidR="00CF01C3">
        <w:t>wide</w:t>
      </w:r>
      <w:proofErr w:type="spellEnd"/>
      <w:r w:rsidR="00CF01C3">
        <w:t xml:space="preserve"> Health considered this </w:t>
      </w:r>
      <w:r w:rsidR="00747F50">
        <w:t>as just</w:t>
      </w:r>
      <w:r w:rsidR="00CF01C3">
        <w:t xml:space="preserve"> </w:t>
      </w:r>
      <w:r w:rsidR="001C0588">
        <w:t xml:space="preserve">as </w:t>
      </w:r>
      <w:r w:rsidR="00CF01C3">
        <w:t xml:space="preserve">powerful </w:t>
      </w:r>
      <w:r w:rsidR="00894098">
        <w:t xml:space="preserve">a </w:t>
      </w:r>
      <w:r w:rsidR="00CF01C3">
        <w:t xml:space="preserve">driver for </w:t>
      </w:r>
      <w:r w:rsidR="00894098">
        <w:t>maintaining</w:t>
      </w:r>
      <w:r w:rsidR="00CF01C3">
        <w:t xml:space="preserve"> currency </w:t>
      </w:r>
      <w:r w:rsidR="00A64812">
        <w:t>as regulation.</w:t>
      </w:r>
      <w:r w:rsidR="007203C3">
        <w:t xml:space="preserve"> This view was mirrored by the other </w:t>
      </w:r>
      <w:r>
        <w:t xml:space="preserve">health-based </w:t>
      </w:r>
      <w:r w:rsidR="00747F50">
        <w:t xml:space="preserve">learning and development </w:t>
      </w:r>
      <w:r w:rsidR="007203C3">
        <w:t>managers</w:t>
      </w:r>
      <w:r>
        <w:t>.</w:t>
      </w:r>
    </w:p>
    <w:p w:rsidR="00236B48" w:rsidRDefault="00236B48" w:rsidP="006C6D65">
      <w:pPr>
        <w:pStyle w:val="Heading3"/>
      </w:pPr>
      <w:r>
        <w:t xml:space="preserve">The criticality of </w:t>
      </w:r>
      <w:r w:rsidR="003A4981">
        <w:t xml:space="preserve">industry </w:t>
      </w:r>
      <w:r>
        <w:t>currency</w:t>
      </w:r>
    </w:p>
    <w:p w:rsidR="002F15DB" w:rsidRDefault="003A4981" w:rsidP="006C6D65">
      <w:pPr>
        <w:pStyle w:val="Textlessbefore"/>
      </w:pPr>
      <w:r>
        <w:t xml:space="preserve">In answering the question </w:t>
      </w:r>
      <w:r w:rsidR="002F15DB">
        <w:t>‘</w:t>
      </w:r>
      <w:r w:rsidRPr="002F15DB">
        <w:t>How critical would you say having an up-to-date workforce is to your business?</w:t>
      </w:r>
      <w:proofErr w:type="gramStart"/>
      <w:r w:rsidR="002F15DB">
        <w:t>’</w:t>
      </w:r>
      <w:r w:rsidR="0004092C">
        <w:t>,</w:t>
      </w:r>
      <w:proofErr w:type="gramEnd"/>
      <w:r w:rsidR="002F15DB">
        <w:t xml:space="preserve"> </w:t>
      </w:r>
      <w:r w:rsidR="00815438">
        <w:t>responses</w:t>
      </w:r>
      <w:r w:rsidR="0004092C">
        <w:t xml:space="preserve"> </w:t>
      </w:r>
      <w:r w:rsidR="000A789A">
        <w:t xml:space="preserve">consistently emphasised that </w:t>
      </w:r>
      <w:r w:rsidR="00FB63EB">
        <w:t>having updated skills</w:t>
      </w:r>
      <w:r w:rsidR="0004092C">
        <w:t xml:space="preserve"> </w:t>
      </w:r>
      <w:r w:rsidR="000A789A">
        <w:t>was crucial</w:t>
      </w:r>
      <w:r w:rsidR="00FB63EB">
        <w:t>.</w:t>
      </w:r>
      <w:r w:rsidR="002F15DB">
        <w:t xml:space="preserve"> </w:t>
      </w:r>
      <w:r w:rsidR="0026393A">
        <w:t>The</w:t>
      </w:r>
      <w:r w:rsidR="00815438">
        <w:t xml:space="preserve"> </w:t>
      </w:r>
      <w:r w:rsidR="002F15DB">
        <w:t>ERC Health</w:t>
      </w:r>
      <w:r w:rsidR="0026393A">
        <w:t xml:space="preserve"> response was:</w:t>
      </w:r>
    </w:p>
    <w:p w:rsidR="00236B48" w:rsidRDefault="002F15DB" w:rsidP="002F15DB">
      <w:pPr>
        <w:pStyle w:val="Quote"/>
      </w:pPr>
      <w:r>
        <w:t>It’s absolutely imperative not only for our patient outcomes but also for our integrity, our reputation and staff satisfaction. They perform bett</w:t>
      </w:r>
      <w:r w:rsidR="0004092C">
        <w:t xml:space="preserve">er if they feel like they’re up to </w:t>
      </w:r>
      <w:r>
        <w:t>date with current trends in treatment.</w:t>
      </w:r>
    </w:p>
    <w:p w:rsidR="00815438" w:rsidRDefault="0026393A" w:rsidP="006C6D65">
      <w:pPr>
        <w:pStyle w:val="Text"/>
        <w:ind w:right="-143"/>
      </w:pPr>
      <w:r>
        <w:t>Further, it was suggested that</w:t>
      </w:r>
      <w:r w:rsidR="00815438">
        <w:t xml:space="preserve"> any </w:t>
      </w:r>
      <w:r w:rsidR="00D347E3">
        <w:t>obsolete skills</w:t>
      </w:r>
      <w:r w:rsidR="00815438">
        <w:t xml:space="preserve"> amongst the ERC Health staff would lead to </w:t>
      </w:r>
      <w:proofErr w:type="gramStart"/>
      <w:r w:rsidR="000A789A">
        <w:t xml:space="preserve">an </w:t>
      </w:r>
      <w:r w:rsidR="00815438">
        <w:t>erosion</w:t>
      </w:r>
      <w:proofErr w:type="gramEnd"/>
      <w:r w:rsidR="006C6D65">
        <w:t> </w:t>
      </w:r>
      <w:r w:rsidR="000A789A">
        <w:t>in</w:t>
      </w:r>
      <w:r w:rsidR="00815438">
        <w:t xml:space="preserve"> reputation and respect amongst colleagues and those who refer</w:t>
      </w:r>
      <w:r w:rsidR="00D347E3">
        <w:t>red</w:t>
      </w:r>
      <w:r w:rsidR="00815438">
        <w:t xml:space="preserve"> patients to the organisation. </w:t>
      </w:r>
      <w:r>
        <w:t>Obsolescence</w:t>
      </w:r>
      <w:r w:rsidR="007203C3">
        <w:t xml:space="preserve"> </w:t>
      </w:r>
      <w:r w:rsidR="00D347E3">
        <w:t>would</w:t>
      </w:r>
      <w:r w:rsidR="00815438">
        <w:t xml:space="preserve"> </w:t>
      </w:r>
      <w:r w:rsidR="0004092C">
        <w:t>signal an</w:t>
      </w:r>
      <w:r w:rsidR="00CF18EB">
        <w:t xml:space="preserve"> increased</w:t>
      </w:r>
      <w:r w:rsidR="00815438">
        <w:t xml:space="preserve"> potenti</w:t>
      </w:r>
      <w:r w:rsidR="0004092C">
        <w:t xml:space="preserve">al for poorer patient outcomes and could </w:t>
      </w:r>
      <w:r w:rsidR="00565D22">
        <w:t xml:space="preserve">impact upon community confidence, open </w:t>
      </w:r>
      <w:r w:rsidR="006136CD">
        <w:t xml:space="preserve">up </w:t>
      </w:r>
      <w:r w:rsidR="00D347E3">
        <w:t>the</w:t>
      </w:r>
      <w:r w:rsidR="00565D22">
        <w:t xml:space="preserve"> service to litigation and lead to a lowering of standards and quality care</w:t>
      </w:r>
      <w:r w:rsidR="00D347E3">
        <w:t xml:space="preserve">. </w:t>
      </w:r>
      <w:r w:rsidR="008430FD">
        <w:t xml:space="preserve">For Global Health, </w:t>
      </w:r>
      <w:r w:rsidR="00D347E3">
        <w:t>the</w:t>
      </w:r>
      <w:r w:rsidR="008430FD">
        <w:t xml:space="preserve"> commitment to currency of knowledge and skills was</w:t>
      </w:r>
      <w:r w:rsidR="006C6D65">
        <w:t> </w:t>
      </w:r>
      <w:r w:rsidR="008430FD">
        <w:t xml:space="preserve">a </w:t>
      </w:r>
      <w:r w:rsidR="00A3656C">
        <w:t xml:space="preserve">business </w:t>
      </w:r>
      <w:r w:rsidR="00A55239">
        <w:t>imperative:</w:t>
      </w:r>
      <w:r w:rsidR="008430FD">
        <w:t xml:space="preserve"> ‘safe care leads to lower insurance premiums and ultimately higher profits’.</w:t>
      </w:r>
      <w:r w:rsidR="00906DD3">
        <w:t xml:space="preserve"> </w:t>
      </w:r>
      <w:r w:rsidR="00DE0D9D">
        <w:t>For</w:t>
      </w:r>
      <w:r w:rsidR="00906DD3">
        <w:t xml:space="preserve"> Alma Health</w:t>
      </w:r>
      <w:r w:rsidR="00DE0D9D">
        <w:t>, a</w:t>
      </w:r>
      <w:r w:rsidR="00906DD3">
        <w:t xml:space="preserve"> private health service</w:t>
      </w:r>
      <w:r w:rsidR="00DE0D9D">
        <w:t xml:space="preserve">, </w:t>
      </w:r>
      <w:r w:rsidR="00906DD3">
        <w:t>it was about patient satisfaction as much as patient safety</w:t>
      </w:r>
      <w:r w:rsidR="00DE0D9D">
        <w:t>.</w:t>
      </w:r>
      <w:r w:rsidR="00906DD3">
        <w:t xml:space="preserve"> </w:t>
      </w:r>
      <w:r w:rsidR="00DE0D9D">
        <w:t>Having</w:t>
      </w:r>
      <w:r w:rsidR="00906DD3">
        <w:t xml:space="preserve"> an up-to-date workforce was an essential element in the achievement of both goals.</w:t>
      </w:r>
      <w:r w:rsidR="006C537E">
        <w:t xml:space="preserve"> </w:t>
      </w:r>
    </w:p>
    <w:p w:rsidR="004C7DA2" w:rsidRDefault="004C7DA2" w:rsidP="00236B48">
      <w:pPr>
        <w:pStyle w:val="Text"/>
      </w:pPr>
      <w:r>
        <w:t xml:space="preserve">In </w:t>
      </w:r>
      <w:proofErr w:type="spellStart"/>
      <w:r>
        <w:t>EngineeringCo</w:t>
      </w:r>
      <w:proofErr w:type="spellEnd"/>
      <w:r>
        <w:t xml:space="preserve"> skills obsolescence </w:t>
      </w:r>
      <w:r w:rsidR="0026393A">
        <w:t>was</w:t>
      </w:r>
      <w:r>
        <w:t xml:space="preserve"> manifested in the form of ‘rework’</w:t>
      </w:r>
      <w:r w:rsidR="00DE0D9D">
        <w:t xml:space="preserve">, that </w:t>
      </w:r>
      <w:r w:rsidR="007900CC">
        <w:t>is,</w:t>
      </w:r>
      <w:r w:rsidR="00DE0D9D">
        <w:t xml:space="preserve"> </w:t>
      </w:r>
      <w:r>
        <w:t>correcting defective work</w:t>
      </w:r>
      <w:r w:rsidR="00D314A9">
        <w:t>. With slim margins on projects,</w:t>
      </w:r>
      <w:r w:rsidR="00DE0D9D">
        <w:t xml:space="preserve"> i</w:t>
      </w:r>
      <w:r>
        <w:t>f a contracted job failed</w:t>
      </w:r>
      <w:r w:rsidR="001C0588">
        <w:t>,</w:t>
      </w:r>
      <w:r>
        <w:t xml:space="preserve"> then the profit margin was lost. </w:t>
      </w:r>
      <w:r w:rsidR="00D314A9">
        <w:t>In summing up, it was suggested that</w:t>
      </w:r>
      <w:r>
        <w:t xml:space="preserve"> ‘there is a very strong correlation between low skills and rework and clearly such outcomes impact upon productivity</w:t>
      </w:r>
      <w:r w:rsidR="00D314A9">
        <w:t>’</w:t>
      </w:r>
      <w:r>
        <w:t>.</w:t>
      </w:r>
    </w:p>
    <w:p w:rsidR="0090758A" w:rsidRDefault="00FB63EB" w:rsidP="007900CC">
      <w:pPr>
        <w:pStyle w:val="Text"/>
      </w:pPr>
      <w:r>
        <w:t>I</w:t>
      </w:r>
      <w:r w:rsidR="00D314A9">
        <w:t>n Innovative Engineering Solutions, a</w:t>
      </w:r>
      <w:r w:rsidR="0090758A">
        <w:t xml:space="preserve"> lack of industry currency was not seen to be an issue</w:t>
      </w:r>
      <w:r>
        <w:t>, although</w:t>
      </w:r>
      <w:r w:rsidR="0026393A">
        <w:t xml:space="preserve"> it was acknowledged</w:t>
      </w:r>
      <w:r w:rsidR="0090758A">
        <w:t xml:space="preserve"> that the impact on the individual engineer would most likely be significant</w:t>
      </w:r>
      <w:r>
        <w:t>:</w:t>
      </w:r>
      <w:r w:rsidR="007900CC">
        <w:t xml:space="preserve"> ‘they</w:t>
      </w:r>
      <w:r w:rsidR="0090758A">
        <w:t xml:space="preserve"> would find that they would be limited to the types of projects they could work on. Project leaders would not choose or ask them to join project teams</w:t>
      </w:r>
      <w:r w:rsidR="007900CC">
        <w:t>’</w:t>
      </w:r>
      <w:r w:rsidR="0090758A">
        <w:t xml:space="preserve">. </w:t>
      </w:r>
    </w:p>
    <w:p w:rsidR="0090758A" w:rsidRDefault="007900CC" w:rsidP="00236B48">
      <w:pPr>
        <w:pStyle w:val="Text"/>
      </w:pPr>
      <w:r>
        <w:lastRenderedPageBreak/>
        <w:t xml:space="preserve">In the two science organisations, </w:t>
      </w:r>
      <w:r w:rsidR="00761881">
        <w:t xml:space="preserve">scientists </w:t>
      </w:r>
      <w:r w:rsidR="00673872">
        <w:t xml:space="preserve">had </w:t>
      </w:r>
      <w:r w:rsidR="00761881">
        <w:t>to be able to deliver reproducible data</w:t>
      </w:r>
      <w:r w:rsidR="00EF512B">
        <w:t xml:space="preserve"> with significant impact</w:t>
      </w:r>
      <w:r w:rsidR="00C3551E">
        <w:t xml:space="preserve"> for governments, industry and the community</w:t>
      </w:r>
      <w:r w:rsidR="00EF512B">
        <w:t xml:space="preserve">. This required them to be totally ‘on top of the latest science’. </w:t>
      </w:r>
      <w:r w:rsidR="00574B5E">
        <w:t>As</w:t>
      </w:r>
      <w:r w:rsidR="00EF512B">
        <w:t xml:space="preserve"> both organisations </w:t>
      </w:r>
      <w:r w:rsidR="00574B5E">
        <w:t xml:space="preserve">were </w:t>
      </w:r>
      <w:r w:rsidR="00EF512B">
        <w:t>working in the critical areas of natural resource</w:t>
      </w:r>
      <w:r w:rsidR="002E52AC">
        <w:t xml:space="preserve">s, </w:t>
      </w:r>
      <w:r w:rsidR="00EF512B">
        <w:t>energy and climate change</w:t>
      </w:r>
      <w:r w:rsidR="002E52AC">
        <w:t>,</w:t>
      </w:r>
      <w:r w:rsidR="00EF512B">
        <w:t xml:space="preserve"> </w:t>
      </w:r>
      <w:r w:rsidR="00574B5E">
        <w:t>being</w:t>
      </w:r>
      <w:r w:rsidR="00EF512B">
        <w:t xml:space="preserve"> </w:t>
      </w:r>
      <w:r w:rsidR="00FB63EB">
        <w:t>current</w:t>
      </w:r>
      <w:r w:rsidR="00EF512B">
        <w:t xml:space="preserve"> with the latest </w:t>
      </w:r>
      <w:r w:rsidR="00574B5E">
        <w:t>in the</w:t>
      </w:r>
      <w:r w:rsidR="00EF512B">
        <w:t xml:space="preserve"> field was critical</w:t>
      </w:r>
      <w:r w:rsidR="00FB63EB">
        <w:t>,</w:t>
      </w:r>
      <w:r w:rsidR="00574B5E">
        <w:t xml:space="preserve"> particularly given</w:t>
      </w:r>
      <w:r w:rsidR="00EF512B">
        <w:t xml:space="preserve"> the environment in which they operated </w:t>
      </w:r>
      <w:r w:rsidR="00FB63EB">
        <w:t>had</w:t>
      </w:r>
      <w:r w:rsidR="00EF512B">
        <w:t xml:space="preserve"> </w:t>
      </w:r>
      <w:r w:rsidR="00FB63EB">
        <w:t xml:space="preserve">intelligent </w:t>
      </w:r>
      <w:r w:rsidR="00EF512B">
        <w:t xml:space="preserve">stakeholders </w:t>
      </w:r>
      <w:r w:rsidR="00C3551E">
        <w:t>who</w:t>
      </w:r>
      <w:r w:rsidR="00EF512B">
        <w:t xml:space="preserve"> were </w:t>
      </w:r>
      <w:r w:rsidR="00673872">
        <w:t>sometimes</w:t>
      </w:r>
      <w:r w:rsidR="00EF512B">
        <w:t xml:space="preserve"> very aggressive in their criticisms.</w:t>
      </w:r>
      <w:r w:rsidR="00C3551E">
        <w:t xml:space="preserve"> </w:t>
      </w:r>
    </w:p>
    <w:p w:rsidR="007504DF" w:rsidRDefault="00460862" w:rsidP="006C6D65">
      <w:pPr>
        <w:pStyle w:val="Heading3"/>
      </w:pPr>
      <w:r>
        <w:t xml:space="preserve">Organisational support of </w:t>
      </w:r>
      <w:proofErr w:type="spellStart"/>
      <w:r>
        <w:t>upskilling</w:t>
      </w:r>
      <w:proofErr w:type="spellEnd"/>
    </w:p>
    <w:p w:rsidR="00246A86" w:rsidRDefault="006B0EE7" w:rsidP="006C6D65">
      <w:pPr>
        <w:pStyle w:val="Textlessbefore"/>
      </w:pPr>
      <w:r>
        <w:t>Managers</w:t>
      </w:r>
      <w:r w:rsidR="00246A86">
        <w:t xml:space="preserve"> were asked </w:t>
      </w:r>
      <w:r>
        <w:t xml:space="preserve">to describe </w:t>
      </w:r>
      <w:r w:rsidR="0063016A">
        <w:t xml:space="preserve">how </w:t>
      </w:r>
      <w:r w:rsidR="00246A86">
        <w:t xml:space="preserve">professional </w:t>
      </w:r>
      <w:proofErr w:type="gramStart"/>
      <w:r w:rsidR="00246A86">
        <w:t xml:space="preserve">staff </w:t>
      </w:r>
      <w:r w:rsidR="0063016A">
        <w:t>were</w:t>
      </w:r>
      <w:proofErr w:type="gramEnd"/>
      <w:r w:rsidR="0063016A">
        <w:t xml:space="preserve"> supported </w:t>
      </w:r>
      <w:r w:rsidR="000A789A">
        <w:t>in</w:t>
      </w:r>
      <w:r w:rsidR="0063016A">
        <w:t xml:space="preserve"> maintain</w:t>
      </w:r>
      <w:r w:rsidR="000A789A">
        <w:t>ing</w:t>
      </w:r>
      <w:r w:rsidR="00246A86">
        <w:t xml:space="preserve"> </w:t>
      </w:r>
      <w:r w:rsidR="00145F77">
        <w:t xml:space="preserve">industry </w:t>
      </w:r>
      <w:r w:rsidR="00246A86">
        <w:t>currency</w:t>
      </w:r>
      <w:r w:rsidR="00145F77">
        <w:t>.</w:t>
      </w:r>
      <w:r w:rsidR="00246A86">
        <w:t xml:space="preserve"> Of particular interest was the extent to which organisational capabilities and individual competencies </w:t>
      </w:r>
      <w:r w:rsidR="0063016A">
        <w:t xml:space="preserve">were analysed </w:t>
      </w:r>
      <w:r w:rsidR="00280A7D">
        <w:t xml:space="preserve">and </w:t>
      </w:r>
      <w:r w:rsidR="000A789A">
        <w:t xml:space="preserve">the </w:t>
      </w:r>
      <w:r w:rsidR="00246A86">
        <w:t xml:space="preserve">strategies </w:t>
      </w:r>
      <w:r w:rsidR="0063016A">
        <w:t>used</w:t>
      </w:r>
      <w:r w:rsidR="00145F77">
        <w:t xml:space="preserve"> </w:t>
      </w:r>
      <w:r>
        <w:t xml:space="preserve">to </w:t>
      </w:r>
      <w:r w:rsidR="0063016A">
        <w:t>keep employees at</w:t>
      </w:r>
      <w:r w:rsidR="00145F77">
        <w:t xml:space="preserve"> the cutting edge</w:t>
      </w:r>
      <w:r>
        <w:t>.</w:t>
      </w:r>
      <w:r w:rsidR="00246A86">
        <w:t xml:space="preserve"> Research on the management of skills obsolescence suggest</w:t>
      </w:r>
      <w:r w:rsidR="0063016A">
        <w:t>ed</w:t>
      </w:r>
      <w:r w:rsidR="00246A86">
        <w:t xml:space="preserve"> that rewards and incentives </w:t>
      </w:r>
      <w:r w:rsidR="0063016A">
        <w:t>encouraged</w:t>
      </w:r>
      <w:r w:rsidR="00246A86">
        <w:t xml:space="preserve"> individuals to continuously update, but what sanctions might </w:t>
      </w:r>
      <w:r w:rsidR="0063016A">
        <w:t>be imposed by these organisations</w:t>
      </w:r>
      <w:r w:rsidR="00246A86">
        <w:t xml:space="preserve"> for those who </w:t>
      </w:r>
      <w:r w:rsidR="00280A7D">
        <w:t>did</w:t>
      </w:r>
      <w:r w:rsidR="00246A86">
        <w:t xml:space="preserve"> not?</w:t>
      </w:r>
      <w:r w:rsidR="007D4EDB">
        <w:t xml:space="preserve"> </w:t>
      </w:r>
      <w:r w:rsidR="009B1985">
        <w:t>Also</w:t>
      </w:r>
      <w:r w:rsidR="00145F77">
        <w:t xml:space="preserve">, </w:t>
      </w:r>
      <w:r w:rsidR="0063016A">
        <w:t xml:space="preserve">whose responsibility did </w:t>
      </w:r>
      <w:r w:rsidR="00FB63EB">
        <w:t xml:space="preserve">learning and development </w:t>
      </w:r>
      <w:r w:rsidR="0063016A">
        <w:t xml:space="preserve">managers consider was it to ensure </w:t>
      </w:r>
      <w:proofErr w:type="gramStart"/>
      <w:r w:rsidR="0063016A">
        <w:t>staff were</w:t>
      </w:r>
      <w:proofErr w:type="gramEnd"/>
      <w:r w:rsidR="0063016A">
        <w:t xml:space="preserve"> </w:t>
      </w:r>
      <w:r w:rsidR="00280A7D">
        <w:t>current</w:t>
      </w:r>
      <w:r w:rsidR="0063016A">
        <w:t>?</w:t>
      </w:r>
      <w:r w:rsidR="009B1985">
        <w:t xml:space="preserve"> </w:t>
      </w:r>
    </w:p>
    <w:p w:rsidR="007E2C43" w:rsidRPr="009B1985" w:rsidRDefault="007D214F" w:rsidP="006C6D65">
      <w:pPr>
        <w:pStyle w:val="Heading4"/>
      </w:pPr>
      <w:r>
        <w:t>Maintaining currency: who</w:t>
      </w:r>
      <w:r w:rsidR="007E2C43">
        <w:t>s</w:t>
      </w:r>
      <w:r>
        <w:t>e</w:t>
      </w:r>
      <w:r w:rsidR="007E2C43">
        <w:t xml:space="preserve"> responsibility?</w:t>
      </w:r>
    </w:p>
    <w:p w:rsidR="007E2C43" w:rsidRDefault="00A10AC5" w:rsidP="006C6D65">
      <w:pPr>
        <w:pStyle w:val="Textlessbefore"/>
      </w:pPr>
      <w:r>
        <w:t>Generally</w:t>
      </w:r>
      <w:r w:rsidR="007E2C43">
        <w:t xml:space="preserve"> managers</w:t>
      </w:r>
      <w:r>
        <w:t xml:space="preserve"> agreed</w:t>
      </w:r>
      <w:r w:rsidR="007E2C43">
        <w:t xml:space="preserve"> that responsibility for maintaining </w:t>
      </w:r>
      <w:r w:rsidR="00D1616A">
        <w:t>currency</w:t>
      </w:r>
      <w:r w:rsidR="007E2C43">
        <w:t xml:space="preserve"> should be shared between the individual and the organisation. </w:t>
      </w:r>
      <w:r w:rsidR="006B0EE7">
        <w:t>However, there were</w:t>
      </w:r>
      <w:r w:rsidR="007E2C43">
        <w:t xml:space="preserve"> some variation</w:t>
      </w:r>
      <w:r w:rsidR="00D1616A">
        <w:t>s</w:t>
      </w:r>
      <w:r w:rsidR="007E2C43">
        <w:t xml:space="preserve"> in </w:t>
      </w:r>
      <w:r w:rsidR="006008C9">
        <w:t xml:space="preserve">the </w:t>
      </w:r>
      <w:r w:rsidR="000A789A">
        <w:t>allocation</w:t>
      </w:r>
      <w:r w:rsidR="006008C9">
        <w:t xml:space="preserve"> of</w:t>
      </w:r>
      <w:r w:rsidR="00D1616A">
        <w:t xml:space="preserve"> responsibility. </w:t>
      </w:r>
      <w:proofErr w:type="spellStart"/>
      <w:r w:rsidR="00FB63EB">
        <w:t>State</w:t>
      </w:r>
      <w:r w:rsidR="007E2C43">
        <w:t>wide</w:t>
      </w:r>
      <w:proofErr w:type="spellEnd"/>
      <w:r w:rsidR="007E2C43">
        <w:t xml:space="preserve"> Health, Global Health, ERC Health, CM Consulting and Innovative Engineering Solutions </w:t>
      </w:r>
      <w:r w:rsidR="00D1616A">
        <w:t>assigned</w:t>
      </w:r>
      <w:r w:rsidR="00FB63EB">
        <w:t xml:space="preserve"> responsibility equally:</w:t>
      </w:r>
      <w:r w:rsidR="007E2C43">
        <w:t xml:space="preserve"> 50% with </w:t>
      </w:r>
      <w:r w:rsidR="00D1616A">
        <w:t xml:space="preserve">the </w:t>
      </w:r>
      <w:r w:rsidR="007E2C43">
        <w:t xml:space="preserve">individual and 50% with the organisation. </w:t>
      </w:r>
      <w:r w:rsidR="006B0EE7">
        <w:t>It was agreed</w:t>
      </w:r>
      <w:r w:rsidR="007E2C43">
        <w:t xml:space="preserve"> that currency could only be maintained if the organisation and </w:t>
      </w:r>
      <w:r w:rsidR="006B0EE7">
        <w:t>individuals</w:t>
      </w:r>
      <w:r w:rsidR="007E2C43">
        <w:t xml:space="preserve"> worked </w:t>
      </w:r>
      <w:r w:rsidR="00D1616A">
        <w:t>together</w:t>
      </w:r>
      <w:r w:rsidR="007E2C43">
        <w:t xml:space="preserve">. In the case of ERC Health, </w:t>
      </w:r>
      <w:r w:rsidR="00D1616A">
        <w:t xml:space="preserve">the view was that </w:t>
      </w:r>
      <w:r w:rsidR="007E2C43">
        <w:t xml:space="preserve">management’s role was to identify a training need and </w:t>
      </w:r>
      <w:r w:rsidR="00D1616A">
        <w:t>provide support.</w:t>
      </w:r>
      <w:r w:rsidR="007E2C43">
        <w:t xml:space="preserve"> The individual’s role was also to identify training needs, to identify a training opportunity and </w:t>
      </w:r>
      <w:r w:rsidR="00D1616A">
        <w:t xml:space="preserve">to </w:t>
      </w:r>
      <w:r w:rsidR="006008C9">
        <w:t>participate in training</w:t>
      </w:r>
      <w:r w:rsidR="007E2C43">
        <w:t xml:space="preserve">. </w:t>
      </w:r>
      <w:r w:rsidR="00280A7D">
        <w:t xml:space="preserve">In </w:t>
      </w:r>
      <w:r w:rsidR="001C0588">
        <w:t xml:space="preserve">a </w:t>
      </w:r>
      <w:r w:rsidR="00280A7D">
        <w:t xml:space="preserve">similar vein the </w:t>
      </w:r>
      <w:r w:rsidR="007E2C43">
        <w:t xml:space="preserve">Alma Health </w:t>
      </w:r>
      <w:r w:rsidR="00280A7D">
        <w:t>manager suggested</w:t>
      </w:r>
      <w:r w:rsidR="007E2C43">
        <w:t>:</w:t>
      </w:r>
    </w:p>
    <w:p w:rsidR="007E2C43" w:rsidRDefault="007E2C43" w:rsidP="007E2C43">
      <w:pPr>
        <w:pStyle w:val="Quote"/>
      </w:pPr>
      <w:r>
        <w:t>There’s no way that an organisation could not fulfil that responsibility</w:t>
      </w:r>
      <w:r w:rsidR="00747F50">
        <w:t xml:space="preserve"> </w:t>
      </w:r>
      <w:r w:rsidR="00D1616A">
        <w:t>[but] i</w:t>
      </w:r>
      <w:r>
        <w:t>t’s much more effective when there’s an internal driver, when the person feels the responsibility for that primarily as opposed to ‘this organisation owes me’.</w:t>
      </w:r>
    </w:p>
    <w:p w:rsidR="007E2C43" w:rsidRDefault="007E2C43" w:rsidP="007E2C43">
      <w:pPr>
        <w:pStyle w:val="Text"/>
      </w:pPr>
      <w:r>
        <w:t>Th</w:t>
      </w:r>
      <w:r w:rsidR="006008C9">
        <w:t>is</w:t>
      </w:r>
      <w:r>
        <w:t xml:space="preserve"> idea of an internal driver was also raised by Innovative Engineering Solutions</w:t>
      </w:r>
      <w:r w:rsidR="00FB63EB">
        <w:t>,</w:t>
      </w:r>
      <w:r w:rsidR="000E5D36">
        <w:t xml:space="preserve"> with the manager noting </w:t>
      </w:r>
      <w:r w:rsidR="005B155F">
        <w:t>that</w:t>
      </w:r>
      <w:r w:rsidR="00FB63EB">
        <w:t>,</w:t>
      </w:r>
      <w:r w:rsidR="005B155F">
        <w:t xml:space="preserve"> w</w:t>
      </w:r>
      <w:r>
        <w:t xml:space="preserve">hile some engineers </w:t>
      </w:r>
      <w:r w:rsidR="000E5D36">
        <w:t>proactively</w:t>
      </w:r>
      <w:r>
        <w:t xml:space="preserve"> initiated discussions about learning opportunities for themselves, others were more passive. </w:t>
      </w:r>
      <w:r w:rsidR="00C83AD4">
        <w:t xml:space="preserve">In </w:t>
      </w:r>
      <w:r w:rsidR="00FB63EB">
        <w:t>allocating</w:t>
      </w:r>
      <w:r w:rsidR="00C83AD4">
        <w:t xml:space="preserve"> </w:t>
      </w:r>
      <w:r w:rsidR="000E5D36">
        <w:t xml:space="preserve">80% of the </w:t>
      </w:r>
      <w:r w:rsidR="00C83AD4">
        <w:t xml:space="preserve">responsibility </w:t>
      </w:r>
      <w:r w:rsidR="000E5D36">
        <w:t>to the individual</w:t>
      </w:r>
      <w:r w:rsidR="00C83AD4">
        <w:t xml:space="preserve">, </w:t>
      </w:r>
      <w:r w:rsidR="000E5D36">
        <w:t xml:space="preserve">the </w:t>
      </w:r>
      <w:proofErr w:type="spellStart"/>
      <w:r w:rsidR="000E5D36">
        <w:t>EngineeringCo</w:t>
      </w:r>
      <w:proofErr w:type="spellEnd"/>
      <w:r w:rsidR="000E5D36">
        <w:t xml:space="preserve"> respondent</w:t>
      </w:r>
      <w:r w:rsidR="00C83AD4">
        <w:t xml:space="preserve"> </w:t>
      </w:r>
      <w:r w:rsidR="001135E9">
        <w:t xml:space="preserve">also </w:t>
      </w:r>
      <w:r w:rsidR="006008C9">
        <w:t>commented</w:t>
      </w:r>
      <w:r w:rsidR="00C83AD4">
        <w:t xml:space="preserve"> that</w:t>
      </w:r>
      <w:r>
        <w:t xml:space="preserve"> ‘unfortunately there are some that believe that it is the company’s job to keep them up to date’.</w:t>
      </w:r>
      <w:r w:rsidR="007D4EDB">
        <w:t xml:space="preserve"> </w:t>
      </w:r>
    </w:p>
    <w:p w:rsidR="000A789A" w:rsidRDefault="000F098D" w:rsidP="007E2C43">
      <w:pPr>
        <w:pStyle w:val="Text"/>
      </w:pPr>
      <w:r>
        <w:t>By way of contrast</w:t>
      </w:r>
      <w:r w:rsidR="007E2C43">
        <w:t xml:space="preserve">, Professional Research Services and the Energy and Resources Agency accepted a high degree of </w:t>
      </w:r>
      <w:r w:rsidR="006008C9">
        <w:t xml:space="preserve">organisational </w:t>
      </w:r>
      <w:r w:rsidR="007E2C43">
        <w:t xml:space="preserve">responsibility for </w:t>
      </w:r>
      <w:r w:rsidR="00C83AD4">
        <w:t>updating</w:t>
      </w:r>
      <w:r w:rsidR="005B155F">
        <w:t>.</w:t>
      </w:r>
      <w:r w:rsidR="007E2C43">
        <w:t xml:space="preserve"> </w:t>
      </w:r>
      <w:r w:rsidR="00E4008C">
        <w:t>Employees</w:t>
      </w:r>
      <w:r w:rsidR="007E2C43">
        <w:t xml:space="preserve"> </w:t>
      </w:r>
      <w:r w:rsidR="005B155F">
        <w:t>needed</w:t>
      </w:r>
      <w:r w:rsidR="007E2C43">
        <w:t xml:space="preserve"> the skil</w:t>
      </w:r>
      <w:r w:rsidR="00FB63EB">
        <w:t>ls to engage in leading-</w:t>
      </w:r>
      <w:r w:rsidR="007E2C43">
        <w:t>edge work</w:t>
      </w:r>
      <w:r w:rsidR="00460862">
        <w:t xml:space="preserve"> and</w:t>
      </w:r>
      <w:r w:rsidR="007E2C43">
        <w:t xml:space="preserve"> </w:t>
      </w:r>
      <w:r w:rsidR="000A789A">
        <w:t xml:space="preserve">to </w:t>
      </w:r>
      <w:r w:rsidR="00F54AD5">
        <w:t xml:space="preserve">be </w:t>
      </w:r>
      <w:r w:rsidR="007E2C43">
        <w:t>willing to seek the</w:t>
      </w:r>
      <w:r w:rsidR="005B155F">
        <w:t>m</w:t>
      </w:r>
      <w:r w:rsidR="007E2C43">
        <w:t xml:space="preserve"> out</w:t>
      </w:r>
      <w:r w:rsidR="00F54AD5">
        <w:t xml:space="preserve"> if they did not have them</w:t>
      </w:r>
      <w:r w:rsidR="00C83AD4">
        <w:t>,</w:t>
      </w:r>
      <w:r w:rsidR="007E2C43">
        <w:t xml:space="preserve"> </w:t>
      </w:r>
      <w:r w:rsidR="00F54AD5">
        <w:t xml:space="preserve">which </w:t>
      </w:r>
      <w:r w:rsidR="007E2C43">
        <w:t xml:space="preserve">they generally did. </w:t>
      </w:r>
      <w:r>
        <w:t xml:space="preserve">Both </w:t>
      </w:r>
      <w:r w:rsidR="00E4008C">
        <w:t>managers said</w:t>
      </w:r>
      <w:r>
        <w:t xml:space="preserve"> there</w:t>
      </w:r>
      <w:r w:rsidR="007E2C43">
        <w:t xml:space="preserve"> was a high level </w:t>
      </w:r>
      <w:r w:rsidR="0097044A">
        <w:t xml:space="preserve">of </w:t>
      </w:r>
      <w:r w:rsidR="007E2C43">
        <w:t xml:space="preserve">drive amongst </w:t>
      </w:r>
      <w:r w:rsidR="00E4008C">
        <w:t xml:space="preserve">their </w:t>
      </w:r>
      <w:r w:rsidR="007E2C43">
        <w:t>employees</w:t>
      </w:r>
      <w:r w:rsidR="00F54AD5">
        <w:t>,</w:t>
      </w:r>
      <w:r w:rsidR="007E2C43">
        <w:t xml:space="preserve"> who understood that they were making a difference and wanted to </w:t>
      </w:r>
      <w:r w:rsidR="00460862">
        <w:t>continue to do so</w:t>
      </w:r>
      <w:r w:rsidR="007E2C43">
        <w:t>.</w:t>
      </w:r>
    </w:p>
    <w:p w:rsidR="006E557F" w:rsidRDefault="006E557F" w:rsidP="007E2C43">
      <w:pPr>
        <w:pStyle w:val="Text"/>
      </w:pPr>
      <w:r>
        <w:t>Confirming views expressed in the literature</w:t>
      </w:r>
      <w:r w:rsidR="008C4AC6">
        <w:t xml:space="preserve"> about the importance of organisational</w:t>
      </w:r>
      <w:r>
        <w:t xml:space="preserve"> culture and climate</w:t>
      </w:r>
      <w:r w:rsidR="00F54AD5">
        <w:t>,</w:t>
      </w:r>
      <w:r>
        <w:t xml:space="preserve"> the CM Consulting </w:t>
      </w:r>
      <w:r w:rsidR="00F54AD5">
        <w:t xml:space="preserve">learning and development </w:t>
      </w:r>
      <w:r>
        <w:t xml:space="preserve">manager </w:t>
      </w:r>
      <w:r w:rsidR="008C4AC6">
        <w:t>suggested</w:t>
      </w:r>
      <w:r>
        <w:t>:</w:t>
      </w:r>
    </w:p>
    <w:p w:rsidR="006E557F" w:rsidRDefault="006E557F" w:rsidP="006E557F">
      <w:pPr>
        <w:pStyle w:val="Quote"/>
      </w:pPr>
      <w:r>
        <w:t xml:space="preserve">Technical excellence is embedded throughout the culture of our organisation. There’s no question about that. It’s one of the bedrocks of this organisation, so it is absolutely critical to the way we do business. </w:t>
      </w:r>
    </w:p>
    <w:p w:rsidR="006C6D65" w:rsidRDefault="006C6D65">
      <w:pPr>
        <w:spacing w:before="0" w:line="240" w:lineRule="auto"/>
        <w:rPr>
          <w:rFonts w:ascii="Tahoma" w:hAnsi="Tahoma"/>
          <w:i/>
          <w:sz w:val="24"/>
        </w:rPr>
      </w:pPr>
      <w:r>
        <w:br w:type="page"/>
      </w:r>
    </w:p>
    <w:p w:rsidR="007E2C43" w:rsidRDefault="007E2C43" w:rsidP="006C6D65">
      <w:pPr>
        <w:pStyle w:val="Heading4"/>
      </w:pPr>
      <w:r>
        <w:lastRenderedPageBreak/>
        <w:t>Incentives, rewards and sanctions</w:t>
      </w:r>
    </w:p>
    <w:p w:rsidR="00F45E80" w:rsidRDefault="00C52FD4" w:rsidP="006C6D65">
      <w:pPr>
        <w:pStyle w:val="Textlessbefore"/>
      </w:pPr>
      <w:r>
        <w:t xml:space="preserve">Both </w:t>
      </w:r>
      <w:r w:rsidR="001D0FE1">
        <w:t xml:space="preserve">science organisations </w:t>
      </w:r>
      <w:r>
        <w:t>had reward and recognition polic</w:t>
      </w:r>
      <w:r w:rsidR="001D0FE1">
        <w:t>ies</w:t>
      </w:r>
      <w:r>
        <w:t xml:space="preserve"> </w:t>
      </w:r>
      <w:r w:rsidR="001D0FE1">
        <w:t>with</w:t>
      </w:r>
      <w:r>
        <w:t xml:space="preserve"> annual awards ceremon</w:t>
      </w:r>
      <w:r w:rsidR="001D0FE1">
        <w:t>ies</w:t>
      </w:r>
      <w:r>
        <w:t xml:space="preserve"> at which high achievement was acknowledged</w:t>
      </w:r>
      <w:r w:rsidR="006A7CE3">
        <w:t>.</w:t>
      </w:r>
      <w:r>
        <w:t xml:space="preserve"> </w:t>
      </w:r>
      <w:r w:rsidR="00432A05">
        <w:t>Overseas</w:t>
      </w:r>
      <w:r>
        <w:t xml:space="preserve"> conferences </w:t>
      </w:r>
      <w:r w:rsidR="00432A05">
        <w:t xml:space="preserve">were also used as a </w:t>
      </w:r>
      <w:r>
        <w:t xml:space="preserve">means of rewarding </w:t>
      </w:r>
      <w:r w:rsidR="006A7CE3">
        <w:t>those</w:t>
      </w:r>
      <w:r w:rsidR="00A0647D">
        <w:t xml:space="preserve"> who</w:t>
      </w:r>
      <w:r>
        <w:t xml:space="preserve"> </w:t>
      </w:r>
      <w:r w:rsidR="00432A05">
        <w:t>stayed</w:t>
      </w:r>
      <w:r>
        <w:t xml:space="preserve"> professionally current</w:t>
      </w:r>
      <w:r w:rsidR="00B92DA5">
        <w:t>.</w:t>
      </w:r>
      <w:r w:rsidR="00A1268C">
        <w:t xml:space="preserve"> </w:t>
      </w:r>
      <w:r w:rsidR="00432A05">
        <w:t>Both</w:t>
      </w:r>
      <w:r w:rsidR="00C604E6">
        <w:t xml:space="preserve"> measured</w:t>
      </w:r>
      <w:r w:rsidR="00F45E80">
        <w:t xml:space="preserve"> people’s </w:t>
      </w:r>
      <w:proofErr w:type="gramStart"/>
      <w:r w:rsidR="00F45E80">
        <w:t>capability</w:t>
      </w:r>
      <w:r w:rsidR="0097044A">
        <w:t>,</w:t>
      </w:r>
      <w:proofErr w:type="gramEnd"/>
      <w:r w:rsidR="00F45E80">
        <w:t xml:space="preserve"> and scientists were identified by their standing in </w:t>
      </w:r>
      <w:r w:rsidR="005B2049">
        <w:t xml:space="preserve">a </w:t>
      </w:r>
      <w:r w:rsidR="00F45E80">
        <w:t xml:space="preserve">specialisation. Peer review was </w:t>
      </w:r>
      <w:r w:rsidR="005B2049">
        <w:t>viewed as a</w:t>
      </w:r>
      <w:r w:rsidR="00A1268C">
        <w:t xml:space="preserve"> </w:t>
      </w:r>
      <w:r w:rsidR="00F45E80">
        <w:t xml:space="preserve">powerful mechanism for recognition, particularly </w:t>
      </w:r>
      <w:r w:rsidR="005B2049">
        <w:t xml:space="preserve">as </w:t>
      </w:r>
      <w:r w:rsidR="00F45E80">
        <w:t xml:space="preserve">it </w:t>
      </w:r>
      <w:r w:rsidR="005B2049">
        <w:t>was an</w:t>
      </w:r>
      <w:r w:rsidR="00F45E80">
        <w:t xml:space="preserve"> accepted practice in the sciences and embedded in the scientific culture.</w:t>
      </w:r>
    </w:p>
    <w:p w:rsidR="005A7805" w:rsidRDefault="00432A05" w:rsidP="00C00A25">
      <w:pPr>
        <w:pStyle w:val="Text"/>
      </w:pPr>
      <w:r>
        <w:t>For the engineers</w:t>
      </w:r>
      <w:r w:rsidR="000428D9">
        <w:t xml:space="preserve">, promotion and </w:t>
      </w:r>
      <w:r w:rsidR="000A789A">
        <w:t>broadening</w:t>
      </w:r>
      <w:r w:rsidR="000428D9">
        <w:t xml:space="preserve"> opportunities for projects were major incentive</w:t>
      </w:r>
      <w:r w:rsidR="006D7900">
        <w:t>s</w:t>
      </w:r>
      <w:r w:rsidR="000428D9">
        <w:t xml:space="preserve"> for keeping </w:t>
      </w:r>
      <w:r>
        <w:t>abreast of innovations, while bonuses provided incentives for employees</w:t>
      </w:r>
      <w:r w:rsidR="00F810DE">
        <w:t xml:space="preserve"> in both CM Consulting and Innovative Engineering S</w:t>
      </w:r>
      <w:r w:rsidR="00BB0F0F">
        <w:t>olutions</w:t>
      </w:r>
      <w:r w:rsidR="00011E80">
        <w:t>.</w:t>
      </w:r>
      <w:r w:rsidR="00F810DE">
        <w:t xml:space="preserve"> </w:t>
      </w:r>
      <w:r w:rsidR="00C00A25">
        <w:t>Awards</w:t>
      </w:r>
      <w:r>
        <w:t>,</w:t>
      </w:r>
      <w:r w:rsidR="004D7D5D">
        <w:t xml:space="preserve"> promotional</w:t>
      </w:r>
      <w:r w:rsidR="00C00A25">
        <w:t xml:space="preserve"> opportunities </w:t>
      </w:r>
      <w:r>
        <w:t xml:space="preserve">and payment of educational expenses </w:t>
      </w:r>
      <w:r w:rsidR="00C00A25">
        <w:t xml:space="preserve">were </w:t>
      </w:r>
      <w:r>
        <w:t>motivators</w:t>
      </w:r>
      <w:r w:rsidR="00C00A25">
        <w:t xml:space="preserve"> in the large health organisations</w:t>
      </w:r>
      <w:r w:rsidR="00F54AD5">
        <w:t>. H</w:t>
      </w:r>
      <w:r>
        <w:t>owever</w:t>
      </w:r>
      <w:r w:rsidR="00F54AD5">
        <w:t>,</w:t>
      </w:r>
      <w:r>
        <w:t xml:space="preserve"> f</w:t>
      </w:r>
      <w:r w:rsidR="005B2049">
        <w:t>or the smaller</w:t>
      </w:r>
      <w:r w:rsidR="000C2B6F">
        <w:t xml:space="preserve"> ERC Health</w:t>
      </w:r>
      <w:r w:rsidR="00F54AD5">
        <w:t>,</w:t>
      </w:r>
      <w:r w:rsidR="005A7805">
        <w:t xml:space="preserve"> promotional opportunities were limited</w:t>
      </w:r>
      <w:r w:rsidR="00F54AD5">
        <w:t>;</w:t>
      </w:r>
      <w:r w:rsidR="005B2049">
        <w:t xml:space="preserve"> </w:t>
      </w:r>
      <w:r>
        <w:t>hence</w:t>
      </w:r>
      <w:r w:rsidR="00F54AD5">
        <w:t>,</w:t>
      </w:r>
      <w:r w:rsidR="006D7900">
        <w:t xml:space="preserve"> </w:t>
      </w:r>
      <w:r w:rsidR="005A7805">
        <w:t>financial support to undertake training</w:t>
      </w:r>
      <w:r w:rsidR="006D7900">
        <w:t xml:space="preserve"> was the major incentive</w:t>
      </w:r>
      <w:r w:rsidR="005A7805">
        <w:t>.</w:t>
      </w:r>
    </w:p>
    <w:p w:rsidR="009E52D0" w:rsidRDefault="00CD6C38" w:rsidP="00C00A25">
      <w:pPr>
        <w:pStyle w:val="Text"/>
      </w:pPr>
      <w:r>
        <w:t>Although</w:t>
      </w:r>
      <w:r w:rsidR="005A7805">
        <w:t xml:space="preserve"> there was general agreement that most </w:t>
      </w:r>
      <w:r w:rsidR="00EB560F">
        <w:t>professionals</w:t>
      </w:r>
      <w:r w:rsidR="005A7805">
        <w:t xml:space="preserve"> availed themselves of opportunities to update, </w:t>
      </w:r>
      <w:r w:rsidR="00432A05">
        <w:t>it was acknowledged</w:t>
      </w:r>
      <w:r w:rsidR="00EB560F">
        <w:t xml:space="preserve"> </w:t>
      </w:r>
      <w:r w:rsidR="00414337">
        <w:t>that this was not always the case</w:t>
      </w:r>
      <w:r w:rsidR="005A7805">
        <w:t xml:space="preserve">. </w:t>
      </w:r>
      <w:r w:rsidR="00432A05">
        <w:t>Informants</w:t>
      </w:r>
      <w:r w:rsidR="005A7805">
        <w:t xml:space="preserve"> </w:t>
      </w:r>
      <w:r w:rsidR="00F57B6F">
        <w:t xml:space="preserve">outlined </w:t>
      </w:r>
      <w:r w:rsidR="00432A05">
        <w:t xml:space="preserve">the management </w:t>
      </w:r>
      <w:r w:rsidR="00EB560F">
        <w:t xml:space="preserve">processes </w:t>
      </w:r>
      <w:r w:rsidR="00432A05">
        <w:t>for</w:t>
      </w:r>
      <w:r w:rsidR="00D0364E">
        <w:t xml:space="preserve"> </w:t>
      </w:r>
      <w:r w:rsidR="000A789A">
        <w:t xml:space="preserve">dealing with </w:t>
      </w:r>
      <w:r w:rsidR="005A7805">
        <w:t xml:space="preserve">individuals whose skills were </w:t>
      </w:r>
      <w:r w:rsidR="001A66B2">
        <w:t>fading</w:t>
      </w:r>
      <w:r w:rsidR="00F54AD5">
        <w:t>, with</w:t>
      </w:r>
      <w:r w:rsidR="00414337">
        <w:t xml:space="preserve"> </w:t>
      </w:r>
      <w:r w:rsidR="004B6154">
        <w:t xml:space="preserve">mandatory training </w:t>
      </w:r>
      <w:r w:rsidR="00414337">
        <w:t xml:space="preserve">seen as </w:t>
      </w:r>
      <w:r w:rsidR="000A789A">
        <w:t xml:space="preserve">the </w:t>
      </w:r>
      <w:r w:rsidR="000D66A8">
        <w:t xml:space="preserve">key </w:t>
      </w:r>
      <w:r w:rsidR="0097044A">
        <w:t>strategy for addressing</w:t>
      </w:r>
      <w:r w:rsidR="00F54AD5">
        <w:t xml:space="preserve"> this issue </w:t>
      </w:r>
      <w:r w:rsidR="00432A05">
        <w:t>in the health organisations</w:t>
      </w:r>
      <w:r w:rsidR="00414337">
        <w:t>. S</w:t>
      </w:r>
      <w:r w:rsidR="000D66A8">
        <w:t>taff</w:t>
      </w:r>
      <w:r w:rsidR="004B6154">
        <w:t xml:space="preserve"> could not</w:t>
      </w:r>
      <w:r w:rsidR="004F3E79">
        <w:t xml:space="preserve"> </w:t>
      </w:r>
      <w:r w:rsidR="004B6154">
        <w:t>undertake a clinical workload until the required standards of competency were achieved.</w:t>
      </w:r>
      <w:r w:rsidR="007D4EDB">
        <w:t xml:space="preserve"> </w:t>
      </w:r>
      <w:r w:rsidR="00432A05">
        <w:t xml:space="preserve">Performance management was the solution for </w:t>
      </w:r>
      <w:r w:rsidR="00D15625">
        <w:t xml:space="preserve">Alma Health </w:t>
      </w:r>
      <w:r w:rsidR="00457D77">
        <w:t xml:space="preserve">staff </w:t>
      </w:r>
      <w:proofErr w:type="gramStart"/>
      <w:r w:rsidR="00F0213B">
        <w:t>who</w:t>
      </w:r>
      <w:proofErr w:type="gramEnd"/>
      <w:r w:rsidR="00432A05">
        <w:t xml:space="preserve"> </w:t>
      </w:r>
      <w:r w:rsidR="00816684">
        <w:t xml:space="preserve">did not </w:t>
      </w:r>
      <w:r w:rsidR="0097044A">
        <w:t xml:space="preserve">undertake and </w:t>
      </w:r>
      <w:r w:rsidR="00D15625">
        <w:t xml:space="preserve">complete </w:t>
      </w:r>
      <w:r w:rsidR="00432A05">
        <w:t>training</w:t>
      </w:r>
      <w:r w:rsidR="00816684">
        <w:t>.</w:t>
      </w:r>
      <w:r w:rsidR="007D4EDB">
        <w:t xml:space="preserve"> </w:t>
      </w:r>
      <w:r w:rsidR="00816684">
        <w:t xml:space="preserve">Beyond that, staff could be required to leave the organisation. </w:t>
      </w:r>
      <w:r w:rsidR="00F57B6F">
        <w:t>Similarly</w:t>
      </w:r>
      <w:r w:rsidR="00F0213B">
        <w:t>,</w:t>
      </w:r>
      <w:r w:rsidR="00F57B6F">
        <w:t xml:space="preserve"> </w:t>
      </w:r>
      <w:r w:rsidR="00816684">
        <w:t xml:space="preserve">within </w:t>
      </w:r>
      <w:r w:rsidR="00F57B6F">
        <w:t>the</w:t>
      </w:r>
      <w:r w:rsidR="00C70939">
        <w:t xml:space="preserve"> Energy and Resources Agency individuals unable to stay current</w:t>
      </w:r>
      <w:r w:rsidR="00F0213B">
        <w:t xml:space="preserve"> ‘may be encouraged to move on —</w:t>
      </w:r>
      <w:r w:rsidR="00C70939">
        <w:t xml:space="preserve"> to look for employment elsewhere’. </w:t>
      </w:r>
      <w:r w:rsidR="00816684">
        <w:t>This rarely happened, however.</w:t>
      </w:r>
      <w:r w:rsidR="000D66A8">
        <w:t xml:space="preserve"> </w:t>
      </w:r>
      <w:r w:rsidR="001A66B2">
        <w:t>Anyone</w:t>
      </w:r>
      <w:r w:rsidR="009243B9">
        <w:t xml:space="preserve"> </w:t>
      </w:r>
      <w:r w:rsidR="001A66B2">
        <w:t xml:space="preserve">in CM Consulting </w:t>
      </w:r>
      <w:r w:rsidR="009243B9">
        <w:t xml:space="preserve">refusing to undertake </w:t>
      </w:r>
      <w:r w:rsidR="001A66B2">
        <w:t>mandatory training to keep current</w:t>
      </w:r>
      <w:r w:rsidR="009243B9">
        <w:t xml:space="preserve"> </w:t>
      </w:r>
      <w:r w:rsidR="00816684">
        <w:t>w</w:t>
      </w:r>
      <w:r w:rsidR="00F0213B">
        <w:t xml:space="preserve">as </w:t>
      </w:r>
      <w:r w:rsidR="009243B9">
        <w:t>deemed to be in breach of contract</w:t>
      </w:r>
      <w:r w:rsidR="00816684">
        <w:t xml:space="preserve"> and open to dismissal</w:t>
      </w:r>
      <w:r w:rsidR="009243B9">
        <w:t xml:space="preserve">. </w:t>
      </w:r>
    </w:p>
    <w:p w:rsidR="00B85092" w:rsidRDefault="00816684" w:rsidP="00C00A25">
      <w:pPr>
        <w:pStyle w:val="Text"/>
      </w:pPr>
      <w:r>
        <w:t>Older</w:t>
      </w:r>
      <w:r w:rsidR="00457D77">
        <w:t xml:space="preserve"> professionals </w:t>
      </w:r>
      <w:r w:rsidR="000D66A8">
        <w:t xml:space="preserve">in </w:t>
      </w:r>
      <w:proofErr w:type="spellStart"/>
      <w:r w:rsidR="000D66A8">
        <w:t>EngineeringCo</w:t>
      </w:r>
      <w:proofErr w:type="spellEnd"/>
      <w:r w:rsidR="000D66A8">
        <w:t xml:space="preserve"> </w:t>
      </w:r>
      <w:r w:rsidR="00457D77">
        <w:t>were encouraged to pass on their ‘tribal knowledge’ to the less experienced</w:t>
      </w:r>
      <w:r w:rsidR="001A66B2">
        <w:t>.</w:t>
      </w:r>
      <w:r w:rsidR="00457D77">
        <w:t xml:space="preserve"> </w:t>
      </w:r>
      <w:r w:rsidR="009E52D0">
        <w:t>This</w:t>
      </w:r>
      <w:r w:rsidR="00457D77">
        <w:t xml:space="preserve"> sharing </w:t>
      </w:r>
      <w:r w:rsidR="009E52D0">
        <w:t>of</w:t>
      </w:r>
      <w:r w:rsidR="00457D77">
        <w:t xml:space="preserve"> long-</w:t>
      </w:r>
      <w:r w:rsidR="001A66B2">
        <w:t>l</w:t>
      </w:r>
      <w:r w:rsidR="00457D77">
        <w:t xml:space="preserve">earned wisdom </w:t>
      </w:r>
      <w:r w:rsidR="009E52D0">
        <w:t xml:space="preserve">had dual </w:t>
      </w:r>
      <w:r w:rsidR="001A66B2">
        <w:t>purposes</w:t>
      </w:r>
      <w:r w:rsidR="009E52D0">
        <w:t xml:space="preserve">. The first was to </w:t>
      </w:r>
      <w:r>
        <w:t>build expertise</w:t>
      </w:r>
      <w:r w:rsidR="009E52D0">
        <w:t xml:space="preserve"> </w:t>
      </w:r>
      <w:r>
        <w:t>in</w:t>
      </w:r>
      <w:r w:rsidR="009E52D0">
        <w:t xml:space="preserve"> the mentee</w:t>
      </w:r>
      <w:r>
        <w:t>s</w:t>
      </w:r>
      <w:r w:rsidR="009E52D0">
        <w:t xml:space="preserve"> and the second was to ensure the mentor</w:t>
      </w:r>
      <w:r>
        <w:t>s</w:t>
      </w:r>
      <w:r w:rsidR="009E52D0">
        <w:t xml:space="preserve"> kept current</w:t>
      </w:r>
      <w:r w:rsidR="00457D77">
        <w:t xml:space="preserve"> </w:t>
      </w:r>
      <w:r w:rsidR="009E52D0">
        <w:t>with the</w:t>
      </w:r>
      <w:r w:rsidR="00457D77">
        <w:t xml:space="preserve"> innovative </w:t>
      </w:r>
      <w:r w:rsidR="001A66B2">
        <w:t xml:space="preserve">project </w:t>
      </w:r>
      <w:r w:rsidR="00457D77">
        <w:t xml:space="preserve">approaches </w:t>
      </w:r>
      <w:r w:rsidR="001A66B2">
        <w:t>being used</w:t>
      </w:r>
      <w:r w:rsidR="009E52D0">
        <w:t xml:space="preserve"> by </w:t>
      </w:r>
      <w:r w:rsidR="00457D77">
        <w:t>the firm</w:t>
      </w:r>
      <w:r w:rsidR="009E52D0">
        <w:t>.</w:t>
      </w:r>
    </w:p>
    <w:p w:rsidR="00457D77" w:rsidRDefault="00205DD8" w:rsidP="00C00A25">
      <w:pPr>
        <w:pStyle w:val="Text"/>
      </w:pPr>
      <w:r>
        <w:t xml:space="preserve">The response from Professional Research Services provided a markedly different perspective. </w:t>
      </w:r>
      <w:r w:rsidR="00F0213B">
        <w:t>W</w:t>
      </w:r>
      <w:r w:rsidR="00C70939">
        <w:t xml:space="preserve">hile it sometimes </w:t>
      </w:r>
      <w:r w:rsidR="00F0213B">
        <w:t>occurred</w:t>
      </w:r>
      <w:r w:rsidR="00C70939">
        <w:t xml:space="preserve"> that a scientist’s skills </w:t>
      </w:r>
      <w:r w:rsidR="00723A74">
        <w:t>began</w:t>
      </w:r>
      <w:r w:rsidR="00C70939">
        <w:t xml:space="preserve"> to erode, more often </w:t>
      </w:r>
      <w:r w:rsidR="009E52D0">
        <w:t xml:space="preserve">than not </w:t>
      </w:r>
      <w:r w:rsidR="00723A74">
        <w:t xml:space="preserve">it </w:t>
      </w:r>
      <w:r w:rsidR="0097044A">
        <w:t>was</w:t>
      </w:r>
      <w:r w:rsidR="00723A74">
        <w:t xml:space="preserve"> </w:t>
      </w:r>
      <w:r w:rsidR="00C70939">
        <w:t xml:space="preserve">that some areas of science </w:t>
      </w:r>
      <w:r w:rsidR="0097044A">
        <w:t>became</w:t>
      </w:r>
      <w:r w:rsidR="00C70939">
        <w:t xml:space="preserve"> obsolete. This </w:t>
      </w:r>
      <w:r w:rsidR="000D66A8">
        <w:t xml:space="preserve">had </w:t>
      </w:r>
      <w:r w:rsidR="00F0213B">
        <w:t xml:space="preserve">a </w:t>
      </w:r>
      <w:r w:rsidR="00C70939">
        <w:t xml:space="preserve">significant impact upon the </w:t>
      </w:r>
      <w:r w:rsidR="009E52D0">
        <w:t>organisation’s work</w:t>
      </w:r>
      <w:r w:rsidR="00C70939">
        <w:t xml:space="preserve">. </w:t>
      </w:r>
      <w:r w:rsidR="000D66A8">
        <w:t>If</w:t>
      </w:r>
      <w:r w:rsidR="00B856C4">
        <w:t xml:space="preserve"> </w:t>
      </w:r>
      <w:r w:rsidR="00F0213B">
        <w:t>an</w:t>
      </w:r>
      <w:r w:rsidR="00B856C4">
        <w:t xml:space="preserve"> area of science </w:t>
      </w:r>
      <w:r w:rsidR="00723A74">
        <w:t>became less important</w:t>
      </w:r>
      <w:r w:rsidR="00B856C4">
        <w:t xml:space="preserve"> and </w:t>
      </w:r>
      <w:r w:rsidR="008832D2">
        <w:t>ceased</w:t>
      </w:r>
      <w:r w:rsidR="00B856C4">
        <w:t xml:space="preserve"> to be an </w:t>
      </w:r>
      <w:r w:rsidR="008832D2">
        <w:t xml:space="preserve">organisational focus, </w:t>
      </w:r>
      <w:r w:rsidR="00B856C4">
        <w:t>the individual would be deployed</w:t>
      </w:r>
      <w:r w:rsidR="00F0213B">
        <w:t>,</w:t>
      </w:r>
      <w:r w:rsidR="000D66A8">
        <w:t xml:space="preserve"> even when performing well</w:t>
      </w:r>
      <w:r w:rsidR="00B856C4">
        <w:t xml:space="preserve">. In </w:t>
      </w:r>
      <w:r>
        <w:t>a</w:t>
      </w:r>
      <w:r w:rsidR="00B856C4">
        <w:t xml:space="preserve"> negotiated process, </w:t>
      </w:r>
      <w:r>
        <w:t>the organisation</w:t>
      </w:r>
      <w:r w:rsidR="00B856C4">
        <w:t xml:space="preserve"> accept</w:t>
      </w:r>
      <w:r w:rsidR="008832D2">
        <w:t>ed</w:t>
      </w:r>
      <w:r w:rsidR="00B856C4">
        <w:t xml:space="preserve"> a high</w:t>
      </w:r>
      <w:r w:rsidR="00F0213B">
        <w:t xml:space="preserve"> level of responsibility for re</w:t>
      </w:r>
      <w:r w:rsidR="00B856C4">
        <w:t xml:space="preserve">training and </w:t>
      </w:r>
      <w:proofErr w:type="spellStart"/>
      <w:r w:rsidR="00B856C4">
        <w:t>upskilling</w:t>
      </w:r>
      <w:proofErr w:type="spellEnd"/>
      <w:r w:rsidR="00B856C4">
        <w:t xml:space="preserve"> people</w:t>
      </w:r>
      <w:r w:rsidR="005B20D0">
        <w:t>.</w:t>
      </w:r>
    </w:p>
    <w:p w:rsidR="009B1985" w:rsidRPr="00590978" w:rsidRDefault="004C6729" w:rsidP="006C6D65">
      <w:pPr>
        <w:pStyle w:val="Heading3"/>
      </w:pPr>
      <w:r w:rsidRPr="00590978">
        <w:t>Organisational s</w:t>
      </w:r>
      <w:r w:rsidR="009B1985" w:rsidRPr="00590978">
        <w:t>trategies for maintaining currency</w:t>
      </w:r>
    </w:p>
    <w:p w:rsidR="00FB250F" w:rsidRPr="00590978" w:rsidRDefault="00F0213B" w:rsidP="006C6D65">
      <w:pPr>
        <w:pStyle w:val="Textlessbefore"/>
      </w:pPr>
      <w:r>
        <w:t>Because they were d</w:t>
      </w:r>
      <w:r w:rsidR="00816684">
        <w:t>edicated to maintaining</w:t>
      </w:r>
      <w:r w:rsidR="00590978">
        <w:t xml:space="preserve"> a competitive edge, all organisations </w:t>
      </w:r>
      <w:r w:rsidR="00723A74">
        <w:t xml:space="preserve">regularly </w:t>
      </w:r>
      <w:r w:rsidR="00590978">
        <w:t xml:space="preserve">analysed </w:t>
      </w:r>
      <w:r w:rsidR="00723A74">
        <w:t xml:space="preserve">their </w:t>
      </w:r>
      <w:r w:rsidR="00590978">
        <w:t>capability</w:t>
      </w:r>
      <w:r w:rsidR="00723A74">
        <w:t>. T</w:t>
      </w:r>
      <w:r w:rsidR="00816684">
        <w:t xml:space="preserve">he </w:t>
      </w:r>
      <w:r w:rsidR="00590978">
        <w:t xml:space="preserve">organisational </w:t>
      </w:r>
      <w:r w:rsidR="007D0260" w:rsidRPr="00590978">
        <w:t xml:space="preserve">skill </w:t>
      </w:r>
      <w:r w:rsidR="0028531B">
        <w:t>profile</w:t>
      </w:r>
      <w:r w:rsidR="007D0260" w:rsidRPr="00590978">
        <w:t xml:space="preserve"> </w:t>
      </w:r>
      <w:r w:rsidR="00816684">
        <w:t xml:space="preserve">was </w:t>
      </w:r>
      <w:r w:rsidR="00723A74">
        <w:t>routinely assessed</w:t>
      </w:r>
      <w:r w:rsidR="00816684">
        <w:t xml:space="preserve"> </w:t>
      </w:r>
      <w:r w:rsidR="00590978">
        <w:t xml:space="preserve">and </w:t>
      </w:r>
      <w:r w:rsidR="00466BBF" w:rsidRPr="00590978">
        <w:t>appraisal of individual performance</w:t>
      </w:r>
      <w:r w:rsidR="00793463">
        <w:t xml:space="preserve"> occurred annually</w:t>
      </w:r>
      <w:r w:rsidR="007D0260" w:rsidRPr="00590978">
        <w:t xml:space="preserve">. </w:t>
      </w:r>
      <w:r w:rsidR="00793463">
        <w:t>Learning</w:t>
      </w:r>
      <w:r w:rsidR="00EB2D5E" w:rsidRPr="00590978">
        <w:t xml:space="preserve"> plans were negotiated </w:t>
      </w:r>
      <w:r w:rsidR="00205DD8" w:rsidRPr="00590978">
        <w:t>and</w:t>
      </w:r>
      <w:r w:rsidR="007D0260" w:rsidRPr="00590978">
        <w:t xml:space="preserve"> </w:t>
      </w:r>
      <w:r w:rsidR="00793463">
        <w:t>both</w:t>
      </w:r>
      <w:r w:rsidR="007D0260" w:rsidRPr="00590978">
        <w:t xml:space="preserve"> informal and formal training </w:t>
      </w:r>
      <w:r w:rsidR="00793463">
        <w:t>w</w:t>
      </w:r>
      <w:r w:rsidR="00723A74">
        <w:t>ere</w:t>
      </w:r>
      <w:r w:rsidR="00793463">
        <w:t xml:space="preserve"> designed to build</w:t>
      </w:r>
      <w:r w:rsidR="00590978">
        <w:t xml:space="preserve"> </w:t>
      </w:r>
      <w:r w:rsidR="00466BBF" w:rsidRPr="00590978">
        <w:t>expertise</w:t>
      </w:r>
      <w:r w:rsidR="006B3209" w:rsidRPr="00590978">
        <w:t xml:space="preserve"> </w:t>
      </w:r>
      <w:r w:rsidR="0028531B">
        <w:t>and</w:t>
      </w:r>
      <w:r w:rsidR="006B3209" w:rsidRPr="00590978">
        <w:t xml:space="preserve"> keep people</w:t>
      </w:r>
      <w:r w:rsidR="00590978">
        <w:t>’s skills</w:t>
      </w:r>
      <w:r w:rsidR="006B3209" w:rsidRPr="00590978">
        <w:t xml:space="preserve"> </w:t>
      </w:r>
      <w:r w:rsidR="0028531B">
        <w:t>aligned to the</w:t>
      </w:r>
      <w:r w:rsidR="00590978">
        <w:t xml:space="preserve"> emerging </w:t>
      </w:r>
      <w:r w:rsidR="00793463">
        <w:t>business needs</w:t>
      </w:r>
      <w:r w:rsidR="00EB2D5E" w:rsidRPr="00590978">
        <w:t xml:space="preserve">. </w:t>
      </w:r>
      <w:r w:rsidR="006B3209" w:rsidRPr="00590978">
        <w:t>Up</w:t>
      </w:r>
      <w:r w:rsidR="0028531B">
        <w:t>datin</w:t>
      </w:r>
      <w:r w:rsidR="006B3209" w:rsidRPr="00590978">
        <w:t>g</w:t>
      </w:r>
      <w:r w:rsidR="00EB2D5E" w:rsidRPr="00590978">
        <w:t xml:space="preserve"> opportunities </w:t>
      </w:r>
      <w:r w:rsidR="006B3209" w:rsidRPr="00590978">
        <w:t xml:space="preserve">generally </w:t>
      </w:r>
      <w:r w:rsidR="00EB2D5E" w:rsidRPr="00590978">
        <w:t>included both</w:t>
      </w:r>
      <w:r w:rsidR="007D0260" w:rsidRPr="00590978">
        <w:t xml:space="preserve"> </w:t>
      </w:r>
      <w:r w:rsidR="00466BBF" w:rsidRPr="00590978">
        <w:t>in-</w:t>
      </w:r>
      <w:r w:rsidR="007D0260" w:rsidRPr="00590978">
        <w:t xml:space="preserve">house and </w:t>
      </w:r>
      <w:r w:rsidR="00EB2D5E" w:rsidRPr="00590978">
        <w:t xml:space="preserve">external </w:t>
      </w:r>
      <w:r w:rsidR="006B3209" w:rsidRPr="00590978">
        <w:t xml:space="preserve">training </w:t>
      </w:r>
      <w:r w:rsidR="007D0260" w:rsidRPr="00590978">
        <w:t>programs</w:t>
      </w:r>
      <w:r w:rsidR="00552593">
        <w:t xml:space="preserve"> and a</w:t>
      </w:r>
      <w:r w:rsidR="001F41FC">
        <w:t>l</w:t>
      </w:r>
      <w:r w:rsidR="00045A71">
        <w:t>l</w:t>
      </w:r>
      <w:r w:rsidR="001F41FC">
        <w:t xml:space="preserve"> interviews revealed a clear</w:t>
      </w:r>
      <w:r w:rsidR="00590978">
        <w:t xml:space="preserve"> focus on the</w:t>
      </w:r>
      <w:r w:rsidR="006B3209" w:rsidRPr="00590978">
        <w:t xml:space="preserve"> critical </w:t>
      </w:r>
      <w:r w:rsidR="00590978">
        <w:t xml:space="preserve">organisational </w:t>
      </w:r>
      <w:r w:rsidR="000C2A7A" w:rsidRPr="00590978">
        <w:t>factors</w:t>
      </w:r>
      <w:r w:rsidR="006B3209" w:rsidRPr="00590978">
        <w:t xml:space="preserve"> identified in the literature for managing skills obsolescence</w:t>
      </w:r>
      <w:r w:rsidR="00590978">
        <w:t xml:space="preserve">. </w:t>
      </w:r>
      <w:r w:rsidR="001F41FC">
        <w:t>There was a marked</w:t>
      </w:r>
      <w:r w:rsidR="00590978">
        <w:t xml:space="preserve"> emphasis on maintaining an o</w:t>
      </w:r>
      <w:r w:rsidR="00C0373C" w:rsidRPr="00590978">
        <w:t>rganisational climate</w:t>
      </w:r>
      <w:r w:rsidR="006B3209" w:rsidRPr="00590978">
        <w:t xml:space="preserve"> </w:t>
      </w:r>
      <w:r w:rsidR="009C3A93" w:rsidRPr="00590978">
        <w:t>that</w:t>
      </w:r>
      <w:r w:rsidR="006B3209" w:rsidRPr="00590978">
        <w:t xml:space="preserve"> </w:t>
      </w:r>
      <w:r w:rsidR="00C0373C" w:rsidRPr="00590978">
        <w:t>supported ongoing</w:t>
      </w:r>
      <w:r w:rsidR="006B3209" w:rsidRPr="00590978">
        <w:t xml:space="preserve"> </w:t>
      </w:r>
      <w:r w:rsidR="00C0373C" w:rsidRPr="00590978">
        <w:t>professional learning</w:t>
      </w:r>
      <w:r w:rsidR="00590978">
        <w:t xml:space="preserve"> and</w:t>
      </w:r>
      <w:r w:rsidR="004B5AB1" w:rsidRPr="00590978">
        <w:t xml:space="preserve"> a</w:t>
      </w:r>
      <w:r w:rsidR="00C0373C" w:rsidRPr="00590978">
        <w:t xml:space="preserve"> </w:t>
      </w:r>
      <w:r w:rsidR="00590978">
        <w:t xml:space="preserve">highly </w:t>
      </w:r>
      <w:r w:rsidR="00C0373C" w:rsidRPr="00590978">
        <w:t>strategic approach to skills acquisition</w:t>
      </w:r>
      <w:r w:rsidR="00590978">
        <w:t xml:space="preserve">. </w:t>
      </w:r>
      <w:r w:rsidR="001F41FC">
        <w:t>And a</w:t>
      </w:r>
      <w:r w:rsidR="00C52AAF">
        <w:t xml:space="preserve">t </w:t>
      </w:r>
      <w:r w:rsidR="00590978">
        <w:t xml:space="preserve">the heart of </w:t>
      </w:r>
      <w:r w:rsidR="00C52AAF">
        <w:t>all organisational approaches was a focus on</w:t>
      </w:r>
      <w:r w:rsidR="00C0373C" w:rsidRPr="00590978">
        <w:t xml:space="preserve"> </w:t>
      </w:r>
      <w:r w:rsidR="00C52AAF">
        <w:t>collaborative learning in the workplace</w:t>
      </w:r>
      <w:r w:rsidR="001F41FC">
        <w:t>.</w:t>
      </w:r>
      <w:r w:rsidR="00C52AAF">
        <w:t xml:space="preserve"> </w:t>
      </w:r>
    </w:p>
    <w:p w:rsidR="00FB250F" w:rsidRPr="00590978" w:rsidRDefault="000670B0" w:rsidP="006C6D65">
      <w:pPr>
        <w:pStyle w:val="Heading4"/>
      </w:pPr>
      <w:r>
        <w:lastRenderedPageBreak/>
        <w:t>Updating</w:t>
      </w:r>
      <w:r w:rsidR="00E6363D">
        <w:t>: the</w:t>
      </w:r>
      <w:r w:rsidR="00C35A6D" w:rsidRPr="00590978">
        <w:t xml:space="preserve"> strategic imperative</w:t>
      </w:r>
    </w:p>
    <w:p w:rsidR="00891AE7" w:rsidRDefault="00552593" w:rsidP="006C6D65">
      <w:pPr>
        <w:pStyle w:val="Textlessbefore"/>
      </w:pPr>
      <w:r>
        <w:t>Above all others,</w:t>
      </w:r>
      <w:r w:rsidR="00E6363D">
        <w:t xml:space="preserve"> </w:t>
      </w:r>
      <w:r w:rsidR="00E403DF" w:rsidRPr="00590978">
        <w:t xml:space="preserve">Professional Research Services </w:t>
      </w:r>
      <w:r w:rsidR="00EF4C69">
        <w:t xml:space="preserve">provided </w:t>
      </w:r>
      <w:r w:rsidR="00F0213B">
        <w:t xml:space="preserve">the </w:t>
      </w:r>
      <w:r w:rsidR="00EF4C69">
        <w:t>clearest evidence of</w:t>
      </w:r>
      <w:r w:rsidR="00E403DF" w:rsidRPr="00590978">
        <w:t xml:space="preserve"> </w:t>
      </w:r>
      <w:r w:rsidR="00E6363D">
        <w:t>updating as a strategic imperative.</w:t>
      </w:r>
      <w:r w:rsidR="00B9285A">
        <w:t xml:space="preserve"> Broad direction-</w:t>
      </w:r>
      <w:r w:rsidR="00E403DF" w:rsidRPr="00590978">
        <w:t xml:space="preserve">setting determined the major </w:t>
      </w:r>
      <w:r>
        <w:t xml:space="preserve">scientific </w:t>
      </w:r>
      <w:r w:rsidR="00F0213B">
        <w:t>focus</w:t>
      </w:r>
      <w:r w:rsidR="00E403DF" w:rsidRPr="00590978">
        <w:t xml:space="preserve"> </w:t>
      </w:r>
      <w:r w:rsidR="00625D32">
        <w:t>for the</w:t>
      </w:r>
      <w:r>
        <w:t xml:space="preserve"> near future</w:t>
      </w:r>
      <w:r w:rsidR="00E403DF" w:rsidRPr="00590978">
        <w:t xml:space="preserve"> and </w:t>
      </w:r>
      <w:r w:rsidR="00EF4C69">
        <w:t xml:space="preserve">employee </w:t>
      </w:r>
      <w:r w:rsidR="00E403DF" w:rsidRPr="00590978">
        <w:t xml:space="preserve">skills were examined to </w:t>
      </w:r>
      <w:r w:rsidR="00723A74">
        <w:t>gau</w:t>
      </w:r>
      <w:r w:rsidR="00625D32">
        <w:t>ge</w:t>
      </w:r>
      <w:r w:rsidR="00E403DF" w:rsidRPr="00590978">
        <w:t xml:space="preserve"> th</w:t>
      </w:r>
      <w:r w:rsidR="00E6363D">
        <w:t>e implications of any shifts in</w:t>
      </w:r>
      <w:r w:rsidR="00E403DF" w:rsidRPr="00590978">
        <w:t xml:space="preserve"> direction. </w:t>
      </w:r>
      <w:r w:rsidR="00E6363D">
        <w:t xml:space="preserve">Training </w:t>
      </w:r>
      <w:r>
        <w:t>covered</w:t>
      </w:r>
      <w:r w:rsidR="00E6363D">
        <w:t xml:space="preserve"> current jobs as well as having</w:t>
      </w:r>
      <w:r w:rsidR="00E403DF" w:rsidRPr="00590978">
        <w:t xml:space="preserve"> a ‘strategic future-thinking thrust’.</w:t>
      </w:r>
      <w:r w:rsidR="00891AE7" w:rsidRPr="00590978">
        <w:t xml:space="preserve"> </w:t>
      </w:r>
      <w:r>
        <w:t>The</w:t>
      </w:r>
      <w:r w:rsidR="00891AE7" w:rsidRPr="00590978">
        <w:t xml:space="preserve"> Energy and Resources Agency</w:t>
      </w:r>
      <w:r w:rsidR="00C12039">
        <w:t xml:space="preserve"> </w:t>
      </w:r>
      <w:r>
        <w:t xml:space="preserve">also </w:t>
      </w:r>
      <w:r w:rsidR="00891AE7" w:rsidRPr="00590978">
        <w:t xml:space="preserve">undertook a </w:t>
      </w:r>
      <w:r>
        <w:t xml:space="preserve">strategic </w:t>
      </w:r>
      <w:r w:rsidR="00891AE7" w:rsidRPr="00590978">
        <w:t xml:space="preserve">‘three-yearly journey’ to look at </w:t>
      </w:r>
      <w:r w:rsidR="00723A74">
        <w:t>its</w:t>
      </w:r>
      <w:r w:rsidR="00E6363D">
        <w:t xml:space="preserve"> skills </w:t>
      </w:r>
      <w:r w:rsidR="00D6436B">
        <w:t>profile</w:t>
      </w:r>
      <w:r>
        <w:t>. This was accompanied by</w:t>
      </w:r>
      <w:r w:rsidR="00891AE7" w:rsidRPr="00590978">
        <w:t xml:space="preserve"> </w:t>
      </w:r>
      <w:r w:rsidR="00D6436B">
        <w:t xml:space="preserve">an annual reflection </w:t>
      </w:r>
      <w:r w:rsidR="00891AE7" w:rsidRPr="00590978">
        <w:t xml:space="preserve">on business </w:t>
      </w:r>
      <w:r>
        <w:t xml:space="preserve">changes </w:t>
      </w:r>
      <w:r w:rsidR="00891AE7" w:rsidRPr="00590978">
        <w:t>and any new scientific thinking</w:t>
      </w:r>
      <w:r>
        <w:t xml:space="preserve">. </w:t>
      </w:r>
      <w:r w:rsidR="0054204C">
        <w:t xml:space="preserve">Such an approach </w:t>
      </w:r>
      <w:r w:rsidR="00D6436B">
        <w:t>ensured</w:t>
      </w:r>
      <w:r w:rsidR="00891AE7" w:rsidRPr="00590978">
        <w:t xml:space="preserve"> new area</w:t>
      </w:r>
      <w:r w:rsidR="00D6436B">
        <w:t>s</w:t>
      </w:r>
      <w:r w:rsidR="00891AE7" w:rsidRPr="00590978">
        <w:t xml:space="preserve"> of scientific inquiry </w:t>
      </w:r>
      <w:r>
        <w:t xml:space="preserve">could be </w:t>
      </w:r>
      <w:r w:rsidR="0054204C">
        <w:t>captured</w:t>
      </w:r>
      <w:r>
        <w:t xml:space="preserve"> in the training</w:t>
      </w:r>
      <w:r w:rsidR="00891AE7" w:rsidRPr="00590978">
        <w:t xml:space="preserve"> activities </w:t>
      </w:r>
      <w:r w:rsidR="00D6436B">
        <w:t>the organisation provided</w:t>
      </w:r>
      <w:r w:rsidR="00891AE7" w:rsidRPr="00590978">
        <w:t xml:space="preserve">. </w:t>
      </w:r>
    </w:p>
    <w:p w:rsidR="000A4214" w:rsidRDefault="00625D32" w:rsidP="00633C40">
      <w:pPr>
        <w:pStyle w:val="Text"/>
      </w:pPr>
      <w:r>
        <w:t>The strategic approach of ERC Health, a small organisation,</w:t>
      </w:r>
      <w:r w:rsidR="000A4214">
        <w:t xml:space="preserve"> involved formal benchmarking of professional practice</w:t>
      </w:r>
      <w:r w:rsidR="00552593">
        <w:t>, the</w:t>
      </w:r>
      <w:r w:rsidR="000A4214">
        <w:t xml:space="preserve"> outcomes of </w:t>
      </w:r>
      <w:r w:rsidR="00552593">
        <w:t>which</w:t>
      </w:r>
      <w:r w:rsidR="000A4214">
        <w:t xml:space="preserve"> set training objectives for </w:t>
      </w:r>
      <w:r w:rsidR="00374CCD">
        <w:t>the immediate future</w:t>
      </w:r>
      <w:r w:rsidR="000A4214">
        <w:t xml:space="preserve">. </w:t>
      </w:r>
      <w:r>
        <w:t>By way of contrast, the multi</w:t>
      </w:r>
      <w:r w:rsidR="00374CCD">
        <w:t xml:space="preserve">national </w:t>
      </w:r>
      <w:r w:rsidR="00AB25A6">
        <w:t>Global Heath had undertaken a national analysis to establish business</w:t>
      </w:r>
      <w:r w:rsidR="00552593">
        <w:t xml:space="preserve"> directions</w:t>
      </w:r>
      <w:r w:rsidR="00AB25A6">
        <w:t xml:space="preserve"> </w:t>
      </w:r>
      <w:r w:rsidR="00F909BF">
        <w:t>and</w:t>
      </w:r>
      <w:r w:rsidR="006705DA">
        <w:t xml:space="preserve"> </w:t>
      </w:r>
      <w:r w:rsidR="00552593">
        <w:t>future</w:t>
      </w:r>
      <w:r w:rsidR="006705DA">
        <w:t xml:space="preserve"> education needs. </w:t>
      </w:r>
      <w:r w:rsidR="0054204C">
        <w:t>A national mandatory training framework was developed as an outcome of this process.</w:t>
      </w:r>
    </w:p>
    <w:p w:rsidR="00FB250F" w:rsidRPr="00590978" w:rsidRDefault="00C502B9" w:rsidP="006C6D65">
      <w:pPr>
        <w:pStyle w:val="Heading4"/>
      </w:pPr>
      <w:r>
        <w:t xml:space="preserve">Collaborative learning and </w:t>
      </w:r>
      <w:r w:rsidR="00583E40">
        <w:t xml:space="preserve">knowledge-sharing </w:t>
      </w:r>
    </w:p>
    <w:p w:rsidR="00891AE7" w:rsidRPr="00590978" w:rsidRDefault="00AA377E" w:rsidP="006C6D65">
      <w:pPr>
        <w:pStyle w:val="Textlessbefore"/>
      </w:pPr>
      <w:r>
        <w:t>Projects made up the major work in</w:t>
      </w:r>
      <w:r w:rsidR="00FD158D" w:rsidRPr="00590978">
        <w:t xml:space="preserve"> Professional Research Services</w:t>
      </w:r>
      <w:r w:rsidR="00C12039">
        <w:t>,</w:t>
      </w:r>
      <w:r w:rsidR="00FD158D" w:rsidRPr="00590978">
        <w:t xml:space="preserve"> the Energy and Resources Agency</w:t>
      </w:r>
      <w:r w:rsidR="00C12039">
        <w:t>, CM Consulting and Innovative Engineering Solutions</w:t>
      </w:r>
      <w:r w:rsidR="000F0D6C" w:rsidRPr="00590978">
        <w:t xml:space="preserve"> </w:t>
      </w:r>
      <w:r>
        <w:t xml:space="preserve">and provided fertile ground for team-based learning and </w:t>
      </w:r>
      <w:r w:rsidR="0097044A">
        <w:t>the</w:t>
      </w:r>
      <w:r w:rsidR="000F0D6C" w:rsidRPr="00590978">
        <w:t xml:space="preserve"> </w:t>
      </w:r>
      <w:r>
        <w:t>sharing</w:t>
      </w:r>
      <w:r w:rsidR="000F0D6C" w:rsidRPr="00590978">
        <w:t xml:space="preserve"> of </w:t>
      </w:r>
      <w:r w:rsidR="0097044A" w:rsidRPr="00590978">
        <w:t xml:space="preserve">critical </w:t>
      </w:r>
      <w:r w:rsidR="000F0D6C" w:rsidRPr="00590978">
        <w:t xml:space="preserve">knowledge. </w:t>
      </w:r>
      <w:r w:rsidR="00FD158D" w:rsidRPr="00590978">
        <w:t xml:space="preserve">Formal and informal mentoring formed part of </w:t>
      </w:r>
      <w:r w:rsidR="00C12039">
        <w:t>all</w:t>
      </w:r>
      <w:r w:rsidR="00FD158D" w:rsidRPr="00590978">
        <w:t xml:space="preserve"> organisations’ </w:t>
      </w:r>
      <w:proofErr w:type="spellStart"/>
      <w:r w:rsidR="00FD158D" w:rsidRPr="00590978">
        <w:t>upskilling</w:t>
      </w:r>
      <w:proofErr w:type="spellEnd"/>
      <w:r w:rsidR="00FD158D" w:rsidRPr="00590978">
        <w:t xml:space="preserve"> strategies. </w:t>
      </w:r>
      <w:r>
        <w:t>Informal</w:t>
      </w:r>
      <w:r w:rsidR="00FD158D" w:rsidRPr="00590978">
        <w:t xml:space="preserve"> mentoring occurred </w:t>
      </w:r>
      <w:r w:rsidR="00DF3030" w:rsidRPr="00590978">
        <w:t xml:space="preserve">during project work and involved </w:t>
      </w:r>
      <w:r w:rsidR="00B903BE" w:rsidRPr="00590978">
        <w:t xml:space="preserve">the </w:t>
      </w:r>
      <w:r w:rsidR="00DF3030" w:rsidRPr="00590978">
        <w:t xml:space="preserve">highly experienced working with the less experienced </w:t>
      </w:r>
      <w:r>
        <w:t>and</w:t>
      </w:r>
      <w:r w:rsidR="00DF3030" w:rsidRPr="00590978">
        <w:t xml:space="preserve"> </w:t>
      </w:r>
      <w:r w:rsidR="00C12039">
        <w:t>professionals</w:t>
      </w:r>
      <w:r w:rsidR="00DF3030" w:rsidRPr="00590978">
        <w:t xml:space="preserve"> with different </w:t>
      </w:r>
      <w:r w:rsidR="00B903BE" w:rsidRPr="00590978">
        <w:t>skill</w:t>
      </w:r>
      <w:r>
        <w:t>s</w:t>
      </w:r>
      <w:r w:rsidR="00B903BE" w:rsidRPr="00590978">
        <w:t xml:space="preserve"> working together </w:t>
      </w:r>
      <w:r>
        <w:t>to extend their</w:t>
      </w:r>
      <w:r w:rsidR="00DF3030" w:rsidRPr="00590978">
        <w:t xml:space="preserve"> knowledge base</w:t>
      </w:r>
      <w:r w:rsidR="00B903BE" w:rsidRPr="00590978">
        <w:t>s</w:t>
      </w:r>
      <w:r w:rsidR="00DF3030" w:rsidRPr="00590978">
        <w:t>.</w:t>
      </w:r>
      <w:r w:rsidR="009476C7" w:rsidRPr="00590978">
        <w:t xml:space="preserve"> </w:t>
      </w:r>
      <w:r>
        <w:t>Both</w:t>
      </w:r>
      <w:r w:rsidR="00891AE7" w:rsidRPr="00590978">
        <w:t xml:space="preserve"> mentoring and coaching programs were available to all scientists </w:t>
      </w:r>
      <w:r>
        <w:t>in the</w:t>
      </w:r>
      <w:r w:rsidR="00064DB5">
        <w:t xml:space="preserve"> Energy and Resources Agency, with</w:t>
      </w:r>
      <w:r>
        <w:t xml:space="preserve"> </w:t>
      </w:r>
      <w:r w:rsidR="00891AE7" w:rsidRPr="00590978">
        <w:t xml:space="preserve">individuals </w:t>
      </w:r>
      <w:r>
        <w:t>also</w:t>
      </w:r>
      <w:r w:rsidR="00891AE7" w:rsidRPr="00590978">
        <w:t xml:space="preserve"> able to access </w:t>
      </w:r>
      <w:r w:rsidR="00723A74" w:rsidRPr="00590978">
        <w:t xml:space="preserve">external </w:t>
      </w:r>
      <w:r w:rsidR="00891AE7" w:rsidRPr="00590978">
        <w:t xml:space="preserve">specialist coaches. The cost of up to five visits to these coaches was borne by the organisation. </w:t>
      </w:r>
    </w:p>
    <w:p w:rsidR="00A23386" w:rsidRDefault="00C12039" w:rsidP="006C6D65">
      <w:pPr>
        <w:pStyle w:val="Text"/>
        <w:ind w:right="-284"/>
      </w:pPr>
      <w:r>
        <w:t>Within the science organisations, n</w:t>
      </w:r>
      <w:r w:rsidR="00FD158D" w:rsidRPr="00590978">
        <w:t xml:space="preserve">etworking with </w:t>
      </w:r>
      <w:r w:rsidR="00B903BE" w:rsidRPr="00590978">
        <w:t>experts</w:t>
      </w:r>
      <w:r w:rsidR="00FD158D" w:rsidRPr="00590978">
        <w:t xml:space="preserve"> was </w:t>
      </w:r>
      <w:r w:rsidR="009476C7" w:rsidRPr="00590978">
        <w:t>viewed as an essential strategy for</w:t>
      </w:r>
      <w:r w:rsidR="00064DB5">
        <w:t xml:space="preserve"> sharing</w:t>
      </w:r>
      <w:r w:rsidR="00633C40">
        <w:t> </w:t>
      </w:r>
      <w:r w:rsidR="00064DB5">
        <w:t>their own cutting-edge research while</w:t>
      </w:r>
      <w:r w:rsidR="00FD158D" w:rsidRPr="00590978">
        <w:t xml:space="preserve"> keeping up </w:t>
      </w:r>
      <w:r w:rsidR="009476C7" w:rsidRPr="00590978">
        <w:t xml:space="preserve">to date </w:t>
      </w:r>
      <w:r w:rsidR="00FD158D" w:rsidRPr="00590978">
        <w:t xml:space="preserve">with new science </w:t>
      </w:r>
      <w:r w:rsidR="00B903BE" w:rsidRPr="006C6D65">
        <w:t>emerging</w:t>
      </w:r>
      <w:r w:rsidR="00FD158D" w:rsidRPr="00590978">
        <w:t xml:space="preserve"> elsewhere.</w:t>
      </w:r>
      <w:r>
        <w:t xml:space="preserve"> </w:t>
      </w:r>
    </w:p>
    <w:p w:rsidR="00035B39" w:rsidRDefault="00723A74" w:rsidP="006C6D65">
      <w:pPr>
        <w:pStyle w:val="Text"/>
      </w:pPr>
      <w:r>
        <w:t xml:space="preserve">As professionals </w:t>
      </w:r>
      <w:r w:rsidR="00520400">
        <w:t xml:space="preserve">in </w:t>
      </w:r>
      <w:proofErr w:type="spellStart"/>
      <w:r w:rsidR="00520400">
        <w:t>EngineeringCo</w:t>
      </w:r>
      <w:proofErr w:type="spellEnd"/>
      <w:r w:rsidR="00520400">
        <w:t xml:space="preserve"> were dispersed </w:t>
      </w:r>
      <w:r w:rsidR="000C3F2D">
        <w:t>across the country and beyond</w:t>
      </w:r>
      <w:r w:rsidR="00520400">
        <w:t xml:space="preserve">, </w:t>
      </w:r>
      <w:r w:rsidR="00CC5C41">
        <w:t xml:space="preserve">opportunities </w:t>
      </w:r>
      <w:r w:rsidR="00520400">
        <w:t>to share information and work through solutions to project problems</w:t>
      </w:r>
      <w:r w:rsidR="00CC5C41">
        <w:t xml:space="preserve"> </w:t>
      </w:r>
      <w:r w:rsidR="007355B1">
        <w:t>generally meant</w:t>
      </w:r>
      <w:r w:rsidR="00CC5C41">
        <w:t xml:space="preserve"> face-to-face</w:t>
      </w:r>
      <w:r w:rsidR="007355B1">
        <w:t xml:space="preserve"> workshops</w:t>
      </w:r>
      <w:r w:rsidR="00520400">
        <w:t xml:space="preserve">. </w:t>
      </w:r>
      <w:r w:rsidR="000E1CDE">
        <w:t>Although a</w:t>
      </w:r>
      <w:r w:rsidR="00064DB5">
        <w:t xml:space="preserve"> high-</w:t>
      </w:r>
      <w:r w:rsidR="00520400">
        <w:t xml:space="preserve">cost activity, the </w:t>
      </w:r>
      <w:r w:rsidR="00064DB5">
        <w:t>exercise was seen to be immensely valuable</w:t>
      </w:r>
      <w:r w:rsidR="00520400">
        <w:t>.</w:t>
      </w:r>
      <w:r w:rsidR="000E4F1E">
        <w:t xml:space="preserve"> </w:t>
      </w:r>
      <w:r w:rsidR="000C3F2D">
        <w:t>Further, engineers</w:t>
      </w:r>
      <w:r w:rsidR="007355B1">
        <w:t xml:space="preserve"> were encouraged to learn from the </w:t>
      </w:r>
      <w:r w:rsidR="000E1CDE">
        <w:t xml:space="preserve">project </w:t>
      </w:r>
      <w:r w:rsidR="007355B1">
        <w:t xml:space="preserve">resources housed in the </w:t>
      </w:r>
      <w:r w:rsidR="0028374F">
        <w:t xml:space="preserve">intranet-based </w:t>
      </w:r>
      <w:r w:rsidR="0097044A">
        <w:t>‘</w:t>
      </w:r>
      <w:r w:rsidR="007355B1">
        <w:t>Centres</w:t>
      </w:r>
      <w:r w:rsidR="00520400">
        <w:t xml:space="preserve"> of Excel</w:t>
      </w:r>
      <w:r>
        <w:t>lence</w:t>
      </w:r>
      <w:r w:rsidR="0097044A">
        <w:t>’</w:t>
      </w:r>
      <w:r w:rsidR="00064DB5">
        <w:t>,</w:t>
      </w:r>
      <w:r w:rsidR="000C3F2D">
        <w:t xml:space="preserve"> which</w:t>
      </w:r>
      <w:r w:rsidR="007355B1">
        <w:t xml:space="preserve"> contained</w:t>
      </w:r>
      <w:r w:rsidR="00520400">
        <w:t xml:space="preserve"> information on all projects</w:t>
      </w:r>
      <w:r w:rsidR="0097044A">
        <w:t>,</w:t>
      </w:r>
      <w:r w:rsidR="00520400">
        <w:t xml:space="preserve"> including those </w:t>
      </w:r>
      <w:r w:rsidR="000E1CDE">
        <w:t>determined to be</w:t>
      </w:r>
      <w:r w:rsidR="00520400">
        <w:t xml:space="preserve"> ‘train-wreck cases’. </w:t>
      </w:r>
      <w:r w:rsidR="00035B39">
        <w:t xml:space="preserve">Problem-based learning </w:t>
      </w:r>
      <w:r w:rsidR="000C3F2D">
        <w:t xml:space="preserve">using real-life scenarios </w:t>
      </w:r>
      <w:r w:rsidR="000E1CDE">
        <w:t>was</w:t>
      </w:r>
      <w:r w:rsidR="00035B39">
        <w:t xml:space="preserve"> a </w:t>
      </w:r>
      <w:r w:rsidR="000E1CDE">
        <w:t xml:space="preserve">prominent </w:t>
      </w:r>
      <w:r w:rsidR="00064DB5">
        <w:t xml:space="preserve">feature of </w:t>
      </w:r>
      <w:proofErr w:type="spellStart"/>
      <w:r w:rsidR="00064DB5">
        <w:t>State</w:t>
      </w:r>
      <w:r w:rsidR="00035B39">
        <w:t>wide</w:t>
      </w:r>
      <w:proofErr w:type="spellEnd"/>
      <w:r w:rsidR="00035B39">
        <w:t xml:space="preserve"> Health’s updating activities</w:t>
      </w:r>
      <w:r w:rsidR="00064DB5">
        <w:t>,</w:t>
      </w:r>
      <w:r w:rsidR="000E1CDE">
        <w:t xml:space="preserve"> </w:t>
      </w:r>
      <w:r w:rsidR="000C3F2D">
        <w:t>along with</w:t>
      </w:r>
      <w:r w:rsidR="00035B39">
        <w:t xml:space="preserve"> webinars, peer review, in-service sessions, professional conversations, research and workplace coaching.</w:t>
      </w:r>
    </w:p>
    <w:p w:rsidR="00C502B9" w:rsidRDefault="000E1CDE" w:rsidP="006C6D65">
      <w:pPr>
        <w:pStyle w:val="Text"/>
      </w:pPr>
      <w:r>
        <w:t>Updating strategies in</w:t>
      </w:r>
      <w:r w:rsidR="00C502B9">
        <w:t xml:space="preserve"> CM Consulting included the use of social media</w:t>
      </w:r>
      <w:r w:rsidR="0097044A">
        <w:t>,</w:t>
      </w:r>
      <w:r w:rsidR="00C502B9">
        <w:t xml:space="preserve"> described as ‘a bit like </w:t>
      </w:r>
      <w:proofErr w:type="spellStart"/>
      <w:r w:rsidR="00C502B9">
        <w:t>Facebook</w:t>
      </w:r>
      <w:proofErr w:type="spellEnd"/>
      <w:r w:rsidR="00C502B9">
        <w:t xml:space="preserve"> for a corporate environment</w:t>
      </w:r>
      <w:r w:rsidR="007829C6">
        <w:t>,</w:t>
      </w:r>
      <w:r w:rsidR="00C502B9">
        <w:t xml:space="preserve"> which can be used for knowledge-sharing</w:t>
      </w:r>
      <w:r w:rsidR="007829C6">
        <w:t>’.</w:t>
      </w:r>
      <w:r w:rsidR="00C502B9">
        <w:t xml:space="preserve"> </w:t>
      </w:r>
      <w:r>
        <w:t>Within the firm there was a</w:t>
      </w:r>
      <w:r w:rsidR="00C325C6">
        <w:t xml:space="preserve"> clear expectation that people would </w:t>
      </w:r>
      <w:r w:rsidR="00AF0FD5">
        <w:t>use</w:t>
      </w:r>
      <w:r w:rsidR="00C325C6">
        <w:t xml:space="preserve"> social media tools</w:t>
      </w:r>
      <w:r w:rsidR="00AF0FD5">
        <w:t xml:space="preserve"> to keep technically current.</w:t>
      </w:r>
      <w:r w:rsidR="00B92757">
        <w:t xml:space="preserve"> </w:t>
      </w:r>
      <w:r w:rsidR="0028374F">
        <w:t>Further</w:t>
      </w:r>
      <w:r w:rsidR="00B92757">
        <w:t xml:space="preserve">, </w:t>
      </w:r>
      <w:r>
        <w:t xml:space="preserve">employees </w:t>
      </w:r>
      <w:r w:rsidR="00B92757">
        <w:t xml:space="preserve">engaged in training </w:t>
      </w:r>
      <w:r w:rsidR="0028374F">
        <w:t xml:space="preserve">outside the company </w:t>
      </w:r>
      <w:r w:rsidR="00B92757">
        <w:t xml:space="preserve">were </w:t>
      </w:r>
      <w:r>
        <w:t>required</w:t>
      </w:r>
      <w:r w:rsidR="00B92757">
        <w:t xml:space="preserve"> to share the latest developments with colleagues</w:t>
      </w:r>
      <w:r w:rsidR="0028374F">
        <w:t xml:space="preserve"> through informal group learning. </w:t>
      </w:r>
      <w:r w:rsidR="00FF7777">
        <w:t>Considerable emphasis</w:t>
      </w:r>
      <w:r w:rsidR="0028374F">
        <w:t xml:space="preserve"> was </w:t>
      </w:r>
      <w:r w:rsidR="00FF7777">
        <w:t xml:space="preserve">also </w:t>
      </w:r>
      <w:r w:rsidR="0028374F">
        <w:t>placed on</w:t>
      </w:r>
      <w:r w:rsidR="003526CE">
        <w:t xml:space="preserve"> on-job learning</w:t>
      </w:r>
      <w:r w:rsidR="0028374F">
        <w:t>.</w:t>
      </w:r>
    </w:p>
    <w:p w:rsidR="00FB250F" w:rsidRPr="00590978" w:rsidRDefault="000670B0" w:rsidP="006C6D65">
      <w:pPr>
        <w:pStyle w:val="Heading4"/>
      </w:pPr>
      <w:r>
        <w:t>Learning in and through work</w:t>
      </w:r>
    </w:p>
    <w:p w:rsidR="00F31E20" w:rsidRDefault="00767DBF" w:rsidP="006C6D65">
      <w:pPr>
        <w:pStyle w:val="Textlessbefore"/>
      </w:pPr>
      <w:r>
        <w:t>Managers</w:t>
      </w:r>
      <w:r w:rsidR="00E4423A">
        <w:t xml:space="preserve"> </w:t>
      </w:r>
      <w:r w:rsidR="00287C5C">
        <w:t xml:space="preserve">were unanimous </w:t>
      </w:r>
      <w:r w:rsidR="00E4423A">
        <w:t xml:space="preserve">that learning through </w:t>
      </w:r>
      <w:r w:rsidR="00287C5C">
        <w:t xml:space="preserve">the </w:t>
      </w:r>
      <w:r w:rsidR="00E4423A">
        <w:t>day-to</w:t>
      </w:r>
      <w:r w:rsidR="00287C5C">
        <w:t>-</w:t>
      </w:r>
      <w:r w:rsidR="00E4423A">
        <w:t xml:space="preserve">day work was a </w:t>
      </w:r>
      <w:r>
        <w:t xml:space="preserve">key </w:t>
      </w:r>
      <w:r w:rsidR="00E4423A">
        <w:t xml:space="preserve">factor </w:t>
      </w:r>
      <w:r w:rsidR="00287C5C">
        <w:t xml:space="preserve">in </w:t>
      </w:r>
      <w:r w:rsidR="00E4423A">
        <w:t>keeping people current.</w:t>
      </w:r>
      <w:r w:rsidR="00287C5C">
        <w:t xml:space="preserve"> </w:t>
      </w:r>
      <w:r w:rsidR="004F1760">
        <w:t xml:space="preserve">For </w:t>
      </w:r>
      <w:r>
        <w:t xml:space="preserve">the </w:t>
      </w:r>
      <w:r w:rsidR="004F1760">
        <w:t>engineer</w:t>
      </w:r>
      <w:r>
        <w:t>ing</w:t>
      </w:r>
      <w:r w:rsidR="00287C5C">
        <w:t>,</w:t>
      </w:r>
      <w:r w:rsidR="004F1760">
        <w:t xml:space="preserve"> </w:t>
      </w:r>
      <w:r>
        <w:t>science</w:t>
      </w:r>
      <w:r w:rsidR="00287C5C">
        <w:t xml:space="preserve"> and human resource professionals</w:t>
      </w:r>
      <w:r w:rsidR="004F1760">
        <w:t xml:space="preserve">, </w:t>
      </w:r>
      <w:r w:rsidR="00287C5C">
        <w:t>project work</w:t>
      </w:r>
      <w:r w:rsidR="004F1760" w:rsidRPr="00590978">
        <w:t xml:space="preserve"> challenge</w:t>
      </w:r>
      <w:r w:rsidR="00287C5C">
        <w:t>d</w:t>
      </w:r>
      <w:r w:rsidR="004F1760" w:rsidRPr="00590978">
        <w:t xml:space="preserve"> and extend</w:t>
      </w:r>
      <w:r w:rsidR="004F1760">
        <w:t>ed</w:t>
      </w:r>
      <w:r w:rsidR="004F1760" w:rsidRPr="00590978">
        <w:t xml:space="preserve"> </w:t>
      </w:r>
      <w:r w:rsidR="00287C5C">
        <w:t>their</w:t>
      </w:r>
      <w:r w:rsidR="004F1760" w:rsidRPr="00590978">
        <w:t xml:space="preserve"> </w:t>
      </w:r>
      <w:r w:rsidR="00287C5C">
        <w:t xml:space="preserve">skills and </w:t>
      </w:r>
      <w:r w:rsidR="004F1760" w:rsidRPr="00590978">
        <w:t>knowledge</w:t>
      </w:r>
      <w:r w:rsidR="00287C5C">
        <w:t xml:space="preserve">. </w:t>
      </w:r>
      <w:r>
        <w:t>Projects</w:t>
      </w:r>
      <w:r w:rsidR="00287C5C">
        <w:t xml:space="preserve"> cre</w:t>
      </w:r>
      <w:r w:rsidR="007829C6">
        <w:t xml:space="preserve">ated opportunities for learning that </w:t>
      </w:r>
      <w:r w:rsidR="00287C5C">
        <w:lastRenderedPageBreak/>
        <w:t xml:space="preserve">formal training </w:t>
      </w:r>
      <w:r w:rsidR="007829C6">
        <w:t xml:space="preserve">could </w:t>
      </w:r>
      <w:r w:rsidR="00287C5C">
        <w:t>often not achieve</w:t>
      </w:r>
      <w:r w:rsidR="004F1760" w:rsidRPr="00590978">
        <w:t xml:space="preserve">. </w:t>
      </w:r>
      <w:r>
        <w:t>In confirming this</w:t>
      </w:r>
      <w:r w:rsidR="00D20247">
        <w:t>,</w:t>
      </w:r>
      <w:r>
        <w:t xml:space="preserve"> many</w:t>
      </w:r>
      <w:r w:rsidR="00D203DE">
        <w:t xml:space="preserve"> </w:t>
      </w:r>
      <w:r w:rsidR="00287C5C">
        <w:t>managers</w:t>
      </w:r>
      <w:r w:rsidR="00D203DE">
        <w:t xml:space="preserve"> commented that they </w:t>
      </w:r>
      <w:r w:rsidR="00D20247">
        <w:t>used</w:t>
      </w:r>
      <w:r w:rsidR="00D203DE">
        <w:t xml:space="preserve"> the 70-20-10 </w:t>
      </w:r>
      <w:r w:rsidR="00287C5C">
        <w:t xml:space="preserve">approach to learning. </w:t>
      </w:r>
      <w:r>
        <w:t xml:space="preserve">Thus, within </w:t>
      </w:r>
      <w:r w:rsidR="00D20247">
        <w:t xml:space="preserve">many </w:t>
      </w:r>
      <w:r w:rsidR="00254413">
        <w:t xml:space="preserve">of </w:t>
      </w:r>
      <w:r>
        <w:t>these organisations</w:t>
      </w:r>
      <w:r w:rsidR="00287C5C">
        <w:t xml:space="preserve"> </w:t>
      </w:r>
      <w:r w:rsidR="00D203DE">
        <w:t xml:space="preserve">70% of the learning </w:t>
      </w:r>
      <w:r w:rsidR="00287C5C">
        <w:t>was</w:t>
      </w:r>
      <w:r w:rsidR="00D203DE">
        <w:t xml:space="preserve"> </w:t>
      </w:r>
      <w:r w:rsidR="00D20247">
        <w:t xml:space="preserve">occurring </w:t>
      </w:r>
      <w:r w:rsidR="007829C6">
        <w:t xml:space="preserve">on the </w:t>
      </w:r>
      <w:r w:rsidR="00D203DE">
        <w:t>job, 20% was undertaken through observation and working with coaches and mentors</w:t>
      </w:r>
      <w:r w:rsidR="0097044A">
        <w:t>,</w:t>
      </w:r>
      <w:r w:rsidR="00D203DE">
        <w:t xml:space="preserve"> </w:t>
      </w:r>
      <w:r w:rsidR="0097044A">
        <w:t>while</w:t>
      </w:r>
      <w:r w:rsidR="00D203DE">
        <w:t xml:space="preserve"> </w:t>
      </w:r>
      <w:r w:rsidR="00287C5C">
        <w:t xml:space="preserve">the final </w:t>
      </w:r>
      <w:r w:rsidR="00D203DE">
        <w:t xml:space="preserve">10% was formal training undertaken in classrooms. </w:t>
      </w:r>
      <w:r w:rsidR="00F31E20">
        <w:t xml:space="preserve">The </w:t>
      </w:r>
      <w:proofErr w:type="spellStart"/>
      <w:r w:rsidR="00F31E20">
        <w:t>EngineeringCo</w:t>
      </w:r>
      <w:proofErr w:type="spellEnd"/>
      <w:r w:rsidR="00F31E20">
        <w:t xml:space="preserve"> manager spoke of </w:t>
      </w:r>
      <w:r w:rsidR="00287C5C">
        <w:t xml:space="preserve">employees as </w:t>
      </w:r>
      <w:r w:rsidR="007829C6">
        <w:t>‘worker—</w:t>
      </w:r>
      <w:r w:rsidR="00F31E20">
        <w:t>learners’</w:t>
      </w:r>
      <w:r w:rsidR="007829C6">
        <w:t>,</w:t>
      </w:r>
      <w:r w:rsidR="00F31E20">
        <w:t xml:space="preserve"> while the value of work-based learning was summed up</w:t>
      </w:r>
      <w:r w:rsidR="00287C5C">
        <w:t xml:space="preserve"> for the Energy and Resources Agency</w:t>
      </w:r>
      <w:r w:rsidR="00F31E20">
        <w:t xml:space="preserve"> in the following way:</w:t>
      </w:r>
    </w:p>
    <w:p w:rsidR="00F31E20" w:rsidRDefault="00F31E20" w:rsidP="00F31E20">
      <w:pPr>
        <w:pStyle w:val="Quote"/>
      </w:pPr>
      <w:r>
        <w:t>When you are a learner you are open to asking more questions, you are open to more feedback. These are the great benefits of being a learner on the job. You are also more likely to collaborate when you are learning on the job.</w:t>
      </w:r>
    </w:p>
    <w:p w:rsidR="00E4423A" w:rsidRDefault="00B92757" w:rsidP="000F0D6C">
      <w:pPr>
        <w:pStyle w:val="Text"/>
      </w:pPr>
      <w:r>
        <w:t xml:space="preserve">A key focus for CM Consulting was ensuring that access to appropriate coaches and mentors </w:t>
      </w:r>
      <w:r w:rsidR="00287C5C">
        <w:t xml:space="preserve">was readily available and that </w:t>
      </w:r>
      <w:r w:rsidR="00D20247">
        <w:t>individuals</w:t>
      </w:r>
      <w:r w:rsidR="004D0131">
        <w:t xml:space="preserve"> </w:t>
      </w:r>
      <w:r>
        <w:t xml:space="preserve">were getting the critical on-the-job experience they needed to </w:t>
      </w:r>
      <w:r w:rsidR="00D20247">
        <w:t>reach the required level of expertise</w:t>
      </w:r>
      <w:r>
        <w:t>.</w:t>
      </w:r>
      <w:r w:rsidR="007D4EDB">
        <w:t xml:space="preserve"> </w:t>
      </w:r>
      <w:r>
        <w:t xml:space="preserve"> </w:t>
      </w:r>
      <w:bookmarkStart w:id="58" w:name="_GoBack"/>
      <w:bookmarkEnd w:id="58"/>
    </w:p>
    <w:p w:rsidR="00FB250F" w:rsidRPr="00590978" w:rsidRDefault="000670B0" w:rsidP="00633C40">
      <w:pPr>
        <w:pStyle w:val="Heading4"/>
      </w:pPr>
      <w:r>
        <w:t>Just in time, just for now</w:t>
      </w:r>
    </w:p>
    <w:p w:rsidR="00DA3B68" w:rsidRDefault="00D20247" w:rsidP="00633C40">
      <w:pPr>
        <w:pStyle w:val="Textlessbefore"/>
      </w:pPr>
      <w:r>
        <w:t xml:space="preserve">A number of </w:t>
      </w:r>
      <w:r w:rsidR="007829C6">
        <w:t xml:space="preserve">learning and development </w:t>
      </w:r>
      <w:r>
        <w:t>managers</w:t>
      </w:r>
      <w:r w:rsidR="00EF5DD6">
        <w:t xml:space="preserve"> commented that professional staff </w:t>
      </w:r>
      <w:r>
        <w:t xml:space="preserve">often </w:t>
      </w:r>
      <w:r w:rsidR="007829C6">
        <w:t xml:space="preserve">undertook ‘just in </w:t>
      </w:r>
      <w:r w:rsidR="00EF5DD6">
        <w:t>time’ training</w:t>
      </w:r>
      <w:r w:rsidR="0097044A">
        <w:t>,</w:t>
      </w:r>
      <w:r>
        <w:t xml:space="preserve"> which was</w:t>
      </w:r>
      <w:r w:rsidR="00EE6828">
        <w:t xml:space="preserve"> largely driven by client demands and </w:t>
      </w:r>
      <w:r>
        <w:t>types of projects.</w:t>
      </w:r>
      <w:r w:rsidR="00EE6828">
        <w:t xml:space="preserve"> </w:t>
      </w:r>
      <w:r>
        <w:t>T</w:t>
      </w:r>
      <w:r w:rsidR="00EE6828">
        <w:t xml:space="preserve">he Innovative Engineering Solutions manager </w:t>
      </w:r>
      <w:r>
        <w:t>expl</w:t>
      </w:r>
      <w:r w:rsidR="007829C6">
        <w:t>ained the reasoning behind this:</w:t>
      </w:r>
      <w:r w:rsidR="00EE6828">
        <w:t xml:space="preserve"> ‘</w:t>
      </w:r>
      <w:r w:rsidR="00344780" w:rsidRPr="00590978">
        <w:t>When we are faced with projects that are first of a kind, our team need to demonstrate to our clients that they can quickly come up to speed to be an expert in the field</w:t>
      </w:r>
      <w:r w:rsidR="007829C6">
        <w:t>’.</w:t>
      </w:r>
      <w:r w:rsidR="00891AE7" w:rsidRPr="00590978">
        <w:t xml:space="preserve"> </w:t>
      </w:r>
      <w:r w:rsidR="00254413">
        <w:t xml:space="preserve">While many </w:t>
      </w:r>
      <w:r>
        <w:t>engineering</w:t>
      </w:r>
      <w:r w:rsidR="00175843">
        <w:t xml:space="preserve"> skills remained the same, other new knowledge and skills had to be learned </w:t>
      </w:r>
      <w:r w:rsidR="007829C6">
        <w:t>relatively</w:t>
      </w:r>
      <w:r w:rsidR="00175843">
        <w:t xml:space="preserve"> quickly</w:t>
      </w:r>
      <w:r>
        <w:t xml:space="preserve"> to </w:t>
      </w:r>
      <w:r w:rsidR="00723A74">
        <w:t>fulfil</w:t>
      </w:r>
      <w:r>
        <w:t xml:space="preserve"> project needs</w:t>
      </w:r>
      <w:r w:rsidR="00175843">
        <w:t>. Training content</w:t>
      </w:r>
      <w:r w:rsidR="00891AE7" w:rsidRPr="00590978">
        <w:t xml:space="preserve"> was ge</w:t>
      </w:r>
      <w:r w:rsidR="007829C6">
        <w:t>nerally determined on a project-by-</w:t>
      </w:r>
      <w:r w:rsidR="00891AE7" w:rsidRPr="00590978">
        <w:t>project basis.</w:t>
      </w:r>
      <w:r w:rsidR="00EE6828">
        <w:t xml:space="preserve"> </w:t>
      </w:r>
      <w:r>
        <w:t>In</w:t>
      </w:r>
      <w:r w:rsidR="00EE6828">
        <w:t xml:space="preserve"> CM </w:t>
      </w:r>
      <w:r w:rsidR="00175843">
        <w:t xml:space="preserve">Consulting, </w:t>
      </w:r>
      <w:r>
        <w:t xml:space="preserve">for example, </w:t>
      </w:r>
      <w:r w:rsidR="00DA3B68" w:rsidRPr="00590978">
        <w:t xml:space="preserve">changes to business processes required </w:t>
      </w:r>
      <w:r w:rsidR="007E7E6D" w:rsidRPr="00590978">
        <w:t xml:space="preserve">speedy </w:t>
      </w:r>
      <w:r w:rsidR="00EE6828">
        <w:t>updating</w:t>
      </w:r>
      <w:r w:rsidR="00DA3B68" w:rsidRPr="00590978">
        <w:t xml:space="preserve"> responses to ensure that individuals were current in the competencies required </w:t>
      </w:r>
      <w:r w:rsidR="00254413">
        <w:t xml:space="preserve">to </w:t>
      </w:r>
      <w:r>
        <w:t>retain</w:t>
      </w:r>
      <w:r w:rsidR="003526CE">
        <w:t xml:space="preserve"> leader</w:t>
      </w:r>
      <w:r>
        <w:t xml:space="preserve">ship in the field, ‘we look to have as much </w:t>
      </w:r>
      <w:r w:rsidR="007829C6">
        <w:t>as we can “just in time”, ensuring</w:t>
      </w:r>
      <w:r w:rsidR="003526CE">
        <w:t xml:space="preserve"> that our people get through the right technical training at the right stage of their career’. </w:t>
      </w:r>
    </w:p>
    <w:p w:rsidR="00AE4080" w:rsidRDefault="00742A39" w:rsidP="00633C40">
      <w:pPr>
        <w:pStyle w:val="Text"/>
      </w:pPr>
      <w:r>
        <w:t>Training in new technology in ERC Health involved the use of ‘champions’</w:t>
      </w:r>
      <w:r w:rsidR="007829C6">
        <w:t>:</w:t>
      </w:r>
      <w:r w:rsidR="00AC445E">
        <w:t xml:space="preserve"> intensive</w:t>
      </w:r>
      <w:r>
        <w:t xml:space="preserve"> training </w:t>
      </w:r>
      <w:r w:rsidR="0097044A">
        <w:t xml:space="preserve">was </w:t>
      </w:r>
      <w:r>
        <w:t xml:space="preserve">provided to one individual who was </w:t>
      </w:r>
      <w:r w:rsidR="0097044A">
        <w:t xml:space="preserve">then </w:t>
      </w:r>
      <w:r>
        <w:t xml:space="preserve">responsible for </w:t>
      </w:r>
      <w:r w:rsidR="002B3ECD">
        <w:t>training</w:t>
      </w:r>
      <w:r>
        <w:t xml:space="preserve"> others. This </w:t>
      </w:r>
      <w:r w:rsidR="00AC445E">
        <w:t xml:space="preserve">approach </w:t>
      </w:r>
      <w:r>
        <w:t xml:space="preserve">avoided the costs </w:t>
      </w:r>
      <w:r w:rsidR="00AC445E">
        <w:t>associated</w:t>
      </w:r>
      <w:r w:rsidR="0097044A">
        <w:t xml:space="preserve"> with mass training or back</w:t>
      </w:r>
      <w:r>
        <w:t xml:space="preserve">filling </w:t>
      </w:r>
      <w:r w:rsidR="00AC445E">
        <w:t xml:space="preserve">and ensured that new knowledge was </w:t>
      </w:r>
      <w:r w:rsidR="002B3ECD">
        <w:t xml:space="preserve">rolled </w:t>
      </w:r>
      <w:r w:rsidR="00AC445E">
        <w:t xml:space="preserve">out </w:t>
      </w:r>
      <w:r w:rsidR="005D155F">
        <w:t xml:space="preserve">rapidly </w:t>
      </w:r>
      <w:r w:rsidR="00AC445E">
        <w:t>in the workplace</w:t>
      </w:r>
      <w:r>
        <w:t xml:space="preserve">. Video-conferencing </w:t>
      </w:r>
      <w:r w:rsidR="00AC445E">
        <w:t xml:space="preserve">also </w:t>
      </w:r>
      <w:r>
        <w:t>assist</w:t>
      </w:r>
      <w:r w:rsidR="00AC445E">
        <w:t>ed</w:t>
      </w:r>
      <w:r>
        <w:t xml:space="preserve"> the spread of new technical knowledge across the organisation.</w:t>
      </w:r>
      <w:r w:rsidR="00AC445E">
        <w:t xml:space="preserve"> </w:t>
      </w:r>
      <w:r w:rsidR="005D155F">
        <w:t>Global Health nurses</w:t>
      </w:r>
      <w:r w:rsidR="00AC445E">
        <w:t xml:space="preserve"> </w:t>
      </w:r>
      <w:r w:rsidR="00723A74">
        <w:t>had a mandatory</w:t>
      </w:r>
      <w:r w:rsidR="00AE4080">
        <w:t xml:space="preserve"> </w:t>
      </w:r>
      <w:r w:rsidR="005D155F">
        <w:t>20—30</w:t>
      </w:r>
      <w:r w:rsidR="00AE4080">
        <w:t xml:space="preserve"> hours of professional development per year</w:t>
      </w:r>
      <w:r w:rsidR="005D155F">
        <w:t>,</w:t>
      </w:r>
      <w:r w:rsidR="00AE4080">
        <w:t xml:space="preserve"> most of which was delivered through the company’s </w:t>
      </w:r>
      <w:r w:rsidR="00AB25A6">
        <w:t xml:space="preserve">training </w:t>
      </w:r>
      <w:r w:rsidR="005D155F">
        <w:t xml:space="preserve">institute. </w:t>
      </w:r>
      <w:r w:rsidR="001D25B2">
        <w:t xml:space="preserve">Online education </w:t>
      </w:r>
      <w:r w:rsidR="00AC445E">
        <w:t>linked people to</w:t>
      </w:r>
      <w:r w:rsidR="002B3ECD">
        <w:t xml:space="preserve"> recent journal articles and</w:t>
      </w:r>
      <w:r w:rsidR="001D25B2">
        <w:t xml:space="preserve"> videos and </w:t>
      </w:r>
      <w:r w:rsidR="002B3ECD">
        <w:t>new knowledge</w:t>
      </w:r>
      <w:r w:rsidR="00723A74">
        <w:t>,</w:t>
      </w:r>
      <w:r w:rsidR="001D25B2">
        <w:t xml:space="preserve"> while </w:t>
      </w:r>
      <w:r w:rsidR="008D0659">
        <w:t>the enterprise</w:t>
      </w:r>
      <w:r w:rsidR="00723A74">
        <w:t>’s</w:t>
      </w:r>
      <w:r w:rsidR="008D0659">
        <w:t xml:space="preserve"> social network, </w:t>
      </w:r>
      <w:r w:rsidR="001D25B2">
        <w:t>Yammer</w:t>
      </w:r>
      <w:r w:rsidR="005D155F">
        <w:t>,</w:t>
      </w:r>
      <w:r w:rsidR="001D25B2">
        <w:t xml:space="preserve"> </w:t>
      </w:r>
      <w:r w:rsidR="00AC445E">
        <w:t>facilitated</w:t>
      </w:r>
      <w:r w:rsidR="008D0659">
        <w:t xml:space="preserve"> training-related</w:t>
      </w:r>
      <w:r w:rsidR="001D25B2">
        <w:t xml:space="preserve"> discussions</w:t>
      </w:r>
      <w:r w:rsidR="002B3ECD">
        <w:t xml:space="preserve"> amongst professionals</w:t>
      </w:r>
      <w:r w:rsidR="008D0659">
        <w:t>.</w:t>
      </w:r>
      <w:r w:rsidR="00AC445E">
        <w:t xml:space="preserve"> </w:t>
      </w:r>
    </w:p>
    <w:p w:rsidR="00BD0073" w:rsidRDefault="00BD0073" w:rsidP="00BD0073">
      <w:pPr>
        <w:pStyle w:val="Heading2"/>
      </w:pPr>
      <w:bookmarkStart w:id="59" w:name="_Toc357518800"/>
      <w:r>
        <w:t>S</w:t>
      </w:r>
      <w:r w:rsidR="00700C62">
        <w:t>ummary</w:t>
      </w:r>
      <w:bookmarkEnd w:id="59"/>
    </w:p>
    <w:p w:rsidR="00274211" w:rsidRDefault="00BD0073" w:rsidP="00633C40">
      <w:pPr>
        <w:pStyle w:val="Text"/>
      </w:pPr>
      <w:r>
        <w:t>T</w:t>
      </w:r>
      <w:r w:rsidR="00700C62">
        <w:t xml:space="preserve">he information gathered from the nine knowledge-based organisations included in this </w:t>
      </w:r>
      <w:r w:rsidR="00575C5D">
        <w:t>research</w:t>
      </w:r>
      <w:r w:rsidR="00700C62">
        <w:t xml:space="preserve"> mirrors </w:t>
      </w:r>
      <w:r w:rsidR="00E55969">
        <w:t xml:space="preserve">that presented in many of the studies on professional obsolescence examined in the review of the literature. Constantly changing technology and business imperatives demand that these professional workforces remain abreast of </w:t>
      </w:r>
      <w:r w:rsidR="005D155F">
        <w:t>developments</w:t>
      </w:r>
      <w:r w:rsidR="00E55969">
        <w:t xml:space="preserve"> in their fields of expertise</w:t>
      </w:r>
      <w:r w:rsidR="00417DDD">
        <w:t xml:space="preserve"> and all organisations accept</w:t>
      </w:r>
      <w:r w:rsidR="00575C5D">
        <w:t>ed</w:t>
      </w:r>
      <w:r w:rsidR="00417DDD">
        <w:t xml:space="preserve"> a high level of responsibility for supporting </w:t>
      </w:r>
      <w:r w:rsidR="00575C5D">
        <w:t>ongoing professional development in its diverse forms</w:t>
      </w:r>
      <w:r w:rsidR="00E55969">
        <w:t xml:space="preserve">. The strategies for keeping current outlined by </w:t>
      </w:r>
      <w:r w:rsidR="00417DDD">
        <w:t xml:space="preserve">the participating </w:t>
      </w:r>
      <w:r w:rsidR="005D155F">
        <w:t>learning and development</w:t>
      </w:r>
      <w:r w:rsidR="00E55969">
        <w:t xml:space="preserve"> managers also closely align with those identified </w:t>
      </w:r>
      <w:r w:rsidR="00417DDD">
        <w:t xml:space="preserve">as </w:t>
      </w:r>
      <w:r w:rsidR="00575C5D">
        <w:t>critical</w:t>
      </w:r>
      <w:r w:rsidR="00417DDD">
        <w:t xml:space="preserve"> </w:t>
      </w:r>
      <w:r w:rsidR="00E55969">
        <w:t xml:space="preserve">by key writers on the subject </w:t>
      </w:r>
      <w:r w:rsidR="00417DDD">
        <w:t>(</w:t>
      </w:r>
      <w:proofErr w:type="spellStart"/>
      <w:r w:rsidR="00417DDD">
        <w:t>Pazy</w:t>
      </w:r>
      <w:proofErr w:type="spellEnd"/>
      <w:r w:rsidR="00417DDD">
        <w:t xml:space="preserve"> </w:t>
      </w:r>
      <w:r w:rsidR="00E55969">
        <w:t>1996</w:t>
      </w:r>
      <w:r w:rsidR="00417DDD">
        <w:t xml:space="preserve">; Trimmer, Blanton &amp; </w:t>
      </w:r>
      <w:proofErr w:type="spellStart"/>
      <w:r w:rsidR="00417DDD">
        <w:t>Shambach</w:t>
      </w:r>
      <w:proofErr w:type="spellEnd"/>
      <w:r w:rsidR="00417DDD">
        <w:t xml:space="preserve"> 1998).</w:t>
      </w:r>
      <w:r w:rsidR="007D4EDB">
        <w:t xml:space="preserve"> </w:t>
      </w:r>
      <w:r w:rsidR="00575C5D">
        <w:t>Various aspects of the</w:t>
      </w:r>
      <w:r w:rsidR="00417DDD">
        <w:t xml:space="preserve"> approaches </w:t>
      </w:r>
      <w:r w:rsidR="00575C5D">
        <w:t>for maintaining industry currency</w:t>
      </w:r>
      <w:r w:rsidR="00417DDD">
        <w:t xml:space="preserve"> adopted </w:t>
      </w:r>
      <w:r w:rsidR="00575C5D">
        <w:t>by these</w:t>
      </w:r>
      <w:r w:rsidR="00417DDD">
        <w:t xml:space="preserve"> organisations </w:t>
      </w:r>
      <w:r w:rsidR="00575C5D">
        <w:t>have definite applicability to</w:t>
      </w:r>
      <w:r w:rsidR="00417DDD">
        <w:t xml:space="preserve"> Australia’s </w:t>
      </w:r>
      <w:r w:rsidR="005D155F">
        <w:t>VET</w:t>
      </w:r>
      <w:r w:rsidR="00575C5D">
        <w:t xml:space="preserve"> organisations and the </w:t>
      </w:r>
      <w:r w:rsidR="002F12E3">
        <w:t>trainers and assessors</w:t>
      </w:r>
      <w:r w:rsidR="00575C5D">
        <w:t xml:space="preserve"> that they employ.</w:t>
      </w:r>
      <w:r w:rsidR="00274211">
        <w:br w:type="page"/>
      </w:r>
    </w:p>
    <w:p w:rsidR="006E7D0E" w:rsidRPr="00AC4D89" w:rsidRDefault="006E7D0E" w:rsidP="00633C40">
      <w:pPr>
        <w:pStyle w:val="Heading1"/>
      </w:pPr>
      <w:bookmarkStart w:id="60" w:name="_Toc357518801"/>
      <w:r w:rsidRPr="00633C40">
        <w:lastRenderedPageBreak/>
        <w:t>Conclusion</w:t>
      </w:r>
      <w:bookmarkEnd w:id="60"/>
    </w:p>
    <w:p w:rsidR="006E7D0E" w:rsidRPr="00AC4D89" w:rsidRDefault="006E7D0E" w:rsidP="00633C40">
      <w:pPr>
        <w:pStyle w:val="Text"/>
      </w:pPr>
      <w:r w:rsidRPr="00AC4D89">
        <w:t xml:space="preserve">Maintaining industry currency </w:t>
      </w:r>
      <w:r w:rsidR="005D155F">
        <w:t>should be seen as</w:t>
      </w:r>
      <w:r w:rsidRPr="00AC4D89">
        <w:t xml:space="preserve"> a critical area for the development of all VET practitioners</w:t>
      </w:r>
      <w:r w:rsidR="005D155F">
        <w:t>, who play a crucial role</w:t>
      </w:r>
      <w:r w:rsidRPr="00AC4D89">
        <w:t xml:space="preserve"> </w:t>
      </w:r>
      <w:r w:rsidR="005D155F">
        <w:t>in skilling</w:t>
      </w:r>
      <w:r w:rsidRPr="00AC4D89">
        <w:t xml:space="preserve"> the Australian workforce</w:t>
      </w:r>
      <w:r w:rsidR="005F2E79">
        <w:t xml:space="preserve">. </w:t>
      </w:r>
      <w:r w:rsidR="005F2E79" w:rsidRPr="00AC4D89">
        <w:t xml:space="preserve">While many practitioners continue to hone their industry skills and knowledge and operate with great effectiveness in industry, others do not. </w:t>
      </w:r>
      <w:r w:rsidR="00831F1E">
        <w:t>Despite the</w:t>
      </w:r>
      <w:r w:rsidR="00831F1E" w:rsidRPr="00AC4D89">
        <w:t xml:space="preserve"> Standards for NVR Registered Training Organisations </w:t>
      </w:r>
      <w:r w:rsidR="00831F1E">
        <w:t xml:space="preserve">requiring demonstrable evidence of industry-specific </w:t>
      </w:r>
      <w:r w:rsidR="00831F1E" w:rsidRPr="00AC4D89">
        <w:t xml:space="preserve">developmental activities </w:t>
      </w:r>
      <w:r w:rsidR="00831F1E">
        <w:t xml:space="preserve">being undertaken by practitioners, </w:t>
      </w:r>
      <w:r w:rsidR="00831F1E" w:rsidRPr="00AC4D89">
        <w:t xml:space="preserve">training </w:t>
      </w:r>
      <w:r w:rsidR="00831F1E" w:rsidRPr="00633C40">
        <w:t>organisations</w:t>
      </w:r>
      <w:r w:rsidR="00831F1E" w:rsidRPr="00AC4D89">
        <w:t xml:space="preserve"> have struggled to find effective ways to support and resource the development opportunities required to maintain </w:t>
      </w:r>
      <w:r w:rsidR="00831F1E">
        <w:t>staff</w:t>
      </w:r>
      <w:r w:rsidR="00831F1E" w:rsidRPr="00AC4D89">
        <w:t xml:space="preserve"> currency</w:t>
      </w:r>
      <w:r w:rsidR="00831F1E">
        <w:t>.</w:t>
      </w:r>
      <w:r w:rsidR="00831F1E" w:rsidRPr="00AC4D89">
        <w:t xml:space="preserve"> </w:t>
      </w:r>
      <w:r w:rsidR="005F2E79">
        <w:t>As a consequence,</w:t>
      </w:r>
      <w:r w:rsidRPr="00AC4D89">
        <w:t xml:space="preserve"> there is growing concern about the capacity of training organisations to deliver the skills required by the economy. </w:t>
      </w:r>
      <w:r w:rsidR="005F2E79">
        <w:t>T</w:t>
      </w:r>
      <w:r w:rsidRPr="00AC4D89">
        <w:t xml:space="preserve">he presence of technically obsolete </w:t>
      </w:r>
      <w:r w:rsidR="005F2E79">
        <w:t>teachers, trainers and assessors</w:t>
      </w:r>
      <w:r w:rsidRPr="00AC4D89">
        <w:t xml:space="preserve"> </w:t>
      </w:r>
      <w:r w:rsidR="00831F1E">
        <w:t xml:space="preserve">in the sector </w:t>
      </w:r>
      <w:r w:rsidRPr="00AC4D89">
        <w:t>has significant implications for learners and industry</w:t>
      </w:r>
      <w:r w:rsidR="000A13D7">
        <w:t>,</w:t>
      </w:r>
      <w:r w:rsidRPr="00AC4D89">
        <w:t xml:space="preserve"> with productivity, credibility and learning quality all </w:t>
      </w:r>
      <w:r w:rsidR="001C30F7">
        <w:t>potentially</w:t>
      </w:r>
      <w:r w:rsidRPr="00AC4D89">
        <w:t xml:space="preserve"> affected.</w:t>
      </w:r>
    </w:p>
    <w:p w:rsidR="00951E23" w:rsidRDefault="00F25219" w:rsidP="00633C40">
      <w:pPr>
        <w:pStyle w:val="Heading2"/>
      </w:pPr>
      <w:bookmarkStart w:id="61" w:name="_Toc357518802"/>
      <w:r>
        <w:t>Currency:</w:t>
      </w:r>
      <w:r w:rsidR="00951E23">
        <w:t xml:space="preserve"> </w:t>
      </w:r>
      <w:r w:rsidR="000A1E1A">
        <w:t>through different industry lenses</w:t>
      </w:r>
      <w:bookmarkEnd w:id="61"/>
    </w:p>
    <w:p w:rsidR="003F4DF9" w:rsidRPr="00633C40" w:rsidRDefault="00951E23" w:rsidP="00633C40">
      <w:pPr>
        <w:pStyle w:val="Text"/>
      </w:pPr>
      <w:r>
        <w:t>Focusing</w:t>
      </w:r>
      <w:r w:rsidR="000C2B6F">
        <w:t xml:space="preserve"> on the plumbing, printing and hairdressing trades, t</w:t>
      </w:r>
      <w:r w:rsidR="00F220BF">
        <w:t xml:space="preserve">his research explored </w:t>
      </w:r>
      <w:r w:rsidR="000C2B6F">
        <w:t>employer, auditor and industry representative</w:t>
      </w:r>
      <w:r w:rsidR="00F220BF">
        <w:t xml:space="preserve"> views on industry currency and how it might be developed and demonstrated</w:t>
      </w:r>
      <w:r w:rsidR="000C2B6F">
        <w:t xml:space="preserve"> by VET trainers and assessors. At the same time, the </w:t>
      </w:r>
      <w:r w:rsidR="003F4DF9">
        <w:t>study</w:t>
      </w:r>
      <w:r w:rsidR="000A1E1A">
        <w:t xml:space="preserve"> </w:t>
      </w:r>
      <w:r w:rsidR="000C2B6F">
        <w:t xml:space="preserve">examined how </w:t>
      </w:r>
      <w:r w:rsidR="00F220BF">
        <w:t xml:space="preserve">a sample of </w:t>
      </w:r>
      <w:r w:rsidR="000C2B6F">
        <w:t xml:space="preserve">high-performing </w:t>
      </w:r>
      <w:r w:rsidR="00F220BF">
        <w:t>knowledge-</w:t>
      </w:r>
      <w:r w:rsidR="003F4DF9" w:rsidRPr="00633C40">
        <w:t xml:space="preserve">intensive </w:t>
      </w:r>
      <w:r w:rsidR="00F220BF" w:rsidRPr="00633C40">
        <w:t xml:space="preserve">organisations </w:t>
      </w:r>
      <w:r w:rsidR="003F4DF9" w:rsidRPr="00633C40">
        <w:t>ensured the currency of the working knowledge and skills of their professional workforce through the management of skills obsolescence.</w:t>
      </w:r>
    </w:p>
    <w:p w:rsidR="00F220BF" w:rsidRPr="00633C40" w:rsidRDefault="00A44EF0" w:rsidP="00633C40">
      <w:pPr>
        <w:pStyle w:val="Text"/>
      </w:pPr>
      <w:r w:rsidRPr="00633C40">
        <w:t xml:space="preserve">From the </w:t>
      </w:r>
      <w:proofErr w:type="gramStart"/>
      <w:r w:rsidRPr="00633C40">
        <w:t>trades</w:t>
      </w:r>
      <w:proofErr w:type="gramEnd"/>
      <w:r w:rsidR="00E66E15" w:rsidRPr="00633C40">
        <w:t xml:space="preserve"> perspective, t</w:t>
      </w:r>
      <w:r w:rsidR="00D176E7" w:rsidRPr="00633C40">
        <w:t>he</w:t>
      </w:r>
      <w:r w:rsidR="00F220BF" w:rsidRPr="00633C40">
        <w:t xml:space="preserve"> term ‘industry currency’</w:t>
      </w:r>
      <w:r w:rsidR="00D176E7" w:rsidRPr="00633C40">
        <w:t xml:space="preserve"> was </w:t>
      </w:r>
      <w:r w:rsidR="003F4DF9" w:rsidRPr="00633C40">
        <w:t xml:space="preserve">not one familiar </w:t>
      </w:r>
      <w:r w:rsidR="00D176E7" w:rsidRPr="00633C40">
        <w:t xml:space="preserve">to </w:t>
      </w:r>
      <w:r w:rsidR="00303CFD" w:rsidRPr="00633C40">
        <w:t xml:space="preserve">the </w:t>
      </w:r>
      <w:r w:rsidR="00D176E7" w:rsidRPr="00633C40">
        <w:t xml:space="preserve">employers </w:t>
      </w:r>
      <w:r w:rsidR="00303CFD" w:rsidRPr="00633C40">
        <w:t>interviewed.</w:t>
      </w:r>
      <w:r w:rsidR="00F220BF" w:rsidRPr="00633C40">
        <w:t xml:space="preserve"> </w:t>
      </w:r>
      <w:r w:rsidR="00B00F3C" w:rsidRPr="00633C40">
        <w:t>T</w:t>
      </w:r>
      <w:r w:rsidR="003F4DF9" w:rsidRPr="00633C40">
        <w:t>hey spoke of</w:t>
      </w:r>
      <w:r w:rsidR="00F220BF" w:rsidRPr="00633C40">
        <w:t xml:space="preserve"> ‘industry relevance’ </w:t>
      </w:r>
      <w:r w:rsidR="00D176E7" w:rsidRPr="00633C40">
        <w:t>as being</w:t>
      </w:r>
      <w:r w:rsidR="00F220BF" w:rsidRPr="00633C40">
        <w:t xml:space="preserve"> </w:t>
      </w:r>
      <w:r w:rsidR="00D176E7" w:rsidRPr="00633C40">
        <w:t>of paramount importance</w:t>
      </w:r>
      <w:r w:rsidR="003F4DF9" w:rsidRPr="00633C40">
        <w:t>, defining it</w:t>
      </w:r>
      <w:r w:rsidR="00D176E7" w:rsidRPr="00633C40">
        <w:t xml:space="preserve"> as a good grounding in the industry</w:t>
      </w:r>
      <w:r w:rsidR="00B00F3C" w:rsidRPr="00633C40">
        <w:t>,</w:t>
      </w:r>
      <w:r w:rsidR="00D176E7" w:rsidRPr="00633C40">
        <w:t xml:space="preserve"> gained through </w:t>
      </w:r>
      <w:r w:rsidRPr="00633C40">
        <w:t>having worked and been trained in</w:t>
      </w:r>
      <w:r w:rsidR="00D176E7" w:rsidRPr="00633C40">
        <w:t xml:space="preserve"> </w:t>
      </w:r>
      <w:r w:rsidR="003F4DF9" w:rsidRPr="00633C40">
        <w:t>that</w:t>
      </w:r>
      <w:r w:rsidR="00E66E15" w:rsidRPr="00633C40">
        <w:t xml:space="preserve"> </w:t>
      </w:r>
      <w:r w:rsidR="00D176E7" w:rsidRPr="00633C40">
        <w:t xml:space="preserve">industry. </w:t>
      </w:r>
      <w:r w:rsidRPr="00633C40">
        <w:t>As</w:t>
      </w:r>
      <w:r w:rsidR="00780158" w:rsidRPr="00633C40">
        <w:t xml:space="preserve"> the principles </w:t>
      </w:r>
      <w:r w:rsidR="003F4DF9" w:rsidRPr="00633C40">
        <w:t>underpinning plumbing</w:t>
      </w:r>
      <w:r w:rsidR="00780158" w:rsidRPr="00633C40">
        <w:t>, printing and hairdressing had not changed</w:t>
      </w:r>
      <w:r w:rsidR="00CD589C" w:rsidRPr="00633C40">
        <w:t>, u</w:t>
      </w:r>
      <w:r w:rsidR="00780158" w:rsidRPr="00633C40">
        <w:t>pdating</w:t>
      </w:r>
      <w:r w:rsidR="00D176E7" w:rsidRPr="00633C40">
        <w:t xml:space="preserve"> industry knowledge was not seen </w:t>
      </w:r>
      <w:r w:rsidRPr="00633C40">
        <w:t>as a major issue,</w:t>
      </w:r>
      <w:r w:rsidR="00CD589C" w:rsidRPr="00633C40">
        <w:t xml:space="preserve"> </w:t>
      </w:r>
      <w:proofErr w:type="gramStart"/>
      <w:r w:rsidR="00CD589C" w:rsidRPr="00633C40">
        <w:t>even</w:t>
      </w:r>
      <w:proofErr w:type="gramEnd"/>
      <w:r w:rsidR="00CD589C" w:rsidRPr="00633C40">
        <w:t xml:space="preserve"> where </w:t>
      </w:r>
      <w:r w:rsidR="00303CFD" w:rsidRPr="00633C40">
        <w:t xml:space="preserve">changes in </w:t>
      </w:r>
      <w:r w:rsidR="00CD589C" w:rsidRPr="00633C40">
        <w:t>technology, product</w:t>
      </w:r>
      <w:r w:rsidR="0097044A">
        <w:t>s</w:t>
      </w:r>
      <w:r w:rsidR="00CD589C" w:rsidRPr="00633C40">
        <w:t xml:space="preserve"> and customer demand had </w:t>
      </w:r>
      <w:r w:rsidR="00303CFD" w:rsidRPr="00633C40">
        <w:t>occurred</w:t>
      </w:r>
      <w:r w:rsidR="00CD589C" w:rsidRPr="00633C40">
        <w:t xml:space="preserve">. </w:t>
      </w:r>
      <w:r w:rsidR="00303CFD" w:rsidRPr="00633C40">
        <w:t xml:space="preserve">What was most important for </w:t>
      </w:r>
      <w:r w:rsidR="00D44EEF" w:rsidRPr="00633C40">
        <w:t xml:space="preserve">VET </w:t>
      </w:r>
      <w:r w:rsidR="00303CFD" w:rsidRPr="00633C40">
        <w:t>trainers</w:t>
      </w:r>
      <w:r w:rsidR="003F4DF9" w:rsidRPr="00633C40">
        <w:t xml:space="preserve">, employers </w:t>
      </w:r>
      <w:proofErr w:type="gramStart"/>
      <w:r w:rsidR="003F4DF9" w:rsidRPr="00633C40">
        <w:t>considered,</w:t>
      </w:r>
      <w:proofErr w:type="gramEnd"/>
      <w:r w:rsidR="003F4DF9" w:rsidRPr="00633C40">
        <w:t xml:space="preserve"> </w:t>
      </w:r>
      <w:r w:rsidR="00303CFD" w:rsidRPr="00633C40">
        <w:t xml:space="preserve">was </w:t>
      </w:r>
      <w:r w:rsidRPr="00633C40">
        <w:t>a</w:t>
      </w:r>
      <w:r w:rsidR="00CD589C" w:rsidRPr="00633C40">
        <w:t xml:space="preserve"> thorough grounding in the industry</w:t>
      </w:r>
      <w:r w:rsidR="00303CFD" w:rsidRPr="00633C40">
        <w:t>.</w:t>
      </w:r>
    </w:p>
    <w:p w:rsidR="003F4DF9" w:rsidRPr="00633C40" w:rsidRDefault="003F4DF9" w:rsidP="00633C40">
      <w:pPr>
        <w:pStyle w:val="Text"/>
      </w:pPr>
      <w:r w:rsidRPr="00633C40">
        <w:t xml:space="preserve">However, currency was identified as an important aspect of VET practitioner capability by auditors, employers and industry representatives. </w:t>
      </w:r>
      <w:r w:rsidR="007A75E0" w:rsidRPr="00633C40">
        <w:t>E</w:t>
      </w:r>
      <w:r w:rsidRPr="00633C40">
        <w:t xml:space="preserve">mployers </w:t>
      </w:r>
      <w:r w:rsidR="007A75E0" w:rsidRPr="00633C40">
        <w:t>liked</w:t>
      </w:r>
      <w:r w:rsidRPr="00633C40">
        <w:t xml:space="preserve"> </w:t>
      </w:r>
      <w:r w:rsidR="00A44EF0" w:rsidRPr="00633C40">
        <w:t xml:space="preserve">the idea of trainers being up to </w:t>
      </w:r>
      <w:r w:rsidR="007A75E0" w:rsidRPr="00633C40">
        <w:t xml:space="preserve">date, but did not think it </w:t>
      </w:r>
      <w:r w:rsidR="00B00F3C" w:rsidRPr="00633C40">
        <w:t>reasonable</w:t>
      </w:r>
      <w:r w:rsidR="007A75E0" w:rsidRPr="00633C40">
        <w:t xml:space="preserve"> to expect them to be </w:t>
      </w:r>
      <w:r w:rsidR="00B00F3C" w:rsidRPr="00633C40">
        <w:t>fully abreast of all developments</w:t>
      </w:r>
      <w:r w:rsidR="00A44EF0" w:rsidRPr="00633C40">
        <w:t>,</w:t>
      </w:r>
      <w:r w:rsidR="007A75E0" w:rsidRPr="00633C40">
        <w:t xml:space="preserve"> especially where industry </w:t>
      </w:r>
      <w:r w:rsidR="00B00F3C" w:rsidRPr="00633C40">
        <w:t xml:space="preserve">directions, developments and </w:t>
      </w:r>
      <w:r w:rsidR="007A75E0" w:rsidRPr="00633C40">
        <w:t>trends are constantly shifting.</w:t>
      </w:r>
      <w:r w:rsidRPr="00633C40">
        <w:t xml:space="preserve"> </w:t>
      </w:r>
      <w:r w:rsidR="007A75E0" w:rsidRPr="00633C40">
        <w:t>Employers also suggested that it was a</w:t>
      </w:r>
      <w:r w:rsidRPr="00633C40">
        <w:t xml:space="preserve"> ‘matter of faith’ that trainers </w:t>
      </w:r>
      <w:r w:rsidR="007A75E0" w:rsidRPr="00633C40">
        <w:t>would</w:t>
      </w:r>
      <w:r w:rsidRPr="00633C40">
        <w:t xml:space="preserve"> be well prepared and that they expected registered training organisations to be professional organisations that </w:t>
      </w:r>
      <w:r w:rsidR="007A75E0" w:rsidRPr="00633C40">
        <w:t>employed the</w:t>
      </w:r>
      <w:r w:rsidRPr="00633C40">
        <w:t xml:space="preserve"> ‘right’ people.</w:t>
      </w:r>
    </w:p>
    <w:p w:rsidR="00DD51D2" w:rsidRPr="00633C40" w:rsidRDefault="007A75E0" w:rsidP="00633C40">
      <w:pPr>
        <w:pStyle w:val="Text"/>
      </w:pPr>
      <w:r w:rsidRPr="00633C40">
        <w:t>The plumbing, hairdressing and printing employers all</w:t>
      </w:r>
      <w:r w:rsidR="00D44EEF" w:rsidRPr="00633C40">
        <w:t xml:space="preserve"> expected to keep th</w:t>
      </w:r>
      <w:r w:rsidR="00A44EF0" w:rsidRPr="00633C40">
        <w:t>emselves and their employees current</w:t>
      </w:r>
      <w:r w:rsidR="00D44EEF" w:rsidRPr="00633C40">
        <w:t xml:space="preserve"> and accepted responsibility for updating activities. </w:t>
      </w:r>
      <w:r w:rsidR="00D64A73" w:rsidRPr="00633C40">
        <w:t>In light of this,</w:t>
      </w:r>
      <w:r w:rsidR="00C11025" w:rsidRPr="00633C40">
        <w:t xml:space="preserve"> </w:t>
      </w:r>
      <w:r w:rsidRPr="00633C40">
        <w:t>they</w:t>
      </w:r>
      <w:r w:rsidR="00C11025" w:rsidRPr="00633C40">
        <w:t xml:space="preserve"> considered</w:t>
      </w:r>
      <w:r w:rsidR="00D44EEF" w:rsidRPr="00633C40">
        <w:t xml:space="preserve"> it </w:t>
      </w:r>
      <w:r w:rsidR="00541A83" w:rsidRPr="00633C40">
        <w:t xml:space="preserve">appropriate </w:t>
      </w:r>
      <w:r w:rsidR="00C11025" w:rsidRPr="00633C40">
        <w:t>that</w:t>
      </w:r>
      <w:r w:rsidR="00541A83" w:rsidRPr="00633C40">
        <w:t xml:space="preserve"> </w:t>
      </w:r>
      <w:proofErr w:type="spellStart"/>
      <w:r w:rsidR="00541A83" w:rsidRPr="00633C40">
        <w:t>upskilling</w:t>
      </w:r>
      <w:proofErr w:type="spellEnd"/>
      <w:r w:rsidR="00541A83" w:rsidRPr="00633C40">
        <w:t xml:space="preserve"> activities </w:t>
      </w:r>
      <w:r w:rsidR="00B07E3D" w:rsidRPr="00633C40">
        <w:t>took place</w:t>
      </w:r>
      <w:r w:rsidRPr="00633C40">
        <w:t xml:space="preserve"> during working hours</w:t>
      </w:r>
      <w:r w:rsidR="0097044A">
        <w:t>,</w:t>
      </w:r>
      <w:r w:rsidRPr="00633C40">
        <w:t xml:space="preserve"> with any costs incurred borne by the employer. Similar views were expressed by </w:t>
      </w:r>
      <w:r w:rsidR="0097044A">
        <w:t xml:space="preserve">the </w:t>
      </w:r>
      <w:r w:rsidR="00B07E3D" w:rsidRPr="00633C40">
        <w:t xml:space="preserve">learning and development </w:t>
      </w:r>
      <w:r w:rsidRPr="00633C40">
        <w:t>managers in the knowledge-based organisations</w:t>
      </w:r>
      <w:r w:rsidR="00B07E3D" w:rsidRPr="00633C40">
        <w:t>,</w:t>
      </w:r>
      <w:r w:rsidRPr="00633C40">
        <w:t xml:space="preserve"> who also emphasised that a good deal of </w:t>
      </w:r>
      <w:proofErr w:type="spellStart"/>
      <w:r w:rsidRPr="00633C40">
        <w:t>upskilling</w:t>
      </w:r>
      <w:proofErr w:type="spellEnd"/>
      <w:r w:rsidRPr="00633C40">
        <w:t xml:space="preserve"> could be undertaken during working hours and in the conduct of work. This idea of learning on the job was consistently reinforced by those in the trades.</w:t>
      </w:r>
    </w:p>
    <w:p w:rsidR="007A75E0" w:rsidRDefault="007A75E0" w:rsidP="00633C40">
      <w:pPr>
        <w:pStyle w:val="Text"/>
      </w:pPr>
      <w:r w:rsidRPr="00633C40">
        <w:t xml:space="preserve">While regulation and licensing were </w:t>
      </w:r>
      <w:r w:rsidR="00DD51D2" w:rsidRPr="00633C40">
        <w:t>seen as</w:t>
      </w:r>
      <w:r w:rsidR="00DD51D2">
        <w:t xml:space="preserve"> i</w:t>
      </w:r>
      <w:r w:rsidR="00B07E3D">
        <w:t xml:space="preserve">mportant drivers for keeping up to </w:t>
      </w:r>
      <w:r w:rsidR="00DD51D2">
        <w:t xml:space="preserve">date, all informants to the study </w:t>
      </w:r>
      <w:r w:rsidR="00B07E3D">
        <w:t>made a</w:t>
      </w:r>
      <w:r w:rsidR="00DD51D2">
        <w:t xml:space="preserve"> </w:t>
      </w:r>
      <w:r w:rsidR="00B00F3C">
        <w:t>clear</w:t>
      </w:r>
      <w:r w:rsidR="00DD51D2">
        <w:t xml:space="preserve"> and consistent connection between industry currency and the achievement of positive outcomes for clients. For example, </w:t>
      </w:r>
      <w:r w:rsidR="00B07E3D">
        <w:t xml:space="preserve">learning and development </w:t>
      </w:r>
      <w:r w:rsidR="00DD51D2">
        <w:t xml:space="preserve">managers saw the maintenance </w:t>
      </w:r>
      <w:r w:rsidR="00DD51D2">
        <w:lastRenderedPageBreak/>
        <w:t>of currency as a business imperative and critical to the organi</w:t>
      </w:r>
      <w:r w:rsidR="00B00F3C">
        <w:t>sation’s competitive edge; similarly,</w:t>
      </w:r>
      <w:r w:rsidR="00DD51D2">
        <w:t xml:space="preserve"> employers in the trades suggested a lack of currency could mean a loss of productivity and potentially a threat to financial viability.</w:t>
      </w:r>
    </w:p>
    <w:p w:rsidR="00541A83" w:rsidRPr="00633C40" w:rsidRDefault="00541A83" w:rsidP="00633C40">
      <w:pPr>
        <w:pStyle w:val="Text"/>
      </w:pPr>
      <w:r>
        <w:t xml:space="preserve">In order to understand the issue of industry </w:t>
      </w:r>
      <w:r w:rsidR="00DD51D2">
        <w:t xml:space="preserve">currency from a </w:t>
      </w:r>
      <w:proofErr w:type="gramStart"/>
      <w:r w:rsidR="00DD51D2">
        <w:t>trade</w:t>
      </w:r>
      <w:r w:rsidR="00B00F3C">
        <w:t>s</w:t>
      </w:r>
      <w:proofErr w:type="gramEnd"/>
      <w:r w:rsidR="00DD51D2">
        <w:t xml:space="preserve"> perspective it is important</w:t>
      </w:r>
      <w:r>
        <w:t xml:space="preserve"> to understand how employers stay current</w:t>
      </w:r>
      <w:r w:rsidR="00DD51D2">
        <w:t>.</w:t>
      </w:r>
      <w:r>
        <w:t xml:space="preserve"> </w:t>
      </w:r>
      <w:r w:rsidR="00DD51D2">
        <w:t xml:space="preserve">With a </w:t>
      </w:r>
      <w:r>
        <w:t xml:space="preserve">pragmatic view of industry currency, </w:t>
      </w:r>
      <w:r w:rsidR="00DD51D2">
        <w:t xml:space="preserve">employers acknowledged the challenges they had with keeping on </w:t>
      </w:r>
      <w:r>
        <w:t xml:space="preserve">top of industry changes and </w:t>
      </w:r>
      <w:r w:rsidR="00DD51D2">
        <w:t>recognised how difficult it might be for many trainers. They understood that trainers had to meet the training deman</w:t>
      </w:r>
      <w:r w:rsidR="00B00F3C">
        <w:t>ds of many different businesses, which</w:t>
      </w:r>
      <w:r w:rsidR="00B07E3D">
        <w:t xml:space="preserve"> </w:t>
      </w:r>
      <w:r w:rsidR="00DD51D2">
        <w:t>often operat</w:t>
      </w:r>
      <w:r w:rsidR="00B07E3D">
        <w:t>ed</w:t>
      </w:r>
      <w:r w:rsidR="00DD51D2">
        <w:t xml:space="preserve"> in diverse contexts. Importantly, they emphasised that the </w:t>
      </w:r>
      <w:r w:rsidR="00B07E3D">
        <w:t>approaches they took to updating could be adopted by VET practitioners to equal effect.</w:t>
      </w:r>
      <w:r w:rsidR="009216B1">
        <w:t xml:space="preserve"> </w:t>
      </w:r>
      <w:r w:rsidR="005718B6">
        <w:t xml:space="preserve">The strategies they most favoured </w:t>
      </w:r>
      <w:r w:rsidR="008D2C80" w:rsidRPr="00633C40">
        <w:t>were industry interaction, trade events, reading industry magazines and online research. Product manufacturer</w:t>
      </w:r>
      <w:r w:rsidR="00B64448" w:rsidRPr="00633C40">
        <w:t>s</w:t>
      </w:r>
      <w:r w:rsidR="008D2C80" w:rsidRPr="00633C40">
        <w:t xml:space="preserve"> and vendor training were </w:t>
      </w:r>
      <w:r w:rsidR="00F772B8" w:rsidRPr="00633C40">
        <w:t xml:space="preserve">also </w:t>
      </w:r>
      <w:r w:rsidR="008D2C80" w:rsidRPr="00633C40">
        <w:t xml:space="preserve">seen as </w:t>
      </w:r>
      <w:r w:rsidR="00DD51D2" w:rsidRPr="00633C40">
        <w:t xml:space="preserve">critically </w:t>
      </w:r>
      <w:r w:rsidR="008D2C80" w:rsidRPr="00633C40">
        <w:t>important across all industries</w:t>
      </w:r>
      <w:r w:rsidR="00B07E3D" w:rsidRPr="00633C40">
        <w:t>,</w:t>
      </w:r>
      <w:r w:rsidR="008D2C80" w:rsidRPr="00633C40">
        <w:t xml:space="preserve"> w</w:t>
      </w:r>
      <w:r w:rsidR="00B64448" w:rsidRPr="00633C40">
        <w:t>ith suppliers providing</w:t>
      </w:r>
      <w:r w:rsidR="008D2C80" w:rsidRPr="00633C40">
        <w:t xml:space="preserve"> exposure to new equip</w:t>
      </w:r>
      <w:r w:rsidR="00B64448" w:rsidRPr="00633C40">
        <w:t>ment and resources and delivering</w:t>
      </w:r>
      <w:r w:rsidR="008D2C80" w:rsidRPr="00633C40">
        <w:t xml:space="preserve"> training to support </w:t>
      </w:r>
      <w:r w:rsidR="00F772B8" w:rsidRPr="00633C40">
        <w:t xml:space="preserve">the </w:t>
      </w:r>
      <w:r w:rsidR="008D2C80" w:rsidRPr="00633C40">
        <w:t xml:space="preserve">introduction </w:t>
      </w:r>
      <w:r w:rsidR="00F772B8" w:rsidRPr="00633C40">
        <w:t xml:space="preserve">of these </w:t>
      </w:r>
      <w:r w:rsidR="008D2C80" w:rsidRPr="00633C40">
        <w:t xml:space="preserve">into workplaces. </w:t>
      </w:r>
      <w:r w:rsidR="00B07E3D" w:rsidRPr="00633C40">
        <w:t>As</w:t>
      </w:r>
      <w:r w:rsidR="00806308" w:rsidRPr="00633C40">
        <w:t xml:space="preserve"> </w:t>
      </w:r>
      <w:r w:rsidR="00B64448" w:rsidRPr="00633C40">
        <w:t>indicated by</w:t>
      </w:r>
      <w:r w:rsidR="00806308" w:rsidRPr="00633C40">
        <w:t xml:space="preserve"> the literature, r</w:t>
      </w:r>
      <w:r w:rsidR="00F772B8" w:rsidRPr="00633C40">
        <w:t xml:space="preserve">eturn to industry was less favoured </w:t>
      </w:r>
      <w:r w:rsidR="00806308" w:rsidRPr="00633C40">
        <w:t xml:space="preserve">by employers </w:t>
      </w:r>
      <w:r w:rsidR="00F772B8" w:rsidRPr="00633C40">
        <w:t xml:space="preserve">because it was seen as difficult </w:t>
      </w:r>
      <w:r w:rsidR="004F1FED" w:rsidRPr="00633C40">
        <w:t xml:space="preserve">or even </w:t>
      </w:r>
      <w:r w:rsidR="00C125F0" w:rsidRPr="00633C40">
        <w:t>impossible to organise</w:t>
      </w:r>
      <w:r w:rsidR="00F772B8" w:rsidRPr="00633C40">
        <w:t>, p</w:t>
      </w:r>
      <w:r w:rsidR="00B07E3D" w:rsidRPr="00633C40">
        <w:t>articularly in small-to-</w:t>
      </w:r>
      <w:r w:rsidR="00F772B8" w:rsidRPr="00633C40">
        <w:t>medium enterprises.</w:t>
      </w:r>
    </w:p>
    <w:p w:rsidR="00F772B8" w:rsidRPr="00633C40" w:rsidRDefault="00806308" w:rsidP="00633C40">
      <w:pPr>
        <w:pStyle w:val="Text"/>
        <w:ind w:right="-143"/>
      </w:pPr>
      <w:r w:rsidRPr="00633C40">
        <w:t>While employers rated some updating strategies highly, auditors provided contrasting views.</w:t>
      </w:r>
      <w:r w:rsidR="007D4EDB" w:rsidRPr="00633C40">
        <w:t xml:space="preserve"> </w:t>
      </w:r>
      <w:r w:rsidR="00D51B05" w:rsidRPr="00633C40">
        <w:t xml:space="preserve">In fact, auditor ideas about appropriate strategies for the maintenance of currency tended to go well beyond those offered by other key stakeholders. </w:t>
      </w:r>
      <w:r w:rsidRPr="00633C40">
        <w:t>Given</w:t>
      </w:r>
      <w:r w:rsidR="00D51B05" w:rsidRPr="00633C40">
        <w:t xml:space="preserve"> the extent of</w:t>
      </w:r>
      <w:r w:rsidR="00F772B8" w:rsidRPr="00633C40">
        <w:t xml:space="preserve"> variation in </w:t>
      </w:r>
      <w:r w:rsidR="0097044A">
        <w:t xml:space="preserve">the </w:t>
      </w:r>
      <w:r w:rsidR="00F772B8" w:rsidRPr="00633C40">
        <w:t>ratings across the three industries</w:t>
      </w:r>
      <w:r w:rsidR="00D51B05" w:rsidRPr="00633C40">
        <w:t xml:space="preserve"> for </w:t>
      </w:r>
      <w:r w:rsidR="00AC0A9A" w:rsidRPr="00633C40">
        <w:t>suggested</w:t>
      </w:r>
      <w:r w:rsidR="00D51B05" w:rsidRPr="00633C40">
        <w:t xml:space="preserve"> strategies</w:t>
      </w:r>
      <w:r w:rsidR="00F772B8" w:rsidRPr="00633C40">
        <w:t xml:space="preserve">, </w:t>
      </w:r>
      <w:r w:rsidR="00AC0A9A" w:rsidRPr="00633C40">
        <w:t xml:space="preserve">the </w:t>
      </w:r>
      <w:r w:rsidR="00F772B8" w:rsidRPr="00633C40">
        <w:t xml:space="preserve">auditing </w:t>
      </w:r>
      <w:r w:rsidR="00D51B05" w:rsidRPr="00633C40">
        <w:t xml:space="preserve">of </w:t>
      </w:r>
      <w:r w:rsidR="00F772B8" w:rsidRPr="00633C40">
        <w:t>compliance against the Standards for NVR Registered Training Organisations</w:t>
      </w:r>
      <w:r w:rsidR="00D51B05" w:rsidRPr="00633C40">
        <w:t xml:space="preserve"> </w:t>
      </w:r>
      <w:r w:rsidRPr="00633C40">
        <w:t>may need to</w:t>
      </w:r>
      <w:r w:rsidR="00D51B05" w:rsidRPr="00633C40">
        <w:t xml:space="preserve"> take into account industry preferences </w:t>
      </w:r>
      <w:r w:rsidRPr="00633C40">
        <w:t>for</w:t>
      </w:r>
      <w:r w:rsidR="005718B6" w:rsidRPr="00633C40">
        <w:t xml:space="preserve"> </w:t>
      </w:r>
      <w:proofErr w:type="spellStart"/>
      <w:r w:rsidR="005718B6" w:rsidRPr="00633C40">
        <w:t>upskilling</w:t>
      </w:r>
      <w:proofErr w:type="spellEnd"/>
      <w:r w:rsidR="00F772B8" w:rsidRPr="00633C40">
        <w:t>.</w:t>
      </w:r>
      <w:r w:rsidRPr="00633C40">
        <w:t xml:space="preserve"> Thi</w:t>
      </w:r>
      <w:r w:rsidR="00AC0A9A" w:rsidRPr="00633C40">
        <w:t xml:space="preserve">s research suggests that a ‘one size fits </w:t>
      </w:r>
      <w:r w:rsidRPr="00633C40">
        <w:t xml:space="preserve">all’ approach is not necessarily appropriate and that strategies utilised by trainers need to match what is readily accepted and available in specific </w:t>
      </w:r>
      <w:r w:rsidR="00B64448" w:rsidRPr="00633C40">
        <w:t>industries</w:t>
      </w:r>
      <w:r w:rsidRPr="00633C40">
        <w:t>.</w:t>
      </w:r>
    </w:p>
    <w:p w:rsidR="005C5735" w:rsidRPr="00633C40" w:rsidRDefault="00806308" w:rsidP="00633C40">
      <w:pPr>
        <w:pStyle w:val="Text"/>
      </w:pPr>
      <w:r w:rsidRPr="00633C40">
        <w:t>This study has also revealed that employers and professional/industry associations might be a largely untapped resource</w:t>
      </w:r>
      <w:r w:rsidR="005C5735" w:rsidRPr="00633C40">
        <w:t xml:space="preserve"> </w:t>
      </w:r>
      <w:r w:rsidRPr="00633C40">
        <w:t>for</w:t>
      </w:r>
      <w:r w:rsidR="005C5735" w:rsidRPr="00633C40">
        <w:t xml:space="preserve"> trainers </w:t>
      </w:r>
      <w:r w:rsidRPr="00633C40">
        <w:t>seeking to</w:t>
      </w:r>
      <w:r w:rsidR="00F25219" w:rsidRPr="00633C40">
        <w:t xml:space="preserve"> maintain</w:t>
      </w:r>
      <w:r w:rsidR="005C5735" w:rsidRPr="00633C40">
        <w:t xml:space="preserve"> industry currency</w:t>
      </w:r>
      <w:r w:rsidRPr="00633C40">
        <w:t xml:space="preserve">. </w:t>
      </w:r>
      <w:r w:rsidR="00B64448" w:rsidRPr="00633C40">
        <w:t>Moreover</w:t>
      </w:r>
      <w:r w:rsidRPr="00633C40">
        <w:t xml:space="preserve">, the </w:t>
      </w:r>
      <w:r w:rsidR="00AC0A9A" w:rsidRPr="00633C40">
        <w:t>capacity of industry skills councils</w:t>
      </w:r>
      <w:r w:rsidR="005C5735" w:rsidRPr="00633C40">
        <w:t xml:space="preserve"> </w:t>
      </w:r>
      <w:r w:rsidR="00AC0A9A" w:rsidRPr="00633C40">
        <w:t xml:space="preserve">to gather industry intelligence may mean that there is potentially a larger </w:t>
      </w:r>
      <w:r w:rsidR="005C5735" w:rsidRPr="00633C40">
        <w:t xml:space="preserve">role for them </w:t>
      </w:r>
      <w:r w:rsidR="00AC0A9A" w:rsidRPr="00633C40">
        <w:t>in providing</w:t>
      </w:r>
      <w:r w:rsidRPr="00633C40">
        <w:t xml:space="preserve"> insights into shifting industry trends and technological changes. At the same time, the advice provided by informants suggest</w:t>
      </w:r>
      <w:r w:rsidR="00AC0A9A" w:rsidRPr="00633C40">
        <w:t>s</w:t>
      </w:r>
      <w:r w:rsidRPr="00633C40">
        <w:t xml:space="preserve"> that i</w:t>
      </w:r>
      <w:r w:rsidR="00F25219" w:rsidRPr="00633C40">
        <w:t xml:space="preserve">ndividual trainers and </w:t>
      </w:r>
      <w:r w:rsidR="00EA3658" w:rsidRPr="00633C40">
        <w:t>registered training organisations</w:t>
      </w:r>
      <w:r w:rsidRPr="00633C40">
        <w:t xml:space="preserve"> could be much more</w:t>
      </w:r>
      <w:r w:rsidR="00F25219" w:rsidRPr="00633C40">
        <w:t xml:space="preserve"> proactive in seeking out those employers </w:t>
      </w:r>
      <w:r w:rsidR="005718B6" w:rsidRPr="00633C40">
        <w:t xml:space="preserve">and industry bodies </w:t>
      </w:r>
      <w:r w:rsidR="00F25219" w:rsidRPr="00633C40">
        <w:t>who are willing to assist</w:t>
      </w:r>
      <w:r w:rsidRPr="00633C40">
        <w:t xml:space="preserve"> them in this important process of </w:t>
      </w:r>
      <w:proofErr w:type="spellStart"/>
      <w:r w:rsidRPr="00633C40">
        <w:t>upskilling</w:t>
      </w:r>
      <w:proofErr w:type="spellEnd"/>
      <w:r w:rsidR="00F25219" w:rsidRPr="00633C40">
        <w:t xml:space="preserve">. </w:t>
      </w:r>
    </w:p>
    <w:p w:rsidR="00761358" w:rsidRPr="00633C40" w:rsidRDefault="000A1E1A" w:rsidP="00633C40">
      <w:pPr>
        <w:pStyle w:val="Text"/>
      </w:pPr>
      <w:r w:rsidRPr="00633C40">
        <w:t xml:space="preserve">The </w:t>
      </w:r>
      <w:r w:rsidR="00591EAE" w:rsidRPr="00633C40">
        <w:t>approach of the professions to currency</w:t>
      </w:r>
      <w:r w:rsidRPr="00633C40">
        <w:t xml:space="preserve"> was in many respects similar to the trades. </w:t>
      </w:r>
      <w:r w:rsidR="005534E7" w:rsidRPr="00633C40">
        <w:t>Regulation, technological advancements and the desire to innovate were all significant drivers for professionals to keep abreast of industry changes</w:t>
      </w:r>
      <w:r w:rsidR="0079257B" w:rsidRPr="00633C40">
        <w:t>.</w:t>
      </w:r>
      <w:r w:rsidR="005534E7" w:rsidRPr="00633C40">
        <w:t xml:space="preserve"> </w:t>
      </w:r>
      <w:proofErr w:type="spellStart"/>
      <w:r w:rsidR="0079257B" w:rsidRPr="00633C40">
        <w:t>Upskilling</w:t>
      </w:r>
      <w:proofErr w:type="spellEnd"/>
      <w:r w:rsidR="005534E7" w:rsidRPr="00633C40">
        <w:t xml:space="preserve"> was </w:t>
      </w:r>
      <w:r w:rsidR="0079257B" w:rsidRPr="00633C40">
        <w:t xml:space="preserve">inevitably </w:t>
      </w:r>
      <w:r w:rsidR="005534E7" w:rsidRPr="00633C40">
        <w:t xml:space="preserve">planned, discussed and implemented </w:t>
      </w:r>
      <w:r w:rsidR="00E14E38" w:rsidRPr="00633C40">
        <w:t>quite strategically</w:t>
      </w:r>
      <w:r w:rsidR="005534E7" w:rsidRPr="00633C40">
        <w:t>. Each of the</w:t>
      </w:r>
      <w:r w:rsidRPr="00633C40">
        <w:t xml:space="preserve"> nine science, health (nursing), human resources and engineering organisations</w:t>
      </w:r>
      <w:r w:rsidR="005534E7" w:rsidRPr="00633C40">
        <w:t xml:space="preserve"> </w:t>
      </w:r>
      <w:r w:rsidR="0079257B" w:rsidRPr="00633C40">
        <w:t xml:space="preserve">were committed to </w:t>
      </w:r>
      <w:r w:rsidR="005534E7" w:rsidRPr="00633C40">
        <w:t>high professiona</w:t>
      </w:r>
      <w:r w:rsidR="00B64448" w:rsidRPr="00633C40">
        <w:t>l standards in the workplace, with</w:t>
      </w:r>
      <w:r w:rsidR="005534E7" w:rsidRPr="00633C40">
        <w:t xml:space="preserve"> </w:t>
      </w:r>
      <w:r w:rsidR="0097044A">
        <w:t xml:space="preserve">their </w:t>
      </w:r>
      <w:r w:rsidR="005534E7" w:rsidRPr="00633C40">
        <w:t xml:space="preserve">organisational climates rated as highly supportive of ongoing learning. </w:t>
      </w:r>
      <w:r w:rsidR="0079257B" w:rsidRPr="00633C40">
        <w:t>G</w:t>
      </w:r>
      <w:r w:rsidR="005534E7" w:rsidRPr="00633C40">
        <w:t xml:space="preserve">enerous support in both time and money for </w:t>
      </w:r>
      <w:r w:rsidR="0079257B" w:rsidRPr="00633C40">
        <w:t xml:space="preserve">individuals to participate </w:t>
      </w:r>
      <w:r w:rsidR="005534E7" w:rsidRPr="00633C40">
        <w:t xml:space="preserve">in professional development </w:t>
      </w:r>
      <w:r w:rsidR="0079257B" w:rsidRPr="00633C40">
        <w:t xml:space="preserve">was </w:t>
      </w:r>
      <w:r w:rsidR="008C33DE" w:rsidRPr="00633C40">
        <w:t xml:space="preserve">available </w:t>
      </w:r>
      <w:r w:rsidR="00E14E38" w:rsidRPr="00633C40">
        <w:t xml:space="preserve">in most instances </w:t>
      </w:r>
      <w:r w:rsidR="008C33DE" w:rsidRPr="00633C40">
        <w:t xml:space="preserve">and </w:t>
      </w:r>
      <w:r w:rsidR="00E14E38" w:rsidRPr="00633C40">
        <w:t xml:space="preserve">employees </w:t>
      </w:r>
      <w:r w:rsidR="005534E7" w:rsidRPr="00633C40">
        <w:t>were recognised and rewarded for doing so.</w:t>
      </w:r>
    </w:p>
    <w:p w:rsidR="005534E7" w:rsidRPr="00633C40" w:rsidRDefault="00B64448" w:rsidP="00633C40">
      <w:pPr>
        <w:pStyle w:val="Text"/>
        <w:ind w:right="141"/>
      </w:pPr>
      <w:r w:rsidRPr="00633C40">
        <w:t>R</w:t>
      </w:r>
      <w:r w:rsidR="005534E7" w:rsidRPr="00633C40">
        <w:t xml:space="preserve">esponsibility for maintaining currency </w:t>
      </w:r>
      <w:r w:rsidR="009C4074" w:rsidRPr="00633C40">
        <w:t xml:space="preserve">in the knowledge-based organisations </w:t>
      </w:r>
      <w:r w:rsidR="005534E7" w:rsidRPr="00633C40">
        <w:t xml:space="preserve">was </w:t>
      </w:r>
      <w:r w:rsidR="00097F3F" w:rsidRPr="00633C40">
        <w:t xml:space="preserve">shared </w:t>
      </w:r>
      <w:r w:rsidR="005534E7" w:rsidRPr="00633C40">
        <w:t xml:space="preserve">by both </w:t>
      </w:r>
      <w:r w:rsidR="00097F3F" w:rsidRPr="00633C40">
        <w:t>organisations and employees</w:t>
      </w:r>
      <w:r w:rsidR="00591EAE" w:rsidRPr="00633C40">
        <w:t>,</w:t>
      </w:r>
      <w:r w:rsidR="00097F3F" w:rsidRPr="00633C40">
        <w:t xml:space="preserve"> although some organisations accepted a greater share</w:t>
      </w:r>
      <w:r w:rsidRPr="00633C40">
        <w:t>, mirroring employers in hairdressing, plumbing and printing</w:t>
      </w:r>
      <w:r w:rsidR="00097F3F" w:rsidRPr="00633C40">
        <w:t xml:space="preserve">. With a focus on innovation, efficiency and client satisfaction, </w:t>
      </w:r>
      <w:r w:rsidR="00E14E38" w:rsidRPr="00633C40">
        <w:t>the nine organisation</w:t>
      </w:r>
      <w:r w:rsidR="0097044A">
        <w:t>s nevertheless ensured that technical excellence was well and truly embedded in their culture</w:t>
      </w:r>
      <w:r w:rsidR="00E14E38" w:rsidRPr="00633C40">
        <w:t>.</w:t>
      </w:r>
    </w:p>
    <w:p w:rsidR="001E7652" w:rsidRPr="00633C40" w:rsidRDefault="009C4074" w:rsidP="00633C40">
      <w:pPr>
        <w:pStyle w:val="Text"/>
      </w:pPr>
      <w:r w:rsidRPr="00633C40">
        <w:t>The approaches used to keep</w:t>
      </w:r>
      <w:r w:rsidR="00591EAE" w:rsidRPr="00633C40">
        <w:t xml:space="preserve"> the professional workforces up to </w:t>
      </w:r>
      <w:r w:rsidRPr="00633C40">
        <w:t xml:space="preserve">date were similar in many respects to those identified by employers in the trades and in the literature. </w:t>
      </w:r>
      <w:r w:rsidR="001E7652" w:rsidRPr="00633C40">
        <w:t xml:space="preserve">Importantly, planning for updating </w:t>
      </w:r>
      <w:r w:rsidR="001E7652" w:rsidRPr="00633C40">
        <w:lastRenderedPageBreak/>
        <w:t>was highly strategic in the large companies</w:t>
      </w:r>
      <w:r w:rsidR="00591EAE" w:rsidRPr="00633C40">
        <w:t>,</w:t>
      </w:r>
      <w:r w:rsidR="001E7652" w:rsidRPr="00633C40">
        <w:t xml:space="preserve"> acknowledging that changes in industry trends and technology needed to be addressed as soon as they emerged. </w:t>
      </w:r>
      <w:r w:rsidRPr="00633C40">
        <w:t>Considerable e</w:t>
      </w:r>
      <w:r w:rsidR="001E7652" w:rsidRPr="00633C40">
        <w:t>mphasis</w:t>
      </w:r>
      <w:r w:rsidRPr="00633C40">
        <w:t xml:space="preserve"> was placed on the</w:t>
      </w:r>
      <w:r w:rsidR="001E7652" w:rsidRPr="00633C40">
        <w:t xml:space="preserve"> </w:t>
      </w:r>
      <w:r w:rsidRPr="00633C40">
        <w:t>provision of</w:t>
      </w:r>
      <w:r w:rsidR="001E7652" w:rsidRPr="00633C40">
        <w:t xml:space="preserve"> dedicated opportunities for colla</w:t>
      </w:r>
      <w:r w:rsidR="00591EAE" w:rsidRPr="00633C40">
        <w:t>borative learning and knowledge-</w:t>
      </w:r>
      <w:r w:rsidR="001E7652" w:rsidRPr="00633C40">
        <w:t>sha</w:t>
      </w:r>
      <w:r w:rsidRPr="00633C40">
        <w:t>ring through industry networks</w:t>
      </w:r>
      <w:r w:rsidR="0097044A">
        <w:t>;</w:t>
      </w:r>
      <w:r w:rsidRPr="00633C40">
        <w:t xml:space="preserve"> </w:t>
      </w:r>
      <w:r w:rsidR="00591EAE" w:rsidRPr="00633C40">
        <w:t>contact</w:t>
      </w:r>
      <w:r w:rsidRPr="00633C40">
        <w:t xml:space="preserve"> with experts in the workplace</w:t>
      </w:r>
      <w:r w:rsidR="0097044A">
        <w:t>;</w:t>
      </w:r>
      <w:r w:rsidRPr="00633C40">
        <w:t xml:space="preserve"> </w:t>
      </w:r>
      <w:r w:rsidR="001E7652" w:rsidRPr="00633C40">
        <w:t>communities of practice</w:t>
      </w:r>
      <w:r w:rsidR="0097044A">
        <w:t>;</w:t>
      </w:r>
      <w:r w:rsidR="001E7652" w:rsidRPr="00633C40">
        <w:t xml:space="preserve"> work-based seminars</w:t>
      </w:r>
      <w:r w:rsidR="0097044A">
        <w:t>;</w:t>
      </w:r>
      <w:r w:rsidR="001E7652" w:rsidRPr="00633C40">
        <w:t xml:space="preserve"> and conferences. In addition, interaction with peers in similar fields and peer review were encouraged. These were seen as particularly important when employees were faced wi</w:t>
      </w:r>
      <w:r w:rsidR="00591EAE" w:rsidRPr="00633C40">
        <w:t>th immediate technical problems and</w:t>
      </w:r>
      <w:r w:rsidR="001E7652" w:rsidRPr="00633C40">
        <w:t xml:space="preserve"> the development of new projects and/or the introduction of new technology. Great</w:t>
      </w:r>
      <w:r w:rsidR="00591EAE" w:rsidRPr="00633C40">
        <w:t xml:space="preserve"> value was also placed on ‘just in </w:t>
      </w:r>
      <w:r w:rsidR="001E7652" w:rsidRPr="00633C40">
        <w:t xml:space="preserve">time’ training to assist people to learn immediately about innovations in the world of work. </w:t>
      </w:r>
    </w:p>
    <w:p w:rsidR="001E7652" w:rsidRPr="00633C40" w:rsidRDefault="001E7652" w:rsidP="00633C40">
      <w:pPr>
        <w:pStyle w:val="Text"/>
      </w:pPr>
      <w:r w:rsidRPr="00633C40">
        <w:t xml:space="preserve">Learning in and through day-to-day work was </w:t>
      </w:r>
      <w:r w:rsidR="009C4074" w:rsidRPr="00633C40">
        <w:t>presented</w:t>
      </w:r>
      <w:r w:rsidRPr="00633C40">
        <w:t xml:space="preserve"> by all </w:t>
      </w:r>
      <w:r w:rsidR="00591EAE" w:rsidRPr="00633C40">
        <w:t xml:space="preserve">learning and development </w:t>
      </w:r>
      <w:r w:rsidRPr="00633C40">
        <w:t xml:space="preserve">managers as the most powerful means </w:t>
      </w:r>
      <w:r w:rsidR="00B64448" w:rsidRPr="00633C40">
        <w:t>for</w:t>
      </w:r>
      <w:r w:rsidRPr="00633C40">
        <w:t xml:space="preserve"> professionals </w:t>
      </w:r>
      <w:r w:rsidR="00B64448" w:rsidRPr="00633C40">
        <w:t>to keep</w:t>
      </w:r>
      <w:r w:rsidRPr="00633C40">
        <w:t xml:space="preserve"> current. For the engineers, scientists, health and human resource professionals</w:t>
      </w:r>
      <w:r w:rsidR="00591EAE" w:rsidRPr="00633C40">
        <w:t>,</w:t>
      </w:r>
      <w:r w:rsidRPr="00633C40">
        <w:t xml:space="preserve"> the type of project work </w:t>
      </w:r>
      <w:r w:rsidR="00591EAE" w:rsidRPr="00633C40">
        <w:t>undertaken</w:t>
      </w:r>
      <w:r w:rsidRPr="00633C40">
        <w:t xml:space="preserve"> constantly challenged and exte</w:t>
      </w:r>
      <w:r w:rsidR="009C4074" w:rsidRPr="00633C40">
        <w:t>nded their skills and knowledge. A</w:t>
      </w:r>
      <w:r w:rsidRPr="00633C40">
        <w:t xml:space="preserve"> commitment to patient care and client satisfaction provided health professionals with the drivers and opportunities for </w:t>
      </w:r>
      <w:r w:rsidR="00B64448" w:rsidRPr="00633C40">
        <w:t xml:space="preserve">the </w:t>
      </w:r>
      <w:r w:rsidRPr="00633C40">
        <w:t xml:space="preserve">often incidental learning that formal training was less likely to achieve. </w:t>
      </w:r>
    </w:p>
    <w:p w:rsidR="001E7652" w:rsidRPr="00633C40" w:rsidRDefault="009C4074" w:rsidP="00633C40">
      <w:pPr>
        <w:pStyle w:val="Text"/>
      </w:pPr>
      <w:r w:rsidRPr="00633C40">
        <w:t>Critically</w:t>
      </w:r>
      <w:r w:rsidR="001E7652" w:rsidRPr="00633C40">
        <w:t xml:space="preserve">, working and learning </w:t>
      </w:r>
      <w:r w:rsidRPr="00633C40">
        <w:t xml:space="preserve">in the knowledge-based organisations </w:t>
      </w:r>
      <w:r w:rsidR="001E7652" w:rsidRPr="00633C40">
        <w:t>were seen to go hand in hand</w:t>
      </w:r>
      <w:r w:rsidRPr="00633C40">
        <w:t>.</w:t>
      </w:r>
      <w:r w:rsidR="001E7652" w:rsidRPr="00633C40">
        <w:t xml:space="preserve"> As a consequence, work </w:t>
      </w:r>
      <w:r w:rsidR="00591EAE" w:rsidRPr="00633C40">
        <w:t>largely</w:t>
      </w:r>
      <w:r w:rsidR="001E7652" w:rsidRPr="00633C40">
        <w:t xml:space="preserve"> tended to be structured in a way that gave individuals the chance to learn </w:t>
      </w:r>
      <w:r w:rsidR="00591EAE" w:rsidRPr="00633C40">
        <w:t>collaboratively</w:t>
      </w:r>
      <w:r w:rsidR="001E7652" w:rsidRPr="00633C40">
        <w:t xml:space="preserve">. </w:t>
      </w:r>
    </w:p>
    <w:p w:rsidR="007A2125" w:rsidRDefault="00591EAE" w:rsidP="00633C40">
      <w:pPr>
        <w:pStyle w:val="Text"/>
      </w:pPr>
      <w:r w:rsidRPr="00633C40">
        <w:t>While</w:t>
      </w:r>
      <w:r w:rsidR="005F18EF" w:rsidRPr="00633C40">
        <w:t xml:space="preserve"> this</w:t>
      </w:r>
      <w:r w:rsidR="005F18EF">
        <w:t xml:space="preserve"> study viewed currency </w:t>
      </w:r>
      <w:r>
        <w:t>from two different perspectives</w:t>
      </w:r>
      <w:r w:rsidR="005F18EF">
        <w:t xml:space="preserve">, it has revealed </w:t>
      </w:r>
      <w:r w:rsidR="001E7652">
        <w:t>that the approaches used to keep tr</w:t>
      </w:r>
      <w:r w:rsidR="00B87045">
        <w:t xml:space="preserve">adespeople and professionals up to </w:t>
      </w:r>
      <w:r w:rsidR="001E7652">
        <w:t>date are generally very similar</w:t>
      </w:r>
      <w:r w:rsidR="00B87045">
        <w:t>,</w:t>
      </w:r>
      <w:r w:rsidR="005F18EF">
        <w:t xml:space="preserve"> with only minor variations between</w:t>
      </w:r>
      <w:r w:rsidR="001E7652">
        <w:t xml:space="preserve"> organisation</w:t>
      </w:r>
      <w:r w:rsidR="005F18EF">
        <w:t>s and industries.</w:t>
      </w:r>
      <w:r w:rsidR="00731F3E">
        <w:t xml:space="preserve"> </w:t>
      </w:r>
      <w:r w:rsidR="00B87045">
        <w:t>Alth</w:t>
      </w:r>
      <w:r w:rsidR="000513D9">
        <w:t>ough</w:t>
      </w:r>
      <w:r w:rsidR="00731F3E">
        <w:t xml:space="preserve"> not a comprehensive listing</w:t>
      </w:r>
      <w:r w:rsidR="005F18EF">
        <w:t xml:space="preserve"> of updating activities</w:t>
      </w:r>
      <w:r w:rsidR="00731F3E">
        <w:t xml:space="preserve">, </w:t>
      </w:r>
      <w:r w:rsidR="005F18EF">
        <w:t>table</w:t>
      </w:r>
      <w:r w:rsidR="000513D9">
        <w:t xml:space="preserve"> 3</w:t>
      </w:r>
      <w:r w:rsidR="005F18EF">
        <w:t xml:space="preserve"> </w:t>
      </w:r>
      <w:r w:rsidR="00731F3E">
        <w:t>sets o</w:t>
      </w:r>
      <w:r w:rsidR="005F18EF">
        <w:t>ut the key strategies used to keep employees in the participating organisations current.</w:t>
      </w:r>
    </w:p>
    <w:p w:rsidR="007A2125" w:rsidRDefault="007A2125" w:rsidP="00633C40">
      <w:pPr>
        <w:pStyle w:val="tabletitle"/>
      </w:pPr>
      <w:bookmarkStart w:id="62" w:name="_Toc355275638"/>
      <w:r w:rsidRPr="0093017C">
        <w:t xml:space="preserve">Table </w:t>
      </w:r>
      <w:r w:rsidR="0093017C">
        <w:t>3</w:t>
      </w:r>
      <w:r w:rsidR="00706E64">
        <w:tab/>
      </w:r>
      <w:r w:rsidRPr="00633C40">
        <w:t>Strategies</w:t>
      </w:r>
      <w:r>
        <w:t xml:space="preserve"> for updating: trades and professions</w:t>
      </w:r>
      <w:bookmarkEnd w:id="62"/>
    </w:p>
    <w:tbl>
      <w:tblPr>
        <w:tblW w:w="7088" w:type="dxa"/>
        <w:tblInd w:w="108" w:type="dxa"/>
        <w:tblBorders>
          <w:top w:val="single" w:sz="4" w:space="0" w:color="auto"/>
          <w:bottom w:val="single" w:sz="4" w:space="0" w:color="auto"/>
        </w:tblBorders>
        <w:tblLayout w:type="fixed"/>
        <w:tblLook w:val="0000"/>
      </w:tblPr>
      <w:tblGrid>
        <w:gridCol w:w="3907"/>
        <w:gridCol w:w="1636"/>
        <w:gridCol w:w="1545"/>
      </w:tblGrid>
      <w:tr w:rsidR="007A2125" w:rsidTr="00633C40">
        <w:trPr>
          <w:cantSplit/>
        </w:trPr>
        <w:tc>
          <w:tcPr>
            <w:tcW w:w="3870" w:type="dxa"/>
            <w:tcBorders>
              <w:top w:val="single" w:sz="4" w:space="0" w:color="auto"/>
              <w:left w:val="nil"/>
              <w:bottom w:val="single" w:sz="4" w:space="0" w:color="auto"/>
            </w:tcBorders>
          </w:tcPr>
          <w:p w:rsidR="007A2125" w:rsidRDefault="007A2125" w:rsidP="00633C40">
            <w:pPr>
              <w:pStyle w:val="Tablehead1"/>
            </w:pPr>
            <w:r w:rsidRPr="00633C40">
              <w:t>Strategy</w:t>
            </w:r>
          </w:p>
        </w:tc>
        <w:tc>
          <w:tcPr>
            <w:tcW w:w="1620" w:type="dxa"/>
            <w:tcBorders>
              <w:top w:val="single" w:sz="4" w:space="0" w:color="auto"/>
              <w:left w:val="nil"/>
              <w:bottom w:val="single" w:sz="4" w:space="0" w:color="auto"/>
            </w:tcBorders>
          </w:tcPr>
          <w:p w:rsidR="007A2125" w:rsidRDefault="007A2125" w:rsidP="007A2125">
            <w:pPr>
              <w:pStyle w:val="Tablehead1"/>
              <w:jc w:val="center"/>
            </w:pPr>
            <w:r>
              <w:t>Trades</w:t>
            </w:r>
          </w:p>
        </w:tc>
        <w:tc>
          <w:tcPr>
            <w:tcW w:w="1530" w:type="dxa"/>
            <w:tcBorders>
              <w:top w:val="single" w:sz="4" w:space="0" w:color="auto"/>
              <w:left w:val="nil"/>
              <w:bottom w:val="single" w:sz="4" w:space="0" w:color="auto"/>
            </w:tcBorders>
          </w:tcPr>
          <w:p w:rsidR="007A2125" w:rsidRDefault="007A2125" w:rsidP="007A2125">
            <w:pPr>
              <w:pStyle w:val="Tablehead1"/>
              <w:jc w:val="center"/>
            </w:pPr>
            <w:r>
              <w:t>Professions</w:t>
            </w:r>
          </w:p>
        </w:tc>
      </w:tr>
      <w:tr w:rsidR="007A2125" w:rsidTr="00633C40">
        <w:trPr>
          <w:cantSplit/>
        </w:trPr>
        <w:tc>
          <w:tcPr>
            <w:tcW w:w="3870" w:type="dxa"/>
            <w:tcBorders>
              <w:top w:val="single" w:sz="4" w:space="0" w:color="auto"/>
              <w:left w:val="nil"/>
              <w:bottom w:val="nil"/>
              <w:right w:val="nil"/>
            </w:tcBorders>
          </w:tcPr>
          <w:p w:rsidR="007A2125" w:rsidRDefault="007A2125" w:rsidP="007A2125">
            <w:pPr>
              <w:pStyle w:val="Tabletext"/>
              <w:tabs>
                <w:tab w:val="right" w:pos="703"/>
              </w:tabs>
            </w:pPr>
            <w:r>
              <w:t xml:space="preserve">Learning in and through </w:t>
            </w:r>
            <w:r w:rsidR="00706E64">
              <w:t xml:space="preserve">the conduct of </w:t>
            </w:r>
            <w:r>
              <w:t>work</w:t>
            </w:r>
          </w:p>
        </w:tc>
        <w:tc>
          <w:tcPr>
            <w:tcW w:w="1620" w:type="dxa"/>
            <w:tcBorders>
              <w:top w:val="single" w:sz="4" w:space="0" w:color="auto"/>
              <w:left w:val="nil"/>
              <w:bottom w:val="nil"/>
            </w:tcBorders>
          </w:tcPr>
          <w:p w:rsidR="007A2125" w:rsidRDefault="00706E64" w:rsidP="007A2125">
            <w:pPr>
              <w:pStyle w:val="Tabletext"/>
              <w:tabs>
                <w:tab w:val="decimal" w:pos="33"/>
              </w:tabs>
              <w:jc w:val="center"/>
            </w:pPr>
            <w:r>
              <w:sym w:font="Symbol" w:char="F0A8"/>
            </w:r>
          </w:p>
        </w:tc>
        <w:tc>
          <w:tcPr>
            <w:tcW w:w="1530" w:type="dxa"/>
            <w:tcBorders>
              <w:top w:val="single" w:sz="4" w:space="0" w:color="auto"/>
              <w:left w:val="nil"/>
              <w:bottom w:val="nil"/>
            </w:tcBorders>
          </w:tcPr>
          <w:p w:rsidR="007A2125" w:rsidRDefault="00706E64" w:rsidP="00706E64">
            <w:pPr>
              <w:pStyle w:val="Tabletext"/>
              <w:tabs>
                <w:tab w:val="decimal" w:pos="33"/>
              </w:tabs>
              <w:jc w:val="center"/>
            </w:pPr>
            <w:r>
              <w:sym w:font="Symbol" w:char="F0A8"/>
            </w:r>
          </w:p>
        </w:tc>
      </w:tr>
      <w:tr w:rsidR="007A2125" w:rsidTr="00633C40">
        <w:trPr>
          <w:cantSplit/>
        </w:trPr>
        <w:tc>
          <w:tcPr>
            <w:tcW w:w="3870" w:type="dxa"/>
            <w:tcBorders>
              <w:top w:val="nil"/>
              <w:left w:val="nil"/>
              <w:bottom w:val="nil"/>
              <w:right w:val="nil"/>
            </w:tcBorders>
          </w:tcPr>
          <w:p w:rsidR="007A2125" w:rsidRDefault="007A2125" w:rsidP="007A2125">
            <w:pPr>
              <w:pStyle w:val="Tabletext"/>
              <w:tabs>
                <w:tab w:val="right" w:pos="703"/>
              </w:tabs>
            </w:pPr>
            <w:r>
              <w:t>Collaborative learning</w:t>
            </w:r>
          </w:p>
        </w:tc>
        <w:tc>
          <w:tcPr>
            <w:tcW w:w="1620" w:type="dxa"/>
            <w:tcBorders>
              <w:top w:val="nil"/>
              <w:left w:val="nil"/>
              <w:bottom w:val="nil"/>
            </w:tcBorders>
          </w:tcPr>
          <w:p w:rsidR="007A2125" w:rsidRDefault="00706E64" w:rsidP="007A2125">
            <w:pPr>
              <w:pStyle w:val="Tabletext"/>
              <w:tabs>
                <w:tab w:val="decimal" w:pos="33"/>
              </w:tabs>
              <w:jc w:val="center"/>
            </w:pPr>
            <w:r>
              <w:sym w:font="Symbol" w:char="F0A8"/>
            </w:r>
          </w:p>
        </w:tc>
        <w:tc>
          <w:tcPr>
            <w:tcW w:w="1530" w:type="dxa"/>
            <w:tcBorders>
              <w:top w:val="nil"/>
              <w:left w:val="nil"/>
              <w:bottom w:val="nil"/>
            </w:tcBorders>
          </w:tcPr>
          <w:p w:rsidR="007A2125" w:rsidRDefault="00706E64" w:rsidP="00706E64">
            <w:pPr>
              <w:pStyle w:val="Tabletext"/>
              <w:tabs>
                <w:tab w:val="decimal" w:pos="33"/>
              </w:tabs>
              <w:jc w:val="center"/>
            </w:pPr>
            <w:r>
              <w:sym w:font="Symbol" w:char="F0A8"/>
            </w:r>
          </w:p>
        </w:tc>
      </w:tr>
      <w:tr w:rsidR="00126A82" w:rsidTr="00633C40">
        <w:trPr>
          <w:cantSplit/>
        </w:trPr>
        <w:tc>
          <w:tcPr>
            <w:tcW w:w="3870" w:type="dxa"/>
            <w:tcBorders>
              <w:top w:val="nil"/>
              <w:left w:val="nil"/>
              <w:bottom w:val="nil"/>
              <w:right w:val="nil"/>
            </w:tcBorders>
          </w:tcPr>
          <w:p w:rsidR="00126A82" w:rsidRDefault="00126A82" w:rsidP="00D708E1">
            <w:pPr>
              <w:pStyle w:val="Tabletext"/>
              <w:tabs>
                <w:tab w:val="right" w:pos="703"/>
              </w:tabs>
            </w:pPr>
            <w:r>
              <w:t>Accredited and non-accredited training</w:t>
            </w:r>
          </w:p>
        </w:tc>
        <w:tc>
          <w:tcPr>
            <w:tcW w:w="1620" w:type="dxa"/>
            <w:tcBorders>
              <w:top w:val="nil"/>
              <w:left w:val="nil"/>
              <w:bottom w:val="nil"/>
            </w:tcBorders>
          </w:tcPr>
          <w:p w:rsidR="00126A82" w:rsidRDefault="00126A82" w:rsidP="00D708E1">
            <w:pPr>
              <w:pStyle w:val="Tabletext"/>
              <w:tabs>
                <w:tab w:val="decimal" w:pos="34"/>
              </w:tabs>
              <w:jc w:val="center"/>
            </w:pPr>
            <w:r>
              <w:sym w:font="Symbol" w:char="F0A8"/>
            </w:r>
          </w:p>
        </w:tc>
        <w:tc>
          <w:tcPr>
            <w:tcW w:w="1530" w:type="dxa"/>
            <w:tcBorders>
              <w:top w:val="nil"/>
              <w:left w:val="nil"/>
              <w:bottom w:val="nil"/>
            </w:tcBorders>
          </w:tcPr>
          <w:p w:rsidR="00126A82" w:rsidRDefault="00126A82" w:rsidP="00D708E1">
            <w:pPr>
              <w:pStyle w:val="Tabletext"/>
              <w:tabs>
                <w:tab w:val="decimal" w:pos="34"/>
              </w:tabs>
              <w:jc w:val="center"/>
            </w:pPr>
            <w:r>
              <w:sym w:font="Symbol" w:char="F0A8"/>
            </w:r>
          </w:p>
        </w:tc>
      </w:tr>
      <w:tr w:rsidR="007A2125" w:rsidTr="00633C40">
        <w:trPr>
          <w:cantSplit/>
        </w:trPr>
        <w:tc>
          <w:tcPr>
            <w:tcW w:w="3870" w:type="dxa"/>
            <w:tcBorders>
              <w:top w:val="nil"/>
              <w:left w:val="nil"/>
              <w:bottom w:val="nil"/>
              <w:right w:val="nil"/>
            </w:tcBorders>
          </w:tcPr>
          <w:p w:rsidR="007A2125" w:rsidRDefault="007A2125" w:rsidP="007A2125">
            <w:pPr>
              <w:pStyle w:val="Tabletext"/>
              <w:tabs>
                <w:tab w:val="right" w:pos="703"/>
              </w:tabs>
            </w:pPr>
            <w:r>
              <w:t>Networking with industry experts</w:t>
            </w:r>
          </w:p>
        </w:tc>
        <w:tc>
          <w:tcPr>
            <w:tcW w:w="1620" w:type="dxa"/>
            <w:tcBorders>
              <w:top w:val="nil"/>
              <w:left w:val="nil"/>
              <w:bottom w:val="nil"/>
            </w:tcBorders>
          </w:tcPr>
          <w:p w:rsidR="007A2125" w:rsidRDefault="00706E64" w:rsidP="007A2125">
            <w:pPr>
              <w:pStyle w:val="Tabletext"/>
              <w:tabs>
                <w:tab w:val="decimal" w:pos="34"/>
              </w:tabs>
              <w:jc w:val="center"/>
            </w:pPr>
            <w:r>
              <w:sym w:font="Symbol" w:char="F0A8"/>
            </w:r>
          </w:p>
        </w:tc>
        <w:tc>
          <w:tcPr>
            <w:tcW w:w="1530" w:type="dxa"/>
            <w:tcBorders>
              <w:top w:val="nil"/>
              <w:left w:val="nil"/>
              <w:bottom w:val="nil"/>
            </w:tcBorders>
          </w:tcPr>
          <w:p w:rsidR="007A2125" w:rsidRDefault="00706E64" w:rsidP="00706E64">
            <w:pPr>
              <w:pStyle w:val="Tabletext"/>
              <w:tabs>
                <w:tab w:val="decimal" w:pos="34"/>
              </w:tabs>
              <w:jc w:val="center"/>
            </w:pPr>
            <w:r>
              <w:sym w:font="Symbol" w:char="F0A8"/>
            </w:r>
          </w:p>
        </w:tc>
      </w:tr>
      <w:tr w:rsidR="00706E64" w:rsidTr="00633C40">
        <w:trPr>
          <w:cantSplit/>
        </w:trPr>
        <w:tc>
          <w:tcPr>
            <w:tcW w:w="3870" w:type="dxa"/>
            <w:tcBorders>
              <w:top w:val="nil"/>
              <w:left w:val="nil"/>
              <w:bottom w:val="nil"/>
              <w:right w:val="nil"/>
            </w:tcBorders>
          </w:tcPr>
          <w:p w:rsidR="00706E64" w:rsidRDefault="00706E64" w:rsidP="00706E64">
            <w:pPr>
              <w:pStyle w:val="Tabletext"/>
              <w:tabs>
                <w:tab w:val="right" w:pos="703"/>
              </w:tabs>
            </w:pPr>
            <w:r>
              <w:t>Mentoring and/or coaching</w:t>
            </w:r>
          </w:p>
        </w:tc>
        <w:tc>
          <w:tcPr>
            <w:tcW w:w="1620" w:type="dxa"/>
            <w:tcBorders>
              <w:top w:val="nil"/>
              <w:left w:val="nil"/>
              <w:bottom w:val="nil"/>
            </w:tcBorders>
          </w:tcPr>
          <w:p w:rsidR="00706E64" w:rsidRDefault="00706E64" w:rsidP="00706E64">
            <w:pPr>
              <w:pStyle w:val="Tabletext"/>
              <w:tabs>
                <w:tab w:val="decimal" w:pos="34"/>
              </w:tabs>
              <w:jc w:val="center"/>
            </w:pPr>
            <w:r>
              <w:sym w:font="Symbol" w:char="F0A8"/>
            </w:r>
          </w:p>
        </w:tc>
        <w:tc>
          <w:tcPr>
            <w:tcW w:w="1530" w:type="dxa"/>
            <w:tcBorders>
              <w:top w:val="nil"/>
              <w:left w:val="nil"/>
              <w:bottom w:val="nil"/>
            </w:tcBorders>
          </w:tcPr>
          <w:p w:rsidR="00706E64" w:rsidRDefault="00706E64" w:rsidP="00706E64">
            <w:pPr>
              <w:pStyle w:val="Tabletext"/>
              <w:tabs>
                <w:tab w:val="decimal" w:pos="34"/>
              </w:tabs>
              <w:jc w:val="center"/>
            </w:pPr>
            <w:r>
              <w:sym w:font="Symbol" w:char="F0A8"/>
            </w:r>
          </w:p>
        </w:tc>
      </w:tr>
      <w:tr w:rsidR="00706E64" w:rsidTr="00633C40">
        <w:trPr>
          <w:cantSplit/>
        </w:trPr>
        <w:tc>
          <w:tcPr>
            <w:tcW w:w="3870" w:type="dxa"/>
            <w:tcBorders>
              <w:top w:val="nil"/>
              <w:left w:val="nil"/>
              <w:bottom w:val="nil"/>
              <w:right w:val="nil"/>
            </w:tcBorders>
          </w:tcPr>
          <w:p w:rsidR="00706E64" w:rsidRDefault="00706E64" w:rsidP="00706E64">
            <w:pPr>
              <w:pStyle w:val="Tabletext"/>
              <w:tabs>
                <w:tab w:val="right" w:pos="703"/>
              </w:tabs>
            </w:pPr>
            <w:r>
              <w:t>At</w:t>
            </w:r>
            <w:r w:rsidR="001E7652">
              <w:t xml:space="preserve">tending trade days/exhibitions, </w:t>
            </w:r>
            <w:r>
              <w:t>conferences</w:t>
            </w:r>
          </w:p>
        </w:tc>
        <w:tc>
          <w:tcPr>
            <w:tcW w:w="1620" w:type="dxa"/>
            <w:tcBorders>
              <w:top w:val="nil"/>
              <w:left w:val="nil"/>
              <w:bottom w:val="nil"/>
            </w:tcBorders>
          </w:tcPr>
          <w:p w:rsidR="00706E64" w:rsidRDefault="00706E64" w:rsidP="00706E64">
            <w:pPr>
              <w:pStyle w:val="Tabletext"/>
              <w:tabs>
                <w:tab w:val="decimal" w:pos="34"/>
              </w:tabs>
              <w:jc w:val="center"/>
            </w:pPr>
            <w:r>
              <w:sym w:font="Symbol" w:char="F0A8"/>
            </w:r>
          </w:p>
        </w:tc>
        <w:tc>
          <w:tcPr>
            <w:tcW w:w="1530" w:type="dxa"/>
            <w:tcBorders>
              <w:top w:val="nil"/>
              <w:left w:val="nil"/>
              <w:bottom w:val="nil"/>
            </w:tcBorders>
          </w:tcPr>
          <w:p w:rsidR="00706E64" w:rsidRDefault="00706E64" w:rsidP="00706E64">
            <w:pPr>
              <w:pStyle w:val="Tabletext"/>
              <w:tabs>
                <w:tab w:val="decimal" w:pos="34"/>
              </w:tabs>
              <w:jc w:val="center"/>
            </w:pPr>
            <w:r>
              <w:sym w:font="Symbol" w:char="F0A8"/>
            </w:r>
          </w:p>
        </w:tc>
      </w:tr>
      <w:tr w:rsidR="00706E64" w:rsidTr="00633C40">
        <w:trPr>
          <w:cantSplit/>
        </w:trPr>
        <w:tc>
          <w:tcPr>
            <w:tcW w:w="3870" w:type="dxa"/>
            <w:tcBorders>
              <w:top w:val="nil"/>
              <w:left w:val="nil"/>
              <w:bottom w:val="nil"/>
              <w:right w:val="nil"/>
            </w:tcBorders>
          </w:tcPr>
          <w:p w:rsidR="00706E64" w:rsidRDefault="00706E64" w:rsidP="00706E64">
            <w:pPr>
              <w:pStyle w:val="Tabletext"/>
              <w:tabs>
                <w:tab w:val="right" w:pos="703"/>
              </w:tabs>
            </w:pPr>
            <w:r>
              <w:t>Vendor and supplier training</w:t>
            </w:r>
          </w:p>
        </w:tc>
        <w:tc>
          <w:tcPr>
            <w:tcW w:w="1620" w:type="dxa"/>
            <w:tcBorders>
              <w:top w:val="nil"/>
              <w:left w:val="nil"/>
              <w:bottom w:val="nil"/>
            </w:tcBorders>
          </w:tcPr>
          <w:p w:rsidR="00706E64" w:rsidRDefault="00706E64" w:rsidP="00706E64">
            <w:pPr>
              <w:pStyle w:val="Tabletext"/>
              <w:tabs>
                <w:tab w:val="decimal" w:pos="34"/>
              </w:tabs>
              <w:jc w:val="center"/>
            </w:pPr>
            <w:r>
              <w:sym w:font="Symbol" w:char="F0A8"/>
            </w:r>
          </w:p>
        </w:tc>
        <w:tc>
          <w:tcPr>
            <w:tcW w:w="1530" w:type="dxa"/>
            <w:tcBorders>
              <w:top w:val="nil"/>
              <w:left w:val="nil"/>
              <w:bottom w:val="nil"/>
            </w:tcBorders>
          </w:tcPr>
          <w:p w:rsidR="00706E64" w:rsidRDefault="00706E64" w:rsidP="00706E64">
            <w:pPr>
              <w:pStyle w:val="Tabletext"/>
              <w:tabs>
                <w:tab w:val="decimal" w:pos="34"/>
              </w:tabs>
            </w:pPr>
          </w:p>
        </w:tc>
      </w:tr>
      <w:tr w:rsidR="007A2125" w:rsidTr="00633C40">
        <w:trPr>
          <w:cantSplit/>
        </w:trPr>
        <w:tc>
          <w:tcPr>
            <w:tcW w:w="3870" w:type="dxa"/>
            <w:tcBorders>
              <w:top w:val="nil"/>
              <w:left w:val="nil"/>
              <w:bottom w:val="nil"/>
              <w:right w:val="nil"/>
            </w:tcBorders>
          </w:tcPr>
          <w:p w:rsidR="007A2125" w:rsidRDefault="007A2125" w:rsidP="007A2125">
            <w:pPr>
              <w:pStyle w:val="Tabletext"/>
              <w:tabs>
                <w:tab w:val="right" w:pos="703"/>
              </w:tabs>
            </w:pPr>
            <w:r>
              <w:t>Problem-based, project-driven learning</w:t>
            </w:r>
          </w:p>
        </w:tc>
        <w:tc>
          <w:tcPr>
            <w:tcW w:w="1620" w:type="dxa"/>
            <w:tcBorders>
              <w:top w:val="nil"/>
              <w:left w:val="nil"/>
              <w:bottom w:val="nil"/>
            </w:tcBorders>
          </w:tcPr>
          <w:p w:rsidR="007A2125" w:rsidRDefault="007A2125" w:rsidP="007A2125">
            <w:pPr>
              <w:pStyle w:val="Tabletext"/>
              <w:tabs>
                <w:tab w:val="decimal" w:pos="34"/>
              </w:tabs>
              <w:jc w:val="center"/>
            </w:pPr>
          </w:p>
        </w:tc>
        <w:tc>
          <w:tcPr>
            <w:tcW w:w="1530" w:type="dxa"/>
            <w:tcBorders>
              <w:top w:val="nil"/>
              <w:left w:val="nil"/>
              <w:bottom w:val="nil"/>
            </w:tcBorders>
          </w:tcPr>
          <w:p w:rsidR="007A2125" w:rsidRDefault="00706E64" w:rsidP="00706E64">
            <w:pPr>
              <w:pStyle w:val="Tabletext"/>
              <w:tabs>
                <w:tab w:val="decimal" w:pos="34"/>
              </w:tabs>
              <w:jc w:val="center"/>
            </w:pPr>
            <w:r>
              <w:sym w:font="Symbol" w:char="F0A8"/>
            </w:r>
          </w:p>
        </w:tc>
      </w:tr>
      <w:tr w:rsidR="007A2125" w:rsidTr="00633C40">
        <w:trPr>
          <w:cantSplit/>
        </w:trPr>
        <w:tc>
          <w:tcPr>
            <w:tcW w:w="3870" w:type="dxa"/>
            <w:tcBorders>
              <w:top w:val="nil"/>
              <w:left w:val="nil"/>
              <w:bottom w:val="nil"/>
              <w:right w:val="nil"/>
            </w:tcBorders>
          </w:tcPr>
          <w:p w:rsidR="007A2125" w:rsidRDefault="00706E64" w:rsidP="007A2125">
            <w:pPr>
              <w:pStyle w:val="Tabletext"/>
              <w:tabs>
                <w:tab w:val="right" w:pos="703"/>
              </w:tabs>
            </w:pPr>
            <w:r>
              <w:t>Shadowing</w:t>
            </w:r>
          </w:p>
        </w:tc>
        <w:tc>
          <w:tcPr>
            <w:tcW w:w="1620" w:type="dxa"/>
            <w:tcBorders>
              <w:top w:val="nil"/>
              <w:left w:val="nil"/>
              <w:bottom w:val="nil"/>
            </w:tcBorders>
          </w:tcPr>
          <w:p w:rsidR="007A2125" w:rsidRDefault="007A2125" w:rsidP="007A2125">
            <w:pPr>
              <w:pStyle w:val="Tabletext"/>
              <w:tabs>
                <w:tab w:val="decimal" w:pos="34"/>
              </w:tabs>
              <w:jc w:val="center"/>
            </w:pPr>
          </w:p>
        </w:tc>
        <w:tc>
          <w:tcPr>
            <w:tcW w:w="1530" w:type="dxa"/>
            <w:tcBorders>
              <w:top w:val="nil"/>
              <w:left w:val="nil"/>
              <w:bottom w:val="nil"/>
            </w:tcBorders>
          </w:tcPr>
          <w:p w:rsidR="007A2125" w:rsidRDefault="00706E64" w:rsidP="00706E64">
            <w:pPr>
              <w:pStyle w:val="Tabletext"/>
              <w:tabs>
                <w:tab w:val="decimal" w:pos="34"/>
              </w:tabs>
              <w:jc w:val="center"/>
            </w:pPr>
            <w:r>
              <w:sym w:font="Symbol" w:char="F0A8"/>
            </w:r>
          </w:p>
        </w:tc>
      </w:tr>
      <w:tr w:rsidR="00706E64" w:rsidTr="00633C40">
        <w:trPr>
          <w:cantSplit/>
        </w:trPr>
        <w:tc>
          <w:tcPr>
            <w:tcW w:w="3870" w:type="dxa"/>
            <w:tcBorders>
              <w:top w:val="nil"/>
              <w:left w:val="nil"/>
              <w:bottom w:val="nil"/>
              <w:right w:val="nil"/>
            </w:tcBorders>
          </w:tcPr>
          <w:p w:rsidR="00706E64" w:rsidRDefault="00706E64" w:rsidP="007A2125">
            <w:pPr>
              <w:pStyle w:val="Tabletext"/>
              <w:tabs>
                <w:tab w:val="right" w:pos="703"/>
              </w:tabs>
            </w:pPr>
            <w:r>
              <w:t xml:space="preserve">Peer review </w:t>
            </w:r>
          </w:p>
        </w:tc>
        <w:tc>
          <w:tcPr>
            <w:tcW w:w="1620" w:type="dxa"/>
            <w:tcBorders>
              <w:top w:val="nil"/>
              <w:left w:val="nil"/>
              <w:bottom w:val="nil"/>
            </w:tcBorders>
          </w:tcPr>
          <w:p w:rsidR="00706E64" w:rsidRDefault="00706E64" w:rsidP="007A2125">
            <w:pPr>
              <w:pStyle w:val="Tabletext"/>
              <w:tabs>
                <w:tab w:val="decimal" w:pos="34"/>
              </w:tabs>
              <w:jc w:val="center"/>
            </w:pPr>
          </w:p>
        </w:tc>
        <w:tc>
          <w:tcPr>
            <w:tcW w:w="1530" w:type="dxa"/>
            <w:tcBorders>
              <w:top w:val="nil"/>
              <w:left w:val="nil"/>
              <w:bottom w:val="nil"/>
            </w:tcBorders>
          </w:tcPr>
          <w:p w:rsidR="00706E64" w:rsidRDefault="00706E64" w:rsidP="00706E64">
            <w:pPr>
              <w:pStyle w:val="Tabletext"/>
              <w:tabs>
                <w:tab w:val="decimal" w:pos="34"/>
              </w:tabs>
              <w:jc w:val="center"/>
            </w:pPr>
            <w:r>
              <w:sym w:font="Symbol" w:char="F0A8"/>
            </w:r>
          </w:p>
        </w:tc>
      </w:tr>
      <w:tr w:rsidR="00706E64" w:rsidTr="00633C40">
        <w:trPr>
          <w:cantSplit/>
        </w:trPr>
        <w:tc>
          <w:tcPr>
            <w:tcW w:w="3870" w:type="dxa"/>
            <w:tcBorders>
              <w:top w:val="nil"/>
              <w:left w:val="nil"/>
              <w:bottom w:val="single" w:sz="4" w:space="0" w:color="auto"/>
              <w:right w:val="nil"/>
            </w:tcBorders>
          </w:tcPr>
          <w:p w:rsidR="00706E64" w:rsidRDefault="00706E64" w:rsidP="00706E64">
            <w:pPr>
              <w:pStyle w:val="Tabletext"/>
              <w:tabs>
                <w:tab w:val="right" w:pos="703"/>
              </w:tabs>
            </w:pPr>
            <w:r>
              <w:t>Programmed</w:t>
            </w:r>
            <w:r w:rsidR="007D4EDB">
              <w:t xml:space="preserve"> </w:t>
            </w:r>
            <w:r>
              <w:t>knowledge exchange</w:t>
            </w:r>
          </w:p>
        </w:tc>
        <w:tc>
          <w:tcPr>
            <w:tcW w:w="1620" w:type="dxa"/>
            <w:tcBorders>
              <w:top w:val="nil"/>
              <w:left w:val="nil"/>
              <w:bottom w:val="single" w:sz="4" w:space="0" w:color="auto"/>
            </w:tcBorders>
          </w:tcPr>
          <w:p w:rsidR="00706E64" w:rsidRDefault="00706E64" w:rsidP="007A2125">
            <w:pPr>
              <w:pStyle w:val="Tabletext"/>
              <w:tabs>
                <w:tab w:val="decimal" w:pos="34"/>
              </w:tabs>
              <w:jc w:val="center"/>
            </w:pPr>
          </w:p>
        </w:tc>
        <w:tc>
          <w:tcPr>
            <w:tcW w:w="1530" w:type="dxa"/>
            <w:tcBorders>
              <w:top w:val="nil"/>
              <w:left w:val="nil"/>
              <w:bottom w:val="single" w:sz="4" w:space="0" w:color="auto"/>
            </w:tcBorders>
          </w:tcPr>
          <w:p w:rsidR="00706E64" w:rsidRDefault="00706E64" w:rsidP="00706E64">
            <w:pPr>
              <w:pStyle w:val="Tabletext"/>
              <w:tabs>
                <w:tab w:val="decimal" w:pos="34"/>
              </w:tabs>
              <w:jc w:val="center"/>
            </w:pPr>
            <w:r>
              <w:sym w:font="Symbol" w:char="F0A8"/>
            </w:r>
          </w:p>
        </w:tc>
      </w:tr>
    </w:tbl>
    <w:p w:rsidR="00F220BF" w:rsidRPr="00F25219" w:rsidRDefault="00951E23" w:rsidP="00633C40">
      <w:pPr>
        <w:pStyle w:val="Heading2"/>
      </w:pPr>
      <w:bookmarkStart w:id="63" w:name="_Toc357518803"/>
      <w:r>
        <w:t>Implications for policy and practice</w:t>
      </w:r>
      <w:bookmarkEnd w:id="63"/>
    </w:p>
    <w:p w:rsidR="00BE2682" w:rsidRPr="00633C40" w:rsidRDefault="00832A01" w:rsidP="00633C40">
      <w:pPr>
        <w:pStyle w:val="Text"/>
      </w:pPr>
      <w:r>
        <w:t>Th</w:t>
      </w:r>
      <w:r w:rsidR="00770A19">
        <w:t>e</w:t>
      </w:r>
      <w:r>
        <w:t xml:space="preserve"> </w:t>
      </w:r>
      <w:r w:rsidR="00BE2682">
        <w:t xml:space="preserve">findings from this </w:t>
      </w:r>
      <w:r>
        <w:t xml:space="preserve">research on industry currency </w:t>
      </w:r>
      <w:r w:rsidR="00961BD6">
        <w:t>from an industry perspective</w:t>
      </w:r>
      <w:r w:rsidR="00F25219">
        <w:t xml:space="preserve"> suggest a number of ways </w:t>
      </w:r>
      <w:r w:rsidR="00B64448">
        <w:t>by</w:t>
      </w:r>
      <w:r w:rsidR="000513D9">
        <w:t xml:space="preserve"> </w:t>
      </w:r>
      <w:r w:rsidR="000513D9" w:rsidRPr="00633C40">
        <w:t>which</w:t>
      </w:r>
      <w:r w:rsidR="006E7D0E" w:rsidRPr="00633C40">
        <w:t xml:space="preserve"> </w:t>
      </w:r>
      <w:r w:rsidR="00F25219" w:rsidRPr="00633C40">
        <w:t xml:space="preserve">VET practitioner </w:t>
      </w:r>
      <w:r w:rsidR="006E7D0E" w:rsidRPr="00633C40">
        <w:t xml:space="preserve">industry currency </w:t>
      </w:r>
      <w:r w:rsidR="00F25219" w:rsidRPr="00633C40">
        <w:t>might be progressed</w:t>
      </w:r>
      <w:r w:rsidR="00BE2682" w:rsidRPr="00633C40">
        <w:t>.</w:t>
      </w:r>
      <w:r w:rsidR="00F25219" w:rsidRPr="00633C40">
        <w:t xml:space="preserve"> </w:t>
      </w:r>
    </w:p>
    <w:p w:rsidR="006E7D0E" w:rsidRPr="00AC4D89" w:rsidRDefault="006E7D0E" w:rsidP="00633C40">
      <w:pPr>
        <w:pStyle w:val="Text"/>
      </w:pPr>
      <w:r w:rsidRPr="00633C40">
        <w:t xml:space="preserve">From a </w:t>
      </w:r>
      <w:r w:rsidR="00BE2682" w:rsidRPr="00633C40">
        <w:t>training</w:t>
      </w:r>
      <w:r w:rsidR="00BE2682">
        <w:t xml:space="preserve"> </w:t>
      </w:r>
      <w:r w:rsidRPr="00AC4D89">
        <w:t xml:space="preserve">system perspective, </w:t>
      </w:r>
      <w:r w:rsidR="00224504">
        <w:t>the research suggests t</w:t>
      </w:r>
      <w:r w:rsidRPr="00AC4D89">
        <w:t>here is a need to:</w:t>
      </w:r>
    </w:p>
    <w:p w:rsidR="00F25219" w:rsidRPr="00633C40" w:rsidRDefault="009E2D20" w:rsidP="00633C40">
      <w:pPr>
        <w:pStyle w:val="Dotpoint1"/>
      </w:pPr>
      <w:r>
        <w:t xml:space="preserve">ensure greater clarity about what constitutes </w:t>
      </w:r>
      <w:r w:rsidR="00A04CB6">
        <w:t xml:space="preserve">industry currency in specific industries and </w:t>
      </w:r>
      <w:r w:rsidR="000513D9">
        <w:t xml:space="preserve">to </w:t>
      </w:r>
      <w:r w:rsidR="00A04CB6">
        <w:t xml:space="preserve">determine the type and extent of evidence required to meet compliance requirements under </w:t>
      </w:r>
      <w:r w:rsidR="00AA353C">
        <w:t xml:space="preserve">SNR </w:t>
      </w:r>
      <w:r w:rsidR="00AA353C">
        <w:lastRenderedPageBreak/>
        <w:t xml:space="preserve">4.4 and SNR 15.4 of </w:t>
      </w:r>
      <w:r w:rsidR="00A04CB6">
        <w:t xml:space="preserve">the </w:t>
      </w:r>
      <w:r w:rsidR="00A04CB6" w:rsidRPr="00AC4D89">
        <w:t>Standards for NVR Registered Training Organisations</w:t>
      </w:r>
      <w:r w:rsidR="00AA353C">
        <w:t xml:space="preserve"> and Element 1.4 of the Australian Quality Training Framework Ess</w:t>
      </w:r>
      <w:r w:rsidR="000513D9">
        <w:t xml:space="preserve">ential </w:t>
      </w:r>
      <w:r w:rsidR="000513D9" w:rsidRPr="00633C40">
        <w:t>Conditions and Standards</w:t>
      </w:r>
    </w:p>
    <w:p w:rsidR="006E7D0E" w:rsidRPr="00633C40" w:rsidRDefault="006E7D0E" w:rsidP="00633C40">
      <w:pPr>
        <w:pStyle w:val="Dotpoint1"/>
      </w:pPr>
      <w:r w:rsidRPr="00633C40">
        <w:t xml:space="preserve">develop a continuing professional development framework that encompasses the full range of updating approaches, together with </w:t>
      </w:r>
      <w:r w:rsidR="00D51B05" w:rsidRPr="00633C40">
        <w:t>resources</w:t>
      </w:r>
      <w:r w:rsidRPr="00633C40">
        <w:t xml:space="preserve"> that organisations and individuals might </w:t>
      </w:r>
      <w:r w:rsidR="00D51B05" w:rsidRPr="00633C40">
        <w:t>use</w:t>
      </w:r>
      <w:r w:rsidRPr="00633C40">
        <w:t xml:space="preserve"> to support a continuing professional development strategy</w:t>
      </w:r>
    </w:p>
    <w:p w:rsidR="006E7D0E" w:rsidRPr="00633C40" w:rsidRDefault="006E7D0E" w:rsidP="00633C40">
      <w:pPr>
        <w:pStyle w:val="Dotpoint1"/>
      </w:pPr>
      <w:r w:rsidRPr="00633C40">
        <w:t xml:space="preserve">develop an audit system that works effectively to encourage the maintenance of </w:t>
      </w:r>
      <w:r w:rsidR="00224504" w:rsidRPr="00633C40">
        <w:t>industry</w:t>
      </w:r>
      <w:r w:rsidRPr="00633C40">
        <w:t xml:space="preserve"> currency</w:t>
      </w:r>
      <w:r w:rsidR="00224504" w:rsidRPr="00633C40">
        <w:t xml:space="preserve"> and is tailored to specific </w:t>
      </w:r>
      <w:r w:rsidR="000513D9" w:rsidRPr="00633C40">
        <w:t>industry and practitioner needs</w:t>
      </w:r>
    </w:p>
    <w:p w:rsidR="006E7D0E" w:rsidRPr="00AC4D89" w:rsidRDefault="006E7D0E" w:rsidP="00633C40">
      <w:pPr>
        <w:pStyle w:val="Dotpoint1"/>
      </w:pPr>
      <w:proofErr w:type="gramStart"/>
      <w:r w:rsidRPr="00633C40">
        <w:t>introduce</w:t>
      </w:r>
      <w:proofErr w:type="gramEnd"/>
      <w:r w:rsidRPr="00633C40">
        <w:t xml:space="preserve"> a funding regime which recognises that </w:t>
      </w:r>
      <w:r w:rsidR="00EC6716" w:rsidRPr="00633C40">
        <w:t>t</w:t>
      </w:r>
      <w:r w:rsidR="00EC6716" w:rsidRPr="00AC4D89">
        <w:t>here must be some contribution from all key stak</w:t>
      </w:r>
      <w:r w:rsidR="00EC6716">
        <w:t>eholders</w:t>
      </w:r>
      <w:r w:rsidR="00B64448">
        <w:t>,</w:t>
      </w:r>
      <w:r w:rsidR="00EC6716">
        <w:t xml:space="preserve"> given the critical importance they have accorded</w:t>
      </w:r>
      <w:r w:rsidRPr="00AC4D89">
        <w:t xml:space="preserve"> industry currency</w:t>
      </w:r>
      <w:r w:rsidR="00731F3E">
        <w:t xml:space="preserve">. </w:t>
      </w:r>
    </w:p>
    <w:p w:rsidR="006E7D0E" w:rsidRPr="00AC4D89" w:rsidRDefault="006E7D0E" w:rsidP="006E7D0E">
      <w:pPr>
        <w:pStyle w:val="Text"/>
      </w:pPr>
      <w:r w:rsidRPr="00AC4D89">
        <w:t>From a</w:t>
      </w:r>
      <w:r w:rsidR="00BE2682">
        <w:t xml:space="preserve"> training provider</w:t>
      </w:r>
      <w:r w:rsidRPr="00AC4D89">
        <w:t xml:space="preserve"> perspective, the research </w:t>
      </w:r>
      <w:r w:rsidR="00A04CB6">
        <w:t>suggests there is a need to</w:t>
      </w:r>
      <w:r w:rsidRPr="00AC4D89">
        <w:t>:</w:t>
      </w:r>
    </w:p>
    <w:p w:rsidR="006E7D0E" w:rsidRPr="00AC4D89" w:rsidRDefault="006E7D0E" w:rsidP="006E7D0E">
      <w:pPr>
        <w:pStyle w:val="Dotpoint1"/>
      </w:pPr>
      <w:r w:rsidRPr="00AC4D89">
        <w:t xml:space="preserve">develop an organisational climate that endorses, supports and rewards updating so that the revitalisation of vocational competence </w:t>
      </w:r>
      <w:r w:rsidR="00224504">
        <w:t xml:space="preserve">and industry currency </w:t>
      </w:r>
      <w:r w:rsidRPr="00AC4D89">
        <w:t>becomes the norm among practitioners</w:t>
      </w:r>
    </w:p>
    <w:p w:rsidR="006E7D0E" w:rsidRPr="00AC4D89" w:rsidRDefault="006E7D0E" w:rsidP="006E7D0E">
      <w:pPr>
        <w:pStyle w:val="Dotpoint1"/>
      </w:pPr>
      <w:proofErr w:type="gramStart"/>
      <w:r w:rsidRPr="00AC4D89">
        <w:t>adopt</w:t>
      </w:r>
      <w:proofErr w:type="gramEnd"/>
      <w:r w:rsidRPr="00AC4D89">
        <w:t xml:space="preserve"> a strategic approach to the maintenance of industry currency, particularly where technology and the associated knowledge are constantly being superseded. As new knowledge emerges and skill requirements change, those workers who have responsibility for the take-up of innovations will need to be provided with carefully tailored training to keep them abreast of the changes</w:t>
      </w:r>
    </w:p>
    <w:p w:rsidR="006E7D0E" w:rsidRPr="00AC4D89" w:rsidRDefault="006E7D0E" w:rsidP="006E7D0E">
      <w:pPr>
        <w:pStyle w:val="Dotpoint1"/>
      </w:pPr>
      <w:r w:rsidRPr="00AC4D89">
        <w:t xml:space="preserve">introduce innovative approaches that not only offer formal and structured learning activities but also </w:t>
      </w:r>
      <w:r w:rsidR="00224504">
        <w:t xml:space="preserve">open up </w:t>
      </w:r>
      <w:r w:rsidRPr="00AC4D89">
        <w:t>incidental learning opportunities as they arise in</w:t>
      </w:r>
      <w:r w:rsidR="00EC6716">
        <w:t xml:space="preserve"> the conduct of day-to-day work</w:t>
      </w:r>
    </w:p>
    <w:p w:rsidR="006E7D0E" w:rsidRDefault="006E7D0E" w:rsidP="006E7D0E">
      <w:pPr>
        <w:pStyle w:val="Dotpoint1"/>
      </w:pPr>
      <w:r w:rsidRPr="00AC4D89">
        <w:t xml:space="preserve">emphasise the importance of collaborative learning, whereby sharing of new knowledge and mentoring </w:t>
      </w:r>
      <w:r w:rsidR="00224504">
        <w:t xml:space="preserve">of </w:t>
      </w:r>
      <w:r w:rsidRPr="00AC4D89">
        <w:t>others</w:t>
      </w:r>
      <w:r w:rsidR="00EC6716">
        <w:t>,</w:t>
      </w:r>
      <w:r w:rsidR="00224504">
        <w:t xml:space="preserve"> including the </w:t>
      </w:r>
      <w:proofErr w:type="spellStart"/>
      <w:r w:rsidR="00224504">
        <w:t>casualised</w:t>
      </w:r>
      <w:proofErr w:type="spellEnd"/>
      <w:r w:rsidR="00224504">
        <w:t xml:space="preserve"> </w:t>
      </w:r>
      <w:r w:rsidR="00A04CB6">
        <w:t>training</w:t>
      </w:r>
      <w:r w:rsidR="00224504">
        <w:t xml:space="preserve"> workforce,</w:t>
      </w:r>
      <w:r w:rsidRPr="00AC4D89">
        <w:t xml:space="preserve"> is encouraged and supported</w:t>
      </w:r>
    </w:p>
    <w:p w:rsidR="00A04CB6" w:rsidRPr="00AC4D89" w:rsidRDefault="00A04CB6" w:rsidP="006E7D0E">
      <w:pPr>
        <w:pStyle w:val="Dotpoint1"/>
      </w:pPr>
      <w:r>
        <w:t>encourage the development of trainer interactions with employers and industry bodies who are willi</w:t>
      </w:r>
      <w:r w:rsidR="00EC6716">
        <w:t>ng to assist individuals to update</w:t>
      </w:r>
      <w:r>
        <w:t xml:space="preserve"> </w:t>
      </w:r>
    </w:p>
    <w:p w:rsidR="006E7D0E" w:rsidRPr="00AC4D89" w:rsidRDefault="006E7D0E" w:rsidP="00A407F1">
      <w:pPr>
        <w:pStyle w:val="Dotpoint1"/>
      </w:pPr>
      <w:r w:rsidRPr="00AC4D89">
        <w:t>make prominent the issue of industry currency in performance management discussions with individual practitioners and develop meaningful and achievable plans for its attainment</w:t>
      </w:r>
    </w:p>
    <w:p w:rsidR="006E7D0E" w:rsidRDefault="006E7D0E" w:rsidP="006E7D0E">
      <w:pPr>
        <w:pStyle w:val="Dotpoint1"/>
      </w:pPr>
      <w:proofErr w:type="gramStart"/>
      <w:r w:rsidRPr="00AC4D89">
        <w:t>strike</w:t>
      </w:r>
      <w:proofErr w:type="gramEnd"/>
      <w:r w:rsidRPr="00AC4D89">
        <w:t xml:space="preserve"> the right balance between m</w:t>
      </w:r>
      <w:r w:rsidR="00EC6716">
        <w:t>aintaining industry currency and improving teaching quality</w:t>
      </w:r>
      <w:r w:rsidRPr="00AC4D89">
        <w:t>.</w:t>
      </w:r>
    </w:p>
    <w:p w:rsidR="00224504" w:rsidRPr="00AC4D89" w:rsidRDefault="00224504" w:rsidP="00633C40">
      <w:pPr>
        <w:pStyle w:val="Text"/>
      </w:pPr>
      <w:r w:rsidRPr="00AC4D89">
        <w:t xml:space="preserve">From an </w:t>
      </w:r>
      <w:r>
        <w:t>individual trainer</w:t>
      </w:r>
      <w:r w:rsidR="00BE2682">
        <w:t xml:space="preserve"> or assessor</w:t>
      </w:r>
      <w:r>
        <w:t xml:space="preserve"> perspective</w:t>
      </w:r>
      <w:r w:rsidRPr="00AC4D89">
        <w:t xml:space="preserve">, the research </w:t>
      </w:r>
      <w:r w:rsidR="00C97523">
        <w:t>suggests</w:t>
      </w:r>
      <w:r w:rsidRPr="00AC4D89">
        <w:t xml:space="preserve"> there is a need to:</w:t>
      </w:r>
    </w:p>
    <w:p w:rsidR="00224504" w:rsidRDefault="00C97523" w:rsidP="00C97523">
      <w:pPr>
        <w:pStyle w:val="Dotpoint1"/>
      </w:pPr>
      <w:r>
        <w:t>commit to ongoing interactions with industry to build on in</w:t>
      </w:r>
      <w:r w:rsidR="00EC6716">
        <w:t>dustry experience and knowledge</w:t>
      </w:r>
    </w:p>
    <w:p w:rsidR="00C97523" w:rsidRDefault="00C97523" w:rsidP="00C97523">
      <w:pPr>
        <w:pStyle w:val="Dotpoint1"/>
      </w:pPr>
      <w:r>
        <w:t xml:space="preserve">use opportunities </w:t>
      </w:r>
      <w:r w:rsidR="00DB244E">
        <w:t xml:space="preserve">to engage with industry and </w:t>
      </w:r>
      <w:r>
        <w:t xml:space="preserve">build </w:t>
      </w:r>
      <w:r w:rsidR="00DB244E">
        <w:t xml:space="preserve">industry </w:t>
      </w:r>
      <w:r>
        <w:t>networks</w:t>
      </w:r>
    </w:p>
    <w:p w:rsidR="00C97523" w:rsidRDefault="00C97523" w:rsidP="00C97523">
      <w:pPr>
        <w:pStyle w:val="Dotpoint1"/>
      </w:pPr>
      <w:r>
        <w:t>attend industry events and supplier/vendor training to keep abreast of emerging industry trends</w:t>
      </w:r>
    </w:p>
    <w:p w:rsidR="00C97523" w:rsidRDefault="00C97523" w:rsidP="00C97523">
      <w:pPr>
        <w:pStyle w:val="Dotpoint1"/>
      </w:pPr>
      <w:r>
        <w:t>share experiences and information with training colleagues</w:t>
      </w:r>
    </w:p>
    <w:p w:rsidR="00DB244E" w:rsidRPr="00AC4D89" w:rsidRDefault="00DB244E" w:rsidP="00C97523">
      <w:pPr>
        <w:pStyle w:val="Dotpoint1"/>
      </w:pPr>
      <w:proofErr w:type="gramStart"/>
      <w:r>
        <w:t>apply</w:t>
      </w:r>
      <w:proofErr w:type="gramEnd"/>
      <w:r>
        <w:t xml:space="preserve"> new </w:t>
      </w:r>
      <w:r w:rsidR="00B64448">
        <w:t xml:space="preserve">industry knowledge and skills </w:t>
      </w:r>
      <w:r>
        <w:t>to day-to-day teaching and training practice.</w:t>
      </w:r>
    </w:p>
    <w:p w:rsidR="006E7D0E" w:rsidRDefault="006E7D0E" w:rsidP="00633C40">
      <w:pPr>
        <w:pStyle w:val="Text"/>
      </w:pPr>
      <w:r w:rsidRPr="00AC4D89">
        <w:t xml:space="preserve">A systemic framework for continuing professional development and access to </w:t>
      </w:r>
      <w:r w:rsidR="00A24A56">
        <w:t>training</w:t>
      </w:r>
      <w:r w:rsidRPr="00AC4D89">
        <w:t xml:space="preserve"> in </w:t>
      </w:r>
      <w:r w:rsidR="00A24A56">
        <w:t xml:space="preserve">key </w:t>
      </w:r>
      <w:r w:rsidRPr="00AC4D89">
        <w:t xml:space="preserve">technical areas, together with some innovative organisational thinking about the provision of developmental opportunities for </w:t>
      </w:r>
      <w:r w:rsidR="00224504">
        <w:t>trainers</w:t>
      </w:r>
      <w:r w:rsidR="00C97523">
        <w:t>, will go some way to a</w:t>
      </w:r>
      <w:r w:rsidRPr="00AC4D89">
        <w:t>ddress</w:t>
      </w:r>
      <w:r w:rsidR="00C97523">
        <w:t>ing the issue of industry currency in the VET sector</w:t>
      </w:r>
      <w:r w:rsidRPr="00AC4D89">
        <w:t xml:space="preserve">. </w:t>
      </w:r>
      <w:r w:rsidR="006A1530">
        <w:t xml:space="preserve">It must be acknowledged, however, that rapid technological advancement and changes in industry trends </w:t>
      </w:r>
      <w:r w:rsidR="00A24A56">
        <w:t>will</w:t>
      </w:r>
      <w:r w:rsidR="006A1530">
        <w:t xml:space="preserve"> be ever-present and currency </w:t>
      </w:r>
      <w:r w:rsidR="00A24A56">
        <w:t>will</w:t>
      </w:r>
      <w:r w:rsidR="006A1530">
        <w:t xml:space="preserve"> remain a constant challenge</w:t>
      </w:r>
      <w:r w:rsidR="00A24A56">
        <w:t>.</w:t>
      </w:r>
      <w:r w:rsidR="006A1530">
        <w:t xml:space="preserve"> At best, a</w:t>
      </w:r>
      <w:r w:rsidRPr="00AC4D89">
        <w:t xml:space="preserve"> carefully targeted </w:t>
      </w:r>
      <w:r w:rsidR="00C97523">
        <w:t xml:space="preserve">and strategic organisational </w:t>
      </w:r>
      <w:r w:rsidRPr="00AC4D89">
        <w:t xml:space="preserve">approach will ensure that the </w:t>
      </w:r>
      <w:r w:rsidR="00A24A56">
        <w:t xml:space="preserve">most </w:t>
      </w:r>
      <w:r w:rsidRPr="00AC4D89">
        <w:t xml:space="preserve">critical knowledge and skills upon which the credibility of </w:t>
      </w:r>
      <w:r w:rsidR="006A1530">
        <w:t xml:space="preserve">trainers, </w:t>
      </w:r>
      <w:r w:rsidR="00EA3658">
        <w:t>registered training organisations</w:t>
      </w:r>
      <w:r w:rsidR="006A1530">
        <w:t xml:space="preserve"> and </w:t>
      </w:r>
      <w:r w:rsidRPr="00AC4D89">
        <w:t xml:space="preserve">the sector largely rest will gain the status and focus they deserve. </w:t>
      </w:r>
    </w:p>
    <w:p w:rsidR="00A50895" w:rsidRDefault="00A50895" w:rsidP="00633C40">
      <w:pPr>
        <w:pStyle w:val="Heading1"/>
      </w:pPr>
      <w:bookmarkStart w:id="64" w:name="_Toc456000800"/>
      <w:bookmarkStart w:id="65" w:name="_Toc457122465"/>
      <w:bookmarkStart w:id="66" w:name="_Toc188077643"/>
      <w:bookmarkStart w:id="67" w:name="_Toc357518804"/>
      <w:r>
        <w:lastRenderedPageBreak/>
        <w:t>References</w:t>
      </w:r>
      <w:bookmarkEnd w:id="64"/>
      <w:bookmarkEnd w:id="65"/>
      <w:bookmarkEnd w:id="66"/>
      <w:bookmarkEnd w:id="67"/>
    </w:p>
    <w:p w:rsidR="0067503F" w:rsidRPr="0067503F" w:rsidRDefault="0067503F" w:rsidP="00A81318">
      <w:pPr>
        <w:pStyle w:val="References"/>
      </w:pPr>
      <w:proofErr w:type="gramStart"/>
      <w:r>
        <w:t xml:space="preserve">Blanton, JE, </w:t>
      </w:r>
      <w:proofErr w:type="spellStart"/>
      <w:r>
        <w:t>Schamback</w:t>
      </w:r>
      <w:proofErr w:type="spellEnd"/>
      <w:r>
        <w:t xml:space="preserve">, T &amp; </w:t>
      </w:r>
      <w:r w:rsidRPr="0067503F">
        <w:t>Trimmer</w:t>
      </w:r>
      <w:r>
        <w:t xml:space="preserve">, K 1998, ‘Factors affecting professional competence of information technology professionals’, </w:t>
      </w:r>
      <w:r>
        <w:rPr>
          <w:i/>
        </w:rPr>
        <w:t xml:space="preserve">ACM SIGCPR Computer Personnel, </w:t>
      </w:r>
      <w:r>
        <w:t>vol.19, no.3, pp.4—19.</w:t>
      </w:r>
      <w:proofErr w:type="gramEnd"/>
    </w:p>
    <w:p w:rsidR="00A81318" w:rsidRDefault="00A81318" w:rsidP="00A81318">
      <w:pPr>
        <w:pStyle w:val="References"/>
      </w:pPr>
      <w:proofErr w:type="spellStart"/>
      <w:r>
        <w:t>Burack</w:t>
      </w:r>
      <w:proofErr w:type="spellEnd"/>
      <w:r>
        <w:t xml:space="preserve">, E &amp; </w:t>
      </w:r>
      <w:proofErr w:type="spellStart"/>
      <w:r>
        <w:t>Pati</w:t>
      </w:r>
      <w:proofErr w:type="spellEnd"/>
      <w:r>
        <w:t xml:space="preserve">, G 1976, ‘Technology and managerial obsolescence’, in </w:t>
      </w:r>
      <w:r w:rsidRPr="00D251BB">
        <w:rPr>
          <w:i/>
        </w:rPr>
        <w:t>Readings in management: contingencies, structure and process</w:t>
      </w:r>
      <w:r w:rsidR="002C15ED">
        <w:t xml:space="preserve">, ed. H </w:t>
      </w:r>
      <w:proofErr w:type="spellStart"/>
      <w:r w:rsidR="002C15ED">
        <w:t>Tosi</w:t>
      </w:r>
      <w:proofErr w:type="spellEnd"/>
      <w:r w:rsidR="002C15ED">
        <w:t>, St</w:t>
      </w:r>
      <w:r>
        <w:t xml:space="preserve"> Clair Press, Illinois.</w:t>
      </w:r>
    </w:p>
    <w:p w:rsidR="00A81318" w:rsidRDefault="00A81318" w:rsidP="00A81318">
      <w:pPr>
        <w:pStyle w:val="References"/>
      </w:pPr>
      <w:proofErr w:type="spellStart"/>
      <w:r>
        <w:t>Callan</w:t>
      </w:r>
      <w:proofErr w:type="spellEnd"/>
      <w:r>
        <w:t xml:space="preserve">, V 2006, </w:t>
      </w:r>
      <w:r w:rsidRPr="00D251BB">
        <w:rPr>
          <w:i/>
          <w:iCs/>
        </w:rPr>
        <w:t>Ready, willing and capable: teaching capabilities for the Queensland vocational education and training (VET)</w:t>
      </w:r>
      <w:r>
        <w:t xml:space="preserve"> </w:t>
      </w:r>
      <w:r w:rsidRPr="00633C40">
        <w:t>sector</w:t>
      </w:r>
      <w:r>
        <w:t>, Department of Education, Training and the Arts, Queensland.</w:t>
      </w:r>
    </w:p>
    <w:p w:rsidR="00A81318" w:rsidRDefault="00A81318" w:rsidP="00A81318">
      <w:pPr>
        <w:pStyle w:val="References"/>
      </w:pPr>
      <w:proofErr w:type="spellStart"/>
      <w:r>
        <w:t>Callan</w:t>
      </w:r>
      <w:proofErr w:type="spellEnd"/>
      <w:r>
        <w:t xml:space="preserve">, V, Mitchell, J, Clayton, B &amp; Smith, L 2007, </w:t>
      </w:r>
      <w:r w:rsidRPr="00D251BB">
        <w:rPr>
          <w:i/>
          <w:iCs/>
        </w:rPr>
        <w:t>Approaches to sustaining and building management and leadership capacity in VET providers</w:t>
      </w:r>
      <w:r>
        <w:t>, NCVER, Adelaide.</w:t>
      </w:r>
    </w:p>
    <w:p w:rsidR="00A81318" w:rsidRDefault="00A81318" w:rsidP="00A81318">
      <w:pPr>
        <w:pStyle w:val="References"/>
      </w:pPr>
      <w:proofErr w:type="spellStart"/>
      <w:r>
        <w:t>Chauhan</w:t>
      </w:r>
      <w:proofErr w:type="spellEnd"/>
      <w:r>
        <w:t xml:space="preserve">, S &amp; </w:t>
      </w:r>
      <w:proofErr w:type="spellStart"/>
      <w:r>
        <w:t>Chauhan</w:t>
      </w:r>
      <w:proofErr w:type="spellEnd"/>
      <w:r>
        <w:t>, D 2009, ‘Are you on the verge of obsolescence?</w:t>
      </w:r>
      <w:proofErr w:type="gramStart"/>
      <w:r>
        <w:t>’,</w:t>
      </w:r>
      <w:proofErr w:type="gramEnd"/>
      <w:r>
        <w:t xml:space="preserve"> </w:t>
      </w:r>
      <w:r w:rsidRPr="00D251BB">
        <w:rPr>
          <w:i/>
        </w:rPr>
        <w:t>Indian Journal of Industrial Relations</w:t>
      </w:r>
      <w:r>
        <w:t>, vol.44, no.4, pp.646—59.</w:t>
      </w:r>
    </w:p>
    <w:p w:rsidR="00A81318" w:rsidRDefault="00A81318" w:rsidP="00A81318">
      <w:pPr>
        <w:pStyle w:val="References"/>
      </w:pPr>
      <w:r>
        <w:t xml:space="preserve">Clayton, B, Fisher, T &amp; Hughes, E 2005, </w:t>
      </w:r>
      <w:proofErr w:type="gramStart"/>
      <w:r w:rsidRPr="00D251BB">
        <w:rPr>
          <w:i/>
          <w:iCs/>
        </w:rPr>
        <w:t>Sustaining</w:t>
      </w:r>
      <w:proofErr w:type="gramEnd"/>
      <w:r w:rsidRPr="00D251BB">
        <w:rPr>
          <w:i/>
          <w:iCs/>
        </w:rPr>
        <w:t xml:space="preserve"> the skill base of technical and further education institutes: TAFE managers’ perspectives</w:t>
      </w:r>
      <w:r>
        <w:t>, NCVER, Adelaide.</w:t>
      </w:r>
    </w:p>
    <w:p w:rsidR="00A81318" w:rsidRDefault="00A81318" w:rsidP="00A81318">
      <w:pPr>
        <w:pStyle w:val="References"/>
      </w:pPr>
      <w:proofErr w:type="gramStart"/>
      <w:r>
        <w:t xml:space="preserve">Ferdinand, T 1966, ‘On the obsolescence of scientists and engineers’, </w:t>
      </w:r>
      <w:r w:rsidRPr="00D251BB">
        <w:rPr>
          <w:i/>
        </w:rPr>
        <w:t>American Scientist</w:t>
      </w:r>
      <w:r>
        <w:t>, vol.54, no.1, pp.45—56.</w:t>
      </w:r>
      <w:proofErr w:type="gramEnd"/>
    </w:p>
    <w:p w:rsidR="00A81318" w:rsidRDefault="00A81318" w:rsidP="00A81318">
      <w:pPr>
        <w:pStyle w:val="References"/>
      </w:pPr>
      <w:r>
        <w:t xml:space="preserve">Guthrie, H 2010, </w:t>
      </w:r>
      <w:r w:rsidRPr="00D251BB">
        <w:rPr>
          <w:i/>
        </w:rPr>
        <w:t>Professional development in the vocational education and training workforce</w:t>
      </w:r>
      <w:r>
        <w:t>, NCVER, Adelaide.</w:t>
      </w:r>
    </w:p>
    <w:p w:rsidR="00A81318" w:rsidRDefault="00A81318" w:rsidP="00A81318">
      <w:pPr>
        <w:pStyle w:val="References"/>
      </w:pPr>
      <w:r>
        <w:t xml:space="preserve">Guthrie, H, Perkins, K &amp; Nguyen, N 2006, </w:t>
      </w:r>
      <w:r w:rsidRPr="00D251BB">
        <w:rPr>
          <w:i/>
        </w:rPr>
        <w:t>VET teaching and learning: the future now 2006—2010: the roles, knowledge and skill requirements of the VET practitioner</w:t>
      </w:r>
      <w:r>
        <w:t>, Department of Education and Training, Perth.</w:t>
      </w:r>
    </w:p>
    <w:p w:rsidR="00A81318" w:rsidRDefault="00A81318" w:rsidP="00A81318">
      <w:pPr>
        <w:pStyle w:val="References"/>
      </w:pPr>
      <w:r>
        <w:t xml:space="preserve">Innovation and Business Skills Australia 2010, </w:t>
      </w:r>
      <w:r w:rsidRPr="00D251BB">
        <w:rPr>
          <w:i/>
        </w:rPr>
        <w:t>IBSA Environment scan — 2010: looking to the future — industry intelligence on workforce development</w:t>
      </w:r>
      <w:r>
        <w:t>, Australian Government, Canberra.</w:t>
      </w:r>
    </w:p>
    <w:p w:rsidR="00A81318" w:rsidRDefault="00A81318" w:rsidP="00A81318">
      <w:pPr>
        <w:pStyle w:val="References"/>
      </w:pPr>
      <w:proofErr w:type="gramStart"/>
      <w:r>
        <w:t xml:space="preserve">Knight, P 1998, ‘Professional obsolescence and continuing professional development in higher education’, </w:t>
      </w:r>
      <w:r w:rsidRPr="00D251BB">
        <w:rPr>
          <w:i/>
        </w:rPr>
        <w:t>Innovations in Education and Teaching International</w:t>
      </w:r>
      <w:r>
        <w:t>, vol.35, no.3, pp.248—56.</w:t>
      </w:r>
      <w:proofErr w:type="gramEnd"/>
    </w:p>
    <w:p w:rsidR="00A81318" w:rsidRDefault="00A81318" w:rsidP="00A81318">
      <w:pPr>
        <w:pStyle w:val="References"/>
      </w:pPr>
      <w:proofErr w:type="spellStart"/>
      <w:proofErr w:type="gramStart"/>
      <w:r>
        <w:t>Kreiner</w:t>
      </w:r>
      <w:proofErr w:type="spellEnd"/>
      <w:r>
        <w:t xml:space="preserve">, J 2006, ‘Combating obsolescence — redefining the ever-evolving engineering profession’, </w:t>
      </w:r>
      <w:r w:rsidRPr="00D251BB">
        <w:rPr>
          <w:i/>
        </w:rPr>
        <w:t>FME Transactions</w:t>
      </w:r>
      <w:r>
        <w:t>, vol.34, pp.227—30.</w:t>
      </w:r>
      <w:proofErr w:type="gramEnd"/>
    </w:p>
    <w:p w:rsidR="00A81318" w:rsidRDefault="00A81318" w:rsidP="00A81318">
      <w:pPr>
        <w:pStyle w:val="References"/>
      </w:pPr>
      <w:proofErr w:type="gramStart"/>
      <w:r>
        <w:t xml:space="preserve">Mahler, W 1965, ‘Every company’s problem — managerial obsolescence’, </w:t>
      </w:r>
      <w:r w:rsidRPr="00D251BB">
        <w:rPr>
          <w:i/>
        </w:rPr>
        <w:t>Personnel</w:t>
      </w:r>
      <w:r>
        <w:t>, July—August, pp.8—10.</w:t>
      </w:r>
      <w:proofErr w:type="gramEnd"/>
    </w:p>
    <w:p w:rsidR="00A81318" w:rsidRDefault="00A81318" w:rsidP="00A81318">
      <w:pPr>
        <w:pStyle w:val="References"/>
      </w:pPr>
      <w:r>
        <w:t xml:space="preserve">Mitchell, J 2010, </w:t>
      </w:r>
      <w:r w:rsidR="002C15ED">
        <w:t>‘</w:t>
      </w:r>
      <w:r>
        <w:t xml:space="preserve">How to extract strategic value from the VETCAT reports: an interview with Anne </w:t>
      </w:r>
      <w:proofErr w:type="spellStart"/>
      <w:r>
        <w:t>Dening</w:t>
      </w:r>
      <w:proofErr w:type="spellEnd"/>
      <w:r w:rsidR="002C15ED">
        <w:t>’</w:t>
      </w:r>
      <w:r>
        <w:t xml:space="preserve">, viewed June 2011, </w:t>
      </w:r>
      <w:r w:rsidR="002C15ED">
        <w:t>&lt;</w:t>
      </w:r>
      <w:r>
        <w:t>www.jma.com.au/User_Uploaded_Files/file/</w:t>
      </w:r>
      <w:r w:rsidR="002C15ED">
        <w:t>&gt;</w:t>
      </w:r>
      <w:r>
        <w:t>.</w:t>
      </w:r>
    </w:p>
    <w:p w:rsidR="00A81318" w:rsidRDefault="008C2B52" w:rsidP="00A81318">
      <w:pPr>
        <w:pStyle w:val="References"/>
      </w:pPr>
      <w:proofErr w:type="spellStart"/>
      <w:proofErr w:type="gramStart"/>
      <w:r>
        <w:t>Pazy</w:t>
      </w:r>
      <w:proofErr w:type="spellEnd"/>
      <w:r>
        <w:t xml:space="preserve">, A </w:t>
      </w:r>
      <w:r w:rsidR="00A81318">
        <w:t xml:space="preserve">1996, ‘Concept and career-stage differentiation in obsolescence research’, </w:t>
      </w:r>
      <w:r w:rsidR="00A81318" w:rsidRPr="00D251BB">
        <w:rPr>
          <w:i/>
        </w:rPr>
        <w:t xml:space="preserve">Journal of Organizational </w:t>
      </w:r>
      <w:proofErr w:type="spellStart"/>
      <w:r w:rsidR="00A81318" w:rsidRPr="00D251BB">
        <w:rPr>
          <w:i/>
        </w:rPr>
        <w:t>Behavior</w:t>
      </w:r>
      <w:proofErr w:type="spellEnd"/>
      <w:r w:rsidR="00A81318">
        <w:t>, vol.17, no.1, pp.59—78.</w:t>
      </w:r>
      <w:proofErr w:type="gramEnd"/>
    </w:p>
    <w:p w:rsidR="004F3EA8" w:rsidRPr="00FE19A7" w:rsidRDefault="004F3EA8" w:rsidP="004F3EA8">
      <w:pPr>
        <w:pStyle w:val="References"/>
      </w:pPr>
      <w:r>
        <w:t xml:space="preserve">Precision Consulting 2008, </w:t>
      </w:r>
      <w:r>
        <w:rPr>
          <w:i/>
        </w:rPr>
        <w:t>Investigation into industry expectations of vocational education and training assessment: final report</w:t>
      </w:r>
      <w:r>
        <w:t xml:space="preserve">, National Quality Council, viewed 29 January 2012, </w:t>
      </w:r>
      <w:hyperlink w:history="1">
        <w:r w:rsidR="00633C40" w:rsidRPr="00D1062E">
          <w:rPr>
            <w:rStyle w:val="Hyperlink"/>
            <w:sz w:val="18"/>
          </w:rPr>
          <w:t>&lt;www.nssc.natese.gov.au/ nqc_archive/nqc_publications/publications/assessment/vet_assessment_report</w:t>
        </w:r>
      </w:hyperlink>
      <w:r>
        <w:t>&gt;.</w:t>
      </w:r>
    </w:p>
    <w:p w:rsidR="00A81318" w:rsidRDefault="008C2B52" w:rsidP="00A81318">
      <w:pPr>
        <w:pStyle w:val="References"/>
      </w:pPr>
      <w:proofErr w:type="gramStart"/>
      <w:r>
        <w:t xml:space="preserve">Productivity Commission </w:t>
      </w:r>
      <w:r w:rsidR="00A81318">
        <w:t xml:space="preserve">2011, </w:t>
      </w:r>
      <w:r w:rsidR="00A81318" w:rsidRPr="00D251BB">
        <w:rPr>
          <w:i/>
        </w:rPr>
        <w:t>Vocational education and training workforce, research report</w:t>
      </w:r>
      <w:r w:rsidR="00A81318">
        <w:t>, Australian Government, Canberra.</w:t>
      </w:r>
      <w:proofErr w:type="gramEnd"/>
    </w:p>
    <w:p w:rsidR="00A81318" w:rsidRDefault="00A81318" w:rsidP="00A81318">
      <w:pPr>
        <w:pStyle w:val="References"/>
      </w:pPr>
      <w:proofErr w:type="gramStart"/>
      <w:r>
        <w:t xml:space="preserve">Rothman, R &amp; </w:t>
      </w:r>
      <w:proofErr w:type="spellStart"/>
      <w:r>
        <w:t>Perrucci</w:t>
      </w:r>
      <w:proofErr w:type="spellEnd"/>
      <w:r>
        <w:t xml:space="preserve">, R 1970, ‘Organizational careers and professional expertise’, </w:t>
      </w:r>
      <w:r w:rsidRPr="00D251BB">
        <w:rPr>
          <w:i/>
        </w:rPr>
        <w:t>Administrative Science Quarterly</w:t>
      </w:r>
      <w:r>
        <w:t>, vol.15, no.3, pp.282—93.</w:t>
      </w:r>
      <w:proofErr w:type="gramEnd"/>
    </w:p>
    <w:p w:rsidR="00A81318" w:rsidRDefault="00A81318" w:rsidP="00A81318">
      <w:pPr>
        <w:pStyle w:val="References"/>
      </w:pPr>
      <w:proofErr w:type="spellStart"/>
      <w:r>
        <w:t>Toze</w:t>
      </w:r>
      <w:proofErr w:type="spellEnd"/>
      <w:r>
        <w:t xml:space="preserve">, M &amp; Tierney, S 2010, </w:t>
      </w:r>
      <w:proofErr w:type="gramStart"/>
      <w:r w:rsidRPr="00D251BB">
        <w:rPr>
          <w:i/>
        </w:rPr>
        <w:t>Keeping</w:t>
      </w:r>
      <w:proofErr w:type="gramEnd"/>
      <w:r w:rsidRPr="00D251BB">
        <w:rPr>
          <w:i/>
        </w:rPr>
        <w:t xml:space="preserve"> it real: industry currency of trainers in Queensland</w:t>
      </w:r>
      <w:r>
        <w:t>, Department of Education and Training, Brisbane.</w:t>
      </w:r>
    </w:p>
    <w:p w:rsidR="00A81318" w:rsidRDefault="00A81318" w:rsidP="00A81318">
      <w:pPr>
        <w:pStyle w:val="References"/>
      </w:pPr>
      <w:r>
        <w:t xml:space="preserve">Tsai, H-K, </w:t>
      </w:r>
      <w:proofErr w:type="spellStart"/>
      <w:r>
        <w:t>Compeau</w:t>
      </w:r>
      <w:proofErr w:type="spellEnd"/>
      <w:r>
        <w:t xml:space="preserve">, D &amp; Haggerty, N 2007, ‘Of races to run and battles to be won: technical skill updating, stress, and coping of IT professionals’, </w:t>
      </w:r>
      <w:r w:rsidRPr="00D251BB">
        <w:rPr>
          <w:i/>
        </w:rPr>
        <w:t>Human Resource Management</w:t>
      </w:r>
      <w:r>
        <w:t>, vol.46, no.3, pp.395—409.</w:t>
      </w:r>
    </w:p>
    <w:p w:rsidR="00A81318" w:rsidRDefault="00A81318" w:rsidP="00A81318">
      <w:pPr>
        <w:pStyle w:val="References"/>
      </w:pPr>
      <w:proofErr w:type="spellStart"/>
      <w:proofErr w:type="gramStart"/>
      <w:r>
        <w:t>Tugwell</w:t>
      </w:r>
      <w:proofErr w:type="spellEnd"/>
      <w:r>
        <w:t xml:space="preserve">, R 1931, ‘The theory of occupational obsolescence’, </w:t>
      </w:r>
      <w:r w:rsidRPr="002F3BD3">
        <w:rPr>
          <w:i/>
        </w:rPr>
        <w:t>Political Science Quarterly</w:t>
      </w:r>
      <w:r>
        <w:t xml:space="preserve">, vol.46, </w:t>
      </w:r>
      <w:r w:rsidR="00633C40">
        <w:br/>
      </w:r>
      <w:r>
        <w:t>pp.171—227.</w:t>
      </w:r>
      <w:proofErr w:type="gramEnd"/>
    </w:p>
    <w:p w:rsidR="00A81318" w:rsidRDefault="00A81318" w:rsidP="00A81318">
      <w:pPr>
        <w:pStyle w:val="References"/>
      </w:pPr>
      <w:proofErr w:type="spellStart"/>
      <w:proofErr w:type="gramStart"/>
      <w:r>
        <w:t>Tushman</w:t>
      </w:r>
      <w:proofErr w:type="spellEnd"/>
      <w:r>
        <w:t xml:space="preserve">, M &amp; Anderson, P 1986, ‘Technological discontinuities and organizational environments’, </w:t>
      </w:r>
      <w:r w:rsidRPr="002F3BD3">
        <w:rPr>
          <w:i/>
        </w:rPr>
        <w:t>Administrative Science Quarterly</w:t>
      </w:r>
      <w:r>
        <w:t>, vol.31, pp.439—65.</w:t>
      </w:r>
      <w:proofErr w:type="gramEnd"/>
    </w:p>
    <w:p w:rsidR="00A81318" w:rsidRDefault="00A81318" w:rsidP="00A81318">
      <w:pPr>
        <w:pStyle w:val="References"/>
      </w:pPr>
      <w:r>
        <w:t xml:space="preserve">University of Ballarat 2009, </w:t>
      </w:r>
      <w:proofErr w:type="gramStart"/>
      <w:r w:rsidRPr="002F3BD3">
        <w:rPr>
          <w:i/>
        </w:rPr>
        <w:t>The</w:t>
      </w:r>
      <w:proofErr w:type="gramEnd"/>
      <w:r w:rsidRPr="002F3BD3">
        <w:rPr>
          <w:i/>
        </w:rPr>
        <w:t xml:space="preserve"> new deal: workforce development for service industries VET practitioners</w:t>
      </w:r>
      <w:r>
        <w:t>, Service Skills Australia, Sydney.</w:t>
      </w:r>
    </w:p>
    <w:p w:rsidR="00A81318" w:rsidRDefault="00A81318" w:rsidP="00A81318">
      <w:pPr>
        <w:pStyle w:val="References"/>
      </w:pPr>
      <w:proofErr w:type="spellStart"/>
      <w:r>
        <w:t>Wheelahan</w:t>
      </w:r>
      <w:proofErr w:type="spellEnd"/>
      <w:r>
        <w:t xml:space="preserve">, L 2010, </w:t>
      </w:r>
      <w:r w:rsidRPr="002F3BD3">
        <w:rPr>
          <w:i/>
        </w:rPr>
        <w:t>Literature review: the quality of teaching in VET</w:t>
      </w:r>
      <w:r>
        <w:t>, LH Martin Institute, Melbourne.</w:t>
      </w:r>
    </w:p>
    <w:p w:rsidR="0067503F" w:rsidRPr="0067503F" w:rsidRDefault="0067503F" w:rsidP="00A81318">
      <w:pPr>
        <w:pStyle w:val="References"/>
      </w:pPr>
      <w:proofErr w:type="spellStart"/>
      <w:r>
        <w:t>Wheelahan</w:t>
      </w:r>
      <w:proofErr w:type="spellEnd"/>
      <w:r>
        <w:t xml:space="preserve"> L &amp; Moodie, G 2011, </w:t>
      </w:r>
      <w:proofErr w:type="gramStart"/>
      <w:r>
        <w:rPr>
          <w:i/>
        </w:rPr>
        <w:t>The</w:t>
      </w:r>
      <w:proofErr w:type="gramEnd"/>
      <w:r>
        <w:rPr>
          <w:i/>
        </w:rPr>
        <w:t xml:space="preserve"> quality of teaching in VET: final report and recommendations,</w:t>
      </w:r>
      <w:r>
        <w:t xml:space="preserve"> </w:t>
      </w:r>
      <w:r>
        <w:br/>
        <w:t>LH Martin Institute, RMIT University and Australian College of Educators, Canberra.</w:t>
      </w:r>
    </w:p>
    <w:p w:rsidR="00D15347" w:rsidRPr="00D15347" w:rsidRDefault="00D15347" w:rsidP="00A81318">
      <w:pPr>
        <w:pStyle w:val="References"/>
      </w:pPr>
      <w:r>
        <w:t xml:space="preserve">Zack, M 2003, ‘Rethinking the knowledge-based organization’, </w:t>
      </w:r>
      <w:r>
        <w:rPr>
          <w:i/>
        </w:rPr>
        <w:t xml:space="preserve">Sloan Management Review, </w:t>
      </w:r>
      <w:r w:rsidR="002C15ED">
        <w:t>vol.44, no.4, pp.67—</w:t>
      </w:r>
      <w:r>
        <w:t>71.</w:t>
      </w:r>
    </w:p>
    <w:p w:rsidR="00A81318" w:rsidRDefault="00A81318" w:rsidP="00A81318">
      <w:pPr>
        <w:spacing w:before="0" w:line="240" w:lineRule="auto"/>
        <w:rPr>
          <w:sz w:val="18"/>
        </w:rPr>
      </w:pPr>
      <w:r>
        <w:br w:type="page"/>
      </w:r>
    </w:p>
    <w:p w:rsidR="00A50895" w:rsidRDefault="00A50895" w:rsidP="00A407F1">
      <w:pPr>
        <w:pStyle w:val="Heading1"/>
      </w:pPr>
      <w:bookmarkStart w:id="68" w:name="_Toc188077644"/>
      <w:bookmarkStart w:id="69" w:name="_Toc357518805"/>
      <w:r>
        <w:lastRenderedPageBreak/>
        <w:t>Support document details</w:t>
      </w:r>
      <w:bookmarkEnd w:id="68"/>
      <w:bookmarkEnd w:id="69"/>
    </w:p>
    <w:p w:rsidR="00A50895" w:rsidRDefault="00A50895" w:rsidP="0048643A">
      <w:pPr>
        <w:pStyle w:val="Text"/>
      </w:pPr>
      <w:r>
        <w:t xml:space="preserve">Additional information relating to this research is available in </w:t>
      </w:r>
      <w:r w:rsidR="00C7180D">
        <w:rPr>
          <w:i/>
        </w:rPr>
        <w:t>Industry currency and professional obsolescence</w:t>
      </w:r>
      <w:r w:rsidR="000E7B5B">
        <w:rPr>
          <w:i/>
        </w:rPr>
        <w:t>:</w:t>
      </w:r>
      <w:r w:rsidR="00C7180D">
        <w:rPr>
          <w:i/>
        </w:rPr>
        <w:t xml:space="preserve"> what can industry tell us?</w:t>
      </w:r>
      <w:r w:rsidR="00633C40">
        <w:rPr>
          <w:i/>
        </w:rPr>
        <w:t xml:space="preserve"> —</w:t>
      </w:r>
      <w:r w:rsidR="000E7B5B">
        <w:rPr>
          <w:i/>
        </w:rPr>
        <w:t xml:space="preserve"> s</w:t>
      </w:r>
      <w:r w:rsidRPr="00D418CE">
        <w:rPr>
          <w:i/>
        </w:rPr>
        <w:t>upport document</w:t>
      </w:r>
      <w:r>
        <w:t xml:space="preserve">. It can be accessed from NCVER’s website </w:t>
      </w:r>
      <w:hyperlink r:id="rId17" w:history="1">
        <w:r w:rsidR="0097044A" w:rsidRPr="00690456">
          <w:rPr>
            <w:rStyle w:val="Hyperlink"/>
          </w:rPr>
          <w:t>http://www.ncver.edu.au/publications/2622.html</w:t>
        </w:r>
      </w:hyperlink>
      <w:r w:rsidR="0097044A">
        <w:t xml:space="preserve"> and contains:</w:t>
      </w:r>
    </w:p>
    <w:p w:rsidR="00C7180D" w:rsidRDefault="00C7180D" w:rsidP="00C7180D">
      <w:pPr>
        <w:pStyle w:val="Dotpoint1"/>
      </w:pPr>
      <w:r>
        <w:t>Literature review</w:t>
      </w:r>
    </w:p>
    <w:p w:rsidR="00C7180D" w:rsidRDefault="00C7180D" w:rsidP="00C7180D">
      <w:pPr>
        <w:pStyle w:val="Dotpoint1"/>
      </w:pPr>
      <w:r>
        <w:t>References</w:t>
      </w:r>
    </w:p>
    <w:p w:rsidR="00C7180D" w:rsidRDefault="00C7180D" w:rsidP="00C7180D">
      <w:pPr>
        <w:pStyle w:val="Dotpoint1"/>
      </w:pPr>
      <w:r>
        <w:t>C</w:t>
      </w:r>
      <w:r w:rsidR="000E7B5B">
        <w:t>ontinuing professional development</w:t>
      </w:r>
      <w:r>
        <w:t xml:space="preserve"> website analysis</w:t>
      </w:r>
    </w:p>
    <w:p w:rsidR="00C7180D" w:rsidRDefault="00C7180D" w:rsidP="00C7180D">
      <w:pPr>
        <w:pStyle w:val="Dotpoint1"/>
      </w:pPr>
      <w:r>
        <w:t>Interview questions</w:t>
      </w:r>
    </w:p>
    <w:p w:rsidR="00C7180D" w:rsidRDefault="00C7180D" w:rsidP="00C7180D">
      <w:pPr>
        <w:pStyle w:val="Dotpoint1"/>
      </w:pPr>
      <w:r>
        <w:t>Participant questionnaire</w:t>
      </w:r>
    </w:p>
    <w:p w:rsidR="00C7180D" w:rsidRDefault="00C7180D" w:rsidP="00C7180D">
      <w:pPr>
        <w:pStyle w:val="Dotpoint1"/>
      </w:pPr>
      <w:r>
        <w:t>Strategies data</w:t>
      </w:r>
    </w:p>
    <w:p w:rsidR="00C7180D" w:rsidRDefault="00C7180D" w:rsidP="00C7180D">
      <w:pPr>
        <w:pStyle w:val="Dotpoint1"/>
      </w:pPr>
      <w:r>
        <w:t>Defining the terms</w:t>
      </w:r>
      <w:r w:rsidR="002C15ED">
        <w:t>.</w:t>
      </w:r>
    </w:p>
    <w:p w:rsidR="00EC3B91" w:rsidRDefault="00EC3B91" w:rsidP="0048643A">
      <w:pPr>
        <w:pStyle w:val="Text"/>
      </w:pPr>
    </w:p>
    <w:p w:rsidR="00EC3B91" w:rsidRDefault="00EC3B91">
      <w:pPr>
        <w:spacing w:before="0" w:line="240" w:lineRule="auto"/>
      </w:pPr>
      <w:r>
        <w:br w:type="page"/>
      </w:r>
    </w:p>
    <w:p w:rsidR="006D7736" w:rsidRDefault="006D7736" w:rsidP="006D7736">
      <w:pPr>
        <w:pStyle w:val="Heading1"/>
      </w:pPr>
      <w:bookmarkStart w:id="70" w:name="_Toc355103773"/>
      <w:bookmarkStart w:id="71" w:name="_Toc357518806"/>
      <w:r>
        <w:lastRenderedPageBreak/>
        <w:t>NVETR program funding</w:t>
      </w:r>
      <w:bookmarkEnd w:id="70"/>
      <w:bookmarkEnd w:id="71"/>
      <w:r>
        <w:t xml:space="preserve"> </w:t>
      </w:r>
    </w:p>
    <w:p w:rsidR="006D7736" w:rsidRPr="0066063E" w:rsidRDefault="006D7736" w:rsidP="006D7736">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w:t>
      </w:r>
      <w:r w:rsidRPr="0066063E">
        <w:t xml:space="preserve">governments. Funding is provided through the Department of Industry, Innovation, Climate Change, Science, Research and Tertiary Education. </w:t>
      </w:r>
    </w:p>
    <w:p w:rsidR="006D7736" w:rsidRPr="0066063E" w:rsidRDefault="006D7736" w:rsidP="006D7736">
      <w:pPr>
        <w:pStyle w:val="Text"/>
      </w:pPr>
      <w:r w:rsidRPr="0066063E">
        <w:t xml:space="preserve">The NVETR Program is based on national research priorities approved by ministers with responsibility for vocational education and training. </w:t>
      </w:r>
    </w:p>
    <w:p w:rsidR="006D7736" w:rsidRPr="0066063E" w:rsidRDefault="006D7736" w:rsidP="006D7736">
      <w:pPr>
        <w:pStyle w:val="Text"/>
        <w:ind w:right="-143"/>
      </w:pPr>
      <w:r w:rsidRPr="0066063E">
        <w:t>The author/project team was funded to undertake this research via a grant under the NVETR Program. The research grants are awarded to organisations through a competitive process, in which NCVER does</w:t>
      </w:r>
      <w:r>
        <w:t> </w:t>
      </w:r>
      <w:r w:rsidRPr="0066063E">
        <w:t>not participate. To ensure the quality and relevance of the research, projects are selected using an independent and transparent process and research reports are peer-reviewed.</w:t>
      </w:r>
    </w:p>
    <w:p w:rsidR="006D7736" w:rsidRPr="0066063E" w:rsidRDefault="006D7736" w:rsidP="006D7736">
      <w:pPr>
        <w:pStyle w:val="Text"/>
      </w:pPr>
      <w:r w:rsidRPr="0066063E">
        <w:t xml:space="preserve">The NVETR Program aims to improve policy and practice in the VET sector. The research effort itself is a collaborative one which requires strong relationships with the research community in Australia’s universities and beyond. NCVER may also involve various stakeholders, including state and territory governments, industry and practitioners to inform the commissioned research, using a variety of mechanisms such as project roundtables and forums. </w:t>
      </w:r>
    </w:p>
    <w:p w:rsidR="006D7736" w:rsidRPr="00FF41C9" w:rsidRDefault="006D7736" w:rsidP="006D7736">
      <w:pPr>
        <w:pStyle w:val="Text"/>
      </w:pPr>
      <w:proofErr w:type="gramStart"/>
      <w:r w:rsidRPr="0066063E">
        <w:t>For further information about the program go</w:t>
      </w:r>
      <w:r w:rsidRPr="00157690">
        <w:t xml:space="preserve"> to the NCVER website &lt;www.ncver.edu.au&gt;.</w:t>
      </w:r>
      <w:proofErr w:type="gramEnd"/>
    </w:p>
    <w:sectPr w:rsidR="006D7736" w:rsidRPr="00FF41C9" w:rsidSect="00CB052E">
      <w:footerReference w:type="even" r:id="rId18"/>
      <w:footerReference w:type="default" r:id="rId19"/>
      <w:pgSz w:w="11907" w:h="16840" w:code="9"/>
      <w:pgMar w:top="1276" w:right="1701" w:bottom="1191"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D9" w:rsidRDefault="00106DD9">
      <w:r>
        <w:separator/>
      </w:r>
    </w:p>
  </w:endnote>
  <w:endnote w:type="continuationSeparator" w:id="0">
    <w:p w:rsidR="00106DD9" w:rsidRDefault="00106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9" w:rsidRPr="008C0A74" w:rsidRDefault="00106DD9" w:rsidP="00FF5931">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9" w:rsidRPr="009775C7" w:rsidRDefault="00106DD9"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9" w:rsidRPr="008C0A74" w:rsidRDefault="00F8578D" w:rsidP="00FF5931">
    <w:pPr>
      <w:pStyle w:val="Footer"/>
      <w:tabs>
        <w:tab w:val="clear" w:pos="8505"/>
        <w:tab w:val="right" w:pos="8789"/>
      </w:tabs>
      <w:rPr>
        <w:b/>
      </w:rPr>
    </w:pPr>
    <w:r w:rsidRPr="00F8578D">
      <w:rPr>
        <w:b/>
        <w:noProof/>
        <w:color w:val="FFFFFF" w:themeColor="background1"/>
        <w:lang w:val="en-US"/>
      </w:rPr>
      <w:pict>
        <v:rect id="Rectangle 3" o:spid="_x0000_s4100" style="position:absolute;margin-left:-85pt;margin-top:-2.4pt;width:99pt;height:18.75pt;z-index:-2516490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" fillcolor="black [3213]" stroked="f" strokecolor="#bfbfbf [2412]"/>
      </w:pict>
    </w:r>
    <w:r w:rsidRPr="008C0A74">
      <w:rPr>
        <w:b/>
        <w:color w:val="FFFFFF" w:themeColor="background1"/>
      </w:rPr>
      <w:fldChar w:fldCharType="begin"/>
    </w:r>
    <w:r w:rsidR="00106DD9" w:rsidRPr="008C0A74">
      <w:rPr>
        <w:b/>
        <w:color w:val="FFFFFF" w:themeColor="background1"/>
      </w:rPr>
      <w:instrText xml:space="preserve"> PAGE </w:instrText>
    </w:r>
    <w:r w:rsidRPr="008C0A74">
      <w:rPr>
        <w:b/>
        <w:color w:val="FFFFFF" w:themeColor="background1"/>
      </w:rPr>
      <w:fldChar w:fldCharType="separate"/>
    </w:r>
    <w:r w:rsidR="002C2A79">
      <w:rPr>
        <w:b/>
        <w:noProof/>
        <w:color w:val="FFFFFF" w:themeColor="background1"/>
      </w:rPr>
      <w:t>40</w:t>
    </w:r>
    <w:r w:rsidRPr="008C0A74">
      <w:rPr>
        <w:b/>
        <w:color w:val="FFFFFF" w:themeColor="background1"/>
      </w:rPr>
      <w:fldChar w:fldCharType="end"/>
    </w:r>
    <w:r w:rsidR="00106DD9" w:rsidRPr="008C0A74">
      <w:rPr>
        <w:b/>
        <w:color w:val="FFFFFF" w:themeColor="background1"/>
      </w:rPr>
      <w:tab/>
    </w:r>
    <w:r w:rsidR="00106DD9">
      <w:rPr>
        <w:b/>
      </w:rPr>
      <w:t>Industry currency and professional obsolescence: what can industry tell us?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9" w:rsidRPr="009775C7" w:rsidRDefault="00F8578D" w:rsidP="008C0A74">
    <w:pPr>
      <w:pStyle w:val="Footer"/>
      <w:tabs>
        <w:tab w:val="clear" w:pos="8505"/>
        <w:tab w:val="right" w:pos="8789"/>
      </w:tabs>
      <w:rPr>
        <w:color w:val="FFFFFF" w:themeColor="background1"/>
      </w:rPr>
    </w:pPr>
    <w:r w:rsidRPr="00F8578D">
      <w:rPr>
        <w:b/>
        <w:noProof/>
        <w:lang w:val="en-US"/>
      </w:rPr>
      <w:pict>
        <v:rect id="Rectangle 4" o:spid="_x0000_s4099" style="position:absolute;margin-left:425.6pt;margin-top:-2.4pt;width:99pt;height:18.75pt;z-index:-251651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" fillcolor="black [3213]" stroked="f" strokecolor="#bfbfbf [2412]"/>
      </w:pict>
    </w:r>
    <w:r w:rsidR="00106DD9" w:rsidRPr="009775C7">
      <w:rPr>
        <w:b/>
      </w:rPr>
      <w:t>NCVER</w:t>
    </w:r>
    <w:r w:rsidR="00106DD9" w:rsidRPr="009775C7">
      <w:tab/>
    </w:r>
    <w:r w:rsidRPr="009775C7">
      <w:rPr>
        <w:rStyle w:val="PageNumber"/>
        <w:rFonts w:cs="Tahoma"/>
        <w:b/>
        <w:color w:val="FFFFFF" w:themeColor="background1"/>
        <w:sz w:val="17"/>
      </w:rPr>
      <w:fldChar w:fldCharType="begin"/>
    </w:r>
    <w:r w:rsidR="00106DD9"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C2A79">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D9" w:rsidRDefault="00106DD9">
      <w:r>
        <w:separator/>
      </w:r>
    </w:p>
  </w:footnote>
  <w:footnote w:type="continuationSeparator" w:id="0">
    <w:p w:rsidR="00106DD9" w:rsidRDefault="00106DD9">
      <w:r>
        <w:continuationSeparator/>
      </w:r>
    </w:p>
  </w:footnote>
  <w:footnote w:id="1">
    <w:p w:rsidR="00106DD9" w:rsidRDefault="00106DD9" w:rsidP="00385DFD">
      <w:pPr>
        <w:pStyle w:val="FootnoteText"/>
      </w:pPr>
      <w:r>
        <w:rPr>
          <w:rStyle w:val="FootnoteReference"/>
        </w:rPr>
        <w:footnoteRef/>
      </w:r>
      <w:r>
        <w:t xml:space="preserve"> </w:t>
      </w:r>
      <w:r>
        <w:tab/>
        <w:t>The</w:t>
      </w:r>
      <w:r w:rsidRPr="00F849E6">
        <w:rPr>
          <w:szCs w:val="16"/>
        </w:rPr>
        <w:t xml:space="preserve"> </w:t>
      </w:r>
      <w:hyperlink r:id="rId1" w:tgtFrame="_blank" w:tooltip="This link opens the ComLaw website in a new window" w:history="1">
        <w:r w:rsidRPr="00385DFD">
          <w:rPr>
            <w:rStyle w:val="Hyperlink"/>
            <w:sz w:val="16"/>
            <w:szCs w:val="16"/>
          </w:rPr>
          <w:t>Standards</w:t>
        </w:r>
        <w:r w:rsidRPr="00F849E6">
          <w:rPr>
            <w:rStyle w:val="Hyperlink"/>
            <w:sz w:val="16"/>
            <w:szCs w:val="16"/>
          </w:rPr>
          <w:t xml:space="preserve"> for NVR Registered Training Organisations</w:t>
        </w:r>
      </w:hyperlink>
      <w:r>
        <w:t> replace the former Australian Quality Training Framework (AQTF) standards for relevant applicants/registered training organisations.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7CC5D97"/>
    <w:multiLevelType w:val="hybridMultilevel"/>
    <w:tmpl w:val="626C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C726A6"/>
    <w:multiLevelType w:val="hybridMultilevel"/>
    <w:tmpl w:val="D518AB44"/>
    <w:lvl w:ilvl="0" w:tplc="E2EC1222">
      <w:numFmt w:val="bullet"/>
      <w:lvlText w:val="•"/>
      <w:lvlJc w:val="left"/>
      <w:pPr>
        <w:ind w:left="1080" w:hanging="72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178B7657"/>
    <w:multiLevelType w:val="hybridMultilevel"/>
    <w:tmpl w:val="557013B8"/>
    <w:lvl w:ilvl="0" w:tplc="24BA3DD4">
      <w:start w:val="1"/>
      <w:numFmt w:val="decimal"/>
      <w:lvlText w:val="%1"/>
      <w:lvlJc w:val="left"/>
      <w:pPr>
        <w:tabs>
          <w:tab w:val="num" w:pos="284"/>
        </w:tabs>
        <w:ind w:left="0"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B9E39B2"/>
    <w:multiLevelType w:val="hybridMultilevel"/>
    <w:tmpl w:val="3ECE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E0C3AC7"/>
    <w:multiLevelType w:val="hybridMultilevel"/>
    <w:tmpl w:val="3D86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AB02CFB"/>
    <w:multiLevelType w:val="hybridMultilevel"/>
    <w:tmpl w:val="96A6F7E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3">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CD0770"/>
    <w:multiLevelType w:val="hybridMultilevel"/>
    <w:tmpl w:val="E1E81CD8"/>
    <w:lvl w:ilvl="0" w:tplc="E2EC1222">
      <w:numFmt w:val="bullet"/>
      <w:lvlText w:val="•"/>
      <w:lvlJc w:val="left"/>
      <w:pPr>
        <w:ind w:left="1080" w:hanging="72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3E53987"/>
    <w:multiLevelType w:val="hybridMultilevel"/>
    <w:tmpl w:val="64D60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nsid w:val="63FC0428"/>
    <w:multiLevelType w:val="hybridMultilevel"/>
    <w:tmpl w:val="47A618F2"/>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6568BB"/>
    <w:multiLevelType w:val="hybridMultilevel"/>
    <w:tmpl w:val="71487394"/>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25"/>
  </w:num>
  <w:num w:numId="5">
    <w:abstractNumId w:val="12"/>
  </w:num>
  <w:num w:numId="6">
    <w:abstractNumId w:val="29"/>
  </w:num>
  <w:num w:numId="7">
    <w:abstractNumId w:val="32"/>
  </w:num>
  <w:num w:numId="8">
    <w:abstractNumId w:val="31"/>
  </w:num>
  <w:num w:numId="9">
    <w:abstractNumId w:val="36"/>
  </w:num>
  <w:num w:numId="10">
    <w:abstractNumId w:val="26"/>
  </w:num>
  <w:num w:numId="11">
    <w:abstractNumId w:val="21"/>
  </w:num>
  <w:num w:numId="12">
    <w:abstractNumId w:val="27"/>
  </w:num>
  <w:num w:numId="13">
    <w:abstractNumId w:val="28"/>
  </w:num>
  <w:num w:numId="14">
    <w:abstractNumId w:val="18"/>
  </w:num>
  <w:num w:numId="15">
    <w:abstractNumId w:val="23"/>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5"/>
  </w:num>
  <w:num w:numId="24">
    <w:abstractNumId w:val="11"/>
  </w:num>
  <w:num w:numId="25">
    <w:abstractNumId w:val="15"/>
  </w:num>
  <w:num w:numId="26">
    <w:abstractNumId w:val="37"/>
  </w:num>
  <w:num w:numId="27">
    <w:abstractNumId w:val="3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3"/>
  </w:num>
  <w:num w:numId="35">
    <w:abstractNumId w:val="30"/>
  </w:num>
  <w:num w:numId="36">
    <w:abstractNumId w:val="20"/>
  </w:num>
  <w:num w:numId="37">
    <w:abstractNumId w:val="22"/>
  </w:num>
  <w:num w:numId="38">
    <w:abstractNumId w:val="35"/>
  </w:num>
  <w:num w:numId="39">
    <w:abstractNumId w:val="10"/>
    <w:lvlOverride w:ilvl="0">
      <w:startOverride w:val="3"/>
    </w:lvlOverride>
  </w:num>
  <w:num w:numId="40">
    <w:abstractNumId w:val="17"/>
  </w:num>
  <w:num w:numId="41">
    <w:abstractNumId w:val="24"/>
  </w:num>
  <w:num w:numId="42">
    <w:abstractNumId w:val="14"/>
  </w:num>
  <w:num w:numId="43">
    <w:abstractNumId w:val="13"/>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4C60EB"/>
    <w:rsid w:val="000011F3"/>
    <w:rsid w:val="00001506"/>
    <w:rsid w:val="0000230E"/>
    <w:rsid w:val="000108B2"/>
    <w:rsid w:val="00011E80"/>
    <w:rsid w:val="00012B64"/>
    <w:rsid w:val="00013265"/>
    <w:rsid w:val="00013AF5"/>
    <w:rsid w:val="00014CA9"/>
    <w:rsid w:val="00015D1A"/>
    <w:rsid w:val="00022290"/>
    <w:rsid w:val="0002301C"/>
    <w:rsid w:val="00023EA3"/>
    <w:rsid w:val="00030BF9"/>
    <w:rsid w:val="000315D7"/>
    <w:rsid w:val="00032287"/>
    <w:rsid w:val="00034542"/>
    <w:rsid w:val="00034C06"/>
    <w:rsid w:val="0003592E"/>
    <w:rsid w:val="00035B39"/>
    <w:rsid w:val="00036F6A"/>
    <w:rsid w:val="000400B1"/>
    <w:rsid w:val="0004092C"/>
    <w:rsid w:val="00041BC6"/>
    <w:rsid w:val="00041CD2"/>
    <w:rsid w:val="000428D9"/>
    <w:rsid w:val="00044C7B"/>
    <w:rsid w:val="00045A71"/>
    <w:rsid w:val="00045FF8"/>
    <w:rsid w:val="00046316"/>
    <w:rsid w:val="000513D9"/>
    <w:rsid w:val="00052A70"/>
    <w:rsid w:val="0006125F"/>
    <w:rsid w:val="00064214"/>
    <w:rsid w:val="0006491E"/>
    <w:rsid w:val="00064DB5"/>
    <w:rsid w:val="000670B0"/>
    <w:rsid w:val="0007395C"/>
    <w:rsid w:val="00074BD4"/>
    <w:rsid w:val="0008383E"/>
    <w:rsid w:val="00084BE5"/>
    <w:rsid w:val="0009085B"/>
    <w:rsid w:val="000912C7"/>
    <w:rsid w:val="000915BC"/>
    <w:rsid w:val="000917C3"/>
    <w:rsid w:val="00092909"/>
    <w:rsid w:val="00092F5E"/>
    <w:rsid w:val="00096214"/>
    <w:rsid w:val="00096C4C"/>
    <w:rsid w:val="00097D0E"/>
    <w:rsid w:val="00097F3F"/>
    <w:rsid w:val="000A0745"/>
    <w:rsid w:val="000A0809"/>
    <w:rsid w:val="000A13D7"/>
    <w:rsid w:val="000A1E1A"/>
    <w:rsid w:val="000A2A81"/>
    <w:rsid w:val="000A4214"/>
    <w:rsid w:val="000A59B7"/>
    <w:rsid w:val="000A789A"/>
    <w:rsid w:val="000B0949"/>
    <w:rsid w:val="000B1BA6"/>
    <w:rsid w:val="000B4D25"/>
    <w:rsid w:val="000B5E34"/>
    <w:rsid w:val="000B6D08"/>
    <w:rsid w:val="000B761D"/>
    <w:rsid w:val="000C0B03"/>
    <w:rsid w:val="000C10DD"/>
    <w:rsid w:val="000C2A7A"/>
    <w:rsid w:val="000C2B6F"/>
    <w:rsid w:val="000C3F2D"/>
    <w:rsid w:val="000C7F28"/>
    <w:rsid w:val="000D2205"/>
    <w:rsid w:val="000D66A8"/>
    <w:rsid w:val="000E0962"/>
    <w:rsid w:val="000E0FDA"/>
    <w:rsid w:val="000E1CDE"/>
    <w:rsid w:val="000E2B97"/>
    <w:rsid w:val="000E48A5"/>
    <w:rsid w:val="000E4F1E"/>
    <w:rsid w:val="000E5D36"/>
    <w:rsid w:val="000E7B5B"/>
    <w:rsid w:val="000F098D"/>
    <w:rsid w:val="000F0D6C"/>
    <w:rsid w:val="000F1325"/>
    <w:rsid w:val="000F32BD"/>
    <w:rsid w:val="000F506B"/>
    <w:rsid w:val="000F5DB5"/>
    <w:rsid w:val="000F641C"/>
    <w:rsid w:val="000F68E0"/>
    <w:rsid w:val="00100BB1"/>
    <w:rsid w:val="00106DD9"/>
    <w:rsid w:val="0010761A"/>
    <w:rsid w:val="00110CF6"/>
    <w:rsid w:val="00110EEA"/>
    <w:rsid w:val="001135E9"/>
    <w:rsid w:val="0011618C"/>
    <w:rsid w:val="001235CE"/>
    <w:rsid w:val="00123B5C"/>
    <w:rsid w:val="00125C6D"/>
    <w:rsid w:val="00126A82"/>
    <w:rsid w:val="00131B01"/>
    <w:rsid w:val="0013291D"/>
    <w:rsid w:val="00135C75"/>
    <w:rsid w:val="00135FFB"/>
    <w:rsid w:val="00141678"/>
    <w:rsid w:val="00142CC0"/>
    <w:rsid w:val="00144F6C"/>
    <w:rsid w:val="00145176"/>
    <w:rsid w:val="00145AD2"/>
    <w:rsid w:val="00145F77"/>
    <w:rsid w:val="00150874"/>
    <w:rsid w:val="001509F3"/>
    <w:rsid w:val="001514D1"/>
    <w:rsid w:val="00154B3D"/>
    <w:rsid w:val="00154E34"/>
    <w:rsid w:val="00155839"/>
    <w:rsid w:val="00157404"/>
    <w:rsid w:val="0015752A"/>
    <w:rsid w:val="0016133C"/>
    <w:rsid w:val="00161591"/>
    <w:rsid w:val="00166D34"/>
    <w:rsid w:val="00166DEB"/>
    <w:rsid w:val="00166EF6"/>
    <w:rsid w:val="00170452"/>
    <w:rsid w:val="00174E64"/>
    <w:rsid w:val="00175843"/>
    <w:rsid w:val="00177827"/>
    <w:rsid w:val="00184504"/>
    <w:rsid w:val="00186736"/>
    <w:rsid w:val="0019015C"/>
    <w:rsid w:val="0019397D"/>
    <w:rsid w:val="001941A7"/>
    <w:rsid w:val="00194C2A"/>
    <w:rsid w:val="001955E4"/>
    <w:rsid w:val="00196FD4"/>
    <w:rsid w:val="00197B91"/>
    <w:rsid w:val="001A1224"/>
    <w:rsid w:val="001A2556"/>
    <w:rsid w:val="001A33C0"/>
    <w:rsid w:val="001A486F"/>
    <w:rsid w:val="001A5896"/>
    <w:rsid w:val="001A66B2"/>
    <w:rsid w:val="001B34A8"/>
    <w:rsid w:val="001B43CF"/>
    <w:rsid w:val="001B5DE7"/>
    <w:rsid w:val="001B6B8F"/>
    <w:rsid w:val="001B6E72"/>
    <w:rsid w:val="001C030D"/>
    <w:rsid w:val="001C0588"/>
    <w:rsid w:val="001C083F"/>
    <w:rsid w:val="001C30F7"/>
    <w:rsid w:val="001C474A"/>
    <w:rsid w:val="001C5215"/>
    <w:rsid w:val="001C7B94"/>
    <w:rsid w:val="001D0475"/>
    <w:rsid w:val="001D0FE1"/>
    <w:rsid w:val="001D25B2"/>
    <w:rsid w:val="001D7049"/>
    <w:rsid w:val="001D73DE"/>
    <w:rsid w:val="001E18A3"/>
    <w:rsid w:val="001E61D3"/>
    <w:rsid w:val="001E6937"/>
    <w:rsid w:val="001E6F07"/>
    <w:rsid w:val="001E7652"/>
    <w:rsid w:val="001F41FC"/>
    <w:rsid w:val="001F5088"/>
    <w:rsid w:val="001F5A53"/>
    <w:rsid w:val="001F7D84"/>
    <w:rsid w:val="00205DD8"/>
    <w:rsid w:val="002066DC"/>
    <w:rsid w:val="00206AAE"/>
    <w:rsid w:val="00210E5A"/>
    <w:rsid w:val="002138D1"/>
    <w:rsid w:val="00214236"/>
    <w:rsid w:val="00216981"/>
    <w:rsid w:val="002219DE"/>
    <w:rsid w:val="00224504"/>
    <w:rsid w:val="002277A9"/>
    <w:rsid w:val="00233BFA"/>
    <w:rsid w:val="00236B48"/>
    <w:rsid w:val="002373E0"/>
    <w:rsid w:val="00237B74"/>
    <w:rsid w:val="00241002"/>
    <w:rsid w:val="00246A86"/>
    <w:rsid w:val="0025285D"/>
    <w:rsid w:val="00253190"/>
    <w:rsid w:val="00253DF8"/>
    <w:rsid w:val="00254413"/>
    <w:rsid w:val="00255813"/>
    <w:rsid w:val="00255DF5"/>
    <w:rsid w:val="002614A8"/>
    <w:rsid w:val="00262244"/>
    <w:rsid w:val="0026393A"/>
    <w:rsid w:val="00263B4A"/>
    <w:rsid w:val="00263EC7"/>
    <w:rsid w:val="0026464B"/>
    <w:rsid w:val="002664D5"/>
    <w:rsid w:val="00266619"/>
    <w:rsid w:val="00272E21"/>
    <w:rsid w:val="00272EA7"/>
    <w:rsid w:val="00274211"/>
    <w:rsid w:val="00274858"/>
    <w:rsid w:val="00277A8D"/>
    <w:rsid w:val="00280A7D"/>
    <w:rsid w:val="0028282A"/>
    <w:rsid w:val="0028374F"/>
    <w:rsid w:val="00284F12"/>
    <w:rsid w:val="00284FCB"/>
    <w:rsid w:val="0028531B"/>
    <w:rsid w:val="00286E36"/>
    <w:rsid w:val="00287C5C"/>
    <w:rsid w:val="00291408"/>
    <w:rsid w:val="002973BA"/>
    <w:rsid w:val="002A147A"/>
    <w:rsid w:val="002A458D"/>
    <w:rsid w:val="002A4DD0"/>
    <w:rsid w:val="002B3ECD"/>
    <w:rsid w:val="002B68CE"/>
    <w:rsid w:val="002B6A80"/>
    <w:rsid w:val="002C15ED"/>
    <w:rsid w:val="002C2A79"/>
    <w:rsid w:val="002C3637"/>
    <w:rsid w:val="002C3D54"/>
    <w:rsid w:val="002C58C8"/>
    <w:rsid w:val="002C6BA9"/>
    <w:rsid w:val="002C7D31"/>
    <w:rsid w:val="002D0A75"/>
    <w:rsid w:val="002D1BCD"/>
    <w:rsid w:val="002D50E9"/>
    <w:rsid w:val="002D52E2"/>
    <w:rsid w:val="002D6958"/>
    <w:rsid w:val="002E196B"/>
    <w:rsid w:val="002E3B98"/>
    <w:rsid w:val="002E52AC"/>
    <w:rsid w:val="002E553D"/>
    <w:rsid w:val="002F02BF"/>
    <w:rsid w:val="002F0963"/>
    <w:rsid w:val="002F0CA3"/>
    <w:rsid w:val="002F12E3"/>
    <w:rsid w:val="002F15DB"/>
    <w:rsid w:val="002F584D"/>
    <w:rsid w:val="002F6490"/>
    <w:rsid w:val="002F69DC"/>
    <w:rsid w:val="00300671"/>
    <w:rsid w:val="0030291A"/>
    <w:rsid w:val="003030ED"/>
    <w:rsid w:val="00303CFD"/>
    <w:rsid w:val="00304FD0"/>
    <w:rsid w:val="00307EC4"/>
    <w:rsid w:val="00311DD9"/>
    <w:rsid w:val="00316316"/>
    <w:rsid w:val="003208E4"/>
    <w:rsid w:val="00320975"/>
    <w:rsid w:val="00323AC4"/>
    <w:rsid w:val="003240EE"/>
    <w:rsid w:val="00324B66"/>
    <w:rsid w:val="003310AC"/>
    <w:rsid w:val="003331E5"/>
    <w:rsid w:val="00334CE3"/>
    <w:rsid w:val="0033618B"/>
    <w:rsid w:val="00337011"/>
    <w:rsid w:val="00340B4D"/>
    <w:rsid w:val="00342A9F"/>
    <w:rsid w:val="00342C61"/>
    <w:rsid w:val="00344780"/>
    <w:rsid w:val="003465BB"/>
    <w:rsid w:val="0034736F"/>
    <w:rsid w:val="003501E8"/>
    <w:rsid w:val="00351471"/>
    <w:rsid w:val="003526CE"/>
    <w:rsid w:val="00360765"/>
    <w:rsid w:val="0036077F"/>
    <w:rsid w:val="00363434"/>
    <w:rsid w:val="00365137"/>
    <w:rsid w:val="00372784"/>
    <w:rsid w:val="00372E4C"/>
    <w:rsid w:val="00374BA0"/>
    <w:rsid w:val="00374CCD"/>
    <w:rsid w:val="00374E17"/>
    <w:rsid w:val="00375D6F"/>
    <w:rsid w:val="003761BE"/>
    <w:rsid w:val="00385DFD"/>
    <w:rsid w:val="00386B61"/>
    <w:rsid w:val="003877D1"/>
    <w:rsid w:val="00387BF2"/>
    <w:rsid w:val="00387C41"/>
    <w:rsid w:val="003969FA"/>
    <w:rsid w:val="00397C94"/>
    <w:rsid w:val="00397E63"/>
    <w:rsid w:val="003A39BE"/>
    <w:rsid w:val="003A3F15"/>
    <w:rsid w:val="003A4981"/>
    <w:rsid w:val="003A60C5"/>
    <w:rsid w:val="003B16DA"/>
    <w:rsid w:val="003B1C40"/>
    <w:rsid w:val="003B483E"/>
    <w:rsid w:val="003B6297"/>
    <w:rsid w:val="003C2173"/>
    <w:rsid w:val="003C3025"/>
    <w:rsid w:val="003C4B1E"/>
    <w:rsid w:val="003C6F37"/>
    <w:rsid w:val="003D5EB0"/>
    <w:rsid w:val="003D649A"/>
    <w:rsid w:val="003E67CB"/>
    <w:rsid w:val="003F4DF9"/>
    <w:rsid w:val="003F609E"/>
    <w:rsid w:val="00401F54"/>
    <w:rsid w:val="004024E1"/>
    <w:rsid w:val="004066B4"/>
    <w:rsid w:val="00414337"/>
    <w:rsid w:val="0041588B"/>
    <w:rsid w:val="00416C85"/>
    <w:rsid w:val="00417DDD"/>
    <w:rsid w:val="00421C27"/>
    <w:rsid w:val="00423CF5"/>
    <w:rsid w:val="004255BF"/>
    <w:rsid w:val="00426EA9"/>
    <w:rsid w:val="0043034F"/>
    <w:rsid w:val="00430FD7"/>
    <w:rsid w:val="00432A05"/>
    <w:rsid w:val="004351F3"/>
    <w:rsid w:val="0043555E"/>
    <w:rsid w:val="00446BFE"/>
    <w:rsid w:val="004514A3"/>
    <w:rsid w:val="00453CC6"/>
    <w:rsid w:val="004549AA"/>
    <w:rsid w:val="00457D77"/>
    <w:rsid w:val="00460862"/>
    <w:rsid w:val="0046286D"/>
    <w:rsid w:val="00466BBF"/>
    <w:rsid w:val="00467BA3"/>
    <w:rsid w:val="004714E9"/>
    <w:rsid w:val="00477BF4"/>
    <w:rsid w:val="00486201"/>
    <w:rsid w:val="0048643A"/>
    <w:rsid w:val="004864DB"/>
    <w:rsid w:val="0048663C"/>
    <w:rsid w:val="00487BC1"/>
    <w:rsid w:val="004903C6"/>
    <w:rsid w:val="004930E0"/>
    <w:rsid w:val="0049453B"/>
    <w:rsid w:val="00494E7C"/>
    <w:rsid w:val="004A6562"/>
    <w:rsid w:val="004A69BB"/>
    <w:rsid w:val="004A7F6F"/>
    <w:rsid w:val="004B23CA"/>
    <w:rsid w:val="004B2665"/>
    <w:rsid w:val="004B2739"/>
    <w:rsid w:val="004B508A"/>
    <w:rsid w:val="004B5AB1"/>
    <w:rsid w:val="004B5D0A"/>
    <w:rsid w:val="004B5EA5"/>
    <w:rsid w:val="004B6154"/>
    <w:rsid w:val="004C4063"/>
    <w:rsid w:val="004C60EB"/>
    <w:rsid w:val="004C6729"/>
    <w:rsid w:val="004C777D"/>
    <w:rsid w:val="004C7DA2"/>
    <w:rsid w:val="004D0131"/>
    <w:rsid w:val="004D2597"/>
    <w:rsid w:val="004D2956"/>
    <w:rsid w:val="004D3383"/>
    <w:rsid w:val="004D4802"/>
    <w:rsid w:val="004D4FBB"/>
    <w:rsid w:val="004D58DE"/>
    <w:rsid w:val="004D7D5D"/>
    <w:rsid w:val="004D7EC1"/>
    <w:rsid w:val="004E2C02"/>
    <w:rsid w:val="004E30F2"/>
    <w:rsid w:val="004E4D0F"/>
    <w:rsid w:val="004E7227"/>
    <w:rsid w:val="004E7B1A"/>
    <w:rsid w:val="004F081E"/>
    <w:rsid w:val="004F092C"/>
    <w:rsid w:val="004F1760"/>
    <w:rsid w:val="004F19EF"/>
    <w:rsid w:val="004F1FED"/>
    <w:rsid w:val="004F3898"/>
    <w:rsid w:val="004F3D56"/>
    <w:rsid w:val="004F3E79"/>
    <w:rsid w:val="004F3EA8"/>
    <w:rsid w:val="004F51FA"/>
    <w:rsid w:val="004F5497"/>
    <w:rsid w:val="004F61C0"/>
    <w:rsid w:val="004F62BB"/>
    <w:rsid w:val="004F738B"/>
    <w:rsid w:val="004F7786"/>
    <w:rsid w:val="00500012"/>
    <w:rsid w:val="00502229"/>
    <w:rsid w:val="00505D7E"/>
    <w:rsid w:val="005115F9"/>
    <w:rsid w:val="00513ABD"/>
    <w:rsid w:val="00515706"/>
    <w:rsid w:val="005164E4"/>
    <w:rsid w:val="00520315"/>
    <w:rsid w:val="00520400"/>
    <w:rsid w:val="0052276C"/>
    <w:rsid w:val="00523636"/>
    <w:rsid w:val="00536132"/>
    <w:rsid w:val="0053659D"/>
    <w:rsid w:val="005369D4"/>
    <w:rsid w:val="00536B9B"/>
    <w:rsid w:val="00540AA8"/>
    <w:rsid w:val="00541A83"/>
    <w:rsid w:val="00541B94"/>
    <w:rsid w:val="0054204C"/>
    <w:rsid w:val="00542799"/>
    <w:rsid w:val="00545B5F"/>
    <w:rsid w:val="00546D43"/>
    <w:rsid w:val="00552593"/>
    <w:rsid w:val="005534E7"/>
    <w:rsid w:val="00553AF5"/>
    <w:rsid w:val="005555BF"/>
    <w:rsid w:val="00555671"/>
    <w:rsid w:val="00556B44"/>
    <w:rsid w:val="0056096F"/>
    <w:rsid w:val="00563DB0"/>
    <w:rsid w:val="00565D22"/>
    <w:rsid w:val="00570105"/>
    <w:rsid w:val="00570758"/>
    <w:rsid w:val="005713DC"/>
    <w:rsid w:val="005718B6"/>
    <w:rsid w:val="00571D38"/>
    <w:rsid w:val="00571E1E"/>
    <w:rsid w:val="00573515"/>
    <w:rsid w:val="00574B5E"/>
    <w:rsid w:val="00574C39"/>
    <w:rsid w:val="00575B01"/>
    <w:rsid w:val="00575C5D"/>
    <w:rsid w:val="00576AA9"/>
    <w:rsid w:val="005806AB"/>
    <w:rsid w:val="00583E40"/>
    <w:rsid w:val="00585369"/>
    <w:rsid w:val="00585C95"/>
    <w:rsid w:val="00590978"/>
    <w:rsid w:val="00591EAE"/>
    <w:rsid w:val="005A1318"/>
    <w:rsid w:val="005A24C2"/>
    <w:rsid w:val="005A262C"/>
    <w:rsid w:val="005A2C8B"/>
    <w:rsid w:val="005A41E7"/>
    <w:rsid w:val="005A507D"/>
    <w:rsid w:val="005A74A0"/>
    <w:rsid w:val="005A7805"/>
    <w:rsid w:val="005B155F"/>
    <w:rsid w:val="005B196E"/>
    <w:rsid w:val="005B2049"/>
    <w:rsid w:val="005B20D0"/>
    <w:rsid w:val="005B2709"/>
    <w:rsid w:val="005B4BD4"/>
    <w:rsid w:val="005B4FD4"/>
    <w:rsid w:val="005B66C6"/>
    <w:rsid w:val="005C1519"/>
    <w:rsid w:val="005C277E"/>
    <w:rsid w:val="005C40E9"/>
    <w:rsid w:val="005C56E3"/>
    <w:rsid w:val="005C5735"/>
    <w:rsid w:val="005C61F8"/>
    <w:rsid w:val="005C6A55"/>
    <w:rsid w:val="005D155F"/>
    <w:rsid w:val="005D6008"/>
    <w:rsid w:val="005D7583"/>
    <w:rsid w:val="005E4764"/>
    <w:rsid w:val="005E488F"/>
    <w:rsid w:val="005E6B05"/>
    <w:rsid w:val="005F18EF"/>
    <w:rsid w:val="005F18F1"/>
    <w:rsid w:val="005F2213"/>
    <w:rsid w:val="005F223D"/>
    <w:rsid w:val="005F2E79"/>
    <w:rsid w:val="005F7F17"/>
    <w:rsid w:val="006008C9"/>
    <w:rsid w:val="006136CD"/>
    <w:rsid w:val="0061472B"/>
    <w:rsid w:val="00616D6A"/>
    <w:rsid w:val="00616DED"/>
    <w:rsid w:val="006211EF"/>
    <w:rsid w:val="00622D55"/>
    <w:rsid w:val="00625D32"/>
    <w:rsid w:val="006276AA"/>
    <w:rsid w:val="0063016A"/>
    <w:rsid w:val="006335BF"/>
    <w:rsid w:val="00633C40"/>
    <w:rsid w:val="00635207"/>
    <w:rsid w:val="0063545A"/>
    <w:rsid w:val="00637FE1"/>
    <w:rsid w:val="00640D62"/>
    <w:rsid w:val="0064364D"/>
    <w:rsid w:val="00645DEA"/>
    <w:rsid w:val="00647F7A"/>
    <w:rsid w:val="00652973"/>
    <w:rsid w:val="00656679"/>
    <w:rsid w:val="00664330"/>
    <w:rsid w:val="00664BCE"/>
    <w:rsid w:val="00665F6A"/>
    <w:rsid w:val="006705DA"/>
    <w:rsid w:val="00670A8C"/>
    <w:rsid w:val="00673872"/>
    <w:rsid w:val="00673D4D"/>
    <w:rsid w:val="00674273"/>
    <w:rsid w:val="006748C1"/>
    <w:rsid w:val="0067503F"/>
    <w:rsid w:val="0067712D"/>
    <w:rsid w:val="00677EE6"/>
    <w:rsid w:val="006804A1"/>
    <w:rsid w:val="00682A97"/>
    <w:rsid w:val="0069017E"/>
    <w:rsid w:val="0069023C"/>
    <w:rsid w:val="00692CA6"/>
    <w:rsid w:val="006930D0"/>
    <w:rsid w:val="006935AE"/>
    <w:rsid w:val="00693B93"/>
    <w:rsid w:val="006957EC"/>
    <w:rsid w:val="006963A0"/>
    <w:rsid w:val="00696A48"/>
    <w:rsid w:val="00697489"/>
    <w:rsid w:val="006A1530"/>
    <w:rsid w:val="006A1CE4"/>
    <w:rsid w:val="006A3D1C"/>
    <w:rsid w:val="006A3E1A"/>
    <w:rsid w:val="006A7CE3"/>
    <w:rsid w:val="006B0EE7"/>
    <w:rsid w:val="006B1111"/>
    <w:rsid w:val="006B26A0"/>
    <w:rsid w:val="006B3209"/>
    <w:rsid w:val="006B473E"/>
    <w:rsid w:val="006C3F74"/>
    <w:rsid w:val="006C537E"/>
    <w:rsid w:val="006C5DA9"/>
    <w:rsid w:val="006C6D65"/>
    <w:rsid w:val="006D0ABD"/>
    <w:rsid w:val="006D2D5F"/>
    <w:rsid w:val="006D7736"/>
    <w:rsid w:val="006D7900"/>
    <w:rsid w:val="006E0DDE"/>
    <w:rsid w:val="006E53DA"/>
    <w:rsid w:val="006E557F"/>
    <w:rsid w:val="006E7D0E"/>
    <w:rsid w:val="006F1623"/>
    <w:rsid w:val="006F6E1F"/>
    <w:rsid w:val="006F7DF1"/>
    <w:rsid w:val="00700C62"/>
    <w:rsid w:val="00701953"/>
    <w:rsid w:val="00702544"/>
    <w:rsid w:val="007037A4"/>
    <w:rsid w:val="0070380E"/>
    <w:rsid w:val="00706E64"/>
    <w:rsid w:val="00710921"/>
    <w:rsid w:val="00711A96"/>
    <w:rsid w:val="00711EBC"/>
    <w:rsid w:val="007157F6"/>
    <w:rsid w:val="00715AF5"/>
    <w:rsid w:val="007203C3"/>
    <w:rsid w:val="00720E8D"/>
    <w:rsid w:val="007219A1"/>
    <w:rsid w:val="00723A74"/>
    <w:rsid w:val="007314B5"/>
    <w:rsid w:val="00731EC8"/>
    <w:rsid w:val="00731F3E"/>
    <w:rsid w:val="0073332D"/>
    <w:rsid w:val="007355B1"/>
    <w:rsid w:val="00736870"/>
    <w:rsid w:val="007378CE"/>
    <w:rsid w:val="00737EFD"/>
    <w:rsid w:val="00742A39"/>
    <w:rsid w:val="00742AEE"/>
    <w:rsid w:val="00742B63"/>
    <w:rsid w:val="007467B6"/>
    <w:rsid w:val="00746BFB"/>
    <w:rsid w:val="00747F50"/>
    <w:rsid w:val="007504DF"/>
    <w:rsid w:val="00752B31"/>
    <w:rsid w:val="0075459D"/>
    <w:rsid w:val="007550D2"/>
    <w:rsid w:val="00755375"/>
    <w:rsid w:val="0075606F"/>
    <w:rsid w:val="007564F5"/>
    <w:rsid w:val="00761358"/>
    <w:rsid w:val="00761881"/>
    <w:rsid w:val="00767DBF"/>
    <w:rsid w:val="00770A19"/>
    <w:rsid w:val="007743F7"/>
    <w:rsid w:val="007746B6"/>
    <w:rsid w:val="0077552B"/>
    <w:rsid w:val="007764CE"/>
    <w:rsid w:val="0077793D"/>
    <w:rsid w:val="00780158"/>
    <w:rsid w:val="007829C6"/>
    <w:rsid w:val="00783F44"/>
    <w:rsid w:val="00784BAE"/>
    <w:rsid w:val="00784F4E"/>
    <w:rsid w:val="00787494"/>
    <w:rsid w:val="007900CC"/>
    <w:rsid w:val="00790405"/>
    <w:rsid w:val="0079257B"/>
    <w:rsid w:val="00793463"/>
    <w:rsid w:val="00793E8A"/>
    <w:rsid w:val="007953F0"/>
    <w:rsid w:val="0079766B"/>
    <w:rsid w:val="007A0E0A"/>
    <w:rsid w:val="007A2079"/>
    <w:rsid w:val="007A2125"/>
    <w:rsid w:val="007A37ED"/>
    <w:rsid w:val="007A435A"/>
    <w:rsid w:val="007A75E0"/>
    <w:rsid w:val="007A7EFA"/>
    <w:rsid w:val="007B06D9"/>
    <w:rsid w:val="007B1253"/>
    <w:rsid w:val="007B1FD3"/>
    <w:rsid w:val="007B21A4"/>
    <w:rsid w:val="007B413E"/>
    <w:rsid w:val="007B6C4A"/>
    <w:rsid w:val="007C0067"/>
    <w:rsid w:val="007C0D3B"/>
    <w:rsid w:val="007C1463"/>
    <w:rsid w:val="007C3281"/>
    <w:rsid w:val="007C50A7"/>
    <w:rsid w:val="007C6515"/>
    <w:rsid w:val="007C75D3"/>
    <w:rsid w:val="007D0260"/>
    <w:rsid w:val="007D12B0"/>
    <w:rsid w:val="007D1359"/>
    <w:rsid w:val="007D214F"/>
    <w:rsid w:val="007D3F14"/>
    <w:rsid w:val="007D4EDB"/>
    <w:rsid w:val="007E2C43"/>
    <w:rsid w:val="007E2D8C"/>
    <w:rsid w:val="007E7E6D"/>
    <w:rsid w:val="007F078D"/>
    <w:rsid w:val="007F19DD"/>
    <w:rsid w:val="007F460D"/>
    <w:rsid w:val="007F6AE2"/>
    <w:rsid w:val="007F7F44"/>
    <w:rsid w:val="008007F8"/>
    <w:rsid w:val="00800A2B"/>
    <w:rsid w:val="008056ED"/>
    <w:rsid w:val="00806308"/>
    <w:rsid w:val="00806C1C"/>
    <w:rsid w:val="00811183"/>
    <w:rsid w:val="00815438"/>
    <w:rsid w:val="00815772"/>
    <w:rsid w:val="00816684"/>
    <w:rsid w:val="00817592"/>
    <w:rsid w:val="008204AE"/>
    <w:rsid w:val="00823614"/>
    <w:rsid w:val="00824C17"/>
    <w:rsid w:val="0082534D"/>
    <w:rsid w:val="00826757"/>
    <w:rsid w:val="00831F1E"/>
    <w:rsid w:val="00832A01"/>
    <w:rsid w:val="00834134"/>
    <w:rsid w:val="00834293"/>
    <w:rsid w:val="00836214"/>
    <w:rsid w:val="00842044"/>
    <w:rsid w:val="008430FD"/>
    <w:rsid w:val="00844507"/>
    <w:rsid w:val="008458CF"/>
    <w:rsid w:val="0084704F"/>
    <w:rsid w:val="008506D7"/>
    <w:rsid w:val="008511D3"/>
    <w:rsid w:val="00852661"/>
    <w:rsid w:val="00853C10"/>
    <w:rsid w:val="00854359"/>
    <w:rsid w:val="0085747A"/>
    <w:rsid w:val="00860FB0"/>
    <w:rsid w:val="00861E2D"/>
    <w:rsid w:val="00865474"/>
    <w:rsid w:val="00871982"/>
    <w:rsid w:val="00871E35"/>
    <w:rsid w:val="008737CA"/>
    <w:rsid w:val="00874DA5"/>
    <w:rsid w:val="008762F4"/>
    <w:rsid w:val="008832D2"/>
    <w:rsid w:val="00883AA0"/>
    <w:rsid w:val="00884669"/>
    <w:rsid w:val="00886F07"/>
    <w:rsid w:val="0088752E"/>
    <w:rsid w:val="00891AE7"/>
    <w:rsid w:val="008923B6"/>
    <w:rsid w:val="008923EE"/>
    <w:rsid w:val="00892D7B"/>
    <w:rsid w:val="00893E39"/>
    <w:rsid w:val="00894098"/>
    <w:rsid w:val="00894271"/>
    <w:rsid w:val="00896009"/>
    <w:rsid w:val="00897508"/>
    <w:rsid w:val="00897B9C"/>
    <w:rsid w:val="008A1B55"/>
    <w:rsid w:val="008A2AAC"/>
    <w:rsid w:val="008A2E8D"/>
    <w:rsid w:val="008A3FF5"/>
    <w:rsid w:val="008A6442"/>
    <w:rsid w:val="008A6559"/>
    <w:rsid w:val="008B1736"/>
    <w:rsid w:val="008B22E2"/>
    <w:rsid w:val="008B3828"/>
    <w:rsid w:val="008B4B8A"/>
    <w:rsid w:val="008B654C"/>
    <w:rsid w:val="008C0A74"/>
    <w:rsid w:val="008C2283"/>
    <w:rsid w:val="008C2B52"/>
    <w:rsid w:val="008C33DE"/>
    <w:rsid w:val="008C44F7"/>
    <w:rsid w:val="008C4AC6"/>
    <w:rsid w:val="008C574B"/>
    <w:rsid w:val="008D0659"/>
    <w:rsid w:val="008D15F4"/>
    <w:rsid w:val="008D2C80"/>
    <w:rsid w:val="008D2E07"/>
    <w:rsid w:val="008D3DDE"/>
    <w:rsid w:val="008D62C9"/>
    <w:rsid w:val="008E1639"/>
    <w:rsid w:val="008E1BEB"/>
    <w:rsid w:val="008E3F4E"/>
    <w:rsid w:val="008F110A"/>
    <w:rsid w:val="008F1453"/>
    <w:rsid w:val="008F20BA"/>
    <w:rsid w:val="008F33D2"/>
    <w:rsid w:val="008F46F4"/>
    <w:rsid w:val="009004B1"/>
    <w:rsid w:val="00900AF8"/>
    <w:rsid w:val="00900E6D"/>
    <w:rsid w:val="00903050"/>
    <w:rsid w:val="009058B5"/>
    <w:rsid w:val="0090667F"/>
    <w:rsid w:val="00906DD3"/>
    <w:rsid w:val="0090758A"/>
    <w:rsid w:val="009116C7"/>
    <w:rsid w:val="0091241A"/>
    <w:rsid w:val="00914122"/>
    <w:rsid w:val="00914A3D"/>
    <w:rsid w:val="009163B3"/>
    <w:rsid w:val="009205DB"/>
    <w:rsid w:val="009216B1"/>
    <w:rsid w:val="00921B8C"/>
    <w:rsid w:val="00921F08"/>
    <w:rsid w:val="009243B9"/>
    <w:rsid w:val="0093017C"/>
    <w:rsid w:val="00931CC1"/>
    <w:rsid w:val="00932154"/>
    <w:rsid w:val="00933317"/>
    <w:rsid w:val="009353A2"/>
    <w:rsid w:val="00935576"/>
    <w:rsid w:val="00936EDE"/>
    <w:rsid w:val="00937FD7"/>
    <w:rsid w:val="009461ED"/>
    <w:rsid w:val="009476C7"/>
    <w:rsid w:val="00947A2E"/>
    <w:rsid w:val="00951E23"/>
    <w:rsid w:val="009538E6"/>
    <w:rsid w:val="00954E40"/>
    <w:rsid w:val="0095594E"/>
    <w:rsid w:val="00955EB3"/>
    <w:rsid w:val="00956C60"/>
    <w:rsid w:val="00961BD6"/>
    <w:rsid w:val="009659CA"/>
    <w:rsid w:val="00966951"/>
    <w:rsid w:val="0097044A"/>
    <w:rsid w:val="009704E4"/>
    <w:rsid w:val="00973A7F"/>
    <w:rsid w:val="009775C7"/>
    <w:rsid w:val="00981582"/>
    <w:rsid w:val="009871FB"/>
    <w:rsid w:val="00991523"/>
    <w:rsid w:val="00995B9F"/>
    <w:rsid w:val="009A1180"/>
    <w:rsid w:val="009A1276"/>
    <w:rsid w:val="009A227B"/>
    <w:rsid w:val="009A438D"/>
    <w:rsid w:val="009B1795"/>
    <w:rsid w:val="009B1985"/>
    <w:rsid w:val="009B7CBB"/>
    <w:rsid w:val="009C0766"/>
    <w:rsid w:val="009C0D56"/>
    <w:rsid w:val="009C22BE"/>
    <w:rsid w:val="009C2617"/>
    <w:rsid w:val="009C3818"/>
    <w:rsid w:val="009C3A93"/>
    <w:rsid w:val="009C4061"/>
    <w:rsid w:val="009C4074"/>
    <w:rsid w:val="009C41B6"/>
    <w:rsid w:val="009C452D"/>
    <w:rsid w:val="009C76A1"/>
    <w:rsid w:val="009D1329"/>
    <w:rsid w:val="009D4D1B"/>
    <w:rsid w:val="009D57CE"/>
    <w:rsid w:val="009E231A"/>
    <w:rsid w:val="009E2D20"/>
    <w:rsid w:val="009E2F64"/>
    <w:rsid w:val="009E52D0"/>
    <w:rsid w:val="009F38B7"/>
    <w:rsid w:val="009F3DFB"/>
    <w:rsid w:val="009F4D0F"/>
    <w:rsid w:val="009F4EDF"/>
    <w:rsid w:val="009F5A96"/>
    <w:rsid w:val="009F77AF"/>
    <w:rsid w:val="00A0393A"/>
    <w:rsid w:val="00A04CB6"/>
    <w:rsid w:val="00A0647D"/>
    <w:rsid w:val="00A10A6B"/>
    <w:rsid w:val="00A10AC5"/>
    <w:rsid w:val="00A10E2B"/>
    <w:rsid w:val="00A12452"/>
    <w:rsid w:val="00A1268C"/>
    <w:rsid w:val="00A12C80"/>
    <w:rsid w:val="00A15417"/>
    <w:rsid w:val="00A175B0"/>
    <w:rsid w:val="00A23386"/>
    <w:rsid w:val="00A24A56"/>
    <w:rsid w:val="00A30084"/>
    <w:rsid w:val="00A32694"/>
    <w:rsid w:val="00A34A45"/>
    <w:rsid w:val="00A3656C"/>
    <w:rsid w:val="00A36FD2"/>
    <w:rsid w:val="00A407F1"/>
    <w:rsid w:val="00A40AEE"/>
    <w:rsid w:val="00A44EF0"/>
    <w:rsid w:val="00A45823"/>
    <w:rsid w:val="00A46165"/>
    <w:rsid w:val="00A4666D"/>
    <w:rsid w:val="00A506D0"/>
    <w:rsid w:val="00A50895"/>
    <w:rsid w:val="00A52025"/>
    <w:rsid w:val="00A52439"/>
    <w:rsid w:val="00A537F0"/>
    <w:rsid w:val="00A55239"/>
    <w:rsid w:val="00A567A3"/>
    <w:rsid w:val="00A56952"/>
    <w:rsid w:val="00A56A4A"/>
    <w:rsid w:val="00A62385"/>
    <w:rsid w:val="00A64402"/>
    <w:rsid w:val="00A64812"/>
    <w:rsid w:val="00A6600B"/>
    <w:rsid w:val="00A66FAF"/>
    <w:rsid w:val="00A677ED"/>
    <w:rsid w:val="00A67983"/>
    <w:rsid w:val="00A701AB"/>
    <w:rsid w:val="00A71859"/>
    <w:rsid w:val="00A7198B"/>
    <w:rsid w:val="00A73318"/>
    <w:rsid w:val="00A753BA"/>
    <w:rsid w:val="00A75781"/>
    <w:rsid w:val="00A8037F"/>
    <w:rsid w:val="00A81318"/>
    <w:rsid w:val="00A81C8D"/>
    <w:rsid w:val="00A90352"/>
    <w:rsid w:val="00A93867"/>
    <w:rsid w:val="00A94407"/>
    <w:rsid w:val="00A94910"/>
    <w:rsid w:val="00AA0DD7"/>
    <w:rsid w:val="00AA353C"/>
    <w:rsid w:val="00AA377E"/>
    <w:rsid w:val="00AA44D4"/>
    <w:rsid w:val="00AA4761"/>
    <w:rsid w:val="00AA7214"/>
    <w:rsid w:val="00AB25A6"/>
    <w:rsid w:val="00AB6DBF"/>
    <w:rsid w:val="00AB7C9D"/>
    <w:rsid w:val="00AC0A9A"/>
    <w:rsid w:val="00AC445E"/>
    <w:rsid w:val="00AC4D89"/>
    <w:rsid w:val="00AC688A"/>
    <w:rsid w:val="00AD00C8"/>
    <w:rsid w:val="00AD05D0"/>
    <w:rsid w:val="00AD2C05"/>
    <w:rsid w:val="00AD75B7"/>
    <w:rsid w:val="00AE06C5"/>
    <w:rsid w:val="00AE4080"/>
    <w:rsid w:val="00AF0FD5"/>
    <w:rsid w:val="00AF1005"/>
    <w:rsid w:val="00AF1EA0"/>
    <w:rsid w:val="00AF314D"/>
    <w:rsid w:val="00AF412C"/>
    <w:rsid w:val="00AF5735"/>
    <w:rsid w:val="00AF67AE"/>
    <w:rsid w:val="00B00F3C"/>
    <w:rsid w:val="00B05F5C"/>
    <w:rsid w:val="00B07E3D"/>
    <w:rsid w:val="00B21C62"/>
    <w:rsid w:val="00B22FA0"/>
    <w:rsid w:val="00B2656C"/>
    <w:rsid w:val="00B31259"/>
    <w:rsid w:val="00B31D31"/>
    <w:rsid w:val="00B34AC1"/>
    <w:rsid w:val="00B40484"/>
    <w:rsid w:val="00B41272"/>
    <w:rsid w:val="00B417FE"/>
    <w:rsid w:val="00B426FE"/>
    <w:rsid w:val="00B4328B"/>
    <w:rsid w:val="00B4685B"/>
    <w:rsid w:val="00B50AB5"/>
    <w:rsid w:val="00B57E62"/>
    <w:rsid w:val="00B6287E"/>
    <w:rsid w:val="00B64448"/>
    <w:rsid w:val="00B76DCC"/>
    <w:rsid w:val="00B77043"/>
    <w:rsid w:val="00B82893"/>
    <w:rsid w:val="00B84060"/>
    <w:rsid w:val="00B85092"/>
    <w:rsid w:val="00B856C4"/>
    <w:rsid w:val="00B85F93"/>
    <w:rsid w:val="00B86D06"/>
    <w:rsid w:val="00B86F42"/>
    <w:rsid w:val="00B87045"/>
    <w:rsid w:val="00B903BE"/>
    <w:rsid w:val="00B906C3"/>
    <w:rsid w:val="00B92757"/>
    <w:rsid w:val="00B9285A"/>
    <w:rsid w:val="00B92DA5"/>
    <w:rsid w:val="00B92FC3"/>
    <w:rsid w:val="00B94025"/>
    <w:rsid w:val="00B94DC0"/>
    <w:rsid w:val="00B95CFF"/>
    <w:rsid w:val="00BA5C12"/>
    <w:rsid w:val="00BB0292"/>
    <w:rsid w:val="00BB0F0F"/>
    <w:rsid w:val="00BB113D"/>
    <w:rsid w:val="00BB3CFC"/>
    <w:rsid w:val="00BB4322"/>
    <w:rsid w:val="00BB450A"/>
    <w:rsid w:val="00BC0824"/>
    <w:rsid w:val="00BC2DA6"/>
    <w:rsid w:val="00BC492F"/>
    <w:rsid w:val="00BC49D6"/>
    <w:rsid w:val="00BC6AC8"/>
    <w:rsid w:val="00BC6FF8"/>
    <w:rsid w:val="00BC770A"/>
    <w:rsid w:val="00BC7C47"/>
    <w:rsid w:val="00BD0073"/>
    <w:rsid w:val="00BD24B7"/>
    <w:rsid w:val="00BD4907"/>
    <w:rsid w:val="00BD5A7F"/>
    <w:rsid w:val="00BD5CBA"/>
    <w:rsid w:val="00BD65C4"/>
    <w:rsid w:val="00BD7961"/>
    <w:rsid w:val="00BD7DA1"/>
    <w:rsid w:val="00BE1C85"/>
    <w:rsid w:val="00BE2682"/>
    <w:rsid w:val="00BE2A4A"/>
    <w:rsid w:val="00BE2A57"/>
    <w:rsid w:val="00BE462D"/>
    <w:rsid w:val="00BE71D1"/>
    <w:rsid w:val="00BF1AFD"/>
    <w:rsid w:val="00BF1F1E"/>
    <w:rsid w:val="00BF21BD"/>
    <w:rsid w:val="00BF2DB0"/>
    <w:rsid w:val="00BF690E"/>
    <w:rsid w:val="00BF71BD"/>
    <w:rsid w:val="00C00A25"/>
    <w:rsid w:val="00C010AA"/>
    <w:rsid w:val="00C017C9"/>
    <w:rsid w:val="00C02CD1"/>
    <w:rsid w:val="00C0332E"/>
    <w:rsid w:val="00C0373C"/>
    <w:rsid w:val="00C053D5"/>
    <w:rsid w:val="00C06424"/>
    <w:rsid w:val="00C06E30"/>
    <w:rsid w:val="00C11025"/>
    <w:rsid w:val="00C11A23"/>
    <w:rsid w:val="00C12039"/>
    <w:rsid w:val="00C125BD"/>
    <w:rsid w:val="00C125F0"/>
    <w:rsid w:val="00C2008E"/>
    <w:rsid w:val="00C30B59"/>
    <w:rsid w:val="00C325C6"/>
    <w:rsid w:val="00C34607"/>
    <w:rsid w:val="00C35503"/>
    <w:rsid w:val="00C3551E"/>
    <w:rsid w:val="00C35A6D"/>
    <w:rsid w:val="00C37003"/>
    <w:rsid w:val="00C401C4"/>
    <w:rsid w:val="00C43B38"/>
    <w:rsid w:val="00C43F7C"/>
    <w:rsid w:val="00C45AD8"/>
    <w:rsid w:val="00C45BAB"/>
    <w:rsid w:val="00C502B9"/>
    <w:rsid w:val="00C51122"/>
    <w:rsid w:val="00C52AAF"/>
    <w:rsid w:val="00C52FD4"/>
    <w:rsid w:val="00C54125"/>
    <w:rsid w:val="00C5645E"/>
    <w:rsid w:val="00C604E6"/>
    <w:rsid w:val="00C63294"/>
    <w:rsid w:val="00C64DBC"/>
    <w:rsid w:val="00C65A9C"/>
    <w:rsid w:val="00C70939"/>
    <w:rsid w:val="00C70CDD"/>
    <w:rsid w:val="00C70FAD"/>
    <w:rsid w:val="00C7180D"/>
    <w:rsid w:val="00C736F6"/>
    <w:rsid w:val="00C76CFC"/>
    <w:rsid w:val="00C76DA8"/>
    <w:rsid w:val="00C77DC6"/>
    <w:rsid w:val="00C801DA"/>
    <w:rsid w:val="00C83AD4"/>
    <w:rsid w:val="00C8429D"/>
    <w:rsid w:val="00C86701"/>
    <w:rsid w:val="00C867B0"/>
    <w:rsid w:val="00C919DF"/>
    <w:rsid w:val="00C926F0"/>
    <w:rsid w:val="00C95095"/>
    <w:rsid w:val="00C9656D"/>
    <w:rsid w:val="00C97523"/>
    <w:rsid w:val="00CA03AA"/>
    <w:rsid w:val="00CA436F"/>
    <w:rsid w:val="00CA4AFC"/>
    <w:rsid w:val="00CB052E"/>
    <w:rsid w:val="00CB1076"/>
    <w:rsid w:val="00CB126B"/>
    <w:rsid w:val="00CB1634"/>
    <w:rsid w:val="00CB226A"/>
    <w:rsid w:val="00CB445F"/>
    <w:rsid w:val="00CC075A"/>
    <w:rsid w:val="00CC104D"/>
    <w:rsid w:val="00CC5C41"/>
    <w:rsid w:val="00CC6753"/>
    <w:rsid w:val="00CD4971"/>
    <w:rsid w:val="00CD589C"/>
    <w:rsid w:val="00CD5F32"/>
    <w:rsid w:val="00CD6C38"/>
    <w:rsid w:val="00CE1F63"/>
    <w:rsid w:val="00CE2A8D"/>
    <w:rsid w:val="00CE4FA8"/>
    <w:rsid w:val="00CE7FB3"/>
    <w:rsid w:val="00CF01C3"/>
    <w:rsid w:val="00CF0884"/>
    <w:rsid w:val="00CF18EB"/>
    <w:rsid w:val="00CF19F4"/>
    <w:rsid w:val="00CF2375"/>
    <w:rsid w:val="00CF28E0"/>
    <w:rsid w:val="00CF3CED"/>
    <w:rsid w:val="00CF46AD"/>
    <w:rsid w:val="00CF5AD9"/>
    <w:rsid w:val="00D01AC8"/>
    <w:rsid w:val="00D02237"/>
    <w:rsid w:val="00D0364E"/>
    <w:rsid w:val="00D037C0"/>
    <w:rsid w:val="00D069A5"/>
    <w:rsid w:val="00D12452"/>
    <w:rsid w:val="00D13BD9"/>
    <w:rsid w:val="00D15347"/>
    <w:rsid w:val="00D15625"/>
    <w:rsid w:val="00D1616A"/>
    <w:rsid w:val="00D176E7"/>
    <w:rsid w:val="00D20247"/>
    <w:rsid w:val="00D203DE"/>
    <w:rsid w:val="00D21E4E"/>
    <w:rsid w:val="00D22774"/>
    <w:rsid w:val="00D252CC"/>
    <w:rsid w:val="00D253A7"/>
    <w:rsid w:val="00D314A9"/>
    <w:rsid w:val="00D3314C"/>
    <w:rsid w:val="00D347E3"/>
    <w:rsid w:val="00D3490A"/>
    <w:rsid w:val="00D349D9"/>
    <w:rsid w:val="00D35706"/>
    <w:rsid w:val="00D36DD7"/>
    <w:rsid w:val="00D3759F"/>
    <w:rsid w:val="00D4005A"/>
    <w:rsid w:val="00D431A0"/>
    <w:rsid w:val="00D43B5F"/>
    <w:rsid w:val="00D44EEF"/>
    <w:rsid w:val="00D504E5"/>
    <w:rsid w:val="00D51B05"/>
    <w:rsid w:val="00D53B21"/>
    <w:rsid w:val="00D555DA"/>
    <w:rsid w:val="00D61E33"/>
    <w:rsid w:val="00D632E7"/>
    <w:rsid w:val="00D6436B"/>
    <w:rsid w:val="00D64A73"/>
    <w:rsid w:val="00D70329"/>
    <w:rsid w:val="00D708E1"/>
    <w:rsid w:val="00D74DD9"/>
    <w:rsid w:val="00D75C11"/>
    <w:rsid w:val="00D75D4F"/>
    <w:rsid w:val="00D76D2E"/>
    <w:rsid w:val="00D80518"/>
    <w:rsid w:val="00D806B0"/>
    <w:rsid w:val="00D83730"/>
    <w:rsid w:val="00D85181"/>
    <w:rsid w:val="00D85FCE"/>
    <w:rsid w:val="00D870AB"/>
    <w:rsid w:val="00D90CF6"/>
    <w:rsid w:val="00D9181B"/>
    <w:rsid w:val="00D92F2C"/>
    <w:rsid w:val="00D93322"/>
    <w:rsid w:val="00D9653A"/>
    <w:rsid w:val="00D96CA9"/>
    <w:rsid w:val="00DA3B68"/>
    <w:rsid w:val="00DB150C"/>
    <w:rsid w:val="00DB244E"/>
    <w:rsid w:val="00DB599C"/>
    <w:rsid w:val="00DC01BB"/>
    <w:rsid w:val="00DC249C"/>
    <w:rsid w:val="00DC3C64"/>
    <w:rsid w:val="00DC45BC"/>
    <w:rsid w:val="00DC4638"/>
    <w:rsid w:val="00DC5F5C"/>
    <w:rsid w:val="00DC725D"/>
    <w:rsid w:val="00DD1225"/>
    <w:rsid w:val="00DD46CC"/>
    <w:rsid w:val="00DD51D2"/>
    <w:rsid w:val="00DD695C"/>
    <w:rsid w:val="00DE0D9D"/>
    <w:rsid w:val="00DE2C71"/>
    <w:rsid w:val="00DE7508"/>
    <w:rsid w:val="00DF1800"/>
    <w:rsid w:val="00DF3030"/>
    <w:rsid w:val="00DF4918"/>
    <w:rsid w:val="00DF6D9A"/>
    <w:rsid w:val="00E05730"/>
    <w:rsid w:val="00E06B95"/>
    <w:rsid w:val="00E06D47"/>
    <w:rsid w:val="00E123CB"/>
    <w:rsid w:val="00E13E77"/>
    <w:rsid w:val="00E1455F"/>
    <w:rsid w:val="00E14E38"/>
    <w:rsid w:val="00E14FA9"/>
    <w:rsid w:val="00E156BC"/>
    <w:rsid w:val="00E15C86"/>
    <w:rsid w:val="00E215E5"/>
    <w:rsid w:val="00E21A5E"/>
    <w:rsid w:val="00E2231D"/>
    <w:rsid w:val="00E22C1E"/>
    <w:rsid w:val="00E22CE4"/>
    <w:rsid w:val="00E236D0"/>
    <w:rsid w:val="00E23BEF"/>
    <w:rsid w:val="00E2611D"/>
    <w:rsid w:val="00E31A02"/>
    <w:rsid w:val="00E327E8"/>
    <w:rsid w:val="00E32C8E"/>
    <w:rsid w:val="00E365F8"/>
    <w:rsid w:val="00E37C5E"/>
    <w:rsid w:val="00E4008C"/>
    <w:rsid w:val="00E403DF"/>
    <w:rsid w:val="00E4423A"/>
    <w:rsid w:val="00E45A10"/>
    <w:rsid w:val="00E52313"/>
    <w:rsid w:val="00E54956"/>
    <w:rsid w:val="00E55832"/>
    <w:rsid w:val="00E55969"/>
    <w:rsid w:val="00E55B05"/>
    <w:rsid w:val="00E562A8"/>
    <w:rsid w:val="00E56EC1"/>
    <w:rsid w:val="00E57478"/>
    <w:rsid w:val="00E630F8"/>
    <w:rsid w:val="00E6363D"/>
    <w:rsid w:val="00E64CB7"/>
    <w:rsid w:val="00E66840"/>
    <w:rsid w:val="00E66E15"/>
    <w:rsid w:val="00E70F27"/>
    <w:rsid w:val="00E81A91"/>
    <w:rsid w:val="00E83980"/>
    <w:rsid w:val="00E95812"/>
    <w:rsid w:val="00E95948"/>
    <w:rsid w:val="00E9643D"/>
    <w:rsid w:val="00E9742D"/>
    <w:rsid w:val="00EA3658"/>
    <w:rsid w:val="00EA7890"/>
    <w:rsid w:val="00EB2D5E"/>
    <w:rsid w:val="00EB560F"/>
    <w:rsid w:val="00EB5AC2"/>
    <w:rsid w:val="00EC0CAE"/>
    <w:rsid w:val="00EC2468"/>
    <w:rsid w:val="00EC29E3"/>
    <w:rsid w:val="00EC327D"/>
    <w:rsid w:val="00EC3B91"/>
    <w:rsid w:val="00EC51F8"/>
    <w:rsid w:val="00EC6716"/>
    <w:rsid w:val="00EC7F00"/>
    <w:rsid w:val="00ED06F8"/>
    <w:rsid w:val="00ED1E64"/>
    <w:rsid w:val="00ED24F6"/>
    <w:rsid w:val="00ED276D"/>
    <w:rsid w:val="00ED4D6D"/>
    <w:rsid w:val="00ED5DD0"/>
    <w:rsid w:val="00ED6FAC"/>
    <w:rsid w:val="00ED784F"/>
    <w:rsid w:val="00EE3D57"/>
    <w:rsid w:val="00EE42D9"/>
    <w:rsid w:val="00EE4E40"/>
    <w:rsid w:val="00EE58B4"/>
    <w:rsid w:val="00EE59C8"/>
    <w:rsid w:val="00EE5E8F"/>
    <w:rsid w:val="00EE63D2"/>
    <w:rsid w:val="00EE67B3"/>
    <w:rsid w:val="00EE6828"/>
    <w:rsid w:val="00EE7C63"/>
    <w:rsid w:val="00EF368D"/>
    <w:rsid w:val="00EF4C69"/>
    <w:rsid w:val="00EF512B"/>
    <w:rsid w:val="00EF5DD6"/>
    <w:rsid w:val="00EF6668"/>
    <w:rsid w:val="00F0213B"/>
    <w:rsid w:val="00F02864"/>
    <w:rsid w:val="00F02F5A"/>
    <w:rsid w:val="00F0327D"/>
    <w:rsid w:val="00F04F2C"/>
    <w:rsid w:val="00F06332"/>
    <w:rsid w:val="00F10472"/>
    <w:rsid w:val="00F10D45"/>
    <w:rsid w:val="00F11EB2"/>
    <w:rsid w:val="00F14A88"/>
    <w:rsid w:val="00F220BF"/>
    <w:rsid w:val="00F228EE"/>
    <w:rsid w:val="00F22E51"/>
    <w:rsid w:val="00F23F8C"/>
    <w:rsid w:val="00F25219"/>
    <w:rsid w:val="00F30EB3"/>
    <w:rsid w:val="00F31E20"/>
    <w:rsid w:val="00F3304B"/>
    <w:rsid w:val="00F4028A"/>
    <w:rsid w:val="00F43A81"/>
    <w:rsid w:val="00F457E2"/>
    <w:rsid w:val="00F45A93"/>
    <w:rsid w:val="00F45DE4"/>
    <w:rsid w:val="00F45E80"/>
    <w:rsid w:val="00F47617"/>
    <w:rsid w:val="00F51BED"/>
    <w:rsid w:val="00F53BDD"/>
    <w:rsid w:val="00F54AD5"/>
    <w:rsid w:val="00F54DB7"/>
    <w:rsid w:val="00F55456"/>
    <w:rsid w:val="00F5585C"/>
    <w:rsid w:val="00F57B6F"/>
    <w:rsid w:val="00F60BA5"/>
    <w:rsid w:val="00F62DCA"/>
    <w:rsid w:val="00F64435"/>
    <w:rsid w:val="00F675D7"/>
    <w:rsid w:val="00F762D7"/>
    <w:rsid w:val="00F772B8"/>
    <w:rsid w:val="00F810DE"/>
    <w:rsid w:val="00F823F2"/>
    <w:rsid w:val="00F83F13"/>
    <w:rsid w:val="00F849E6"/>
    <w:rsid w:val="00F8578D"/>
    <w:rsid w:val="00F8694C"/>
    <w:rsid w:val="00F8762F"/>
    <w:rsid w:val="00F909BF"/>
    <w:rsid w:val="00F93048"/>
    <w:rsid w:val="00F96331"/>
    <w:rsid w:val="00F96345"/>
    <w:rsid w:val="00FA6CF3"/>
    <w:rsid w:val="00FA7955"/>
    <w:rsid w:val="00FA79F7"/>
    <w:rsid w:val="00FA7AAE"/>
    <w:rsid w:val="00FB0D8C"/>
    <w:rsid w:val="00FB250F"/>
    <w:rsid w:val="00FB2F89"/>
    <w:rsid w:val="00FB3A03"/>
    <w:rsid w:val="00FB4202"/>
    <w:rsid w:val="00FB536C"/>
    <w:rsid w:val="00FB63EB"/>
    <w:rsid w:val="00FB6F11"/>
    <w:rsid w:val="00FB7522"/>
    <w:rsid w:val="00FC075B"/>
    <w:rsid w:val="00FC3236"/>
    <w:rsid w:val="00FC4D12"/>
    <w:rsid w:val="00FC6870"/>
    <w:rsid w:val="00FC7C1E"/>
    <w:rsid w:val="00FC7D0D"/>
    <w:rsid w:val="00FD096E"/>
    <w:rsid w:val="00FD158D"/>
    <w:rsid w:val="00FD2BD4"/>
    <w:rsid w:val="00FD549F"/>
    <w:rsid w:val="00FD5629"/>
    <w:rsid w:val="00FD7084"/>
    <w:rsid w:val="00FE0DDF"/>
    <w:rsid w:val="00FE19A7"/>
    <w:rsid w:val="00FE3F74"/>
    <w:rsid w:val="00FE493E"/>
    <w:rsid w:val="00FE4A2D"/>
    <w:rsid w:val="00FF0695"/>
    <w:rsid w:val="00FF3919"/>
    <w:rsid w:val="00FF41C9"/>
    <w:rsid w:val="00FF428F"/>
    <w:rsid w:val="00FF5931"/>
    <w:rsid w:val="00FF7777"/>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12452"/>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uiPriority w:val="29"/>
    <w:qFormat/>
    <w:rsid w:val="00385DFD"/>
    <w:pPr>
      <w:tabs>
        <w:tab w:val="right" w:pos="8136"/>
      </w:tabs>
      <w:spacing w:before="80"/>
      <w:ind w:left="567" w:right="652"/>
    </w:pPr>
    <w:rPr>
      <w:sz w:val="17"/>
    </w:rPr>
  </w:style>
  <w:style w:type="paragraph" w:customStyle="1" w:styleId="References">
    <w:name w:val="References"/>
    <w:rsid w:val="00633C40"/>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F46F4"/>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385DFD"/>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QuoteChar">
    <w:name w:val="Quote Char"/>
    <w:basedOn w:val="DefaultParagraphFont"/>
    <w:link w:val="Quote"/>
    <w:uiPriority w:val="29"/>
    <w:rsid w:val="00385DFD"/>
    <w:rPr>
      <w:rFonts w:ascii="Trebuchet MS" w:hAnsi="Trebuchet MS"/>
      <w:sz w:val="17"/>
      <w:lang w:val="en-AU"/>
    </w:rPr>
  </w:style>
  <w:style w:type="character" w:styleId="EndnoteReference">
    <w:name w:val="endnote reference"/>
    <w:basedOn w:val="DefaultParagraphFont"/>
    <w:uiPriority w:val="99"/>
    <w:semiHidden/>
    <w:unhideWhenUsed/>
    <w:rsid w:val="004B5D0A"/>
    <w:rPr>
      <w:vertAlign w:val="superscript"/>
    </w:rPr>
  </w:style>
  <w:style w:type="character" w:styleId="CommentReference">
    <w:name w:val="annotation reference"/>
    <w:basedOn w:val="DefaultParagraphFont"/>
    <w:uiPriority w:val="99"/>
    <w:semiHidden/>
    <w:rsid w:val="00A45823"/>
    <w:rPr>
      <w:sz w:val="18"/>
      <w:szCs w:val="18"/>
    </w:rPr>
  </w:style>
  <w:style w:type="paragraph" w:styleId="CommentText">
    <w:name w:val="annotation text"/>
    <w:basedOn w:val="Normal"/>
    <w:link w:val="CommentTextChar"/>
    <w:uiPriority w:val="99"/>
    <w:semiHidden/>
    <w:rsid w:val="00A45823"/>
    <w:pPr>
      <w:spacing w:line="240" w:lineRule="auto"/>
    </w:pPr>
    <w:rPr>
      <w:sz w:val="24"/>
      <w:szCs w:val="24"/>
    </w:rPr>
  </w:style>
  <w:style w:type="character" w:customStyle="1" w:styleId="CommentTextChar">
    <w:name w:val="Comment Text Char"/>
    <w:basedOn w:val="DefaultParagraphFont"/>
    <w:link w:val="CommentText"/>
    <w:uiPriority w:val="99"/>
    <w:semiHidden/>
    <w:rsid w:val="00A45823"/>
    <w:rPr>
      <w:rFonts w:ascii="Trebuchet MS" w:hAnsi="Trebuchet MS"/>
      <w:sz w:val="24"/>
      <w:szCs w:val="24"/>
      <w:lang w:val="en-AU"/>
    </w:rPr>
  </w:style>
  <w:style w:type="paragraph" w:styleId="CommentSubject">
    <w:name w:val="annotation subject"/>
    <w:basedOn w:val="CommentText"/>
    <w:next w:val="CommentText"/>
    <w:link w:val="CommentSubjectChar"/>
    <w:uiPriority w:val="99"/>
    <w:semiHidden/>
    <w:rsid w:val="00A45823"/>
    <w:rPr>
      <w:b/>
      <w:bCs/>
      <w:sz w:val="20"/>
      <w:szCs w:val="20"/>
    </w:rPr>
  </w:style>
  <w:style w:type="character" w:customStyle="1" w:styleId="CommentSubjectChar">
    <w:name w:val="Comment Subject Char"/>
    <w:basedOn w:val="CommentTextChar"/>
    <w:link w:val="CommentSubject"/>
    <w:uiPriority w:val="99"/>
    <w:semiHidden/>
    <w:rsid w:val="00A45823"/>
    <w:rPr>
      <w:rFonts w:ascii="Trebuchet MS" w:hAnsi="Trebuchet MS"/>
      <w:b/>
      <w:bCs/>
      <w:sz w:val="24"/>
      <w:szCs w:val="24"/>
      <w:lang w:val="en-AU"/>
    </w:rPr>
  </w:style>
  <w:style w:type="character" w:styleId="FootnoteReference">
    <w:name w:val="footnote reference"/>
    <w:basedOn w:val="DefaultParagraphFont"/>
    <w:uiPriority w:val="99"/>
    <w:semiHidden/>
    <w:rsid w:val="00311DD9"/>
    <w:rPr>
      <w:vertAlign w:val="superscript"/>
    </w:rPr>
  </w:style>
  <w:style w:type="character" w:customStyle="1" w:styleId="Heading1Char">
    <w:name w:val="Heading 1 Char"/>
    <w:basedOn w:val="DefaultParagraphFont"/>
    <w:link w:val="Heading1"/>
    <w:rsid w:val="006D7736"/>
    <w:rPr>
      <w:rFonts w:ascii="Tahoma" w:hAnsi="Tahoma" w:cs="Tahoma"/>
      <w:color w:val="000000"/>
      <w:kern w:val="28"/>
      <w:sz w:val="56"/>
      <w:szCs w:val="56"/>
      <w:lang w:val="en-AU"/>
    </w:rPr>
  </w:style>
  <w:style w:type="paragraph" w:customStyle="1" w:styleId="Textmorebefore">
    <w:name w:val="Text more # before"/>
    <w:basedOn w:val="Text"/>
    <w:uiPriority w:val="1"/>
    <w:qFormat/>
    <w:rsid w:val="00385DFD"/>
    <w:pPr>
      <w:spacing w:before="360"/>
      <w:ind w:right="0"/>
    </w:pPr>
  </w:style>
  <w:style w:type="paragraph" w:customStyle="1" w:styleId="Textlessbefore">
    <w:name w:val="Text less # before"/>
    <w:basedOn w:val="Text"/>
    <w:uiPriority w:val="1"/>
    <w:qFormat/>
    <w:rsid w:val="004D4FBB"/>
    <w:pPr>
      <w:spacing w:before="80"/>
      <w:ind w:right="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FA7955"/>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uiPriority w:val="29"/>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QuoteChar">
    <w:name w:val="Quote Char"/>
    <w:basedOn w:val="DefaultParagraphFont"/>
    <w:link w:val="Quote"/>
    <w:uiPriority w:val="29"/>
    <w:rsid w:val="00BD24B7"/>
    <w:rPr>
      <w:rFonts w:ascii="Trebuchet MS" w:hAnsi="Trebuchet MS"/>
      <w:sz w:val="17"/>
      <w:lang w:val="en-AU"/>
    </w:rPr>
  </w:style>
  <w:style w:type="character" w:styleId="EndnoteReference">
    <w:name w:val="endnote reference"/>
    <w:basedOn w:val="DefaultParagraphFont"/>
    <w:uiPriority w:val="99"/>
    <w:semiHidden/>
    <w:unhideWhenUsed/>
    <w:rsid w:val="004B5D0A"/>
    <w:rPr>
      <w:vertAlign w:val="superscript"/>
    </w:rPr>
  </w:style>
  <w:style w:type="character" w:styleId="CommentReference">
    <w:name w:val="annotation reference"/>
    <w:basedOn w:val="DefaultParagraphFont"/>
    <w:uiPriority w:val="99"/>
    <w:semiHidden/>
    <w:rsid w:val="00A45823"/>
    <w:rPr>
      <w:sz w:val="18"/>
      <w:szCs w:val="18"/>
    </w:rPr>
  </w:style>
  <w:style w:type="paragraph" w:styleId="CommentText">
    <w:name w:val="annotation text"/>
    <w:basedOn w:val="Normal"/>
    <w:link w:val="CommentTextChar"/>
    <w:uiPriority w:val="99"/>
    <w:semiHidden/>
    <w:rsid w:val="00A45823"/>
    <w:pPr>
      <w:spacing w:line="240" w:lineRule="auto"/>
    </w:pPr>
    <w:rPr>
      <w:sz w:val="24"/>
      <w:szCs w:val="24"/>
    </w:rPr>
  </w:style>
  <w:style w:type="character" w:customStyle="1" w:styleId="CommentTextChar">
    <w:name w:val="Comment Text Char"/>
    <w:basedOn w:val="DefaultParagraphFont"/>
    <w:link w:val="CommentText"/>
    <w:uiPriority w:val="99"/>
    <w:semiHidden/>
    <w:rsid w:val="00A45823"/>
    <w:rPr>
      <w:rFonts w:ascii="Trebuchet MS" w:hAnsi="Trebuchet MS"/>
      <w:sz w:val="24"/>
      <w:szCs w:val="24"/>
      <w:lang w:val="en-AU"/>
    </w:rPr>
  </w:style>
  <w:style w:type="paragraph" w:styleId="CommentSubject">
    <w:name w:val="annotation subject"/>
    <w:basedOn w:val="CommentText"/>
    <w:next w:val="CommentText"/>
    <w:link w:val="CommentSubjectChar"/>
    <w:uiPriority w:val="99"/>
    <w:semiHidden/>
    <w:rsid w:val="00A45823"/>
    <w:rPr>
      <w:b/>
      <w:bCs/>
      <w:sz w:val="20"/>
      <w:szCs w:val="20"/>
    </w:rPr>
  </w:style>
  <w:style w:type="character" w:customStyle="1" w:styleId="CommentSubjectChar">
    <w:name w:val="Comment Subject Char"/>
    <w:basedOn w:val="CommentTextChar"/>
    <w:link w:val="CommentSubject"/>
    <w:uiPriority w:val="99"/>
    <w:semiHidden/>
    <w:rsid w:val="00A45823"/>
    <w:rPr>
      <w:rFonts w:ascii="Trebuchet MS" w:hAnsi="Trebuchet MS"/>
      <w:b/>
      <w:bCs/>
      <w:sz w:val="24"/>
      <w:szCs w:val="24"/>
      <w:lang w:val="en-AU"/>
    </w:rPr>
  </w:style>
</w:styles>
</file>

<file path=word/webSettings.xml><?xml version="1.0" encoding="utf-8"?>
<w:webSettings xmlns:r="http://schemas.openxmlformats.org/officeDocument/2006/relationships" xmlns:w="http://schemas.openxmlformats.org/wordprocessingml/2006/main">
  <w:divs>
    <w:div w:id="183895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http://www.ncver.edu.au/publications/2622.htm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voced.edu.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omlaw.gov.au/Series/F2013L0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AF4F-127F-4EF7-B973-9EBF26CC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40</Pages>
  <Words>17321</Words>
  <Characters>98732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115822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currency</dc:title>
  <dc:creator>Clayton et al.</dc:creator>
  <cp:lastModifiedBy>Alex Cook</cp:lastModifiedBy>
  <cp:revision>31</cp:revision>
  <cp:lastPrinted>2013-05-28T06:08:00Z</cp:lastPrinted>
  <dcterms:created xsi:type="dcterms:W3CDTF">2013-04-26T05:21:00Z</dcterms:created>
  <dcterms:modified xsi:type="dcterms:W3CDTF">2013-06-14T01:30:00Z</dcterms:modified>
</cp:coreProperties>
</file>