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49B" w:rsidRDefault="0041749B" w:rsidP="009418F9">
      <w:pPr>
        <w:pStyle w:val="Text"/>
        <w:rPr>
          <w:noProof/>
        </w:rPr>
      </w:pPr>
      <w:r>
        <w:rPr>
          <w:noProof/>
        </w:rPr>
        <w:drawing>
          <wp:anchor distT="0" distB="0" distL="114300" distR="114300" simplePos="0" relativeHeight="251659264" behindDoc="0" locked="0" layoutInCell="1" allowOverlap="1">
            <wp:simplePos x="0" y="0"/>
            <wp:positionH relativeFrom="column">
              <wp:posOffset>3107055</wp:posOffset>
            </wp:positionH>
            <wp:positionV relativeFrom="paragraph">
              <wp:posOffset>111760</wp:posOffset>
            </wp:positionV>
            <wp:extent cx="2426335" cy="818515"/>
            <wp:effectExtent l="19050" t="0" r="0" b="0"/>
            <wp:wrapSquare wrapText="bothSides"/>
            <wp:docPr id="5" name="Picture 5" descr="P:\PublicationComponents\logos\LSAY\NCVER_DMS-#59082-v2-LSAY_logo_B&amp;W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ublicationComponents\logos\LSAY\NCVER_DMS-#59082-v2-LSAY_logo_B&amp;W_jpeg.JPG"/>
                    <pic:cNvPicPr>
                      <a:picLocks noChangeAspect="1" noChangeArrowheads="1"/>
                    </pic:cNvPicPr>
                  </pic:nvPicPr>
                  <pic:blipFill>
                    <a:blip r:embed="rId8" cstate="print"/>
                    <a:srcRect/>
                    <a:stretch>
                      <a:fillRect/>
                    </a:stretch>
                  </pic:blipFill>
                  <pic:spPr bwMode="auto">
                    <a:xfrm>
                      <a:off x="0" y="0"/>
                      <a:ext cx="2426335" cy="818515"/>
                    </a:xfrm>
                    <a:prstGeom prst="rect">
                      <a:avLst/>
                    </a:prstGeom>
                    <a:noFill/>
                    <a:ln w="9525">
                      <a:noFill/>
                      <a:miter lim="800000"/>
                      <a:headEnd/>
                      <a:tailEnd/>
                    </a:ln>
                  </pic:spPr>
                </pic:pic>
              </a:graphicData>
            </a:graphic>
          </wp:anchor>
        </w:drawing>
      </w:r>
    </w:p>
    <w:p w:rsidR="00D46071" w:rsidRDefault="00D46071" w:rsidP="009418F9">
      <w:pPr>
        <w:pStyle w:val="Text"/>
        <w:rPr>
          <w:noProof/>
        </w:rPr>
      </w:pPr>
    </w:p>
    <w:p w:rsidR="0041749B" w:rsidRDefault="0041749B" w:rsidP="009418F9">
      <w:pPr>
        <w:pStyle w:val="Text"/>
        <w:rPr>
          <w:noProof/>
        </w:rPr>
      </w:pPr>
    </w:p>
    <w:p w:rsidR="0041749B" w:rsidRDefault="0041749B" w:rsidP="009418F9">
      <w:pPr>
        <w:pStyle w:val="Text"/>
      </w:pPr>
    </w:p>
    <w:p w:rsidR="00037B44" w:rsidRDefault="00037B44" w:rsidP="009418F9">
      <w:pPr>
        <w:pStyle w:val="Text"/>
      </w:pPr>
    </w:p>
    <w:p w:rsidR="00037B44" w:rsidRDefault="006B18F9" w:rsidP="006B18F9">
      <w:pPr>
        <w:ind w:right="-285"/>
        <w:jc w:val="right"/>
      </w:pPr>
      <w:r w:rsidRPr="006B18F9">
        <w:rPr>
          <w:sz w:val="20"/>
        </w:rPr>
        <w:object w:dxaOrig="5791" w:dyaOrig="1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8pt;height:51.05pt" o:ole="" fillcolor="window">
            <v:imagedata r:id="rId9" o:title=""/>
          </v:shape>
          <o:OLEObject Type="Embed" ProgID="Word.Picture.8" ShapeID="_x0000_i1025" DrawAspect="Content" ObjectID="_1360572919" r:id="rId10"/>
        </w:object>
      </w:r>
    </w:p>
    <w:p w:rsidR="006B18F9" w:rsidRPr="0093635B" w:rsidRDefault="00370BC2" w:rsidP="0041749B">
      <w:pPr>
        <w:pStyle w:val="PublicationTitle"/>
        <w:jc w:val="right"/>
        <w:rPr>
          <w:rFonts w:ascii="Garamond" w:hAnsi="Garamond"/>
        </w:rPr>
      </w:pPr>
      <w:r>
        <w:rPr>
          <w:rFonts w:ascii="Garamond" w:hAnsi="Garamond"/>
        </w:rPr>
        <w:t xml:space="preserve">Outcomes of stakeholder </w:t>
      </w:r>
      <w:proofErr w:type="gramStart"/>
      <w:r>
        <w:rPr>
          <w:rFonts w:ascii="Garamond" w:hAnsi="Garamond"/>
        </w:rPr>
        <w:t>consultations</w:t>
      </w:r>
      <w:proofErr w:type="gramEnd"/>
      <w:r>
        <w:rPr>
          <w:rFonts w:ascii="Garamond" w:hAnsi="Garamond"/>
        </w:rPr>
        <w:t xml:space="preserve"> </w:t>
      </w:r>
      <w:r w:rsidR="0094633F">
        <w:rPr>
          <w:rFonts w:ascii="Garamond" w:hAnsi="Garamond"/>
        </w:rPr>
        <w:t>to identify the L</w:t>
      </w:r>
      <w:r w:rsidR="00B31DFE">
        <w:rPr>
          <w:rFonts w:ascii="Garamond" w:hAnsi="Garamond"/>
        </w:rPr>
        <w:t>SAY analytical program for 2011–</w:t>
      </w:r>
      <w:r w:rsidR="0094633F">
        <w:rPr>
          <w:rFonts w:ascii="Garamond" w:hAnsi="Garamond"/>
        </w:rPr>
        <w:t>13</w:t>
      </w:r>
    </w:p>
    <w:p w:rsidR="006B18F9" w:rsidRPr="0093635B" w:rsidRDefault="006B18F9" w:rsidP="009418F9">
      <w:pPr>
        <w:pStyle w:val="Text"/>
      </w:pPr>
    </w:p>
    <w:p w:rsidR="003C65C1" w:rsidRDefault="003C65C1" w:rsidP="00BF5045">
      <w:pPr>
        <w:pStyle w:val="Authors"/>
        <w:rPr>
          <w:rFonts w:ascii="Garamond" w:hAnsi="Garamond"/>
        </w:rPr>
      </w:pPr>
    </w:p>
    <w:p w:rsidR="003C65C1" w:rsidRPr="0093635B" w:rsidRDefault="003C65C1" w:rsidP="00BF5045">
      <w:pPr>
        <w:pStyle w:val="Authors"/>
        <w:rPr>
          <w:rFonts w:ascii="Garamond" w:hAnsi="Garamond"/>
        </w:rPr>
      </w:pPr>
      <w:r>
        <w:rPr>
          <w:rFonts w:ascii="Garamond" w:hAnsi="Garamond"/>
        </w:rPr>
        <w:t>NCVER</w:t>
      </w:r>
    </w:p>
    <w:p w:rsidR="006B18F9" w:rsidRDefault="006B18F9" w:rsidP="009418F9">
      <w:pPr>
        <w:pStyle w:val="Text"/>
      </w:pPr>
    </w:p>
    <w:p w:rsidR="00037B44" w:rsidRDefault="00037B44">
      <w:pPr>
        <w:pStyle w:val="Heading3"/>
      </w:pPr>
    </w:p>
    <w:p w:rsidR="00B31DFE" w:rsidRDefault="00B31DFE" w:rsidP="00B31DFE">
      <w:pPr>
        <w:pStyle w:val="Text"/>
      </w:pPr>
    </w:p>
    <w:p w:rsidR="00B31DFE" w:rsidRPr="00B31DFE" w:rsidRDefault="00B31DFE" w:rsidP="00B31DFE">
      <w:pPr>
        <w:pStyle w:val="Text"/>
      </w:pPr>
    </w:p>
    <w:p w:rsidR="006B18F9" w:rsidRDefault="006B18F9" w:rsidP="006B18F9">
      <w:pPr>
        <w:pStyle w:val="Imprint"/>
        <w:ind w:left="3402"/>
        <w:jc w:val="right"/>
      </w:pPr>
      <w:r>
        <w:t>The views and opinions expressed in this document are those of the author/project team and do not necessarily reflect the views of the Australian Government, state and territory governments or NCVER</w:t>
      </w:r>
      <w:r w:rsidR="0020673C">
        <w:t xml:space="preserve">. </w:t>
      </w:r>
      <w:r w:rsidR="0020673C">
        <w:br/>
      </w:r>
    </w:p>
    <w:p w:rsidR="00673D2F" w:rsidRDefault="00037B44" w:rsidP="006B18F9">
      <w:pPr>
        <w:pStyle w:val="Heading3"/>
        <w:ind w:firstLine="3261"/>
      </w:pPr>
      <w:r w:rsidRPr="00FA4E2D">
        <w:t>.</w:t>
      </w:r>
    </w:p>
    <w:p w:rsidR="003F59F9" w:rsidRDefault="003F59F9">
      <w:pPr>
        <w:pStyle w:val="Heading3"/>
        <w:sectPr w:rsidR="003F59F9" w:rsidSect="00152A66">
          <w:footerReference w:type="even" r:id="rId11"/>
          <w:pgSz w:w="11907" w:h="16840" w:code="9"/>
          <w:pgMar w:top="1440" w:right="1701" w:bottom="567" w:left="1985" w:header="720" w:footer="720" w:gutter="0"/>
          <w:cols w:space="720" w:equalWidth="0">
            <w:col w:w="8405"/>
          </w:cols>
        </w:sectPr>
      </w:pPr>
    </w:p>
    <w:p w:rsidR="00037B44" w:rsidRDefault="00037B44" w:rsidP="009418F9">
      <w:pPr>
        <w:pStyle w:val="Imprint"/>
      </w:pPr>
    </w:p>
    <w:p w:rsidR="0020673C" w:rsidRDefault="0020673C" w:rsidP="009418F9">
      <w:pPr>
        <w:pStyle w:val="Imprint"/>
      </w:pPr>
    </w:p>
    <w:p w:rsidR="0020673C" w:rsidRDefault="0020673C" w:rsidP="009418F9">
      <w:pPr>
        <w:pStyle w:val="Imprint"/>
      </w:pPr>
    </w:p>
    <w:p w:rsidR="0020673C" w:rsidRDefault="0020673C" w:rsidP="009418F9">
      <w:pPr>
        <w:pStyle w:val="Imprint"/>
      </w:pPr>
    </w:p>
    <w:p w:rsidR="0020673C" w:rsidRDefault="0020673C" w:rsidP="009418F9">
      <w:pPr>
        <w:pStyle w:val="Imprint"/>
      </w:pPr>
    </w:p>
    <w:p w:rsidR="0020673C" w:rsidRDefault="0020673C" w:rsidP="009418F9">
      <w:pPr>
        <w:pStyle w:val="Imprint"/>
      </w:pPr>
    </w:p>
    <w:p w:rsidR="0020673C" w:rsidRDefault="0020673C" w:rsidP="009418F9">
      <w:pPr>
        <w:pStyle w:val="Imprint"/>
      </w:pPr>
    </w:p>
    <w:p w:rsidR="0020673C" w:rsidRDefault="0020673C" w:rsidP="009418F9">
      <w:pPr>
        <w:pStyle w:val="Imprint"/>
      </w:pPr>
    </w:p>
    <w:p w:rsidR="0041749B" w:rsidRDefault="0041749B" w:rsidP="009418F9">
      <w:pPr>
        <w:pStyle w:val="Imprint"/>
      </w:pPr>
    </w:p>
    <w:p w:rsidR="0041749B" w:rsidRDefault="0041749B" w:rsidP="009418F9">
      <w:pPr>
        <w:pStyle w:val="Imprint"/>
      </w:pPr>
    </w:p>
    <w:p w:rsidR="0041749B" w:rsidRDefault="0041749B" w:rsidP="009418F9">
      <w:pPr>
        <w:pStyle w:val="Imprint"/>
      </w:pPr>
    </w:p>
    <w:p w:rsidR="0020673C" w:rsidRDefault="0020673C" w:rsidP="009418F9">
      <w:pPr>
        <w:pStyle w:val="Imprint"/>
      </w:pPr>
    </w:p>
    <w:p w:rsidR="0020673C" w:rsidRDefault="0020673C" w:rsidP="009418F9">
      <w:pPr>
        <w:pStyle w:val="Imprint"/>
      </w:pPr>
    </w:p>
    <w:p w:rsidR="0020673C" w:rsidRDefault="0020673C" w:rsidP="009418F9">
      <w:pPr>
        <w:pStyle w:val="Imprint"/>
      </w:pPr>
    </w:p>
    <w:p w:rsidR="0020673C" w:rsidRPr="00FA4E2D" w:rsidRDefault="0020673C" w:rsidP="009418F9">
      <w:pPr>
        <w:pStyle w:val="Imprint"/>
      </w:pPr>
    </w:p>
    <w:p w:rsidR="0020673C" w:rsidRPr="00CF2708" w:rsidRDefault="0020673C" w:rsidP="0020673C">
      <w:pPr>
        <w:pStyle w:val="Imprint"/>
        <w:rPr>
          <w:b/>
        </w:rPr>
      </w:pPr>
      <w:r w:rsidRPr="00CF2708">
        <w:rPr>
          <w:b/>
        </w:rPr>
        <w:t>© Commonwealth of Australia, 2011</w:t>
      </w:r>
    </w:p>
    <w:p w:rsidR="0020673C" w:rsidRPr="0019779D" w:rsidRDefault="0020673C" w:rsidP="0020673C">
      <w:pPr>
        <w:pStyle w:val="Imprint"/>
        <w:ind w:right="1700"/>
      </w:pPr>
      <w:r w:rsidRPr="0019779D">
        <w:t xml:space="preserve">This work has been produced by the National Centre for Vocational Education Research (NCVER) on behalf of the Australian Government and state and territory governments with funding provided through the Australian Department of Education, Employment and Workplace Relations. Apart from any use permitted under the </w:t>
      </w:r>
      <w:r w:rsidRPr="0019779D">
        <w:rPr>
          <w:i/>
          <w:iCs/>
        </w:rPr>
        <w:t>Copyright Act 1968</w:t>
      </w:r>
      <w:r w:rsidRPr="0019779D">
        <w:t xml:space="preserve">, no part of this publication may be reproduced by any process without written permission of the Commonwealth. Requests and inquiries concerning reproduction and rights should be addressed to the Commonwealth Copyright Administration, Attorney-General’s Department, Robert Garran Offices, National Circuit, </w:t>
      </w:r>
      <w:proofErr w:type="gramStart"/>
      <w:r w:rsidRPr="0019779D">
        <w:t>Barton</w:t>
      </w:r>
      <w:proofErr w:type="gramEnd"/>
      <w:r w:rsidRPr="0019779D">
        <w:t xml:space="preserve"> ACT 2600 or posted at </w:t>
      </w:r>
      <w:r>
        <w:t>&lt;</w:t>
      </w:r>
      <w:hyperlink r:id="rId12" w:history="1">
        <w:r w:rsidRPr="0020673C">
          <w:t>http://www.ag.gov.au/cca</w:t>
        </w:r>
      </w:hyperlink>
      <w:r>
        <w:t>&gt;</w:t>
      </w:r>
      <w:r w:rsidRPr="0020673C">
        <w:t>.</w:t>
      </w:r>
    </w:p>
    <w:p w:rsidR="0020673C" w:rsidRDefault="0020673C" w:rsidP="0020673C">
      <w:pPr>
        <w:pStyle w:val="Imprint"/>
        <w:ind w:right="1700"/>
      </w:pPr>
      <w:r w:rsidRPr="00C06F49">
        <w:t>The views and opinions expressed in this document are those of the author(s) and do not necessarily reflect the views of the Australian Government or state and territory governments.</w:t>
      </w:r>
    </w:p>
    <w:p w:rsidR="00037B44" w:rsidRPr="00FA4E2D" w:rsidRDefault="00037B44" w:rsidP="00C323AC">
      <w:pPr>
        <w:pStyle w:val="Imprint"/>
        <w:tabs>
          <w:tab w:val="left" w:pos="284"/>
        </w:tabs>
      </w:pPr>
      <w:r w:rsidRPr="00FA4E2D">
        <w:tab/>
        <w:t xml:space="preserve">ISBN </w:t>
      </w:r>
      <w:r w:rsidRPr="00FA4E2D">
        <w:tab/>
      </w:r>
      <w:r w:rsidR="0020673C" w:rsidRPr="0020673C">
        <w:t>978 1 921809 74 3</w:t>
      </w:r>
      <w:r w:rsidRPr="00FA4E2D">
        <w:tab/>
      </w:r>
    </w:p>
    <w:p w:rsidR="00037B44" w:rsidRDefault="00037B44" w:rsidP="00C323AC">
      <w:pPr>
        <w:pStyle w:val="Imprint"/>
        <w:tabs>
          <w:tab w:val="left" w:pos="284"/>
        </w:tabs>
      </w:pPr>
      <w:r>
        <w:tab/>
        <w:t xml:space="preserve">TD/TNC </w:t>
      </w:r>
      <w:r w:rsidR="0020673C">
        <w:t>103.</w:t>
      </w:r>
      <w:r w:rsidR="004F7BD1">
        <w:t>1</w:t>
      </w:r>
      <w:r w:rsidR="0020673C">
        <w:t>2</w:t>
      </w:r>
    </w:p>
    <w:p w:rsidR="00037B44" w:rsidRDefault="00037B44" w:rsidP="00C323AC">
      <w:pPr>
        <w:pStyle w:val="Imprint"/>
      </w:pPr>
      <w:r>
        <w:t>Published by NCVER</w:t>
      </w:r>
      <w:r w:rsidR="00C323AC">
        <w:br/>
      </w:r>
      <w:r>
        <w:t>ABN 87 007 967 311</w:t>
      </w:r>
    </w:p>
    <w:p w:rsidR="00037B44" w:rsidRDefault="00037B44" w:rsidP="00C323AC">
      <w:pPr>
        <w:pStyle w:val="Imprint"/>
      </w:pPr>
      <w:r>
        <w:t>Level 11, 33 King William Street, Adelaide, SA 5000</w:t>
      </w:r>
      <w:r w:rsidR="00C323AC">
        <w:br/>
      </w:r>
      <w:r>
        <w:t>PO Box 8288 Station Arcade, Adelaide SA 5000, Australia</w:t>
      </w:r>
    </w:p>
    <w:p w:rsidR="00037B44" w:rsidRDefault="00037B44" w:rsidP="00C323AC">
      <w:pPr>
        <w:pStyle w:val="Imprint"/>
      </w:pPr>
      <w:proofErr w:type="gramStart"/>
      <w:r>
        <w:t>ph</w:t>
      </w:r>
      <w:proofErr w:type="gramEnd"/>
      <w:r>
        <w:t xml:space="preserve"> +61 8 8230 8400 fax +61 8 8212 3436</w:t>
      </w:r>
      <w:r w:rsidR="00C323AC">
        <w:br/>
      </w:r>
      <w:r>
        <w:t>email ncver@ncver.edu.au</w:t>
      </w:r>
      <w:r w:rsidR="00C323AC">
        <w:br/>
      </w:r>
      <w:r>
        <w:t>&lt;http://www.ncver.edu.au&gt;</w:t>
      </w:r>
    </w:p>
    <w:p w:rsidR="00F635C4" w:rsidRPr="00A56935" w:rsidRDefault="004154B0" w:rsidP="004E59B9">
      <w:pPr>
        <w:pStyle w:val="Imprint"/>
        <w:spacing w:before="40"/>
        <w:rPr>
          <w:color w:val="000000" w:themeColor="text1"/>
        </w:rPr>
      </w:pPr>
      <w:hyperlink r:id="rId13" w:history="1">
        <w:r w:rsidR="0020673C" w:rsidRPr="00A56935">
          <w:rPr>
            <w:rStyle w:val="Hyperlink"/>
            <w:color w:val="000000" w:themeColor="text1"/>
            <w:u w:val="none"/>
          </w:rPr>
          <w:t>http://www.ncver.edu.au/publications/2351.html</w:t>
        </w:r>
      </w:hyperlink>
    </w:p>
    <w:p w:rsidR="00A56935" w:rsidRDefault="00A56935">
      <w:pPr>
        <w:spacing w:before="0"/>
        <w:sectPr w:rsidR="00A56935">
          <w:footerReference w:type="even" r:id="rId14"/>
          <w:footerReference w:type="default" r:id="rId15"/>
          <w:pgSz w:w="11907" w:h="16840" w:code="9"/>
          <w:pgMar w:top="1440" w:right="1985" w:bottom="567" w:left="1418" w:header="720" w:footer="720" w:gutter="0"/>
          <w:cols w:space="720" w:equalWidth="0">
            <w:col w:w="8121"/>
          </w:cols>
        </w:sectPr>
      </w:pPr>
    </w:p>
    <w:p w:rsidR="00F635C4" w:rsidRDefault="00F635C4">
      <w:pPr>
        <w:spacing w:before="0"/>
        <w:rPr>
          <w:rFonts w:ascii="Garamond" w:hAnsi="Garamond"/>
          <w:sz w:val="16"/>
        </w:rPr>
      </w:pPr>
    </w:p>
    <w:p w:rsidR="003F59F9" w:rsidRPr="00835D1E" w:rsidRDefault="003F59F9" w:rsidP="004E59B9">
      <w:pPr>
        <w:pStyle w:val="Imprint"/>
        <w:spacing w:before="40"/>
      </w:pPr>
    </w:p>
    <w:p w:rsidR="009A2958" w:rsidRPr="005C2FCF" w:rsidRDefault="009A2958" w:rsidP="009A2958">
      <w:pPr>
        <w:pStyle w:val="Heading1"/>
        <w:pBdr>
          <w:bottom w:val="none" w:sz="0" w:space="0" w:color="auto"/>
        </w:pBdr>
        <w:jc w:val="left"/>
        <w:rPr>
          <w:color w:val="000000"/>
        </w:rPr>
      </w:pPr>
      <w:bookmarkStart w:id="0" w:name="_Toc73766312"/>
      <w:bookmarkStart w:id="1" w:name="_Toc77937774"/>
      <w:bookmarkStart w:id="2" w:name="_Toc80174750"/>
      <w:bookmarkStart w:id="3" w:name="_Toc81560506"/>
      <w:bookmarkStart w:id="4" w:name="_Toc82071799"/>
      <w:bookmarkStart w:id="5" w:name="_Toc82151754"/>
      <w:bookmarkStart w:id="6" w:name="_Toc82498260"/>
      <w:bookmarkStart w:id="7" w:name="_Toc86829097"/>
      <w:bookmarkStart w:id="8" w:name="_Toc89226248"/>
      <w:bookmarkStart w:id="9" w:name="_Toc89240893"/>
      <w:bookmarkStart w:id="10" w:name="_Toc98394875"/>
      <w:bookmarkStart w:id="11" w:name="_Toc101511315"/>
      <w:bookmarkStart w:id="12" w:name="_Toc101512250"/>
      <w:bookmarkStart w:id="13" w:name="_Toc283364862"/>
      <w:r w:rsidRPr="005C2FCF">
        <w:rPr>
          <w:color w:val="000000"/>
        </w:rPr>
        <w:t>About the research</w:t>
      </w:r>
      <w:bookmarkEnd w:id="0"/>
      <w:bookmarkEnd w:id="1"/>
      <w:bookmarkEnd w:id="2"/>
      <w:bookmarkEnd w:id="3"/>
      <w:bookmarkEnd w:id="4"/>
      <w:bookmarkEnd w:id="5"/>
      <w:bookmarkEnd w:id="6"/>
      <w:bookmarkEnd w:id="7"/>
      <w:bookmarkEnd w:id="8"/>
      <w:bookmarkEnd w:id="9"/>
      <w:bookmarkEnd w:id="10"/>
      <w:bookmarkEnd w:id="11"/>
      <w:bookmarkEnd w:id="12"/>
      <w:bookmarkEnd w:id="13"/>
    </w:p>
    <w:p w:rsidR="009A2958" w:rsidRPr="005C2FCF" w:rsidRDefault="004154B0" w:rsidP="009A2958">
      <w:pPr>
        <w:pStyle w:val="Heading2"/>
        <w:spacing w:before="720" w:line="340" w:lineRule="exact"/>
        <w:rPr>
          <w:i/>
          <w:color w:val="000000"/>
          <w:sz w:val="32"/>
          <w:szCs w:val="22"/>
        </w:rPr>
      </w:pPr>
      <w:bookmarkStart w:id="14" w:name="_Toc80174751"/>
      <w:bookmarkStart w:id="15" w:name="_Toc98394876"/>
      <w:bookmarkStart w:id="16" w:name="_Toc101511316"/>
      <w:bookmarkStart w:id="17" w:name="_Toc101512251"/>
      <w:r w:rsidRPr="004154B0">
        <w:rPr>
          <w:i/>
          <w:color w:val="000000"/>
          <w:sz w:val="32"/>
        </w:rPr>
        <w:pict>
          <v:group id="_x0000_s1029" style="position:absolute;margin-left:-1.75pt;margin-top:-38.6pt;width:450pt;height:684pt;z-index:-251656192" coordorigin="1341,1621" coordsize="9000,13680">
            <v:line id="_x0000_s1030" style="position:absolute" from="10341,1621" to="10341,15301"/>
            <v:line id="_x0000_s1031" style="position:absolute;flip:x" from="1341,15301" to="10341,15301"/>
            <v:shape id="_x0000_s1032" type="#_x0000_t75" style="position:absolute;left:6456;top:1621;width:3885;height:870">
              <v:imagedata r:id="rId16" o:title="ncver right tab_mono"/>
            </v:shape>
          </v:group>
        </w:pict>
      </w:r>
      <w:bookmarkStart w:id="18" w:name="_Toc283364863"/>
      <w:bookmarkEnd w:id="14"/>
      <w:bookmarkEnd w:id="15"/>
      <w:bookmarkEnd w:id="16"/>
      <w:bookmarkEnd w:id="17"/>
      <w:r w:rsidR="0094633F">
        <w:rPr>
          <w:i/>
          <w:color w:val="000000"/>
          <w:sz w:val="32"/>
        </w:rPr>
        <w:t>Outcomes of stakeholder consultations to identify the LSAY analytical program fo</w:t>
      </w:r>
      <w:r w:rsidR="00777875">
        <w:rPr>
          <w:i/>
          <w:color w:val="000000"/>
          <w:sz w:val="32"/>
        </w:rPr>
        <w:t>r 2011–</w:t>
      </w:r>
      <w:r w:rsidR="0094633F">
        <w:rPr>
          <w:i/>
          <w:color w:val="000000"/>
          <w:sz w:val="32"/>
        </w:rPr>
        <w:t>13</w:t>
      </w:r>
      <w:bookmarkEnd w:id="18"/>
    </w:p>
    <w:p w:rsidR="009A2958" w:rsidRPr="00C27A8E" w:rsidRDefault="00213BC4" w:rsidP="009A2958">
      <w:pPr>
        <w:pStyle w:val="Heading2"/>
        <w:spacing w:before="160"/>
        <w:ind w:right="-369"/>
        <w:rPr>
          <w:sz w:val="28"/>
          <w:szCs w:val="28"/>
        </w:rPr>
      </w:pPr>
      <w:bookmarkStart w:id="19" w:name="_Toc283364864"/>
      <w:r>
        <w:rPr>
          <w:color w:val="000000"/>
          <w:sz w:val="28"/>
        </w:rPr>
        <w:t>NCVER</w:t>
      </w:r>
      <w:bookmarkEnd w:id="19"/>
    </w:p>
    <w:p w:rsidR="00210FB0" w:rsidRDefault="00370BC2">
      <w:pPr>
        <w:pStyle w:val="Text"/>
        <w:tabs>
          <w:tab w:val="left" w:pos="0"/>
        </w:tabs>
        <w:spacing w:before="360"/>
      </w:pPr>
      <w:r>
        <w:t xml:space="preserve">In November and early December 2010, the </w:t>
      </w:r>
      <w:r w:rsidR="00213BC4">
        <w:t xml:space="preserve">National Centre for Vocational Education Research (NCVER) </w:t>
      </w:r>
      <w:r>
        <w:t xml:space="preserve">conducted consultations </w:t>
      </w:r>
      <w:r w:rsidR="00213BC4">
        <w:t xml:space="preserve">to identify research topics using the Longitudinal Surveys of Australian Youth (LSAY). </w:t>
      </w:r>
      <w:r>
        <w:t xml:space="preserve">LSAY tracks young people from the age of 15 to 25 as they move from school into further study, work and other destinations. It uses large, nationally representative samples of young people to collect information about education and training, work, and social outcomes. </w:t>
      </w:r>
    </w:p>
    <w:p w:rsidR="00685AE3" w:rsidRDefault="00376EFE" w:rsidP="00A56935">
      <w:pPr>
        <w:pStyle w:val="Text"/>
      </w:pPr>
      <w:r>
        <w:t>From t</w:t>
      </w:r>
      <w:r w:rsidR="000B5A43">
        <w:t>he</w:t>
      </w:r>
      <w:r>
        <w:t xml:space="preserve"> consultations emerged a consensus that the three research priorities </w:t>
      </w:r>
      <w:r w:rsidR="000B5A43">
        <w:t>which</w:t>
      </w:r>
      <w:r>
        <w:t xml:space="preserve"> have shaped the research effort in the last couple of years have retained their currency. Those with an interest in youth transitions remain primarily concerned</w:t>
      </w:r>
      <w:r w:rsidR="00685AE3">
        <w:t xml:space="preserve"> with:</w:t>
      </w:r>
    </w:p>
    <w:p w:rsidR="00685AE3" w:rsidRDefault="000B5A43" w:rsidP="00520018">
      <w:pPr>
        <w:pStyle w:val="Dotpoint1"/>
      </w:pPr>
      <w:r>
        <w:t>better understand</w:t>
      </w:r>
      <w:r w:rsidR="00685AE3">
        <w:t>ing</w:t>
      </w:r>
      <w:r w:rsidRPr="000B5A43">
        <w:t xml:space="preserve"> </w:t>
      </w:r>
      <w:r>
        <w:t xml:space="preserve">the factors </w:t>
      </w:r>
      <w:r w:rsidR="00685AE3">
        <w:t>influencing education outcomes</w:t>
      </w:r>
    </w:p>
    <w:p w:rsidR="00685AE3" w:rsidRDefault="000B5A43" w:rsidP="00520018">
      <w:pPr>
        <w:pStyle w:val="Dotpoint1"/>
      </w:pPr>
      <w:r>
        <w:t>how to facilitate good transit</w:t>
      </w:r>
      <w:r w:rsidR="00685AE3">
        <w:t>ions into the labour market</w:t>
      </w:r>
    </w:p>
    <w:p w:rsidR="007A3BB8" w:rsidRDefault="00685AE3" w:rsidP="00520018">
      <w:pPr>
        <w:pStyle w:val="Dotpoint1"/>
      </w:pPr>
      <w:proofErr w:type="gramStart"/>
      <w:r>
        <w:t>how</w:t>
      </w:r>
      <w:proofErr w:type="gramEnd"/>
      <w:r>
        <w:t xml:space="preserve"> </w:t>
      </w:r>
      <w:r w:rsidR="00116F7B">
        <w:t xml:space="preserve">the </w:t>
      </w:r>
      <w:r>
        <w:t>role of well</w:t>
      </w:r>
      <w:r w:rsidR="000B5A43">
        <w:t xml:space="preserve">being </w:t>
      </w:r>
      <w:r>
        <w:t>affects</w:t>
      </w:r>
      <w:r w:rsidR="000B5A43">
        <w:t xml:space="preserve"> young people’s transitions</w:t>
      </w:r>
      <w:r w:rsidR="008D7591">
        <w:t>.</w:t>
      </w:r>
    </w:p>
    <w:p w:rsidR="007A3BB8" w:rsidRDefault="00116F7B" w:rsidP="00A56935">
      <w:pPr>
        <w:pStyle w:val="Text"/>
      </w:pPr>
      <w:r>
        <w:t>Those</w:t>
      </w:r>
      <w:r w:rsidR="000B5A43">
        <w:t xml:space="preserve"> consulted </w:t>
      </w:r>
      <w:r>
        <w:t xml:space="preserve">also </w:t>
      </w:r>
      <w:r w:rsidR="000B5A43">
        <w:t xml:space="preserve">expressed a clear view </w:t>
      </w:r>
      <w:r>
        <w:t>on the importance of ensuring</w:t>
      </w:r>
      <w:r w:rsidR="00685AE3">
        <w:t xml:space="preserve"> that this rich dataset is well used by researchers, policy-</w:t>
      </w:r>
      <w:r w:rsidR="000B5A43">
        <w:t>makers and others involved in youth transitions. They were also interested in seeing how the LSAY data can help inform broader attempts to devis</w:t>
      </w:r>
      <w:r w:rsidR="00627248">
        <w:t>e measures of complex phenomena</w:t>
      </w:r>
      <w:r w:rsidR="000B5A43">
        <w:t xml:space="preserve"> such as social capital and wellbeing. </w:t>
      </w:r>
    </w:p>
    <w:p w:rsidR="007A3BB8" w:rsidRDefault="00213BC4" w:rsidP="00A56935">
      <w:pPr>
        <w:pStyle w:val="Text"/>
      </w:pPr>
      <w:r>
        <w:t>T</w:t>
      </w:r>
      <w:r w:rsidR="00370BC2">
        <w:t xml:space="preserve">he results of the consultations are </w:t>
      </w:r>
      <w:r>
        <w:t xml:space="preserve">presented in this paper </w:t>
      </w:r>
      <w:r w:rsidR="000B7F20">
        <w:t xml:space="preserve">and </w:t>
      </w:r>
      <w:r w:rsidR="001F69E6">
        <w:t xml:space="preserve">will </w:t>
      </w:r>
      <w:r w:rsidR="008D7591">
        <w:t xml:space="preserve">help </w:t>
      </w:r>
      <w:r w:rsidR="00116F7B">
        <w:t xml:space="preserve">to </w:t>
      </w:r>
      <w:r w:rsidR="001F69E6">
        <w:t xml:space="preserve">determine the research topics best suited to the LSAY data. These will be used </w:t>
      </w:r>
      <w:r w:rsidR="00777875">
        <w:t>to shape the 2011–</w:t>
      </w:r>
      <w:r>
        <w:t xml:space="preserve">13 LSAY analytical program of research </w:t>
      </w:r>
      <w:r w:rsidR="00116F7B">
        <w:t xml:space="preserve">that </w:t>
      </w:r>
      <w:r w:rsidR="00627248">
        <w:t>NCVER conducts on behalf of the Department of Education, Emp</w:t>
      </w:r>
      <w:r w:rsidR="00370BC2">
        <w:t>loyment and Workplace Relations.</w:t>
      </w:r>
      <w:r w:rsidR="000B7F20">
        <w:t xml:space="preserve"> </w:t>
      </w:r>
    </w:p>
    <w:p w:rsidR="009A2958" w:rsidRDefault="009A2958" w:rsidP="009418F9">
      <w:pPr>
        <w:pStyle w:val="Text"/>
      </w:pPr>
    </w:p>
    <w:p w:rsidR="009A2958" w:rsidRDefault="009A2958" w:rsidP="006A12BA">
      <w:pPr>
        <w:pStyle w:val="Text"/>
      </w:pPr>
      <w:r>
        <w:t xml:space="preserve">Tom </w:t>
      </w:r>
      <w:proofErr w:type="spellStart"/>
      <w:r w:rsidRPr="006A12BA">
        <w:rPr>
          <w:rStyle w:val="TextChar"/>
        </w:rPr>
        <w:t>Karmel</w:t>
      </w:r>
      <w:proofErr w:type="spellEnd"/>
      <w:r w:rsidRPr="006A12BA">
        <w:rPr>
          <w:rStyle w:val="TextChar"/>
        </w:rPr>
        <w:br/>
        <w:t xml:space="preserve">Managing </w:t>
      </w:r>
      <w:r>
        <w:t>Director, NCVER</w:t>
      </w:r>
    </w:p>
    <w:p w:rsidR="009A2958" w:rsidRDefault="009A2958" w:rsidP="009418F9">
      <w:pPr>
        <w:pStyle w:val="Text"/>
      </w:pPr>
    </w:p>
    <w:p w:rsidR="009A2958" w:rsidRDefault="009A2958" w:rsidP="009418F9">
      <w:pPr>
        <w:pStyle w:val="Text"/>
      </w:pPr>
    </w:p>
    <w:p w:rsidR="009A2958" w:rsidRDefault="009A2958" w:rsidP="009418F9">
      <w:pPr>
        <w:pStyle w:val="Text"/>
        <w:rPr>
          <w:szCs w:val="22"/>
        </w:rPr>
      </w:pPr>
    </w:p>
    <w:p w:rsidR="00A41FE0" w:rsidRDefault="009A2958" w:rsidP="00A41FE0">
      <w:pPr>
        <w:pStyle w:val="Text"/>
        <w:sectPr w:rsidR="00A41FE0">
          <w:footerReference w:type="default" r:id="rId17"/>
          <w:pgSz w:w="11907" w:h="16840" w:code="9"/>
          <w:pgMar w:top="1440" w:right="1985" w:bottom="567" w:left="1418" w:header="720" w:footer="720" w:gutter="0"/>
          <w:cols w:space="720" w:equalWidth="0">
            <w:col w:w="8121"/>
          </w:cols>
        </w:sectPr>
      </w:pPr>
      <w:r>
        <w:br w:type="page"/>
      </w:r>
    </w:p>
    <w:p w:rsidR="00A56935" w:rsidRDefault="00A56935">
      <w:pPr>
        <w:spacing w:before="0"/>
        <w:rPr>
          <w:rFonts w:ascii="Garamond" w:hAnsi="Garamond"/>
          <w:kern w:val="28"/>
          <w:sz w:val="60"/>
        </w:rPr>
      </w:pPr>
      <w:r>
        <w:lastRenderedPageBreak/>
        <w:br w:type="page"/>
      </w:r>
    </w:p>
    <w:p w:rsidR="00037B44" w:rsidRPr="00FA4E2D" w:rsidRDefault="00A56935" w:rsidP="00C2347A">
      <w:pPr>
        <w:pStyle w:val="contents"/>
      </w:pPr>
      <w:r>
        <w:lastRenderedPageBreak/>
        <w:br/>
      </w:r>
      <w:r w:rsidR="00037B44" w:rsidRPr="00FA4E2D">
        <w:br/>
      </w:r>
      <w:bookmarkStart w:id="20" w:name="_Toc47346280"/>
      <w:bookmarkStart w:id="21" w:name="_Toc47951941"/>
      <w:bookmarkStart w:id="22" w:name="_Toc107393567"/>
      <w:r w:rsidR="00037B44">
        <w:t>Contents</w:t>
      </w:r>
      <w:bookmarkEnd w:id="20"/>
      <w:bookmarkEnd w:id="21"/>
      <w:bookmarkEnd w:id="22"/>
    </w:p>
    <w:p w:rsidR="00175E0B" w:rsidRDefault="004154B0" w:rsidP="00A56935">
      <w:pPr>
        <w:pStyle w:val="TOC1"/>
        <w:spacing w:before="440"/>
        <w:rPr>
          <w:rFonts w:asciiTheme="minorHAnsi" w:eastAsiaTheme="minorEastAsia" w:hAnsiTheme="minorHAnsi" w:cstheme="minorBidi"/>
          <w:noProof/>
          <w:szCs w:val="22"/>
        </w:rPr>
      </w:pPr>
      <w:r w:rsidRPr="004154B0">
        <w:rPr>
          <w:rFonts w:ascii="Avant Garde" w:hAnsi="Avant Garde"/>
        </w:rPr>
        <w:fldChar w:fldCharType="begin"/>
      </w:r>
      <w:r w:rsidR="00037B44">
        <w:rPr>
          <w:rFonts w:ascii="Avant Garde" w:hAnsi="Avant Garde"/>
        </w:rPr>
        <w:instrText xml:space="preserve"> TOC \o "1-2" </w:instrText>
      </w:r>
      <w:r w:rsidRPr="004154B0">
        <w:rPr>
          <w:rFonts w:ascii="Avant Garde" w:hAnsi="Avant Garde"/>
        </w:rPr>
        <w:fldChar w:fldCharType="separate"/>
      </w:r>
      <w:r w:rsidR="00175E0B">
        <w:rPr>
          <w:noProof/>
        </w:rPr>
        <w:t>Introduction</w:t>
      </w:r>
      <w:r w:rsidR="00175E0B">
        <w:rPr>
          <w:noProof/>
        </w:rPr>
        <w:tab/>
      </w:r>
      <w:r>
        <w:rPr>
          <w:noProof/>
        </w:rPr>
        <w:fldChar w:fldCharType="begin"/>
      </w:r>
      <w:r w:rsidR="00175E0B">
        <w:rPr>
          <w:noProof/>
        </w:rPr>
        <w:instrText xml:space="preserve"> PAGEREF _Toc283364865 \h </w:instrText>
      </w:r>
      <w:r>
        <w:rPr>
          <w:noProof/>
        </w:rPr>
      </w:r>
      <w:r>
        <w:rPr>
          <w:noProof/>
        </w:rPr>
        <w:fldChar w:fldCharType="separate"/>
      </w:r>
      <w:r w:rsidR="00A530CD">
        <w:rPr>
          <w:noProof/>
        </w:rPr>
        <w:t>6</w:t>
      </w:r>
      <w:r>
        <w:rPr>
          <w:noProof/>
        </w:rPr>
        <w:fldChar w:fldCharType="end"/>
      </w:r>
    </w:p>
    <w:p w:rsidR="00175E0B" w:rsidRDefault="00175E0B">
      <w:pPr>
        <w:pStyle w:val="TOC1"/>
        <w:rPr>
          <w:rFonts w:asciiTheme="minorHAnsi" w:eastAsiaTheme="minorEastAsia" w:hAnsiTheme="minorHAnsi" w:cstheme="minorBidi"/>
          <w:noProof/>
          <w:szCs w:val="22"/>
        </w:rPr>
      </w:pPr>
      <w:r>
        <w:rPr>
          <w:noProof/>
        </w:rPr>
        <w:t>Factors influencing education outcomes</w:t>
      </w:r>
      <w:r>
        <w:rPr>
          <w:noProof/>
        </w:rPr>
        <w:tab/>
      </w:r>
      <w:r w:rsidR="004154B0">
        <w:rPr>
          <w:noProof/>
        </w:rPr>
        <w:fldChar w:fldCharType="begin"/>
      </w:r>
      <w:r>
        <w:rPr>
          <w:noProof/>
        </w:rPr>
        <w:instrText xml:space="preserve"> PAGEREF _Toc283364866 \h </w:instrText>
      </w:r>
      <w:r w:rsidR="004154B0">
        <w:rPr>
          <w:noProof/>
        </w:rPr>
      </w:r>
      <w:r w:rsidR="004154B0">
        <w:rPr>
          <w:noProof/>
        </w:rPr>
        <w:fldChar w:fldCharType="separate"/>
      </w:r>
      <w:r w:rsidR="00A530CD">
        <w:rPr>
          <w:noProof/>
        </w:rPr>
        <w:t>7</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 xml:space="preserve">Institutional structures </w:t>
      </w:r>
      <w:r w:rsidR="00116F7B">
        <w:rPr>
          <w:noProof/>
        </w:rPr>
        <w:t>and</w:t>
      </w:r>
      <w:r>
        <w:rPr>
          <w:noProof/>
        </w:rPr>
        <w:t xml:space="preserve"> the school environment</w:t>
      </w:r>
      <w:r>
        <w:rPr>
          <w:noProof/>
        </w:rPr>
        <w:tab/>
      </w:r>
      <w:r w:rsidR="004154B0">
        <w:rPr>
          <w:noProof/>
        </w:rPr>
        <w:fldChar w:fldCharType="begin"/>
      </w:r>
      <w:r>
        <w:rPr>
          <w:noProof/>
        </w:rPr>
        <w:instrText xml:space="preserve"> PAGEREF _Toc283364867 \h </w:instrText>
      </w:r>
      <w:r w:rsidR="004154B0">
        <w:rPr>
          <w:noProof/>
        </w:rPr>
      </w:r>
      <w:r w:rsidR="004154B0">
        <w:rPr>
          <w:noProof/>
        </w:rPr>
        <w:fldChar w:fldCharType="separate"/>
      </w:r>
      <w:r w:rsidR="00A530CD">
        <w:rPr>
          <w:noProof/>
        </w:rPr>
        <w:t>7</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Early school leavers</w:t>
      </w:r>
      <w:r>
        <w:rPr>
          <w:noProof/>
        </w:rPr>
        <w:tab/>
      </w:r>
      <w:r w:rsidR="004154B0">
        <w:rPr>
          <w:noProof/>
        </w:rPr>
        <w:fldChar w:fldCharType="begin"/>
      </w:r>
      <w:r>
        <w:rPr>
          <w:noProof/>
        </w:rPr>
        <w:instrText xml:space="preserve"> PAGEREF _Toc283364868 \h </w:instrText>
      </w:r>
      <w:r w:rsidR="004154B0">
        <w:rPr>
          <w:noProof/>
        </w:rPr>
      </w:r>
      <w:r w:rsidR="004154B0">
        <w:rPr>
          <w:noProof/>
        </w:rPr>
        <w:fldChar w:fldCharType="separate"/>
      </w:r>
      <w:r w:rsidR="00A530CD">
        <w:rPr>
          <w:noProof/>
        </w:rPr>
        <w:t>8</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Aspirations</w:t>
      </w:r>
      <w:r>
        <w:rPr>
          <w:noProof/>
        </w:rPr>
        <w:tab/>
      </w:r>
      <w:r w:rsidR="004154B0">
        <w:rPr>
          <w:noProof/>
        </w:rPr>
        <w:fldChar w:fldCharType="begin"/>
      </w:r>
      <w:r>
        <w:rPr>
          <w:noProof/>
        </w:rPr>
        <w:instrText xml:space="preserve"> PAGEREF _Toc283364869 \h </w:instrText>
      </w:r>
      <w:r w:rsidR="004154B0">
        <w:rPr>
          <w:noProof/>
        </w:rPr>
      </w:r>
      <w:r w:rsidR="004154B0">
        <w:rPr>
          <w:noProof/>
        </w:rPr>
        <w:fldChar w:fldCharType="separate"/>
      </w:r>
      <w:r w:rsidR="00A530CD">
        <w:rPr>
          <w:noProof/>
        </w:rPr>
        <w:t>8</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Disadvantaged groups of young people</w:t>
      </w:r>
      <w:r>
        <w:rPr>
          <w:noProof/>
        </w:rPr>
        <w:tab/>
      </w:r>
      <w:r w:rsidR="004154B0">
        <w:rPr>
          <w:noProof/>
        </w:rPr>
        <w:fldChar w:fldCharType="begin"/>
      </w:r>
      <w:r>
        <w:rPr>
          <w:noProof/>
        </w:rPr>
        <w:instrText xml:space="preserve"> PAGEREF _Toc283364870 \h </w:instrText>
      </w:r>
      <w:r w:rsidR="004154B0">
        <w:rPr>
          <w:noProof/>
        </w:rPr>
      </w:r>
      <w:r w:rsidR="004154B0">
        <w:rPr>
          <w:noProof/>
        </w:rPr>
        <w:fldChar w:fldCharType="separate"/>
      </w:r>
      <w:r w:rsidR="00A530CD">
        <w:rPr>
          <w:noProof/>
        </w:rPr>
        <w:t>8</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Supporting school-to-work transitions</w:t>
      </w:r>
      <w:r>
        <w:rPr>
          <w:noProof/>
        </w:rPr>
        <w:tab/>
      </w:r>
      <w:r w:rsidR="004154B0">
        <w:rPr>
          <w:noProof/>
        </w:rPr>
        <w:fldChar w:fldCharType="begin"/>
      </w:r>
      <w:r>
        <w:rPr>
          <w:noProof/>
        </w:rPr>
        <w:instrText xml:space="preserve"> PAGEREF _Toc283364871 \h </w:instrText>
      </w:r>
      <w:r w:rsidR="004154B0">
        <w:rPr>
          <w:noProof/>
        </w:rPr>
      </w:r>
      <w:r w:rsidR="004154B0">
        <w:rPr>
          <w:noProof/>
        </w:rPr>
        <w:fldChar w:fldCharType="separate"/>
      </w:r>
      <w:r w:rsidR="00A530CD">
        <w:rPr>
          <w:noProof/>
        </w:rPr>
        <w:t>9</w:t>
      </w:r>
      <w:r w:rsidR="004154B0">
        <w:rPr>
          <w:noProof/>
        </w:rPr>
        <w:fldChar w:fldCharType="end"/>
      </w:r>
    </w:p>
    <w:p w:rsidR="00175E0B" w:rsidRDefault="00175E0B">
      <w:pPr>
        <w:pStyle w:val="TOC1"/>
        <w:rPr>
          <w:rFonts w:asciiTheme="minorHAnsi" w:eastAsiaTheme="minorEastAsia" w:hAnsiTheme="minorHAnsi" w:cstheme="minorBidi"/>
          <w:noProof/>
          <w:szCs w:val="22"/>
        </w:rPr>
      </w:pPr>
      <w:r>
        <w:rPr>
          <w:noProof/>
        </w:rPr>
        <w:t>Transitions into the labour market</w:t>
      </w:r>
      <w:r>
        <w:rPr>
          <w:noProof/>
        </w:rPr>
        <w:tab/>
      </w:r>
      <w:r w:rsidR="004154B0">
        <w:rPr>
          <w:noProof/>
        </w:rPr>
        <w:fldChar w:fldCharType="begin"/>
      </w:r>
      <w:r>
        <w:rPr>
          <w:noProof/>
        </w:rPr>
        <w:instrText xml:space="preserve"> PAGEREF _Toc283364872 \h </w:instrText>
      </w:r>
      <w:r w:rsidR="004154B0">
        <w:rPr>
          <w:noProof/>
        </w:rPr>
      </w:r>
      <w:r w:rsidR="004154B0">
        <w:rPr>
          <w:noProof/>
        </w:rPr>
        <w:fldChar w:fldCharType="separate"/>
      </w:r>
      <w:r w:rsidR="00A530CD">
        <w:rPr>
          <w:noProof/>
        </w:rPr>
        <w:t>10</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 xml:space="preserve">Pathways of early school leavers </w:t>
      </w:r>
      <w:r w:rsidR="00116F7B">
        <w:rPr>
          <w:noProof/>
        </w:rPr>
        <w:t>and</w:t>
      </w:r>
      <w:r>
        <w:rPr>
          <w:noProof/>
        </w:rPr>
        <w:t xml:space="preserve"> those with no formal </w:t>
      </w:r>
      <w:r w:rsidR="00CF2708">
        <w:rPr>
          <w:noProof/>
        </w:rPr>
        <w:br/>
      </w:r>
      <w:r>
        <w:rPr>
          <w:noProof/>
        </w:rPr>
        <w:t>qualifications</w:t>
      </w:r>
      <w:r>
        <w:rPr>
          <w:noProof/>
        </w:rPr>
        <w:tab/>
      </w:r>
      <w:r w:rsidR="004154B0">
        <w:rPr>
          <w:noProof/>
        </w:rPr>
        <w:fldChar w:fldCharType="begin"/>
      </w:r>
      <w:r>
        <w:rPr>
          <w:noProof/>
        </w:rPr>
        <w:instrText xml:space="preserve"> PAGEREF _Toc283364873 \h </w:instrText>
      </w:r>
      <w:r w:rsidR="004154B0">
        <w:rPr>
          <w:noProof/>
        </w:rPr>
      </w:r>
      <w:r w:rsidR="004154B0">
        <w:rPr>
          <w:noProof/>
        </w:rPr>
        <w:fldChar w:fldCharType="separate"/>
      </w:r>
      <w:r w:rsidR="00A530CD">
        <w:rPr>
          <w:noProof/>
        </w:rPr>
        <w:t>10</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Long-term unemployment and disengagement from study</w:t>
      </w:r>
      <w:r>
        <w:rPr>
          <w:noProof/>
        </w:rPr>
        <w:tab/>
      </w:r>
      <w:r w:rsidR="004154B0">
        <w:rPr>
          <w:noProof/>
        </w:rPr>
        <w:fldChar w:fldCharType="begin"/>
      </w:r>
      <w:r>
        <w:rPr>
          <w:noProof/>
        </w:rPr>
        <w:instrText xml:space="preserve"> PAGEREF _Toc283364874 \h </w:instrText>
      </w:r>
      <w:r w:rsidR="004154B0">
        <w:rPr>
          <w:noProof/>
        </w:rPr>
      </w:r>
      <w:r w:rsidR="004154B0">
        <w:rPr>
          <w:noProof/>
        </w:rPr>
        <w:fldChar w:fldCharType="separate"/>
      </w:r>
      <w:r w:rsidR="00A530CD">
        <w:rPr>
          <w:noProof/>
        </w:rPr>
        <w:t>11</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Attainment of skills and qualifications</w:t>
      </w:r>
      <w:r>
        <w:rPr>
          <w:noProof/>
        </w:rPr>
        <w:tab/>
      </w:r>
      <w:r w:rsidR="004154B0">
        <w:rPr>
          <w:noProof/>
        </w:rPr>
        <w:fldChar w:fldCharType="begin"/>
      </w:r>
      <w:r>
        <w:rPr>
          <w:noProof/>
        </w:rPr>
        <w:instrText xml:space="preserve"> PAGEREF _Toc283364875 \h </w:instrText>
      </w:r>
      <w:r w:rsidR="004154B0">
        <w:rPr>
          <w:noProof/>
        </w:rPr>
      </w:r>
      <w:r w:rsidR="004154B0">
        <w:rPr>
          <w:noProof/>
        </w:rPr>
        <w:fldChar w:fldCharType="separate"/>
      </w:r>
      <w:r w:rsidR="00A530CD">
        <w:rPr>
          <w:noProof/>
        </w:rPr>
        <w:t>11</w:t>
      </w:r>
      <w:r w:rsidR="004154B0">
        <w:rPr>
          <w:noProof/>
        </w:rPr>
        <w:fldChar w:fldCharType="end"/>
      </w:r>
    </w:p>
    <w:p w:rsidR="00175E0B" w:rsidRDefault="00116F7B">
      <w:pPr>
        <w:pStyle w:val="TOC1"/>
        <w:rPr>
          <w:rFonts w:asciiTheme="minorHAnsi" w:eastAsiaTheme="minorEastAsia" w:hAnsiTheme="minorHAnsi" w:cstheme="minorBidi"/>
          <w:noProof/>
          <w:szCs w:val="22"/>
        </w:rPr>
      </w:pPr>
      <w:r>
        <w:rPr>
          <w:noProof/>
        </w:rPr>
        <w:t>The role of well</w:t>
      </w:r>
      <w:r w:rsidR="00175E0B">
        <w:rPr>
          <w:noProof/>
        </w:rPr>
        <w:t xml:space="preserve">being </w:t>
      </w:r>
      <w:r>
        <w:rPr>
          <w:noProof/>
        </w:rPr>
        <w:t>and</w:t>
      </w:r>
      <w:r w:rsidR="00175E0B">
        <w:rPr>
          <w:noProof/>
        </w:rPr>
        <w:t xml:space="preserve"> social outcomes on transitions</w:t>
      </w:r>
      <w:r w:rsidR="00175E0B">
        <w:rPr>
          <w:noProof/>
        </w:rPr>
        <w:tab/>
      </w:r>
      <w:r w:rsidR="004154B0">
        <w:rPr>
          <w:noProof/>
        </w:rPr>
        <w:fldChar w:fldCharType="begin"/>
      </w:r>
      <w:r w:rsidR="00175E0B">
        <w:rPr>
          <w:noProof/>
        </w:rPr>
        <w:instrText xml:space="preserve"> PAGEREF _Toc283364876 \h </w:instrText>
      </w:r>
      <w:r w:rsidR="004154B0">
        <w:rPr>
          <w:noProof/>
        </w:rPr>
      </w:r>
      <w:r w:rsidR="004154B0">
        <w:rPr>
          <w:noProof/>
        </w:rPr>
        <w:fldChar w:fldCharType="separate"/>
      </w:r>
      <w:r w:rsidR="00A530CD">
        <w:rPr>
          <w:noProof/>
        </w:rPr>
        <w:t>12</w:t>
      </w:r>
      <w:r w:rsidR="004154B0">
        <w:rPr>
          <w:noProof/>
        </w:rPr>
        <w:fldChar w:fldCharType="end"/>
      </w:r>
    </w:p>
    <w:p w:rsidR="00175E0B" w:rsidRDefault="00116F7B">
      <w:pPr>
        <w:pStyle w:val="TOC2"/>
        <w:rPr>
          <w:rFonts w:asciiTheme="minorHAnsi" w:eastAsiaTheme="minorEastAsia" w:hAnsiTheme="minorHAnsi" w:cstheme="minorBidi"/>
          <w:noProof/>
          <w:sz w:val="22"/>
          <w:szCs w:val="22"/>
        </w:rPr>
      </w:pPr>
      <w:r>
        <w:rPr>
          <w:noProof/>
        </w:rPr>
        <w:t>The well</w:t>
      </w:r>
      <w:r w:rsidR="00175E0B">
        <w:rPr>
          <w:noProof/>
        </w:rPr>
        <w:t>being of young people</w:t>
      </w:r>
      <w:r w:rsidR="00175E0B">
        <w:rPr>
          <w:noProof/>
        </w:rPr>
        <w:tab/>
      </w:r>
      <w:r w:rsidR="004154B0">
        <w:rPr>
          <w:noProof/>
        </w:rPr>
        <w:fldChar w:fldCharType="begin"/>
      </w:r>
      <w:r w:rsidR="00175E0B">
        <w:rPr>
          <w:noProof/>
        </w:rPr>
        <w:instrText xml:space="preserve"> PAGEREF _Toc283364877 \h </w:instrText>
      </w:r>
      <w:r w:rsidR="004154B0">
        <w:rPr>
          <w:noProof/>
        </w:rPr>
      </w:r>
      <w:r w:rsidR="004154B0">
        <w:rPr>
          <w:noProof/>
        </w:rPr>
        <w:fldChar w:fldCharType="separate"/>
      </w:r>
      <w:r w:rsidR="00A530CD">
        <w:rPr>
          <w:noProof/>
        </w:rPr>
        <w:t>12</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 xml:space="preserve">Social capital </w:t>
      </w:r>
      <w:r w:rsidR="00116F7B">
        <w:rPr>
          <w:noProof/>
        </w:rPr>
        <w:t>and</w:t>
      </w:r>
      <w:r>
        <w:rPr>
          <w:noProof/>
        </w:rPr>
        <w:t xml:space="preserve"> the impact of relationships</w:t>
      </w:r>
      <w:r>
        <w:rPr>
          <w:noProof/>
        </w:rPr>
        <w:tab/>
      </w:r>
      <w:r w:rsidR="004154B0">
        <w:rPr>
          <w:noProof/>
        </w:rPr>
        <w:fldChar w:fldCharType="begin"/>
      </w:r>
      <w:r>
        <w:rPr>
          <w:noProof/>
        </w:rPr>
        <w:instrText xml:space="preserve"> PAGEREF _Toc283364878 \h </w:instrText>
      </w:r>
      <w:r w:rsidR="004154B0">
        <w:rPr>
          <w:noProof/>
        </w:rPr>
      </w:r>
      <w:r w:rsidR="004154B0">
        <w:rPr>
          <w:noProof/>
        </w:rPr>
        <w:fldChar w:fldCharType="separate"/>
      </w:r>
      <w:r w:rsidR="00A530CD">
        <w:rPr>
          <w:noProof/>
        </w:rPr>
        <w:t>12</w:t>
      </w:r>
      <w:r w:rsidR="004154B0">
        <w:rPr>
          <w:noProof/>
        </w:rPr>
        <w:fldChar w:fldCharType="end"/>
      </w:r>
    </w:p>
    <w:p w:rsidR="00175E0B" w:rsidRDefault="00175E0B">
      <w:pPr>
        <w:pStyle w:val="TOC1"/>
        <w:rPr>
          <w:rFonts w:asciiTheme="minorHAnsi" w:eastAsiaTheme="minorEastAsia" w:hAnsiTheme="minorHAnsi" w:cstheme="minorBidi"/>
          <w:noProof/>
          <w:szCs w:val="22"/>
        </w:rPr>
      </w:pPr>
      <w:r>
        <w:rPr>
          <w:noProof/>
        </w:rPr>
        <w:t xml:space="preserve">Technical reports </w:t>
      </w:r>
      <w:r w:rsidR="00116F7B">
        <w:rPr>
          <w:noProof/>
        </w:rPr>
        <w:t>and</w:t>
      </w:r>
      <w:r>
        <w:rPr>
          <w:noProof/>
        </w:rPr>
        <w:t xml:space="preserve"> documentation</w:t>
      </w:r>
      <w:r>
        <w:rPr>
          <w:noProof/>
        </w:rPr>
        <w:tab/>
      </w:r>
      <w:r w:rsidR="004154B0">
        <w:rPr>
          <w:noProof/>
        </w:rPr>
        <w:fldChar w:fldCharType="begin"/>
      </w:r>
      <w:r>
        <w:rPr>
          <w:noProof/>
        </w:rPr>
        <w:instrText xml:space="preserve"> PAGEREF _Toc283364879 \h </w:instrText>
      </w:r>
      <w:r w:rsidR="004154B0">
        <w:rPr>
          <w:noProof/>
        </w:rPr>
      </w:r>
      <w:r w:rsidR="004154B0">
        <w:rPr>
          <w:noProof/>
        </w:rPr>
        <w:fldChar w:fldCharType="separate"/>
      </w:r>
      <w:r w:rsidR="00A530CD">
        <w:rPr>
          <w:noProof/>
        </w:rPr>
        <w:t>13</w:t>
      </w:r>
      <w:r w:rsidR="004154B0">
        <w:rPr>
          <w:noProof/>
        </w:rPr>
        <w:fldChar w:fldCharType="end"/>
      </w:r>
    </w:p>
    <w:p w:rsidR="00175E0B" w:rsidRDefault="00175E0B">
      <w:pPr>
        <w:pStyle w:val="TOC2"/>
        <w:rPr>
          <w:rFonts w:asciiTheme="minorHAnsi" w:eastAsiaTheme="minorEastAsia" w:hAnsiTheme="minorHAnsi" w:cstheme="minorBidi"/>
          <w:noProof/>
          <w:sz w:val="22"/>
          <w:szCs w:val="22"/>
        </w:rPr>
      </w:pPr>
      <w:r>
        <w:rPr>
          <w:noProof/>
        </w:rPr>
        <w:t xml:space="preserve">Measurement </w:t>
      </w:r>
      <w:r w:rsidR="00116F7B">
        <w:rPr>
          <w:noProof/>
        </w:rPr>
        <w:t>and</w:t>
      </w:r>
      <w:r>
        <w:rPr>
          <w:noProof/>
        </w:rPr>
        <w:t xml:space="preserve"> scope</w:t>
      </w:r>
      <w:r>
        <w:rPr>
          <w:noProof/>
        </w:rPr>
        <w:tab/>
      </w:r>
      <w:r w:rsidR="004154B0">
        <w:rPr>
          <w:noProof/>
        </w:rPr>
        <w:fldChar w:fldCharType="begin"/>
      </w:r>
      <w:r>
        <w:rPr>
          <w:noProof/>
        </w:rPr>
        <w:instrText xml:space="preserve"> PAGEREF _Toc283364880 \h </w:instrText>
      </w:r>
      <w:r w:rsidR="004154B0">
        <w:rPr>
          <w:noProof/>
        </w:rPr>
      </w:r>
      <w:r w:rsidR="004154B0">
        <w:rPr>
          <w:noProof/>
        </w:rPr>
        <w:fldChar w:fldCharType="separate"/>
      </w:r>
      <w:r w:rsidR="00A530CD">
        <w:rPr>
          <w:noProof/>
        </w:rPr>
        <w:t>13</w:t>
      </w:r>
      <w:r w:rsidR="004154B0">
        <w:rPr>
          <w:noProof/>
        </w:rPr>
        <w:fldChar w:fldCharType="end"/>
      </w:r>
    </w:p>
    <w:p w:rsidR="00175E0B" w:rsidRDefault="00175E0B">
      <w:pPr>
        <w:pStyle w:val="TOC1"/>
        <w:rPr>
          <w:rFonts w:asciiTheme="minorHAnsi" w:eastAsiaTheme="minorEastAsia" w:hAnsiTheme="minorHAnsi" w:cstheme="minorBidi"/>
          <w:noProof/>
          <w:szCs w:val="22"/>
        </w:rPr>
      </w:pPr>
      <w:r>
        <w:rPr>
          <w:noProof/>
        </w:rPr>
        <w:t>Conclusion</w:t>
      </w:r>
      <w:r>
        <w:rPr>
          <w:noProof/>
        </w:rPr>
        <w:tab/>
      </w:r>
      <w:r w:rsidR="004154B0">
        <w:rPr>
          <w:noProof/>
        </w:rPr>
        <w:fldChar w:fldCharType="begin"/>
      </w:r>
      <w:r>
        <w:rPr>
          <w:noProof/>
        </w:rPr>
        <w:instrText xml:space="preserve"> PAGEREF _Toc283364881 \h </w:instrText>
      </w:r>
      <w:r w:rsidR="004154B0">
        <w:rPr>
          <w:noProof/>
        </w:rPr>
      </w:r>
      <w:r w:rsidR="004154B0">
        <w:rPr>
          <w:noProof/>
        </w:rPr>
        <w:fldChar w:fldCharType="separate"/>
      </w:r>
      <w:r w:rsidR="00A530CD">
        <w:rPr>
          <w:noProof/>
        </w:rPr>
        <w:t>15</w:t>
      </w:r>
      <w:r w:rsidR="004154B0">
        <w:rPr>
          <w:noProof/>
        </w:rPr>
        <w:fldChar w:fldCharType="end"/>
      </w:r>
    </w:p>
    <w:p w:rsidR="00037B44" w:rsidRDefault="004154B0">
      <w:pPr>
        <w:pStyle w:val="TOC1"/>
      </w:pPr>
      <w:r>
        <w:fldChar w:fldCharType="end"/>
      </w:r>
    </w:p>
    <w:p w:rsidR="00037B44" w:rsidRDefault="00037B44" w:rsidP="005C11D3">
      <w:pPr>
        <w:pStyle w:val="Heading1"/>
      </w:pPr>
      <w:r>
        <w:br w:type="page"/>
      </w:r>
      <w:bookmarkStart w:id="23" w:name="_Toc283364865"/>
      <w:r w:rsidR="003C65C1">
        <w:lastRenderedPageBreak/>
        <w:t>Introduction</w:t>
      </w:r>
      <w:bookmarkEnd w:id="23"/>
    </w:p>
    <w:p w:rsidR="00537B86" w:rsidRDefault="00746342" w:rsidP="00520018">
      <w:pPr>
        <w:pStyle w:val="Text"/>
        <w:spacing w:before="440"/>
      </w:pPr>
      <w:r>
        <w:t xml:space="preserve">This report summarises the outcomes of the National Centre for Vocational Education Research’s (NCVER) 2010 consultations to identify </w:t>
      </w:r>
      <w:r w:rsidR="0020572B">
        <w:t xml:space="preserve">research topics </w:t>
      </w:r>
      <w:r w:rsidR="00597A9D">
        <w:t xml:space="preserve">using </w:t>
      </w:r>
      <w:r w:rsidR="0020572B">
        <w:t xml:space="preserve">the </w:t>
      </w:r>
      <w:r>
        <w:t xml:space="preserve">Longitudinal Surveys </w:t>
      </w:r>
      <w:r w:rsidR="00172FE2">
        <w:t>of</w:t>
      </w:r>
      <w:r>
        <w:t xml:space="preserve"> Australian Youth (LSAY)</w:t>
      </w:r>
      <w:r w:rsidR="0020572B">
        <w:t xml:space="preserve">. </w:t>
      </w:r>
      <w:r w:rsidR="00AA06A0">
        <w:t>The</w:t>
      </w:r>
      <w:r w:rsidR="009E5070">
        <w:t xml:space="preserve">se will </w:t>
      </w:r>
      <w:r w:rsidR="002B335B">
        <w:t xml:space="preserve">help determine the LSAY analytical program </w:t>
      </w:r>
      <w:r w:rsidR="00597A9D">
        <w:t>of research from 2011</w:t>
      </w:r>
      <w:r w:rsidR="0016557A">
        <w:t xml:space="preserve"> to </w:t>
      </w:r>
      <w:r w:rsidR="002B335B">
        <w:t>2013.</w:t>
      </w:r>
      <w:r w:rsidR="00537B86">
        <w:t xml:space="preserve"> </w:t>
      </w:r>
    </w:p>
    <w:p w:rsidR="00492D95" w:rsidRPr="002B335B" w:rsidRDefault="007B3D44" w:rsidP="002B335B">
      <w:pPr>
        <w:pStyle w:val="Text"/>
        <w:spacing w:before="240"/>
      </w:pPr>
      <w:r>
        <w:t xml:space="preserve">To help generate </w:t>
      </w:r>
      <w:r w:rsidR="00597A9D">
        <w:t>ideas</w:t>
      </w:r>
      <w:r>
        <w:t>, a</w:t>
      </w:r>
      <w:r w:rsidR="00294473">
        <w:t xml:space="preserve"> discussion paper was released in early November 2010, </w:t>
      </w:r>
      <w:r>
        <w:t xml:space="preserve">with </w:t>
      </w:r>
      <w:r w:rsidR="002B335B">
        <w:t>written responses invited up until 3 December 2010. F</w:t>
      </w:r>
      <w:r w:rsidR="00817FAA">
        <w:t xml:space="preserve">ace-to-face </w:t>
      </w:r>
      <w:r w:rsidR="00715A83">
        <w:t>meetings</w:t>
      </w:r>
      <w:r w:rsidR="00817FAA">
        <w:t xml:space="preserve"> were held </w:t>
      </w:r>
      <w:r w:rsidR="002B335B">
        <w:t xml:space="preserve">during November </w:t>
      </w:r>
      <w:r w:rsidR="00817FAA">
        <w:t xml:space="preserve">in </w:t>
      </w:r>
      <w:r w:rsidR="00D210D7">
        <w:t xml:space="preserve">Perth </w:t>
      </w:r>
      <w:r w:rsidR="00597A9D">
        <w:t>and</w:t>
      </w:r>
      <w:r w:rsidR="00D210D7">
        <w:t xml:space="preserve"> Canberra. </w:t>
      </w:r>
      <w:r w:rsidR="00597A9D">
        <w:t xml:space="preserve">NCVER also conducted a webinar to enable people from across the country to </w:t>
      </w:r>
      <w:r w:rsidR="007623C9">
        <w:t>contribute their ideas</w:t>
      </w:r>
      <w:r w:rsidR="00597A9D">
        <w:t xml:space="preserve">. </w:t>
      </w:r>
      <w:r w:rsidR="00715A83">
        <w:t xml:space="preserve">Over 50 stakeholders participated in the face-to-face meetings and </w:t>
      </w:r>
      <w:r w:rsidR="00492D95">
        <w:t xml:space="preserve">the </w:t>
      </w:r>
      <w:r w:rsidR="00175E0B">
        <w:t>webinar;</w:t>
      </w:r>
      <w:r w:rsidR="00715A83">
        <w:t xml:space="preserve"> written submissions were received from </w:t>
      </w:r>
      <w:r w:rsidR="00597A9D">
        <w:t>eight</w:t>
      </w:r>
      <w:r w:rsidR="00492D95">
        <w:t xml:space="preserve"> organisations and individuals. </w:t>
      </w:r>
      <w:r w:rsidR="00492D95">
        <w:rPr>
          <w:szCs w:val="22"/>
        </w:rPr>
        <w:t xml:space="preserve">Stakeholders included representatives from state training authorities, not-for-profit organisations, technical and further education (TAFE) institutes, </w:t>
      </w:r>
      <w:r w:rsidR="002B335B">
        <w:rPr>
          <w:szCs w:val="22"/>
        </w:rPr>
        <w:t xml:space="preserve">universities, </w:t>
      </w:r>
      <w:r w:rsidR="00492D95">
        <w:rPr>
          <w:szCs w:val="22"/>
        </w:rPr>
        <w:t xml:space="preserve">school peak bodies, academics, unions, and </w:t>
      </w:r>
      <w:r w:rsidR="002B335B">
        <w:rPr>
          <w:szCs w:val="22"/>
        </w:rPr>
        <w:t xml:space="preserve">government agencies, including </w:t>
      </w:r>
      <w:r w:rsidR="00492D95">
        <w:rPr>
          <w:szCs w:val="22"/>
        </w:rPr>
        <w:t>the Department of Education, Employment and Workforce Relations (DEEWR).</w:t>
      </w:r>
    </w:p>
    <w:p w:rsidR="006163DA" w:rsidRDefault="00727392" w:rsidP="006163DA">
      <w:pPr>
        <w:pStyle w:val="Text"/>
      </w:pPr>
      <w:r>
        <w:t xml:space="preserve">On the whole, suggested research ideas align strongly with the </w:t>
      </w:r>
      <w:r w:rsidR="00597A9D">
        <w:t xml:space="preserve">existing </w:t>
      </w:r>
      <w:r w:rsidR="007015EC">
        <w:t>LSAY research priorities</w:t>
      </w:r>
      <w:r w:rsidR="00FA261C">
        <w:t>:</w:t>
      </w:r>
    </w:p>
    <w:p w:rsidR="000B3395" w:rsidRDefault="000B3395" w:rsidP="000B3395">
      <w:pPr>
        <w:pStyle w:val="Dotpoint1"/>
      </w:pPr>
      <w:r w:rsidRPr="00A87C05">
        <w:rPr>
          <w:i/>
        </w:rPr>
        <w:t>Improve the education outcomes of young people</w:t>
      </w:r>
      <w:r>
        <w:t>: by understanding the factors that impact on participation and completion in education and training, especially for those who are disadvantaged</w:t>
      </w:r>
      <w:r w:rsidR="00777875">
        <w:t>.</w:t>
      </w:r>
    </w:p>
    <w:p w:rsidR="000B3395" w:rsidRDefault="000B3395" w:rsidP="000B3395">
      <w:pPr>
        <w:pStyle w:val="Dotpoint1"/>
      </w:pPr>
      <w:r w:rsidRPr="00A87C05">
        <w:rPr>
          <w:i/>
        </w:rPr>
        <w:t>Provide young people with the skills, qualifications and capabilities for the contemporary labour market</w:t>
      </w:r>
      <w:r>
        <w:t>: by investigating whether the skills from, and pathways through, education and training are well matched with labour market demands</w:t>
      </w:r>
      <w:r w:rsidR="00777875">
        <w:t>.</w:t>
      </w:r>
    </w:p>
    <w:p w:rsidR="004B28B6" w:rsidRDefault="000B3395" w:rsidP="004B28B6">
      <w:pPr>
        <w:pStyle w:val="Dotpoint1"/>
      </w:pPr>
      <w:r w:rsidRPr="00A87C05">
        <w:rPr>
          <w:i/>
        </w:rPr>
        <w:t>Ensure that young people lead full and meaningful lives</w:t>
      </w:r>
      <w:r>
        <w:t>: by gaining a bette</w:t>
      </w:r>
      <w:r w:rsidR="0016557A">
        <w:t>r insight into the well</w:t>
      </w:r>
      <w:r>
        <w:t xml:space="preserve">being and social activities of young people. </w:t>
      </w:r>
    </w:p>
    <w:p w:rsidR="00597A9D" w:rsidRPr="004B28B6" w:rsidRDefault="00597A9D" w:rsidP="005D1B85">
      <w:pPr>
        <w:pStyle w:val="Dotpoint1"/>
        <w:numPr>
          <w:ilvl w:val="0"/>
          <w:numId w:val="0"/>
        </w:numPr>
      </w:pPr>
      <w:r w:rsidRPr="004B28B6">
        <w:rPr>
          <w:szCs w:val="22"/>
        </w:rPr>
        <w:t xml:space="preserve">In addition, those consulted showed considerable interest in more technical issues that would serve to </w:t>
      </w:r>
      <w:r w:rsidR="004B28B6" w:rsidRPr="004B28B6">
        <w:rPr>
          <w:szCs w:val="22"/>
        </w:rPr>
        <w:t xml:space="preserve">improve the measurement of outcomes from youth transitions policy and programs. </w:t>
      </w:r>
    </w:p>
    <w:p w:rsidR="004B28B6" w:rsidRDefault="004B28B6" w:rsidP="004B28B6">
      <w:pPr>
        <w:pStyle w:val="Text"/>
      </w:pPr>
      <w:r>
        <w:t>This paper summarises the consultation findings into four key sections:</w:t>
      </w:r>
    </w:p>
    <w:p w:rsidR="004B28B6" w:rsidRDefault="0016557A" w:rsidP="004B28B6">
      <w:pPr>
        <w:pStyle w:val="Dotpoint1"/>
      </w:pPr>
      <w:r>
        <w:t>f</w:t>
      </w:r>
      <w:r w:rsidR="004B28B6">
        <w:t>actors influencing education outcomes</w:t>
      </w:r>
    </w:p>
    <w:p w:rsidR="004B28B6" w:rsidRDefault="0016557A" w:rsidP="004B28B6">
      <w:pPr>
        <w:pStyle w:val="Dotpoint1"/>
      </w:pPr>
      <w:r>
        <w:t>t</w:t>
      </w:r>
      <w:r w:rsidR="004B28B6">
        <w:t>ransition</w:t>
      </w:r>
      <w:r w:rsidR="002B4ACB">
        <w:t>s</w:t>
      </w:r>
      <w:r w:rsidR="004B28B6">
        <w:t xml:space="preserve"> into the labour market</w:t>
      </w:r>
    </w:p>
    <w:p w:rsidR="004B28B6" w:rsidRDefault="0016557A" w:rsidP="004B28B6">
      <w:pPr>
        <w:pStyle w:val="Dotpoint1"/>
      </w:pPr>
      <w:r>
        <w:t>the role of well</w:t>
      </w:r>
      <w:r w:rsidR="004B28B6">
        <w:t>being and social outcomes on transitions</w:t>
      </w:r>
    </w:p>
    <w:p w:rsidR="004B28B6" w:rsidRDefault="0016557A" w:rsidP="004B28B6">
      <w:pPr>
        <w:pStyle w:val="Dotpoint1"/>
      </w:pPr>
      <w:proofErr w:type="gramStart"/>
      <w:r>
        <w:t>t</w:t>
      </w:r>
      <w:r w:rsidR="004B28B6">
        <w:t>echnical</w:t>
      </w:r>
      <w:proofErr w:type="gramEnd"/>
      <w:r w:rsidR="004B28B6">
        <w:t xml:space="preserve"> reports and documentation.</w:t>
      </w:r>
    </w:p>
    <w:p w:rsidR="004B28B6" w:rsidRDefault="004B28B6">
      <w:pPr>
        <w:spacing w:before="0"/>
        <w:rPr>
          <w:rFonts w:ascii="Garamond" w:hAnsi="Garamond"/>
          <w:kern w:val="28"/>
          <w:sz w:val="60"/>
        </w:rPr>
      </w:pPr>
      <w:r>
        <w:br w:type="page"/>
      </w:r>
    </w:p>
    <w:p w:rsidR="00F9653C" w:rsidRDefault="00F9653C" w:rsidP="00F9653C">
      <w:pPr>
        <w:pStyle w:val="Heading1"/>
      </w:pPr>
      <w:r>
        <w:lastRenderedPageBreak/>
        <w:br/>
      </w:r>
      <w:bookmarkStart w:id="24" w:name="_Toc283364866"/>
      <w:r w:rsidR="00FC759E">
        <w:t xml:space="preserve">Factors influencing </w:t>
      </w:r>
      <w:r w:rsidR="00A56935">
        <w:br/>
      </w:r>
      <w:r w:rsidR="00FC759E">
        <w:t>education</w:t>
      </w:r>
      <w:r w:rsidR="00931E4D">
        <w:t xml:space="preserve"> </w:t>
      </w:r>
      <w:r w:rsidR="00FC759E">
        <w:t>outcomes</w:t>
      </w:r>
      <w:bookmarkEnd w:id="24"/>
    </w:p>
    <w:p w:rsidR="006163DA" w:rsidRDefault="00F9682F" w:rsidP="00A56935">
      <w:pPr>
        <w:pStyle w:val="Text"/>
        <w:spacing w:before="440"/>
      </w:pPr>
      <w:r>
        <w:t xml:space="preserve">Understanding the factors that </w:t>
      </w:r>
      <w:r w:rsidR="004B28B6">
        <w:t>affect</w:t>
      </w:r>
      <w:r>
        <w:t xml:space="preserve"> participation and completion in education and training has</w:t>
      </w:r>
      <w:r w:rsidR="00882593">
        <w:t xml:space="preserve"> been a core focus of pre</w:t>
      </w:r>
      <w:r w:rsidR="0016557A">
        <w:t>vious and current LSAY research</w:t>
      </w:r>
      <w:r w:rsidR="00882593">
        <w:t xml:space="preserve"> and </w:t>
      </w:r>
      <w:r w:rsidR="00D116FD">
        <w:t xml:space="preserve">continues to be a major concern, particularly in light of the </w:t>
      </w:r>
      <w:r w:rsidR="0016557A">
        <w:t>Council of Australian Governments (</w:t>
      </w:r>
      <w:r w:rsidR="00D116FD">
        <w:t>COAG</w:t>
      </w:r>
      <w:r w:rsidR="0016557A">
        <w:t>)</w:t>
      </w:r>
      <w:r w:rsidR="00D116FD">
        <w:t xml:space="preserve"> targets for Year 12 completion and university participation. </w:t>
      </w:r>
    </w:p>
    <w:p w:rsidR="00F16C68" w:rsidRDefault="00F16C68" w:rsidP="00F9653C">
      <w:pPr>
        <w:pStyle w:val="Text"/>
      </w:pPr>
      <w:r>
        <w:t xml:space="preserve">With the recent changes to the school sector, there is significant interest in using LSAY data to explore how </w:t>
      </w:r>
      <w:r w:rsidR="001D65EA">
        <w:t>jurisdictional</w:t>
      </w:r>
      <w:r>
        <w:t xml:space="preserve"> differences</w:t>
      </w:r>
      <w:r w:rsidR="007623C9">
        <w:t xml:space="preserve"> in</w:t>
      </w:r>
      <w:r>
        <w:t xml:space="preserve"> policy</w:t>
      </w:r>
      <w:r w:rsidR="007623C9">
        <w:t xml:space="preserve"> and</w:t>
      </w:r>
      <w:r>
        <w:t xml:space="preserve"> programs and different aspects of the school environment impact on young people’s education outcomes.</w:t>
      </w:r>
      <w:r w:rsidR="001D65EA">
        <w:t xml:space="preserve"> In particular, research that </w:t>
      </w:r>
      <w:r w:rsidR="004B28B6">
        <w:t xml:space="preserve">might throw light on how </w:t>
      </w:r>
      <w:r w:rsidR="001D65EA">
        <w:t xml:space="preserve">to assist disadvantaged youth and early school leavers with their transitions was </w:t>
      </w:r>
      <w:r w:rsidR="00012CD6">
        <w:t>strongly supported</w:t>
      </w:r>
      <w:r w:rsidR="001D65EA">
        <w:t xml:space="preserve">. This included exploring the influence of aspirations formed in the school-age years. </w:t>
      </w:r>
    </w:p>
    <w:p w:rsidR="00F16C68" w:rsidRDefault="00F16C68" w:rsidP="00F9653C">
      <w:pPr>
        <w:pStyle w:val="Text"/>
      </w:pPr>
      <w:r>
        <w:t xml:space="preserve">Research topics that fall under this heading align </w:t>
      </w:r>
      <w:r w:rsidR="00F87767">
        <w:t xml:space="preserve">strongly </w:t>
      </w:r>
      <w:r w:rsidR="00D57D11">
        <w:t xml:space="preserve">with the first LSAY research priority: </w:t>
      </w:r>
    </w:p>
    <w:p w:rsidR="00D57D11" w:rsidRPr="008972E3" w:rsidRDefault="00D57D11" w:rsidP="00D57D11">
      <w:pPr>
        <w:pStyle w:val="Dotpoint1"/>
        <w:rPr>
          <w:szCs w:val="22"/>
        </w:rPr>
      </w:pPr>
      <w:r w:rsidRPr="008972E3">
        <w:rPr>
          <w:i/>
          <w:szCs w:val="22"/>
        </w:rPr>
        <w:t>Improve the education outcomes of young people:</w:t>
      </w:r>
      <w:r w:rsidRPr="008972E3">
        <w:rPr>
          <w:szCs w:val="22"/>
        </w:rPr>
        <w:t xml:space="preserve"> by understanding the factors that impact on participation and completion in education and training, especially for those who are disadvantaged.</w:t>
      </w:r>
    </w:p>
    <w:p w:rsidR="00931E4D" w:rsidRDefault="00A56935" w:rsidP="00931E4D">
      <w:pPr>
        <w:pStyle w:val="Heading2"/>
      </w:pPr>
      <w:bookmarkStart w:id="25" w:name="_Toc283364867"/>
      <w:r>
        <w:t>Institutional structures and</w:t>
      </w:r>
      <w:r w:rsidR="00931E4D">
        <w:t xml:space="preserve"> the school environment</w:t>
      </w:r>
      <w:bookmarkEnd w:id="25"/>
      <w:r w:rsidR="00931E4D">
        <w:t xml:space="preserve"> </w:t>
      </w:r>
    </w:p>
    <w:p w:rsidR="0086052F" w:rsidRDefault="00012CD6" w:rsidP="009B785E">
      <w:pPr>
        <w:pStyle w:val="Text"/>
      </w:pPr>
      <w:r>
        <w:t xml:space="preserve">There was much interest in </w:t>
      </w:r>
      <w:r w:rsidR="00C46E84">
        <w:t xml:space="preserve">exploring the potential to use LSAY data </w:t>
      </w:r>
      <w:r w:rsidR="006F5BCA">
        <w:t>for examining</w:t>
      </w:r>
      <w:r w:rsidR="00C46E84">
        <w:t xml:space="preserve"> the effects of institutional structures and different aspects of </w:t>
      </w:r>
      <w:r>
        <w:t xml:space="preserve">the school environment </w:t>
      </w:r>
      <w:r w:rsidR="00C46E84">
        <w:t xml:space="preserve">on </w:t>
      </w:r>
      <w:r w:rsidR="0016557A">
        <w:t>young people’s behaviours and</w:t>
      </w:r>
      <w:r>
        <w:t xml:space="preserve"> their educationa</w:t>
      </w:r>
      <w:r w:rsidR="0063257A">
        <w:t xml:space="preserve">l participation and attainment. </w:t>
      </w:r>
      <w:r w:rsidR="0086052F" w:rsidRPr="00012CD6">
        <w:t xml:space="preserve">It was </w:t>
      </w:r>
      <w:r>
        <w:t xml:space="preserve">also </w:t>
      </w:r>
      <w:r w:rsidR="0086052F" w:rsidRPr="00012CD6">
        <w:t xml:space="preserve">noted that </w:t>
      </w:r>
      <w:r w:rsidR="00175E0B">
        <w:t xml:space="preserve">there had been </w:t>
      </w:r>
      <w:r w:rsidR="0016557A">
        <w:t>a great deal of</w:t>
      </w:r>
      <w:r w:rsidR="00175E0B">
        <w:t xml:space="preserve"> </w:t>
      </w:r>
      <w:r w:rsidR="0086052F" w:rsidRPr="00012CD6">
        <w:t xml:space="preserve">research </w:t>
      </w:r>
      <w:r w:rsidR="00175E0B">
        <w:t>into</w:t>
      </w:r>
      <w:r w:rsidR="0086052F" w:rsidRPr="00012CD6">
        <w:t xml:space="preserve"> participation, and more is needed on completion</w:t>
      </w:r>
      <w:r w:rsidR="00981240">
        <w:t xml:space="preserve"> and </w:t>
      </w:r>
      <w:r w:rsidR="0086052F" w:rsidRPr="00012CD6">
        <w:t>post-school educational attainment.</w:t>
      </w:r>
      <w:r w:rsidR="0086052F">
        <w:t xml:space="preserve"> </w:t>
      </w:r>
    </w:p>
    <w:p w:rsidR="00620F33" w:rsidRDefault="0063257A" w:rsidP="0063257A">
      <w:pPr>
        <w:pStyle w:val="Text"/>
        <w:ind w:left="45"/>
      </w:pPr>
      <w:r>
        <w:t xml:space="preserve">Because of </w:t>
      </w:r>
      <w:r w:rsidR="00981240">
        <w:t xml:space="preserve">the </w:t>
      </w:r>
      <w:r>
        <w:t>different way</w:t>
      </w:r>
      <w:r w:rsidR="00981240">
        <w:t>s</w:t>
      </w:r>
      <w:r>
        <w:t xml:space="preserve"> jurisdictions structure their Senior Secondary Certificate of Education (SSCE), comparative research by jurisdiction would help to analyse </w:t>
      </w:r>
      <w:r w:rsidR="00981240">
        <w:t>the</w:t>
      </w:r>
      <w:r>
        <w:t xml:space="preserve"> effects of these differences on student outcomes. </w:t>
      </w:r>
      <w:r w:rsidR="00C65284">
        <w:t xml:space="preserve">This sort of </w:t>
      </w:r>
      <w:r w:rsidR="00981240">
        <w:t xml:space="preserve">analysis would also be useful </w:t>
      </w:r>
      <w:r w:rsidR="006F5BCA">
        <w:t>for</w:t>
      </w:r>
      <w:r w:rsidR="0016557A">
        <w:t xml:space="preserve"> </w:t>
      </w:r>
      <w:r w:rsidR="006F5BCA">
        <w:t>evaluating</w:t>
      </w:r>
      <w:r w:rsidR="00383FAE">
        <w:t xml:space="preserve"> </w:t>
      </w:r>
      <w:r w:rsidR="00C65284">
        <w:t xml:space="preserve">the </w:t>
      </w:r>
      <w:r w:rsidR="0016557A">
        <w:t>e</w:t>
      </w:r>
      <w:r w:rsidR="00383FAE">
        <w:t xml:space="preserve">ffects of </w:t>
      </w:r>
      <w:r w:rsidR="00C65284">
        <w:t xml:space="preserve">a national </w:t>
      </w:r>
      <w:r w:rsidR="00383FAE">
        <w:t xml:space="preserve">school </w:t>
      </w:r>
      <w:r w:rsidR="00C65284">
        <w:t xml:space="preserve">curriculum </w:t>
      </w:r>
      <w:r w:rsidR="00383FAE">
        <w:t xml:space="preserve">on </w:t>
      </w:r>
      <w:r w:rsidR="00620F33">
        <w:t xml:space="preserve">student outcomes. </w:t>
      </w:r>
      <w:r w:rsidR="0016557A">
        <w:t>State-by-</w:t>
      </w:r>
      <w:r w:rsidR="00DD0DC5">
        <w:t xml:space="preserve">state comparisons can </w:t>
      </w:r>
      <w:r w:rsidR="00175E0B">
        <w:t xml:space="preserve">also </w:t>
      </w:r>
      <w:r w:rsidR="00DD0DC5">
        <w:t>shed more</w:t>
      </w:r>
      <w:r w:rsidR="0016557A">
        <w:t xml:space="preserve"> light on the impact of VET in S</w:t>
      </w:r>
      <w:r w:rsidR="00DD0DC5">
        <w:t>chools</w:t>
      </w:r>
      <w:r w:rsidR="0016557A">
        <w:t xml:space="preserve"> programs</w:t>
      </w:r>
      <w:r w:rsidR="00DD0DC5">
        <w:t xml:space="preserve">. This continues to be an area of interest because of the increasing development and uptake of these programs in senior secondary schooling. </w:t>
      </w:r>
    </w:p>
    <w:p w:rsidR="0056369D" w:rsidRDefault="00981240" w:rsidP="0063257A">
      <w:pPr>
        <w:pStyle w:val="Text"/>
        <w:ind w:left="45"/>
      </w:pPr>
      <w:r>
        <w:t>S</w:t>
      </w:r>
      <w:r w:rsidR="00620F33">
        <w:t xml:space="preserve">takeholders </w:t>
      </w:r>
      <w:r>
        <w:t>we</w:t>
      </w:r>
      <w:r w:rsidR="00620F33">
        <w:t xml:space="preserve">re also </w:t>
      </w:r>
      <w:r>
        <w:t xml:space="preserve">keen to have identified </w:t>
      </w:r>
      <w:r w:rsidR="00620F33">
        <w:t xml:space="preserve">the factors that assist young people during their formative years in high school. In particular, there </w:t>
      </w:r>
      <w:r>
        <w:t>wa</w:t>
      </w:r>
      <w:r w:rsidR="00620F33">
        <w:t xml:space="preserve">s an interest in understanding whether differences at the school level influence student outcomes. This </w:t>
      </w:r>
      <w:r w:rsidR="00175E0B">
        <w:t>would involve examining</w:t>
      </w:r>
      <w:r w:rsidR="00620F33">
        <w:t xml:space="preserve"> </w:t>
      </w:r>
      <w:r w:rsidR="0056369D">
        <w:t>institutional arrangements</w:t>
      </w:r>
      <w:r w:rsidR="00620F33">
        <w:t xml:space="preserve"> and identifying the key characteristics of successful schools. </w:t>
      </w:r>
    </w:p>
    <w:p w:rsidR="00192424" w:rsidRDefault="00DA06F0" w:rsidP="005E5110">
      <w:pPr>
        <w:pStyle w:val="Text"/>
        <w:ind w:left="45"/>
      </w:pPr>
      <w:r>
        <w:t>In addition</w:t>
      </w:r>
      <w:r w:rsidR="00DD0DC5">
        <w:t xml:space="preserve">, </w:t>
      </w:r>
      <w:r w:rsidR="005E5110">
        <w:t>the link between teacher characteristics and student outcomes was a suggested area of research, particularly how t</w:t>
      </w:r>
      <w:r w:rsidR="007813DB">
        <w:t xml:space="preserve">he impact of teacher knowledge and </w:t>
      </w:r>
      <w:r w:rsidR="006F5BCA">
        <w:t xml:space="preserve">an </w:t>
      </w:r>
      <w:r w:rsidR="007813DB">
        <w:t xml:space="preserve">understanding of career development </w:t>
      </w:r>
      <w:r w:rsidR="005E5110">
        <w:t xml:space="preserve">can influence </w:t>
      </w:r>
      <w:r w:rsidR="007813DB">
        <w:t>student transition</w:t>
      </w:r>
      <w:r w:rsidR="005E5110">
        <w:t>s. Research in this area could e</w:t>
      </w:r>
      <w:r w:rsidR="00192424">
        <w:t xml:space="preserve">xamine the school/principal questionnaire </w:t>
      </w:r>
      <w:r w:rsidR="00981240">
        <w:t xml:space="preserve">undertaken </w:t>
      </w:r>
      <w:r w:rsidR="00192424">
        <w:t xml:space="preserve">as part of PISA </w:t>
      </w:r>
      <w:r>
        <w:t xml:space="preserve">(Programme for International </w:t>
      </w:r>
      <w:r>
        <w:lastRenderedPageBreak/>
        <w:t xml:space="preserve">Student Assessment) </w:t>
      </w:r>
      <w:r w:rsidR="00192424">
        <w:t xml:space="preserve">tests and </w:t>
      </w:r>
      <w:r w:rsidR="00981240">
        <w:t xml:space="preserve">analyse </w:t>
      </w:r>
      <w:r w:rsidR="00192424">
        <w:t>data on teacher qualifications</w:t>
      </w:r>
      <w:r w:rsidR="005E5110">
        <w:t>.</w:t>
      </w:r>
      <w:r>
        <w:t xml:space="preserve"> The s</w:t>
      </w:r>
      <w:r w:rsidR="008A23D5">
        <w:t xml:space="preserve">ubject choices of students and the decision to </w:t>
      </w:r>
      <w:r w:rsidR="00383FAE">
        <w:t xml:space="preserve">repeat Year 12 (or </w:t>
      </w:r>
      <w:r w:rsidR="008A23D5">
        <w:t>Year 13</w:t>
      </w:r>
      <w:r w:rsidR="00383FAE">
        <w:t>)</w:t>
      </w:r>
      <w:r w:rsidR="008A23D5">
        <w:t xml:space="preserve"> </w:t>
      </w:r>
      <w:r>
        <w:t>are</w:t>
      </w:r>
      <w:r w:rsidR="008A23D5">
        <w:t xml:space="preserve"> </w:t>
      </w:r>
      <w:r>
        <w:t>further</w:t>
      </w:r>
      <w:r w:rsidR="008A23D5">
        <w:t xml:space="preserve"> avenue</w:t>
      </w:r>
      <w:r>
        <w:t>s</w:t>
      </w:r>
      <w:r w:rsidR="008A23D5">
        <w:t xml:space="preserve"> of investigation. </w:t>
      </w:r>
    </w:p>
    <w:p w:rsidR="009B785E" w:rsidRDefault="009B785E" w:rsidP="009B785E">
      <w:pPr>
        <w:pStyle w:val="Heading2"/>
      </w:pPr>
      <w:bookmarkStart w:id="26" w:name="_Toc283364868"/>
      <w:r>
        <w:t>Early school leavers</w:t>
      </w:r>
      <w:bookmarkEnd w:id="26"/>
    </w:p>
    <w:p w:rsidR="00F85265" w:rsidRDefault="0043641A" w:rsidP="00F85265">
      <w:pPr>
        <w:pStyle w:val="Text"/>
        <w:ind w:left="45"/>
        <w:rPr>
          <w:szCs w:val="22"/>
        </w:rPr>
      </w:pPr>
      <w:r>
        <w:t>With t</w:t>
      </w:r>
      <w:r w:rsidR="003E3923">
        <w:t xml:space="preserve">he current </w:t>
      </w:r>
      <w:r>
        <w:t xml:space="preserve">emphasis </w:t>
      </w:r>
      <w:r w:rsidR="003E3923">
        <w:t xml:space="preserve">on increasing the proportion of </w:t>
      </w:r>
      <w:r w:rsidR="00DD0AB6">
        <w:t xml:space="preserve">young people </w:t>
      </w:r>
      <w:r w:rsidR="00981240">
        <w:t xml:space="preserve">completing </w:t>
      </w:r>
      <w:r w:rsidR="00DD0AB6">
        <w:t xml:space="preserve">Year 12, there was interest in using LSAY </w:t>
      </w:r>
      <w:r w:rsidR="00F85265">
        <w:t>data to analyse the impact of the different strategies</w:t>
      </w:r>
      <w:r>
        <w:t xml:space="preserve"> (such as increasing the school leaving age</w:t>
      </w:r>
      <w:r w:rsidR="00F85265">
        <w:t xml:space="preserve"> </w:t>
      </w:r>
      <w:r>
        <w:t xml:space="preserve">and introducing the </w:t>
      </w:r>
      <w:r w:rsidRPr="006F5BCA">
        <w:t xml:space="preserve">Youth </w:t>
      </w:r>
      <w:r w:rsidR="006F5BCA">
        <w:t>C</w:t>
      </w:r>
      <w:r w:rsidRPr="006F5BCA">
        <w:t>ompact</w:t>
      </w:r>
      <w:r>
        <w:t xml:space="preserve">) </w:t>
      </w:r>
      <w:r w:rsidR="00DA06F0">
        <w:t xml:space="preserve">used </w:t>
      </w:r>
      <w:r w:rsidR="00F85265">
        <w:t>to encourage young people to complete Year 12</w:t>
      </w:r>
      <w:r w:rsidR="00F87767">
        <w:t xml:space="preserve">. </w:t>
      </w:r>
      <w:r w:rsidR="00F85265">
        <w:t>Research c</w:t>
      </w:r>
      <w:r w:rsidR="0063257A" w:rsidRPr="0063257A">
        <w:t xml:space="preserve">ould </w:t>
      </w:r>
      <w:r>
        <w:t xml:space="preserve">again </w:t>
      </w:r>
      <w:r w:rsidR="0063257A" w:rsidRPr="0063257A">
        <w:t>involve state comparative analysis because different states have different legislation</w:t>
      </w:r>
      <w:r w:rsidR="00F85265">
        <w:t>.</w:t>
      </w:r>
      <w:r w:rsidR="00055ED7">
        <w:t xml:space="preserve"> However, there is limited information </w:t>
      </w:r>
      <w:r w:rsidR="00175E0B">
        <w:t xml:space="preserve">about </w:t>
      </w:r>
      <w:r w:rsidR="00055ED7">
        <w:t xml:space="preserve">specific programs in the LSAY surveys. </w:t>
      </w:r>
      <w:r w:rsidR="00F85265">
        <w:rPr>
          <w:szCs w:val="22"/>
        </w:rPr>
        <w:t xml:space="preserve"> </w:t>
      </w:r>
    </w:p>
    <w:p w:rsidR="00055ED7" w:rsidRDefault="00055ED7" w:rsidP="00F85265">
      <w:pPr>
        <w:pStyle w:val="Text"/>
        <w:ind w:left="45"/>
      </w:pPr>
      <w:r>
        <w:rPr>
          <w:szCs w:val="22"/>
        </w:rPr>
        <w:t>Stakeholders were also interested in exploring the</w:t>
      </w:r>
      <w:r w:rsidR="00F85265">
        <w:rPr>
          <w:szCs w:val="22"/>
        </w:rPr>
        <w:t xml:space="preserve"> f</w:t>
      </w:r>
      <w:r w:rsidR="009B785E">
        <w:t>actors associated with keeping students engaged with learning and connected with school</w:t>
      </w:r>
      <w:r w:rsidR="00F85265">
        <w:t>, including whether engagement varies by student characteristics such as gender.</w:t>
      </w:r>
      <w:r>
        <w:t xml:space="preserve"> Equa</w:t>
      </w:r>
      <w:r w:rsidR="00CF61EB">
        <w:t>lly important to stakeholders i</w:t>
      </w:r>
      <w:r>
        <w:t>s</w:t>
      </w:r>
      <w:r w:rsidR="00CF61EB">
        <w:t xml:space="preserve"> </w:t>
      </w:r>
      <w:r>
        <w:t xml:space="preserve">exploring the reasons why young people leave school early, as this may not necessarily be a poor outcome if they are leaving to take up other meaningful activities. </w:t>
      </w:r>
      <w:r w:rsidR="00175E0B">
        <w:t>Nevertheless</w:t>
      </w:r>
      <w:r>
        <w:t>, one of these reasons could be related to poor achievement</w:t>
      </w:r>
      <w:r w:rsidR="00175E0B">
        <w:t xml:space="preserve"> at</w:t>
      </w:r>
      <w:r>
        <w:t xml:space="preserve"> school, which may discourage young people to continue their education. Therefore it would be important to consider analyses that explore the barriers related to </w:t>
      </w:r>
      <w:r w:rsidR="007C532F">
        <w:t xml:space="preserve">completing Year 12. </w:t>
      </w:r>
    </w:p>
    <w:p w:rsidR="00882593" w:rsidRDefault="00882593" w:rsidP="00882593">
      <w:pPr>
        <w:pStyle w:val="Heading2"/>
      </w:pPr>
      <w:bookmarkStart w:id="27" w:name="_Toc283364869"/>
      <w:r>
        <w:t>Aspirations</w:t>
      </w:r>
      <w:bookmarkEnd w:id="27"/>
    </w:p>
    <w:p w:rsidR="00931E4D" w:rsidRDefault="00931E4D" w:rsidP="00544534">
      <w:pPr>
        <w:pStyle w:val="Text"/>
      </w:pPr>
      <w:r>
        <w:t xml:space="preserve">Current LSAY research has found that a positive attitude towards education and having ambitious occupational plans can help young people achieve successful school-to-work transitions. Stakeholders </w:t>
      </w:r>
      <w:r w:rsidR="0043641A">
        <w:t>wer</w:t>
      </w:r>
      <w:r>
        <w:t>e interested in how we can further develop this research to better understand how aspirations are formed</w:t>
      </w:r>
      <w:r w:rsidR="00B868DD">
        <w:t xml:space="preserve"> and how they are influenced (</w:t>
      </w:r>
      <w:r w:rsidR="00813F9F">
        <w:t>for example,</w:t>
      </w:r>
      <w:r w:rsidR="00B868DD">
        <w:t xml:space="preserve"> homework, teacher focus, parental engagement etc</w:t>
      </w:r>
      <w:r w:rsidR="00813F9F">
        <w:t>.</w:t>
      </w:r>
      <w:r w:rsidR="00B868DD">
        <w:t>)</w:t>
      </w:r>
      <w:r>
        <w:t xml:space="preserve">, </w:t>
      </w:r>
      <w:r w:rsidR="00B868DD">
        <w:t xml:space="preserve">and </w:t>
      </w:r>
      <w:r>
        <w:t>whether they de</w:t>
      </w:r>
      <w:r w:rsidR="00523C31">
        <w:t xml:space="preserve">velop differently for different groups of young people, such as </w:t>
      </w:r>
      <w:r w:rsidR="0043641A">
        <w:t>males and females</w:t>
      </w:r>
      <w:r w:rsidR="00813F9F">
        <w:t>,</w:t>
      </w:r>
      <w:r w:rsidR="0043641A">
        <w:t xml:space="preserve"> or </w:t>
      </w:r>
      <w:r w:rsidR="00813F9F">
        <w:t>those from low socio</w:t>
      </w:r>
      <w:r w:rsidR="00523C31">
        <w:t>economic backgrounds</w:t>
      </w:r>
      <w:r w:rsidR="0043641A">
        <w:t xml:space="preserve"> or</w:t>
      </w:r>
      <w:r w:rsidR="00813F9F">
        <w:t xml:space="preserve"> under</w:t>
      </w:r>
      <w:r w:rsidR="00523C31">
        <w:t xml:space="preserve">achievers. </w:t>
      </w:r>
      <w:r w:rsidR="003C60AC">
        <w:t>There was some interest in examining whether these aspirations change over</w:t>
      </w:r>
      <w:r w:rsidR="00175E0B">
        <w:t xml:space="preserve"> time, and whether this has an e</w:t>
      </w:r>
      <w:r w:rsidR="003C60AC">
        <w:t>f</w:t>
      </w:r>
      <w:r w:rsidR="00175E0B">
        <w:t>fect on young people’s decision-</w:t>
      </w:r>
      <w:r w:rsidR="003C60AC">
        <w:t xml:space="preserve">making about participation in further education and training. </w:t>
      </w:r>
      <w:r w:rsidR="00D55CF2">
        <w:t xml:space="preserve">However, </w:t>
      </w:r>
      <w:r w:rsidR="0043641A">
        <w:t>t</w:t>
      </w:r>
      <w:r w:rsidR="003C60AC">
        <w:t xml:space="preserve">he LSAY data </w:t>
      </w:r>
      <w:r w:rsidR="00813F9F">
        <w:t>are</w:t>
      </w:r>
      <w:r w:rsidR="003C60AC">
        <w:t xml:space="preserve"> limited </w:t>
      </w:r>
      <w:r w:rsidR="0043641A">
        <w:t>in</w:t>
      </w:r>
      <w:r w:rsidR="003C60AC">
        <w:t xml:space="preserve"> how far we can measure</w:t>
      </w:r>
      <w:r w:rsidR="00813F9F">
        <w:t xml:space="preserve"> aspirations;</w:t>
      </w:r>
      <w:r w:rsidR="003C60AC">
        <w:t xml:space="preserve"> </w:t>
      </w:r>
      <w:r w:rsidR="00813F9F">
        <w:t xml:space="preserve">we could not, </w:t>
      </w:r>
      <w:r w:rsidR="003C60AC">
        <w:t>therefore</w:t>
      </w:r>
      <w:r w:rsidR="00813F9F">
        <w:t>,</w:t>
      </w:r>
      <w:r w:rsidR="003C60AC">
        <w:t xml:space="preserve"> determine whether aspirations from early childhood are maintained into adolescence. </w:t>
      </w:r>
    </w:p>
    <w:p w:rsidR="003F44EC" w:rsidRDefault="00B6259B" w:rsidP="00B868DD">
      <w:pPr>
        <w:pStyle w:val="Text"/>
      </w:pPr>
      <w:r>
        <w:t xml:space="preserve">Other </w:t>
      </w:r>
      <w:r w:rsidR="00B34F57">
        <w:t xml:space="preserve">suggestions </w:t>
      </w:r>
      <w:r>
        <w:t>fo</w:t>
      </w:r>
      <w:r w:rsidR="00813F9F">
        <w:t>r research in this area include</w:t>
      </w:r>
      <w:r w:rsidR="00B34F57">
        <w:t xml:space="preserve"> examining the contribution </w:t>
      </w:r>
      <w:r w:rsidR="005D410A">
        <w:t>of</w:t>
      </w:r>
      <w:r w:rsidR="00B34F57">
        <w:t xml:space="preserve"> aspirations </w:t>
      </w:r>
      <w:r w:rsidR="00C76AE4">
        <w:t>to</w:t>
      </w:r>
      <w:r w:rsidR="00B34F57">
        <w:t xml:space="preserve"> young people’s transitions into further education and </w:t>
      </w:r>
      <w:r w:rsidR="005D410A">
        <w:t xml:space="preserve">training, </w:t>
      </w:r>
      <w:r w:rsidR="00B35BD1">
        <w:t xml:space="preserve">particularly for disadvantaged youth, </w:t>
      </w:r>
      <w:r w:rsidR="00175E0B">
        <w:t>and the effect</w:t>
      </w:r>
      <w:r w:rsidR="00CE6FF2">
        <w:t xml:space="preserve"> </w:t>
      </w:r>
      <w:r w:rsidR="00813F9F">
        <w:t>that</w:t>
      </w:r>
      <w:r w:rsidR="005D410A">
        <w:t xml:space="preserve"> </w:t>
      </w:r>
      <w:r w:rsidR="00CE6FF2">
        <w:t xml:space="preserve">formal </w:t>
      </w:r>
      <w:r w:rsidR="005D410A">
        <w:t>pathway</w:t>
      </w:r>
      <w:r w:rsidR="00813F9F">
        <w:t xml:space="preserve"> planning, such as that required as part of some senior secondary certificates, has on their decision-</w:t>
      </w:r>
      <w:r w:rsidR="005D410A">
        <w:t xml:space="preserve">making </w:t>
      </w:r>
      <w:r w:rsidR="00CE6FF2">
        <w:t>(</w:t>
      </w:r>
      <w:r w:rsidR="00813F9F">
        <w:t>for example,</w:t>
      </w:r>
      <w:r w:rsidR="002F5D21">
        <w:t xml:space="preserve"> </w:t>
      </w:r>
      <w:r w:rsidR="00EE2D1A">
        <w:t xml:space="preserve">the registration of </w:t>
      </w:r>
      <w:r w:rsidR="002F5D21">
        <w:t xml:space="preserve">career goals and </w:t>
      </w:r>
      <w:r w:rsidR="00813F9F">
        <w:t xml:space="preserve">the </w:t>
      </w:r>
      <w:r w:rsidR="002F5D21">
        <w:t>further education and training needed to reach these goals</w:t>
      </w:r>
      <w:r w:rsidR="00EE2D1A">
        <w:t xml:space="preserve"> for the Tasmanian Certificate of Education</w:t>
      </w:r>
      <w:r w:rsidR="005D410A">
        <w:t xml:space="preserve">). </w:t>
      </w:r>
    </w:p>
    <w:p w:rsidR="00A96223" w:rsidRDefault="00A96223" w:rsidP="00882593">
      <w:pPr>
        <w:pStyle w:val="Heading2"/>
      </w:pPr>
      <w:bookmarkStart w:id="28" w:name="_Toc283364870"/>
      <w:r>
        <w:t xml:space="preserve">Disadvantaged </w:t>
      </w:r>
      <w:r w:rsidR="008B1C24">
        <w:t>groups of young people</w:t>
      </w:r>
      <w:bookmarkEnd w:id="28"/>
      <w:r w:rsidR="008B1C24">
        <w:t xml:space="preserve"> </w:t>
      </w:r>
    </w:p>
    <w:p w:rsidR="000B75D8" w:rsidRDefault="00E679A8" w:rsidP="00D55CF2">
      <w:pPr>
        <w:pStyle w:val="Text"/>
        <w:ind w:left="45"/>
      </w:pPr>
      <w:r>
        <w:t xml:space="preserve">Improving </w:t>
      </w:r>
      <w:r w:rsidR="00DA0F8D">
        <w:t xml:space="preserve">the </w:t>
      </w:r>
      <w:r>
        <w:t xml:space="preserve">education </w:t>
      </w:r>
      <w:r w:rsidR="00DA0F8D">
        <w:t xml:space="preserve">outcomes of </w:t>
      </w:r>
      <w:r>
        <w:t>young people from rural and remote re</w:t>
      </w:r>
      <w:r w:rsidR="00C76AE4">
        <w:t>gions and</w:t>
      </w:r>
      <w:r w:rsidR="00813F9F">
        <w:t xml:space="preserve"> Indigenous and low socio</w:t>
      </w:r>
      <w:r>
        <w:t xml:space="preserve">economic backgrounds remains high on the agenda for many stakeholders. In particular, </w:t>
      </w:r>
      <w:r w:rsidR="008B1C24">
        <w:t>there was interest in research examining how these circumstances affect schooling and subsequent work and post-school study decisions</w:t>
      </w:r>
      <w:r w:rsidR="00FA6FBA">
        <w:t>, especially in light of the Bradley targets for university participation</w:t>
      </w:r>
      <w:r w:rsidR="008B1C24">
        <w:t xml:space="preserve">. </w:t>
      </w:r>
    </w:p>
    <w:p w:rsidR="00D538EF" w:rsidRDefault="007154BA" w:rsidP="007154BA">
      <w:pPr>
        <w:pStyle w:val="Text"/>
        <w:ind w:left="45"/>
      </w:pPr>
      <w:r>
        <w:lastRenderedPageBreak/>
        <w:t xml:space="preserve">For those from low </w:t>
      </w:r>
      <w:r w:rsidR="00813F9F">
        <w:t>socio</w:t>
      </w:r>
      <w:r w:rsidR="00D44D15">
        <w:t>economic</w:t>
      </w:r>
      <w:r w:rsidR="00E86FBA">
        <w:t xml:space="preserve"> </w:t>
      </w:r>
      <w:r>
        <w:t xml:space="preserve">backgrounds, analysis exploring the family environment, </w:t>
      </w:r>
      <w:r w:rsidR="000E19DF">
        <w:t>for example</w:t>
      </w:r>
      <w:r w:rsidR="00813F9F">
        <w:t>,</w:t>
      </w:r>
      <w:r w:rsidR="000E19DF">
        <w:t xml:space="preserve"> the presence of intergenerational unemployment or parents</w:t>
      </w:r>
      <w:r w:rsidR="00813F9F">
        <w:t>’</w:t>
      </w:r>
      <w:r w:rsidR="000E19DF">
        <w:t xml:space="preserve"> educational </w:t>
      </w:r>
      <w:r w:rsidR="008915B8">
        <w:t>achievement</w:t>
      </w:r>
      <w:r w:rsidR="00813F9F">
        <w:t>,</w:t>
      </w:r>
      <w:r w:rsidR="000E19DF">
        <w:t xml:space="preserve"> c</w:t>
      </w:r>
      <w:r>
        <w:t xml:space="preserve">ould </w:t>
      </w:r>
      <w:r w:rsidR="00813F9F">
        <w:t>give some indication of</w:t>
      </w:r>
      <w:r>
        <w:t xml:space="preserve"> how these circumstances ha</w:t>
      </w:r>
      <w:r w:rsidR="000E19DF">
        <w:t>ve</w:t>
      </w:r>
      <w:r>
        <w:t xml:space="preserve"> affected schooling and subsequent work decisions. </w:t>
      </w:r>
      <w:r w:rsidR="009F4FCD">
        <w:t>Examining whether parental q</w:t>
      </w:r>
      <w:r w:rsidR="00CE6FF2">
        <w:t>ualifications influence student</w:t>
      </w:r>
      <w:r w:rsidR="009F4FCD">
        <w:t xml:space="preserve"> outcomes in tests such as NAPLAN</w:t>
      </w:r>
      <w:r w:rsidR="00F200F9">
        <w:rPr>
          <w:rStyle w:val="FootnoteReference"/>
        </w:rPr>
        <w:footnoteReference w:id="1"/>
      </w:r>
      <w:r w:rsidR="009F4FCD">
        <w:t xml:space="preserve"> is not possible using the LSAY data. However, the information collected from students about their parent</w:t>
      </w:r>
      <w:r w:rsidR="00CE6FF2">
        <w:t>s</w:t>
      </w:r>
      <w:r w:rsidR="00813F9F">
        <w:t>’</w:t>
      </w:r>
      <w:r w:rsidR="009F4FCD">
        <w:t xml:space="preserve"> qualification level</w:t>
      </w:r>
      <w:r w:rsidR="00813F9F">
        <w:t>s</w:t>
      </w:r>
      <w:r w:rsidR="009F4FCD">
        <w:t xml:space="preserve"> and occupation</w:t>
      </w:r>
      <w:r w:rsidR="00813F9F">
        <w:t>s</w:t>
      </w:r>
      <w:r w:rsidR="009F4FCD">
        <w:t xml:space="preserve"> could be used to de</w:t>
      </w:r>
      <w:r w:rsidR="00813F9F">
        <w:t>velop a better measure of socio</w:t>
      </w:r>
      <w:r w:rsidR="00F200F9">
        <w:t>economic status</w:t>
      </w:r>
      <w:r w:rsidR="009F4FCD">
        <w:t xml:space="preserve"> for subsequent LSAY research. </w:t>
      </w:r>
      <w:r w:rsidR="00942DAC">
        <w:t xml:space="preserve">Suggested research topics for young people </w:t>
      </w:r>
      <w:r w:rsidR="00D538EF">
        <w:t xml:space="preserve">from rural and remote regions </w:t>
      </w:r>
      <w:r w:rsidR="00942DAC">
        <w:t>include</w:t>
      </w:r>
      <w:r w:rsidR="00D538EF">
        <w:t xml:space="preserve"> exploring </w:t>
      </w:r>
      <w:r w:rsidR="00942DAC">
        <w:t>their subject choices and</w:t>
      </w:r>
      <w:r w:rsidR="00D538EF">
        <w:t xml:space="preserve"> study outcomes</w:t>
      </w:r>
      <w:r w:rsidR="00942DAC">
        <w:t>,</w:t>
      </w:r>
      <w:r w:rsidR="00D538EF">
        <w:t xml:space="preserve"> and the extent of relocation to participate in further study. </w:t>
      </w:r>
    </w:p>
    <w:p w:rsidR="00DD6F69" w:rsidRDefault="000E19DF" w:rsidP="007154BA">
      <w:pPr>
        <w:pStyle w:val="Text"/>
        <w:ind w:left="45"/>
      </w:pPr>
      <w:r>
        <w:t xml:space="preserve">While there was a demand among stakeholders for </w:t>
      </w:r>
      <w:r w:rsidR="00771EDB">
        <w:t xml:space="preserve"> </w:t>
      </w:r>
      <w:r w:rsidR="00D22F22">
        <w:t>better information about young people</w:t>
      </w:r>
      <w:r w:rsidR="00793CA3">
        <w:t xml:space="preserve"> with a disability, those from culturally and linguistically diverse backgrounds, including refugees, and the real impact of poverty</w:t>
      </w:r>
      <w:r w:rsidR="00434D24">
        <w:t>,</w:t>
      </w:r>
      <w:r w:rsidR="00992AA2">
        <w:t xml:space="preserve"> the sample sizes in the LSAY dataset constrain the extent of analysis possible. </w:t>
      </w:r>
      <w:r w:rsidR="00EA27F4">
        <w:t>Currently, the LSAY data over</w:t>
      </w:r>
      <w:r w:rsidR="00C76AE4">
        <w:t>sample</w:t>
      </w:r>
      <w:r w:rsidR="00793CA3">
        <w:t xml:space="preserve"> students from smaller states and those from an Indigenous background. </w:t>
      </w:r>
      <w:r w:rsidR="00992AA2">
        <w:t>There were suggestions offered to broaden the scope of the cohort to better sample disadvantaged groups of young people</w:t>
      </w:r>
      <w:r w:rsidR="00C76AE4">
        <w:t>,</w:t>
      </w:r>
      <w:r w:rsidR="00992AA2">
        <w:t xml:space="preserve"> but these lie outside the parameters of this consultation.</w:t>
      </w:r>
    </w:p>
    <w:p w:rsidR="00F878C4" w:rsidRDefault="00F878C4" w:rsidP="00F878C4">
      <w:pPr>
        <w:pStyle w:val="Heading2"/>
      </w:pPr>
      <w:bookmarkStart w:id="29" w:name="_Toc283364871"/>
      <w:r>
        <w:t>Supporting school-to-work transitions</w:t>
      </w:r>
      <w:bookmarkEnd w:id="29"/>
    </w:p>
    <w:p w:rsidR="00F878C4" w:rsidRDefault="00323066" w:rsidP="00F878C4">
      <w:pPr>
        <w:pStyle w:val="Text"/>
        <w:ind w:left="45"/>
      </w:pPr>
      <w:r>
        <w:t>Stakeholders wanted to see</w:t>
      </w:r>
      <w:r w:rsidR="00F878C4">
        <w:t xml:space="preserve"> research that takes advantage of the longitudinal nature of the LSAY instruments</w:t>
      </w:r>
      <w:r w:rsidR="00CE6FF2">
        <w:t>,</w:t>
      </w:r>
      <w:r w:rsidR="00F878C4">
        <w:t xml:space="preserve"> </w:t>
      </w:r>
      <w:r>
        <w:t>for example</w:t>
      </w:r>
      <w:r w:rsidR="00EA27F4">
        <w:t>,</w:t>
      </w:r>
      <w:r>
        <w:t xml:space="preserve"> </w:t>
      </w:r>
      <w:r w:rsidR="00C76AE4">
        <w:t>to explore</w:t>
      </w:r>
      <w:r w:rsidR="00F878C4">
        <w:t xml:space="preserve"> how young people negotiate their pathways from school, and </w:t>
      </w:r>
      <w:r w:rsidR="00EA27F4">
        <w:t xml:space="preserve">from this, </w:t>
      </w:r>
      <w:r w:rsidR="00C76AE4">
        <w:t xml:space="preserve">to </w:t>
      </w:r>
      <w:r w:rsidR="00F878C4">
        <w:t xml:space="preserve">identify the most effective approach to support, such as the role of career advice, community centres, and the influence of mentoring and other pathway programs, particularly for disadvantaged students who require the most support. </w:t>
      </w:r>
      <w:r w:rsidR="00EA27F4">
        <w:t xml:space="preserve">Since </w:t>
      </w:r>
      <w:r w:rsidR="00F878C4">
        <w:t xml:space="preserve">LSAY is not a tool </w:t>
      </w:r>
      <w:r w:rsidR="00EA27F4">
        <w:t>that enables the evaluation of</w:t>
      </w:r>
      <w:r w:rsidR="00F878C4">
        <w:t xml:space="preserve"> specific </w:t>
      </w:r>
      <w:r w:rsidR="00EA27F4">
        <w:t>jurisdictional programs</w:t>
      </w:r>
      <w:r w:rsidR="00F878C4">
        <w:t xml:space="preserve">, there is limited scope to explore some of these approaches </w:t>
      </w:r>
      <w:r w:rsidR="00CE6FF2">
        <w:t xml:space="preserve">in </w:t>
      </w:r>
      <w:r w:rsidR="00F878C4">
        <w:t xml:space="preserve">depth. </w:t>
      </w:r>
    </w:p>
    <w:p w:rsidR="0056369D" w:rsidRDefault="0056369D" w:rsidP="00826897">
      <w:pPr>
        <w:pStyle w:val="Heading1"/>
      </w:pPr>
      <w:r>
        <w:br w:type="page"/>
      </w:r>
      <w:r w:rsidR="00A56935">
        <w:lastRenderedPageBreak/>
        <w:br/>
      </w:r>
      <w:r>
        <w:br/>
      </w:r>
      <w:r w:rsidR="00DC00B7">
        <w:t xml:space="preserve"> </w:t>
      </w:r>
      <w:bookmarkStart w:id="30" w:name="_Toc283364872"/>
      <w:r w:rsidR="00DC00B7">
        <w:t xml:space="preserve">Transitions into </w:t>
      </w:r>
      <w:r w:rsidR="00BE3323">
        <w:t>the l</w:t>
      </w:r>
      <w:r>
        <w:t>abour market</w:t>
      </w:r>
      <w:bookmarkEnd w:id="30"/>
    </w:p>
    <w:p w:rsidR="00771EDB" w:rsidRDefault="00771EDB" w:rsidP="00B31DFE">
      <w:pPr>
        <w:pStyle w:val="Text"/>
        <w:spacing w:before="440"/>
      </w:pPr>
      <w:r>
        <w:t xml:space="preserve">One of the key </w:t>
      </w:r>
      <w:r w:rsidR="007B3CF7">
        <w:t>strengths of</w:t>
      </w:r>
      <w:r>
        <w:t xml:space="preserve"> the </w:t>
      </w:r>
      <w:r w:rsidR="007B3CF7">
        <w:t xml:space="preserve">LSAY </w:t>
      </w:r>
      <w:r>
        <w:t>survey instruments</w:t>
      </w:r>
      <w:r w:rsidR="007B3CF7">
        <w:t xml:space="preserve"> is the</w:t>
      </w:r>
      <w:r w:rsidR="00EA27F4">
        <w:t>ir</w:t>
      </w:r>
      <w:r w:rsidR="007B3CF7">
        <w:t xml:space="preserve"> ability to</w:t>
      </w:r>
      <w:r>
        <w:t xml:space="preserve"> explore the </w:t>
      </w:r>
      <w:r w:rsidR="001F7ED1">
        <w:t xml:space="preserve">various </w:t>
      </w:r>
      <w:r>
        <w:t xml:space="preserve">pathways and transitions </w:t>
      </w:r>
      <w:r w:rsidR="00EA27F4">
        <w:t xml:space="preserve">that </w:t>
      </w:r>
      <w:r>
        <w:t>different groups of young people make</w:t>
      </w:r>
      <w:r w:rsidR="007B3CF7">
        <w:t xml:space="preserve"> into the workforce</w:t>
      </w:r>
      <w:r w:rsidR="00267006">
        <w:t>, whether these pathways</w:t>
      </w:r>
      <w:r>
        <w:t xml:space="preserve"> are successful, and the factors assisting a smoother transition from school into work. </w:t>
      </w:r>
      <w:r w:rsidR="00FC759E">
        <w:t xml:space="preserve">Much of the interest in this topic </w:t>
      </w:r>
      <w:proofErr w:type="gramStart"/>
      <w:r w:rsidR="005D3328">
        <w:t>raised</w:t>
      </w:r>
      <w:proofErr w:type="gramEnd"/>
      <w:r w:rsidR="005D3328">
        <w:t xml:space="preserve"> during the consultations </w:t>
      </w:r>
      <w:r w:rsidR="00FC759E">
        <w:t xml:space="preserve">focused on potential </w:t>
      </w:r>
      <w:r>
        <w:t xml:space="preserve">LSAY research </w:t>
      </w:r>
      <w:r w:rsidR="00EA27F4">
        <w:t xml:space="preserve">to </w:t>
      </w:r>
      <w:r w:rsidR="00FC759E">
        <w:t>explor</w:t>
      </w:r>
      <w:r w:rsidR="00EA27F4">
        <w:t>e</w:t>
      </w:r>
      <w:r>
        <w:t xml:space="preserve"> the outcomes of young people without formal qualifications</w:t>
      </w:r>
      <w:r w:rsidR="00FB47E6">
        <w:t>, including early school leavers</w:t>
      </w:r>
      <w:r>
        <w:t xml:space="preserve">, and those </w:t>
      </w:r>
      <w:r w:rsidR="001F7ED1">
        <w:t>who</w:t>
      </w:r>
      <w:r>
        <w:t xml:space="preserve"> have been in long-term unemployment or disengaged from study.</w:t>
      </w:r>
      <w:r w:rsidR="008E77F2">
        <w:t xml:space="preserve"> </w:t>
      </w:r>
      <w:r w:rsidR="00FC759E">
        <w:t xml:space="preserve">Identifying </w:t>
      </w:r>
      <w:r w:rsidR="008E77F2">
        <w:t xml:space="preserve">the factors that affect the attainment of skills and qualifications is a related area of concern. </w:t>
      </w:r>
    </w:p>
    <w:p w:rsidR="00BF2E89" w:rsidRDefault="00BF2E89" w:rsidP="00512BC1">
      <w:pPr>
        <w:pStyle w:val="Text"/>
      </w:pPr>
      <w:r>
        <w:t xml:space="preserve">These research ideas align with the second LSAY research priority: </w:t>
      </w:r>
    </w:p>
    <w:p w:rsidR="0056369D" w:rsidRDefault="0056369D" w:rsidP="00BF2E89">
      <w:pPr>
        <w:pStyle w:val="Dotpoint1"/>
      </w:pPr>
      <w:r w:rsidRPr="00F200F9">
        <w:rPr>
          <w:i/>
        </w:rPr>
        <w:t>Provide young people with the skills, qualifications and capabilities for the contemporary labour market:</w:t>
      </w:r>
      <w:r w:rsidRPr="0056369D">
        <w:t xml:space="preserve"> by investigating whether the skills from, and pathways through, education and training are well matched </w:t>
      </w:r>
      <w:r w:rsidR="005F70A5">
        <w:t>to</w:t>
      </w:r>
      <w:r w:rsidRPr="0056369D">
        <w:t xml:space="preserve"> labour market demands</w:t>
      </w:r>
      <w:r w:rsidR="005F70A5">
        <w:t>.</w:t>
      </w:r>
    </w:p>
    <w:p w:rsidR="00C75881" w:rsidRDefault="00BA3418" w:rsidP="00C75881">
      <w:pPr>
        <w:pStyle w:val="Heading2"/>
      </w:pPr>
      <w:bookmarkStart w:id="31" w:name="_Toc283364873"/>
      <w:r>
        <w:t>Pathways of e</w:t>
      </w:r>
      <w:r w:rsidR="007B3CF7">
        <w:t xml:space="preserve">arly school leavers </w:t>
      </w:r>
      <w:r w:rsidR="00A56935">
        <w:t>and</w:t>
      </w:r>
      <w:r>
        <w:t xml:space="preserve"> those</w:t>
      </w:r>
      <w:r w:rsidR="00C75881">
        <w:t xml:space="preserve"> with </w:t>
      </w:r>
      <w:r w:rsidR="00A56935">
        <w:br/>
      </w:r>
      <w:r w:rsidR="00C75881">
        <w:t>no formal qualifications</w:t>
      </w:r>
      <w:bookmarkEnd w:id="31"/>
      <w:r w:rsidR="00C75881">
        <w:t xml:space="preserve"> </w:t>
      </w:r>
    </w:p>
    <w:p w:rsidR="00D7554B" w:rsidRDefault="005D3328" w:rsidP="008E77F2">
      <w:pPr>
        <w:pStyle w:val="Text"/>
        <w:ind w:left="45"/>
      </w:pPr>
      <w:r>
        <w:t xml:space="preserve">The prospects of </w:t>
      </w:r>
      <w:r w:rsidR="008E77F2">
        <w:t xml:space="preserve">early school leavers in the labour market </w:t>
      </w:r>
      <w:r w:rsidR="00054DD9">
        <w:t>emerged as a</w:t>
      </w:r>
      <w:r w:rsidR="008E77F2">
        <w:t xml:space="preserve"> particular concern, especially if these young people do not </w:t>
      </w:r>
      <w:r w:rsidR="00054DD9">
        <w:t>pursue alternative</w:t>
      </w:r>
      <w:r w:rsidR="008E77F2">
        <w:t xml:space="preserve"> further education and training. These groups of young people are arguably the least </w:t>
      </w:r>
      <w:r w:rsidR="00C75881">
        <w:t>competitive in the labour market</w:t>
      </w:r>
      <w:r w:rsidR="00054DD9">
        <w:t xml:space="preserve">. </w:t>
      </w:r>
      <w:r w:rsidR="007B3CF7">
        <w:t>LSAY data could help explore how well they fare in the workforc</w:t>
      </w:r>
      <w:r w:rsidR="00465946">
        <w:t>e,</w:t>
      </w:r>
      <w:r w:rsidR="007B3CF7">
        <w:t xml:space="preserve"> </w:t>
      </w:r>
      <w:r w:rsidR="00465946">
        <w:t>a</w:t>
      </w:r>
      <w:r w:rsidR="007B3CF7">
        <w:t xml:space="preserve">nd whether they continue on to further education and training. </w:t>
      </w:r>
    </w:p>
    <w:p w:rsidR="00826F60" w:rsidRDefault="0041047A" w:rsidP="008E77F2">
      <w:pPr>
        <w:pStyle w:val="Text"/>
        <w:ind w:left="45"/>
      </w:pPr>
      <w:r>
        <w:t xml:space="preserve">More specifically, there was support for </w:t>
      </w:r>
      <w:r w:rsidR="00326EE5">
        <w:t xml:space="preserve">research </w:t>
      </w:r>
      <w:r>
        <w:t>looking at</w:t>
      </w:r>
      <w:r w:rsidR="0084548B">
        <w:t xml:space="preserve"> </w:t>
      </w:r>
      <w:r w:rsidR="00054DD9">
        <w:t>those</w:t>
      </w:r>
      <w:r w:rsidR="0084548B">
        <w:t xml:space="preserve"> early school leavers </w:t>
      </w:r>
      <w:r w:rsidR="00054DD9">
        <w:t xml:space="preserve">who </w:t>
      </w:r>
      <w:r w:rsidR="00F200F9">
        <w:br/>
      </w:r>
      <w:r w:rsidR="00697C3F">
        <w:t>re-engag</w:t>
      </w:r>
      <w:r w:rsidR="00054DD9">
        <w:t>e</w:t>
      </w:r>
      <w:r w:rsidR="0084548B">
        <w:t xml:space="preserve"> in education through a </w:t>
      </w:r>
      <w:r w:rsidR="005F70A5">
        <w:t>vocational education and training (</w:t>
      </w:r>
      <w:r w:rsidR="0084548B">
        <w:t>VET</w:t>
      </w:r>
      <w:r w:rsidR="005F70A5">
        <w:t>)</w:t>
      </w:r>
      <w:r w:rsidR="0084548B">
        <w:t xml:space="preserve"> </w:t>
      </w:r>
      <w:r w:rsidR="00326EE5">
        <w:t>pathway</w:t>
      </w:r>
      <w:r w:rsidR="00826F60">
        <w:t xml:space="preserve">. Research can explore </w:t>
      </w:r>
      <w:r w:rsidR="00815D38">
        <w:t xml:space="preserve">their education outcomes and </w:t>
      </w:r>
      <w:r w:rsidR="00326EE5">
        <w:t xml:space="preserve">whether </w:t>
      </w:r>
      <w:r w:rsidR="005F70A5">
        <w:t>completion of lower-</w:t>
      </w:r>
      <w:r w:rsidR="00826F60">
        <w:t>level VET qualifications assists transitions into further education and training</w:t>
      </w:r>
      <w:r w:rsidR="00815D38">
        <w:t>.</w:t>
      </w:r>
    </w:p>
    <w:p w:rsidR="00697C3F" w:rsidRDefault="00FC41DF" w:rsidP="008E77F2">
      <w:pPr>
        <w:pStyle w:val="Text"/>
        <w:ind w:left="45"/>
      </w:pPr>
      <w:r>
        <w:t xml:space="preserve">For many of these young people, </w:t>
      </w:r>
      <w:r w:rsidR="00C45D59">
        <w:t xml:space="preserve">the </w:t>
      </w:r>
      <w:r>
        <w:t xml:space="preserve">quality of employment may be an issue, </w:t>
      </w:r>
      <w:r w:rsidR="002A6300">
        <w:t xml:space="preserve">pointing to </w:t>
      </w:r>
      <w:r>
        <w:t>another potential research area</w:t>
      </w:r>
      <w:r w:rsidR="002A6300">
        <w:t>, namely</w:t>
      </w:r>
      <w:r w:rsidR="005F70A5">
        <w:t>,</w:t>
      </w:r>
      <w:r w:rsidR="002A6300">
        <w:t xml:space="preserve"> an examination of </w:t>
      </w:r>
      <w:r w:rsidR="005F70A5">
        <w:t>youth in low-</w:t>
      </w:r>
      <w:r>
        <w:t>skilled jobs</w:t>
      </w:r>
      <w:r w:rsidR="001C78E4">
        <w:t xml:space="preserve"> and the likely effects </w:t>
      </w:r>
      <w:r w:rsidR="002A6300">
        <w:t xml:space="preserve">of such job experience </w:t>
      </w:r>
      <w:r w:rsidR="001C78E4">
        <w:t>on their subsequent employability, as well as their social outcomes</w:t>
      </w:r>
      <w:r>
        <w:t>. Research c</w:t>
      </w:r>
      <w:r w:rsidR="005F70A5">
        <w:t>ould</w:t>
      </w:r>
      <w:r>
        <w:t xml:space="preserve"> explore how </w:t>
      </w:r>
      <w:r w:rsidR="004A519F">
        <w:t>young people take up these</w:t>
      </w:r>
      <w:r>
        <w:t xml:space="preserve"> types of occupations, w</w:t>
      </w:r>
      <w:r w:rsidR="005F70A5">
        <w:t>hether they remain in them long-</w:t>
      </w:r>
      <w:r>
        <w:t xml:space="preserve">term, and how they </w:t>
      </w:r>
      <w:r w:rsidR="00C45D59">
        <w:t>move</w:t>
      </w:r>
      <w:r>
        <w:t xml:space="preserve"> out of them. </w:t>
      </w:r>
      <w:r w:rsidR="001C78E4">
        <w:t xml:space="preserve">The LSAY data can be used to separate those who combine these low-skilled jobs with study before transitioning into better skilled occupations after completion </w:t>
      </w:r>
      <w:r w:rsidR="00C45D59">
        <w:t>of post-school qualifications from</w:t>
      </w:r>
      <w:r w:rsidR="001C78E4">
        <w:t xml:space="preserve"> those </w:t>
      </w:r>
      <w:r w:rsidR="002A6300">
        <w:t xml:space="preserve">working </w:t>
      </w:r>
      <w:r w:rsidR="001C78E4">
        <w:t xml:space="preserve">without any formal qualifications. </w:t>
      </w:r>
    </w:p>
    <w:p w:rsidR="00C75881" w:rsidRDefault="00C75881" w:rsidP="00C75881">
      <w:pPr>
        <w:pStyle w:val="Heading2"/>
      </w:pPr>
      <w:bookmarkStart w:id="32" w:name="_Toc283364874"/>
      <w:r>
        <w:lastRenderedPageBreak/>
        <w:t>Long-term unemployment and disengagement from study</w:t>
      </w:r>
      <w:bookmarkEnd w:id="32"/>
    </w:p>
    <w:p w:rsidR="005C6A2E" w:rsidRDefault="00F878C4" w:rsidP="00AE2BF2">
      <w:pPr>
        <w:pStyle w:val="Text"/>
        <w:ind w:left="45"/>
      </w:pPr>
      <w:r>
        <w:t xml:space="preserve">There was support for </w:t>
      </w:r>
      <w:r w:rsidR="00AE2BF2">
        <w:t xml:space="preserve">research </w:t>
      </w:r>
      <w:r>
        <w:t>that</w:t>
      </w:r>
      <w:r w:rsidR="00AE2BF2">
        <w:t xml:space="preserve"> expand</w:t>
      </w:r>
      <w:r>
        <w:t>s</w:t>
      </w:r>
      <w:r w:rsidR="00AE2BF2">
        <w:t xml:space="preserve"> on recent LSAY work distinguishing those who are </w:t>
      </w:r>
      <w:r w:rsidR="005F70A5">
        <w:t>suffering periods of</w:t>
      </w:r>
      <w:r w:rsidR="00AE2BF2">
        <w:t xml:space="preserve"> prolonged exclusion from employment, education or training from those who are taking time out from work or study to undertake other meaningful activities, such as travel, start</w:t>
      </w:r>
      <w:r w:rsidR="002A6300">
        <w:t>ing</w:t>
      </w:r>
      <w:r w:rsidR="00AE2BF2">
        <w:t xml:space="preserve"> a family or</w:t>
      </w:r>
      <w:r w:rsidR="009106D2">
        <w:t xml:space="preserve"> </w:t>
      </w:r>
      <w:r w:rsidR="00AE2BF2">
        <w:t>car</w:t>
      </w:r>
      <w:r w:rsidR="002A6300">
        <w:t>ing</w:t>
      </w:r>
      <w:r w:rsidR="00AE2BF2">
        <w:t xml:space="preserve"> for others. </w:t>
      </w:r>
    </w:p>
    <w:p w:rsidR="00CB15C1" w:rsidRDefault="00264FEE" w:rsidP="006F4D02">
      <w:pPr>
        <w:pStyle w:val="Text"/>
        <w:ind w:left="45"/>
      </w:pPr>
      <w:r>
        <w:t>Here, the longitudinal nature of LSAY would make it possible to</w:t>
      </w:r>
      <w:r w:rsidR="00F878C4">
        <w:t xml:space="preserve"> investigate</w:t>
      </w:r>
      <w:r w:rsidR="00154EB3">
        <w:t xml:space="preserve"> the </w:t>
      </w:r>
      <w:r w:rsidR="0073485A">
        <w:t xml:space="preserve">extent, nature and reasons for </w:t>
      </w:r>
      <w:r w:rsidR="006F541B">
        <w:t xml:space="preserve">experiencing periods of </w:t>
      </w:r>
      <w:r w:rsidR="00154EB3">
        <w:t>disengagement</w:t>
      </w:r>
      <w:r w:rsidR="0073485A">
        <w:t xml:space="preserve">, </w:t>
      </w:r>
      <w:r w:rsidR="00CB15C1">
        <w:t xml:space="preserve">and to explore whether there are scarring effects or </w:t>
      </w:r>
      <w:r w:rsidR="00C45D59">
        <w:t>whether</w:t>
      </w:r>
      <w:r w:rsidR="00CB15C1">
        <w:t xml:space="preserve"> the duration of disengagement has an impact on </w:t>
      </w:r>
      <w:r w:rsidR="007F5C9F">
        <w:t xml:space="preserve">the </w:t>
      </w:r>
      <w:r w:rsidR="00CB15C1">
        <w:t xml:space="preserve">longer-term outcomes of young people. </w:t>
      </w:r>
      <w:r w:rsidR="009F7265">
        <w:t xml:space="preserve">Such research would shed light on the question of whether a direct school-to-work transition provides better longer-term outcomes by age 25, compared </w:t>
      </w:r>
      <w:r w:rsidR="007F5C9F">
        <w:t>with</w:t>
      </w:r>
      <w:r w:rsidR="009F7265">
        <w:t xml:space="preserve"> indirect pathways or ‘interrupted’ transitions. </w:t>
      </w:r>
      <w:r w:rsidR="00E00B9A">
        <w:t>These studies may also shed light o</w:t>
      </w:r>
      <w:r w:rsidR="007F5C9F">
        <w:t>n</w:t>
      </w:r>
      <w:r w:rsidR="00E00B9A">
        <w:t xml:space="preserve"> the factors </w:t>
      </w:r>
      <w:r w:rsidR="007F5C9F">
        <w:t>with the potential to</w:t>
      </w:r>
      <w:r w:rsidR="00E00B9A">
        <w:t xml:space="preserve"> help young people avoid long-term unemployment and disengagement, and cou</w:t>
      </w:r>
      <w:r w:rsidR="007F5C9F">
        <w:t>ld explore LSAY data on the job-</w:t>
      </w:r>
      <w:r w:rsidR="00E00B9A">
        <w:t xml:space="preserve">searching activities of young people. However, this </w:t>
      </w:r>
      <w:r w:rsidR="004E2067">
        <w:t xml:space="preserve">group of young people are more likely to drop out of the survey, </w:t>
      </w:r>
      <w:r w:rsidR="00956C59">
        <w:t xml:space="preserve">and </w:t>
      </w:r>
      <w:r w:rsidR="004E2067">
        <w:t xml:space="preserve">hence the sample size would </w:t>
      </w:r>
      <w:r w:rsidR="00956C59">
        <w:t>limit</w:t>
      </w:r>
      <w:r w:rsidR="0039515C">
        <w:t xml:space="preserve"> the extent of </w:t>
      </w:r>
      <w:r w:rsidR="008760D2">
        <w:t xml:space="preserve">the </w:t>
      </w:r>
      <w:r w:rsidR="0039515C">
        <w:t>analysis</w:t>
      </w:r>
      <w:r w:rsidR="004E2067">
        <w:t xml:space="preserve">. </w:t>
      </w:r>
    </w:p>
    <w:p w:rsidR="008F5365" w:rsidRDefault="00DC6DF3" w:rsidP="00C75881">
      <w:pPr>
        <w:pStyle w:val="Heading2"/>
      </w:pPr>
      <w:bookmarkStart w:id="33" w:name="_Toc283364875"/>
      <w:r>
        <w:t>Attainment of skills and qualifications</w:t>
      </w:r>
      <w:bookmarkEnd w:id="33"/>
      <w:r>
        <w:t xml:space="preserve"> </w:t>
      </w:r>
    </w:p>
    <w:p w:rsidR="008D566F" w:rsidRDefault="007F4188" w:rsidP="00676530">
      <w:pPr>
        <w:pStyle w:val="Text"/>
      </w:pPr>
      <w:r w:rsidRPr="0056369D">
        <w:t>Provid</w:t>
      </w:r>
      <w:r>
        <w:t>ing</w:t>
      </w:r>
      <w:r w:rsidRPr="0056369D">
        <w:t xml:space="preserve"> young people with the skills, qualifications and capabilities for the contemporary labour market</w:t>
      </w:r>
      <w:r>
        <w:t xml:space="preserve"> remains a core issue</w:t>
      </w:r>
      <w:r w:rsidR="002D497A">
        <w:t>.</w:t>
      </w:r>
      <w:r>
        <w:t xml:space="preserve"> </w:t>
      </w:r>
      <w:r w:rsidR="002D497A">
        <w:t xml:space="preserve">There was support for </w:t>
      </w:r>
      <w:r>
        <w:t xml:space="preserve">LSAY research </w:t>
      </w:r>
      <w:r w:rsidR="002D497A">
        <w:t>that helps our understanding of the factors that improve educational attainment</w:t>
      </w:r>
      <w:r w:rsidR="00676530">
        <w:t>,</w:t>
      </w:r>
      <w:r w:rsidR="002D497A">
        <w:t xml:space="preserve"> </w:t>
      </w:r>
      <w:r w:rsidR="00676530">
        <w:t>particularly for disadvantaged youth who have lower educational attainment levels</w:t>
      </w:r>
      <w:r w:rsidR="0041047A">
        <w:t>.</w:t>
      </w:r>
      <w:r w:rsidR="00676530">
        <w:t xml:space="preserve"> </w:t>
      </w:r>
      <w:r w:rsidR="007F5C9F">
        <w:t>Furthermore</w:t>
      </w:r>
      <w:r w:rsidR="0041047A">
        <w:t xml:space="preserve">, LSAY data can explore the </w:t>
      </w:r>
      <w:r w:rsidR="008D566F">
        <w:t>barriers preventing learners from pursuing certain career pathways</w:t>
      </w:r>
      <w:r w:rsidR="00DD6F69">
        <w:t xml:space="preserve"> </w:t>
      </w:r>
      <w:r w:rsidR="007F5C9F">
        <w:t>or progressing from lower-</w:t>
      </w:r>
      <w:r w:rsidR="008D566F">
        <w:t xml:space="preserve">level qualifications to </w:t>
      </w:r>
      <w:r w:rsidR="00DD6F69">
        <w:t>higher VET or university study</w:t>
      </w:r>
      <w:r w:rsidR="008D566F">
        <w:t xml:space="preserve">. This research could </w:t>
      </w:r>
      <w:r w:rsidR="0018657E">
        <w:t>usefully explore particular sub-groups, for example</w:t>
      </w:r>
      <w:r w:rsidR="007F5C9F">
        <w:t>,</w:t>
      </w:r>
      <w:r w:rsidR="0018657E">
        <w:t xml:space="preserve"> </w:t>
      </w:r>
      <w:r w:rsidR="008D566F">
        <w:t xml:space="preserve">young people from </w:t>
      </w:r>
      <w:r w:rsidR="00676530">
        <w:t xml:space="preserve">rural </w:t>
      </w:r>
      <w:r w:rsidR="00740F64">
        <w:t xml:space="preserve">and regional </w:t>
      </w:r>
      <w:r w:rsidR="00676530">
        <w:t>communities</w:t>
      </w:r>
      <w:r w:rsidR="008D566F">
        <w:t xml:space="preserve">, and </w:t>
      </w:r>
      <w:r w:rsidR="0018657E">
        <w:t>investigate the</w:t>
      </w:r>
      <w:r w:rsidR="00DD6F69">
        <w:t xml:space="preserve"> </w:t>
      </w:r>
      <w:r w:rsidR="008D566F">
        <w:t xml:space="preserve">differences between </w:t>
      </w:r>
      <w:r w:rsidR="0018657E">
        <w:t>males and females</w:t>
      </w:r>
      <w:r w:rsidR="00676530">
        <w:t xml:space="preserve">. </w:t>
      </w:r>
    </w:p>
    <w:p w:rsidR="00826F60" w:rsidRDefault="0041047A" w:rsidP="008D566F">
      <w:pPr>
        <w:pStyle w:val="Text"/>
      </w:pPr>
      <w:r>
        <w:t xml:space="preserve">Another suggested area for investigation </w:t>
      </w:r>
      <w:r w:rsidR="0018657E">
        <w:t>wa</w:t>
      </w:r>
      <w:r>
        <w:t xml:space="preserve">s </w:t>
      </w:r>
      <w:r w:rsidR="008D566F">
        <w:t xml:space="preserve">determining whether </w:t>
      </w:r>
      <w:r w:rsidR="007F5C9F">
        <w:t xml:space="preserve">the </w:t>
      </w:r>
      <w:r w:rsidR="008D566F">
        <w:t xml:space="preserve">qualifications young people obtain match </w:t>
      </w:r>
      <w:r w:rsidR="007F5C9F">
        <w:t>their</w:t>
      </w:r>
      <w:r w:rsidR="00DD6F69">
        <w:t xml:space="preserve"> subsequent occupations. Again</w:t>
      </w:r>
      <w:r w:rsidR="00054FA4">
        <w:t xml:space="preserve">, </w:t>
      </w:r>
      <w:r w:rsidR="00DD6F69">
        <w:t>the issue could be explored for those in rural communities, where the labour market demands vary and are quite specific</w:t>
      </w:r>
      <w:r w:rsidR="008D566F">
        <w:t xml:space="preserve">. </w:t>
      </w:r>
    </w:p>
    <w:p w:rsidR="004710F0" w:rsidRDefault="0018657E" w:rsidP="004710F0">
      <w:pPr>
        <w:pStyle w:val="Text"/>
      </w:pPr>
      <w:r>
        <w:t>R</w:t>
      </w:r>
      <w:r w:rsidR="00826F60">
        <w:t xml:space="preserve">ecent LSAY research has shown that part-time work exceeding </w:t>
      </w:r>
      <w:r w:rsidR="007F5C9F">
        <w:t>ten</w:t>
      </w:r>
      <w:r w:rsidR="00826F60">
        <w:t xml:space="preserve"> hours per week while studying</w:t>
      </w:r>
      <w:r>
        <w:t xml:space="preserve"> at school</w:t>
      </w:r>
      <w:r w:rsidR="00826F60">
        <w:t xml:space="preserve"> can have a negative impact on student outcomes</w:t>
      </w:r>
      <w:r w:rsidR="00C14909">
        <w:t>.</w:t>
      </w:r>
      <w:r w:rsidR="00826F60">
        <w:t xml:space="preserve"> </w:t>
      </w:r>
      <w:r w:rsidR="00C14909">
        <w:t>T</w:t>
      </w:r>
      <w:r>
        <w:t xml:space="preserve">here is more work to do in this area </w:t>
      </w:r>
      <w:r w:rsidR="007F5C9F">
        <w:t xml:space="preserve">of </w:t>
      </w:r>
      <w:r w:rsidR="00EC2490">
        <w:t>looking at</w:t>
      </w:r>
      <w:r>
        <w:t xml:space="preserve"> the links between work and study. For example, it would be of interest to know more about the effectiveness of </w:t>
      </w:r>
      <w:r w:rsidR="00DD6F69">
        <w:t xml:space="preserve">work experience </w:t>
      </w:r>
      <w:r>
        <w:t xml:space="preserve">programs. </w:t>
      </w:r>
      <w:r w:rsidR="00815D38">
        <w:t xml:space="preserve">There was also some interest in looking at young </w:t>
      </w:r>
      <w:r w:rsidR="004F7C19">
        <w:t>entrepreneurs</w:t>
      </w:r>
      <w:r w:rsidR="00815D38">
        <w:t xml:space="preserve"> and the</w:t>
      </w:r>
      <w:r w:rsidR="004F7C19">
        <w:t xml:space="preserve"> characteristics they </w:t>
      </w:r>
      <w:r w:rsidR="007F5C9F">
        <w:t>possess</w:t>
      </w:r>
      <w:r w:rsidR="004710F0">
        <w:t xml:space="preserve">. </w:t>
      </w:r>
    </w:p>
    <w:p w:rsidR="00C51FB2" w:rsidRDefault="00C51FB2">
      <w:pPr>
        <w:spacing w:before="0"/>
        <w:rPr>
          <w:rFonts w:ascii="Garamond" w:hAnsi="Garamond"/>
          <w:sz w:val="22"/>
        </w:rPr>
      </w:pPr>
      <w:r>
        <w:br w:type="page"/>
      </w:r>
    </w:p>
    <w:p w:rsidR="0056369D" w:rsidRDefault="00A56935" w:rsidP="00E346CF">
      <w:pPr>
        <w:pStyle w:val="Heading1"/>
      </w:pPr>
      <w:bookmarkStart w:id="34" w:name="_Toc283364876"/>
      <w:r>
        <w:lastRenderedPageBreak/>
        <w:br/>
      </w:r>
      <w:r w:rsidR="00651A8A">
        <w:t>The role of w</w:t>
      </w:r>
      <w:r w:rsidR="007F5C9F">
        <w:t>ell</w:t>
      </w:r>
      <w:r w:rsidR="00E346CF">
        <w:t>being</w:t>
      </w:r>
      <w:r w:rsidR="0056369D">
        <w:t xml:space="preserve"> </w:t>
      </w:r>
      <w:r>
        <w:t>and</w:t>
      </w:r>
      <w:r w:rsidR="00141D6D">
        <w:t xml:space="preserve"> social</w:t>
      </w:r>
      <w:r w:rsidR="00651A8A">
        <w:t xml:space="preserve"> outcomes on transitions</w:t>
      </w:r>
      <w:bookmarkEnd w:id="34"/>
    </w:p>
    <w:p w:rsidR="00F200F9" w:rsidRDefault="000D2E99" w:rsidP="00A56935">
      <w:pPr>
        <w:pStyle w:val="Text"/>
        <w:spacing w:before="440"/>
      </w:pPr>
      <w:r>
        <w:t xml:space="preserve">The consultations elicited significant interest in topics that fall under the third LSAY research priority: </w:t>
      </w:r>
    </w:p>
    <w:p w:rsidR="000D2E99" w:rsidRDefault="00F200F9" w:rsidP="00F200F9">
      <w:pPr>
        <w:pStyle w:val="Dotpoint1"/>
      </w:pPr>
      <w:r>
        <w:rPr>
          <w:i/>
        </w:rPr>
        <w:t>E</w:t>
      </w:r>
      <w:r w:rsidR="000D2E99" w:rsidRPr="00F200F9">
        <w:rPr>
          <w:i/>
        </w:rPr>
        <w:t>nsure that young people lead full and meaningful lives</w:t>
      </w:r>
      <w:r>
        <w:rPr>
          <w:i/>
        </w:rPr>
        <w:t>:</w:t>
      </w:r>
      <w:r w:rsidR="000D2E99" w:rsidRPr="00136BAD">
        <w:t xml:space="preserve"> by gaining</w:t>
      </w:r>
      <w:r w:rsidR="007F5C9F">
        <w:t xml:space="preserve"> a better insight into the</w:t>
      </w:r>
      <w:r w:rsidR="005D77DA">
        <w:t>ir</w:t>
      </w:r>
      <w:r w:rsidR="007F5C9F">
        <w:t xml:space="preserve"> well</w:t>
      </w:r>
      <w:r w:rsidR="000D2E99" w:rsidRPr="00136BAD">
        <w:t>being and social activities.</w:t>
      </w:r>
      <w:r w:rsidR="000D2E99">
        <w:t xml:space="preserve"> </w:t>
      </w:r>
    </w:p>
    <w:p w:rsidR="00136BAD" w:rsidRDefault="00A74D96" w:rsidP="00A56935">
      <w:pPr>
        <w:pStyle w:val="Text"/>
      </w:pPr>
      <w:r>
        <w:t xml:space="preserve">It was </w:t>
      </w:r>
      <w:r w:rsidR="005D77DA">
        <w:t>considered</w:t>
      </w:r>
      <w:r>
        <w:t xml:space="preserve"> useful to gain a better</w:t>
      </w:r>
      <w:r w:rsidR="00074EB0">
        <w:t xml:space="preserve"> u</w:t>
      </w:r>
      <w:r w:rsidR="006E02A7">
        <w:t xml:space="preserve">nderstanding </w:t>
      </w:r>
      <w:r w:rsidR="00A72094">
        <w:t>of</w:t>
      </w:r>
      <w:r w:rsidR="00074EB0">
        <w:t xml:space="preserve"> </w:t>
      </w:r>
      <w:r w:rsidR="006E02A7">
        <w:t xml:space="preserve">how </w:t>
      </w:r>
      <w:r>
        <w:t xml:space="preserve">wellbeing affects </w:t>
      </w:r>
      <w:r w:rsidR="006E02A7">
        <w:t xml:space="preserve">education and employment outcomes. </w:t>
      </w:r>
      <w:r w:rsidR="003B3FAC">
        <w:t xml:space="preserve">In particular, stakeholders were interested in young people’s </w:t>
      </w:r>
      <w:r w:rsidR="00074EB0">
        <w:t>relationships</w:t>
      </w:r>
      <w:r w:rsidR="003B3FAC">
        <w:t xml:space="preserve"> with others</w:t>
      </w:r>
      <w:r w:rsidR="00074EB0">
        <w:t xml:space="preserve">, </w:t>
      </w:r>
      <w:r w:rsidR="0036201D">
        <w:t xml:space="preserve">the role of social activities outside the school environment and </w:t>
      </w:r>
      <w:r w:rsidR="003B3FAC">
        <w:t xml:space="preserve">the contribution of </w:t>
      </w:r>
      <w:r w:rsidR="00074EB0">
        <w:t xml:space="preserve">social capital </w:t>
      </w:r>
      <w:r w:rsidR="003B3FAC">
        <w:t>to education and employment outcomes.</w:t>
      </w:r>
      <w:r w:rsidR="00074EB0">
        <w:t xml:space="preserve"> </w:t>
      </w:r>
      <w:r w:rsidR="000D2E99">
        <w:t xml:space="preserve">  </w:t>
      </w:r>
    </w:p>
    <w:p w:rsidR="0089253A" w:rsidRDefault="006E02A7" w:rsidP="00634872">
      <w:pPr>
        <w:pStyle w:val="Heading2"/>
      </w:pPr>
      <w:bookmarkStart w:id="35" w:name="_Toc283364877"/>
      <w:r>
        <w:t>The w</w:t>
      </w:r>
      <w:r w:rsidR="005D77DA">
        <w:t>ell</w:t>
      </w:r>
      <w:r w:rsidR="0089253A">
        <w:t>being</w:t>
      </w:r>
      <w:r>
        <w:t xml:space="preserve"> of young people</w:t>
      </w:r>
      <w:bookmarkEnd w:id="35"/>
    </w:p>
    <w:p w:rsidR="00B32A10" w:rsidRDefault="00D5354E" w:rsidP="00C73481">
      <w:pPr>
        <w:pStyle w:val="Text"/>
        <w:ind w:left="45"/>
        <w:rPr>
          <w:szCs w:val="22"/>
        </w:rPr>
      </w:pPr>
      <w:r>
        <w:rPr>
          <w:szCs w:val="22"/>
        </w:rPr>
        <w:t>Investigating the relations</w:t>
      </w:r>
      <w:r w:rsidR="005D77DA">
        <w:rPr>
          <w:szCs w:val="22"/>
        </w:rPr>
        <w:t>hip between young people’s well</w:t>
      </w:r>
      <w:r>
        <w:rPr>
          <w:szCs w:val="22"/>
        </w:rPr>
        <w:t>being and their education and employment outcomes re</w:t>
      </w:r>
      <w:r w:rsidR="005D77DA">
        <w:rPr>
          <w:szCs w:val="22"/>
        </w:rPr>
        <w:t>quires a broad measure of wellbeing</w:t>
      </w:r>
      <w:r>
        <w:rPr>
          <w:szCs w:val="22"/>
        </w:rPr>
        <w:t xml:space="preserve"> that includes physical health, emotional and psychological health, and mortality rates. </w:t>
      </w:r>
      <w:r w:rsidR="0036201D">
        <w:rPr>
          <w:szCs w:val="22"/>
        </w:rPr>
        <w:t xml:space="preserve">Because of the focus of the LSAY program on youth transitions, there is limited scope to explore research questions in this area. </w:t>
      </w:r>
      <w:r w:rsidR="008B6BCB">
        <w:rPr>
          <w:szCs w:val="22"/>
        </w:rPr>
        <w:t xml:space="preserve">Satisfaction ratings with individual aspects of life are the </w:t>
      </w:r>
      <w:r w:rsidR="005D77DA">
        <w:rPr>
          <w:szCs w:val="22"/>
        </w:rPr>
        <w:t>only consistent measure of well</w:t>
      </w:r>
      <w:r w:rsidR="008B6BCB">
        <w:rPr>
          <w:szCs w:val="22"/>
        </w:rPr>
        <w:t>being that can be analysed from LSAY.</w:t>
      </w:r>
      <w:r w:rsidR="0036201D">
        <w:rPr>
          <w:szCs w:val="22"/>
        </w:rPr>
        <w:t xml:space="preserve"> </w:t>
      </w:r>
      <w:r w:rsidR="00B32A10">
        <w:rPr>
          <w:szCs w:val="22"/>
        </w:rPr>
        <w:t>This posed the possibility of deve</w:t>
      </w:r>
      <w:r w:rsidR="005D77DA">
        <w:rPr>
          <w:szCs w:val="22"/>
        </w:rPr>
        <w:t>loping a better measure of well</w:t>
      </w:r>
      <w:r w:rsidR="00B32A10">
        <w:rPr>
          <w:szCs w:val="22"/>
        </w:rPr>
        <w:t>being in LSAY, wh</w:t>
      </w:r>
      <w:r w:rsidR="002644EB">
        <w:rPr>
          <w:szCs w:val="22"/>
        </w:rPr>
        <w:t xml:space="preserve">ich is discussed in </w:t>
      </w:r>
      <w:r w:rsidR="005D77DA">
        <w:rPr>
          <w:szCs w:val="22"/>
        </w:rPr>
        <w:t>the next section</w:t>
      </w:r>
      <w:r w:rsidR="00B32A10">
        <w:rPr>
          <w:szCs w:val="22"/>
        </w:rPr>
        <w:t xml:space="preserve">. </w:t>
      </w:r>
    </w:p>
    <w:p w:rsidR="00ED1585" w:rsidRDefault="00ED1585" w:rsidP="00A74D96">
      <w:pPr>
        <w:pStyle w:val="Text"/>
        <w:ind w:left="45"/>
        <w:rPr>
          <w:szCs w:val="22"/>
        </w:rPr>
      </w:pPr>
      <w:r>
        <w:rPr>
          <w:szCs w:val="22"/>
        </w:rPr>
        <w:t xml:space="preserve">Some interest was expressed in exploring the impact of financial stress and debt on young people’s </w:t>
      </w:r>
      <w:r w:rsidR="00B32A10">
        <w:rPr>
          <w:szCs w:val="22"/>
        </w:rPr>
        <w:t>decision</w:t>
      </w:r>
      <w:r w:rsidR="00A72094">
        <w:rPr>
          <w:szCs w:val="22"/>
        </w:rPr>
        <w:t>s</w:t>
      </w:r>
      <w:r w:rsidR="00B32A10">
        <w:rPr>
          <w:szCs w:val="22"/>
        </w:rPr>
        <w:t xml:space="preserve"> to participate in further education and training. </w:t>
      </w:r>
      <w:r w:rsidR="00324E54">
        <w:rPr>
          <w:szCs w:val="22"/>
        </w:rPr>
        <w:t xml:space="preserve">And although the survey collects some information on how young people manage financially, initial analysis on these questions would be needed to see how they can be used as a proxy for financial stress. </w:t>
      </w:r>
    </w:p>
    <w:p w:rsidR="00E346CF" w:rsidRDefault="0036201D" w:rsidP="00175887">
      <w:pPr>
        <w:pStyle w:val="Heading2"/>
      </w:pPr>
      <w:bookmarkStart w:id="36" w:name="_Toc283364878"/>
      <w:r>
        <w:t xml:space="preserve">Social capital </w:t>
      </w:r>
      <w:r w:rsidR="00A56935">
        <w:t>and</w:t>
      </w:r>
      <w:r>
        <w:t xml:space="preserve"> the i</w:t>
      </w:r>
      <w:r w:rsidR="00061922">
        <w:t>mpact of relat</w:t>
      </w:r>
      <w:r w:rsidR="00E346CF">
        <w:t>ionships</w:t>
      </w:r>
      <w:bookmarkEnd w:id="36"/>
    </w:p>
    <w:p w:rsidR="0036201D" w:rsidRDefault="00A74D96" w:rsidP="0036201D">
      <w:pPr>
        <w:pStyle w:val="Text"/>
        <w:ind w:left="45"/>
      </w:pPr>
      <w:r>
        <w:t>S</w:t>
      </w:r>
      <w:r w:rsidR="00AC36F3">
        <w:t>uggested research topics in th</w:t>
      </w:r>
      <w:r>
        <w:t>e</w:t>
      </w:r>
      <w:r w:rsidR="00AC36F3">
        <w:t xml:space="preserve"> area </w:t>
      </w:r>
      <w:r>
        <w:t xml:space="preserve">of social capital </w:t>
      </w:r>
      <w:r w:rsidR="00125538">
        <w:t>focus</w:t>
      </w:r>
      <w:r w:rsidR="00AC36F3">
        <w:t>ed on</w:t>
      </w:r>
      <w:r w:rsidR="00125538">
        <w:t xml:space="preserve"> </w:t>
      </w:r>
      <w:r w:rsidR="00AC36F3">
        <w:t xml:space="preserve">the role </w:t>
      </w:r>
      <w:r w:rsidR="00A72094">
        <w:t xml:space="preserve">that </w:t>
      </w:r>
      <w:r w:rsidR="00AC36F3">
        <w:t xml:space="preserve">significant relationships </w:t>
      </w:r>
      <w:r w:rsidR="005D77DA">
        <w:t>play i</w:t>
      </w:r>
      <w:r w:rsidR="00AC36F3">
        <w:t xml:space="preserve">n </w:t>
      </w:r>
      <w:r w:rsidR="00125538">
        <w:t>young people</w:t>
      </w:r>
      <w:r>
        <w:t>’s</w:t>
      </w:r>
      <w:r w:rsidR="005D77DA">
        <w:t xml:space="preserve"> well</w:t>
      </w:r>
      <w:r w:rsidR="00AC36F3">
        <w:t xml:space="preserve">being, education and employment outcomes. This includes the impact of mentors, role models and other significant adults, as well as their peers and family unit. </w:t>
      </w:r>
    </w:p>
    <w:p w:rsidR="00AC36F3" w:rsidRDefault="00AC36F3" w:rsidP="0036201D">
      <w:pPr>
        <w:pStyle w:val="Text"/>
        <w:ind w:left="45"/>
      </w:pPr>
      <w:r>
        <w:t>Related to this is the role that community involvement plays in young people’s outcomes, such as volunteering. The impact of other social activities or ‘discretionary time’ outside the school environment is another issue that</w:t>
      </w:r>
      <w:r w:rsidR="005E74EB">
        <w:t xml:space="preserve"> stakeholders were interested in exploring</w:t>
      </w:r>
      <w:r>
        <w:t>, particularly</w:t>
      </w:r>
      <w:r w:rsidR="005D77DA">
        <w:t xml:space="preserve"> whether participation in extra</w:t>
      </w:r>
      <w:r>
        <w:t xml:space="preserve">curricular activities helps or hinders young people’s transitions. </w:t>
      </w:r>
    </w:p>
    <w:p w:rsidR="00B64C11" w:rsidRDefault="00B64C11" w:rsidP="004E2364">
      <w:pPr>
        <w:pStyle w:val="Text"/>
      </w:pPr>
    </w:p>
    <w:p w:rsidR="00061922" w:rsidRDefault="00061922" w:rsidP="004E2364">
      <w:pPr>
        <w:pStyle w:val="Text"/>
      </w:pPr>
    </w:p>
    <w:p w:rsidR="00061922" w:rsidRDefault="00A56935" w:rsidP="00061922">
      <w:pPr>
        <w:pStyle w:val="Heading1"/>
      </w:pPr>
      <w:bookmarkStart w:id="37" w:name="_Toc283364879"/>
      <w:r>
        <w:lastRenderedPageBreak/>
        <w:br/>
      </w:r>
      <w:r w:rsidR="00BE3323">
        <w:t>Technical reports</w:t>
      </w:r>
      <w:r w:rsidR="00B13C2F">
        <w:t xml:space="preserve"> </w:t>
      </w:r>
      <w:r>
        <w:t>and</w:t>
      </w:r>
      <w:r w:rsidR="00B13C2F">
        <w:t xml:space="preserve"> documentation</w:t>
      </w:r>
      <w:bookmarkEnd w:id="37"/>
    </w:p>
    <w:p w:rsidR="00980BBE" w:rsidRDefault="00B31DFE" w:rsidP="00A56935">
      <w:pPr>
        <w:pStyle w:val="Text"/>
        <w:spacing w:before="440"/>
      </w:pPr>
      <w:r>
        <w:t>During the course of the 2008–</w:t>
      </w:r>
      <w:r w:rsidR="00980BBE">
        <w:t>10 LSAY analytical progra</w:t>
      </w:r>
      <w:r w:rsidR="00B9691D">
        <w:t>m</w:t>
      </w:r>
      <w:r w:rsidR="00980BBE">
        <w:t xml:space="preserve"> NCVER </w:t>
      </w:r>
      <w:r w:rsidR="004135F3">
        <w:t xml:space="preserve">directed some of its effort to </w:t>
      </w:r>
      <w:r w:rsidR="00980BBE">
        <w:t>broaden</w:t>
      </w:r>
      <w:r w:rsidR="00612052">
        <w:t>ing</w:t>
      </w:r>
      <w:r w:rsidR="00980BBE">
        <w:t xml:space="preserve"> the use of the LSAY data in the research community</w:t>
      </w:r>
      <w:r w:rsidR="00B9691D">
        <w:t xml:space="preserve"> by making th</w:t>
      </w:r>
      <w:r w:rsidR="005D77DA">
        <w:t>ose</w:t>
      </w:r>
      <w:r w:rsidR="00B9691D">
        <w:t xml:space="preserve"> data more accessible. These efforts include providing data workshops, producing detailed technical documentation and user guides, providing interactive data tables (cohort reports) on the website, as well as assisting in questionnaire development. </w:t>
      </w:r>
    </w:p>
    <w:p w:rsidR="0037119D" w:rsidRDefault="0037119D" w:rsidP="0037119D">
      <w:pPr>
        <w:pStyle w:val="Text"/>
      </w:pPr>
      <w:r>
        <w:t xml:space="preserve">Continued </w:t>
      </w:r>
      <w:r w:rsidR="00612052">
        <w:t>efforts to improve data quality and</w:t>
      </w:r>
      <w:r>
        <w:t xml:space="preserve"> accessibility were strongly supported during the consultation period. Th</w:t>
      </w:r>
      <w:r w:rsidR="006D39E1">
        <w:t>ese include</w:t>
      </w:r>
      <w:r w:rsidR="0093101C">
        <w:t xml:space="preserve"> </w:t>
      </w:r>
      <w:r w:rsidR="00C14909">
        <w:t xml:space="preserve">considering </w:t>
      </w:r>
      <w:r w:rsidR="0093101C">
        <w:t>the potential to develop</w:t>
      </w:r>
      <w:r>
        <w:t xml:space="preserve"> exploratory analysis and visualisation tools for LSAY, and using the data to </w:t>
      </w:r>
      <w:r w:rsidR="0093101C">
        <w:t xml:space="preserve">determine </w:t>
      </w:r>
      <w:r>
        <w:t>b</w:t>
      </w:r>
      <w:r w:rsidR="006D39E1">
        <w:t>etter measures of complex areas such as socio</w:t>
      </w:r>
      <w:r>
        <w:t xml:space="preserve">economic </w:t>
      </w:r>
      <w:r w:rsidR="006D39E1">
        <w:t>status, social capital and well</w:t>
      </w:r>
      <w:r>
        <w:t xml:space="preserve">being. </w:t>
      </w:r>
      <w:r w:rsidR="00612052">
        <w:t xml:space="preserve">Other areas for development of the survey were also discussed, such as </w:t>
      </w:r>
      <w:r w:rsidR="00397861">
        <w:t xml:space="preserve">dealing with </w:t>
      </w:r>
      <w:r w:rsidR="00612052">
        <w:t>attrition, extension of the survey to 30 years and improving questionnaire content and scope</w:t>
      </w:r>
      <w:r w:rsidR="006D39E1">
        <w:t>; however,</w:t>
      </w:r>
      <w:r w:rsidR="004135F3">
        <w:t xml:space="preserve"> these are not within the remit of the analytical program</w:t>
      </w:r>
      <w:r w:rsidR="00612052">
        <w:t xml:space="preserve">.  </w:t>
      </w:r>
    </w:p>
    <w:p w:rsidR="00061922" w:rsidRDefault="00061922" w:rsidP="00175887">
      <w:pPr>
        <w:pStyle w:val="Heading2"/>
      </w:pPr>
      <w:bookmarkStart w:id="38" w:name="_Toc283364880"/>
      <w:r>
        <w:t xml:space="preserve">Measurement </w:t>
      </w:r>
      <w:r w:rsidR="00A56935">
        <w:t>and</w:t>
      </w:r>
      <w:r w:rsidR="0093101C">
        <w:t xml:space="preserve"> scope</w:t>
      </w:r>
      <w:bookmarkEnd w:id="38"/>
    </w:p>
    <w:p w:rsidR="00C14909" w:rsidRDefault="00BB7B2B" w:rsidP="00BB7B2B">
      <w:pPr>
        <w:pStyle w:val="Text"/>
        <w:ind w:left="45"/>
      </w:pPr>
      <w:r>
        <w:t xml:space="preserve">Publishing technical reports as part of the research program can assist researchers </w:t>
      </w:r>
      <w:r w:rsidR="00A72094">
        <w:t xml:space="preserve">to </w:t>
      </w:r>
      <w:r>
        <w:t>make better use of the LSAY data</w:t>
      </w:r>
      <w:r w:rsidR="00BF07EE">
        <w:t>.</w:t>
      </w:r>
      <w:r w:rsidR="009629A0">
        <w:t xml:space="preserve"> </w:t>
      </w:r>
      <w:r w:rsidR="00C14909">
        <w:t xml:space="preserve">For example, explaining issues such as how </w:t>
      </w:r>
      <w:r w:rsidR="00B07150">
        <w:t xml:space="preserve">variables used in the cohort reports are derived and how to deal with missing data and imputations could help to broaden the group of LSAY users. </w:t>
      </w:r>
    </w:p>
    <w:p w:rsidR="00BB7B2B" w:rsidRDefault="00BF07EE" w:rsidP="00BB7B2B">
      <w:pPr>
        <w:pStyle w:val="Text"/>
        <w:ind w:left="45"/>
      </w:pPr>
      <w:r>
        <w:t>Investigation into methodological issues such as devising</w:t>
      </w:r>
      <w:r w:rsidR="00BB7B2B">
        <w:t xml:space="preserve"> better measures of </w:t>
      </w:r>
      <w:r w:rsidR="006D39E1">
        <w:t>socioeconomic status</w:t>
      </w:r>
      <w:r>
        <w:t>,</w:t>
      </w:r>
      <w:r w:rsidR="00BB7B2B">
        <w:t xml:space="preserve"> social capital</w:t>
      </w:r>
      <w:r>
        <w:t xml:space="preserve"> and wellbeing, areas of interest that emerged in the consultations, would also be feasible within the analytical program.</w:t>
      </w:r>
      <w:r w:rsidR="00BB7B2B">
        <w:t xml:space="preserve"> </w:t>
      </w:r>
    </w:p>
    <w:p w:rsidR="006B489A" w:rsidRDefault="006D39E1" w:rsidP="00BB7B2B">
      <w:pPr>
        <w:pStyle w:val="Text"/>
        <w:ind w:left="45"/>
      </w:pPr>
      <w:r>
        <w:t>D</w:t>
      </w:r>
      <w:r w:rsidR="00BB7B2B">
        <w:t>evelo</w:t>
      </w:r>
      <w:r>
        <w:t>ping a better measurement for well</w:t>
      </w:r>
      <w:r w:rsidR="00BB7B2B">
        <w:t>being</w:t>
      </w:r>
      <w:r w:rsidR="00BF07EE">
        <w:t xml:space="preserve"> would be the most challenging of these</w:t>
      </w:r>
      <w:r>
        <w:t>. As mentioned earlier, well</w:t>
      </w:r>
      <w:r w:rsidR="00BB7B2B">
        <w:t xml:space="preserve">being includes a broad range of </w:t>
      </w:r>
      <w:r w:rsidR="001E28E9">
        <w:t>components</w:t>
      </w:r>
      <w:r w:rsidR="00BB7B2B">
        <w:t xml:space="preserve">. </w:t>
      </w:r>
      <w:r>
        <w:t>Reviewing</w:t>
      </w:r>
      <w:r w:rsidR="004D0016">
        <w:t xml:space="preserve"> the life satisfaction questions and </w:t>
      </w:r>
      <w:r>
        <w:t xml:space="preserve">the </w:t>
      </w:r>
      <w:r w:rsidR="004D0016">
        <w:t xml:space="preserve">limited health identifiers in LSAY would need to be considered </w:t>
      </w:r>
      <w:r w:rsidR="00A72094">
        <w:t>to enable</w:t>
      </w:r>
      <w:r w:rsidR="004D0016">
        <w:t xml:space="preserve"> the survey to provide a more comprehensive exploration of</w:t>
      </w:r>
      <w:r>
        <w:t xml:space="preserve"> young people’s health and well</w:t>
      </w:r>
      <w:r w:rsidR="004D0016">
        <w:t>being. This w</w:t>
      </w:r>
      <w:r w:rsidR="00BF07EE">
        <w:t xml:space="preserve">ould require consideration of </w:t>
      </w:r>
      <w:r w:rsidR="006B489A">
        <w:t>privacy issues</w:t>
      </w:r>
      <w:r w:rsidR="006B489A" w:rsidRPr="006B489A">
        <w:t xml:space="preserve"> </w:t>
      </w:r>
      <w:r w:rsidR="006B489A">
        <w:t xml:space="preserve">and the likely impact on response rates </w:t>
      </w:r>
      <w:r w:rsidR="00BF07EE">
        <w:t>from inclusion of such</w:t>
      </w:r>
      <w:r w:rsidR="006B489A">
        <w:t xml:space="preserve"> questions. </w:t>
      </w:r>
    </w:p>
    <w:p w:rsidR="00EB3541" w:rsidRDefault="00F635C4" w:rsidP="00EB3541">
      <w:pPr>
        <w:pStyle w:val="Text"/>
        <w:ind w:left="45"/>
      </w:pPr>
      <w:r>
        <w:t xml:space="preserve">Other </w:t>
      </w:r>
      <w:r w:rsidR="00361879">
        <w:t xml:space="preserve">suggestions </w:t>
      </w:r>
      <w:r>
        <w:t>included</w:t>
      </w:r>
      <w:r w:rsidR="00361879">
        <w:t xml:space="preserve"> broaden</w:t>
      </w:r>
      <w:r>
        <w:t>ing</w:t>
      </w:r>
      <w:r w:rsidR="00361879">
        <w:t xml:space="preserve"> the scope of the survey to include questions capturing family formation</w:t>
      </w:r>
      <w:r w:rsidR="007B5AF6">
        <w:t xml:space="preserve"> and attitudes to relationships;</w:t>
      </w:r>
      <w:r w:rsidR="00EB3541">
        <w:t xml:space="preserve"> </w:t>
      </w:r>
      <w:r w:rsidR="005F4F29">
        <w:t xml:space="preserve">asking </w:t>
      </w:r>
      <w:r w:rsidR="007B5AF6">
        <w:t xml:space="preserve">young people </w:t>
      </w:r>
      <w:r w:rsidR="005F4F29">
        <w:t xml:space="preserve">in the last wave </w:t>
      </w:r>
      <w:r w:rsidR="007B5AF6">
        <w:t>to suggest what has been</w:t>
      </w:r>
      <w:r w:rsidR="005F4F29">
        <w:t xml:space="preserve"> the main influence </w:t>
      </w:r>
      <w:r w:rsidR="007B5AF6">
        <w:t>on them;</w:t>
      </w:r>
      <w:r w:rsidR="005F4F29">
        <w:t xml:space="preserve"> repeating the PISA tests or measu</w:t>
      </w:r>
      <w:r w:rsidR="007B5AF6">
        <w:t>rements of particular questions;</w:t>
      </w:r>
      <w:r w:rsidR="005F4F29">
        <w:t xml:space="preserve"> and expanding the ability to evaluate specific programs. </w:t>
      </w:r>
      <w:r w:rsidR="002C4AAE">
        <w:t xml:space="preserve">The addition of items and </w:t>
      </w:r>
      <w:r w:rsidR="00642E07">
        <w:t xml:space="preserve">additional </w:t>
      </w:r>
      <w:r w:rsidR="002C4AAE">
        <w:t>scales adds to the interview length</w:t>
      </w:r>
      <w:r w:rsidR="007B5AF6">
        <w:t>,</w:t>
      </w:r>
      <w:r w:rsidR="002C4AAE">
        <w:t xml:space="preserve"> which may affect attrition, but t</w:t>
      </w:r>
      <w:r>
        <w:t>rade-offs could be considered</w:t>
      </w:r>
      <w:r w:rsidR="006B489A">
        <w:t xml:space="preserve"> to increase</w:t>
      </w:r>
      <w:r w:rsidR="006B489A" w:rsidRPr="00E63CC6">
        <w:t xml:space="preserve"> questioning in a certain subject area at the expense of reduced questioning</w:t>
      </w:r>
      <w:r w:rsidR="002C4AAE">
        <w:t xml:space="preserve"> in others</w:t>
      </w:r>
      <w:r w:rsidR="001E28E9">
        <w:t>.</w:t>
      </w:r>
      <w:r w:rsidR="005F4F29">
        <w:t xml:space="preserve"> However, </w:t>
      </w:r>
      <w:r w:rsidR="002C4AAE">
        <w:t xml:space="preserve">the strength of the survey instruments to track young people’s transitions may be lost if there is a significant ‘break’ in the measurement of items. </w:t>
      </w:r>
      <w:r w:rsidR="007B5AF6">
        <w:t>In addition</w:t>
      </w:r>
      <w:r w:rsidR="002C4AAE">
        <w:t xml:space="preserve">, we must keep in mind that LSAY is primarily a youth transition survey and as such should not attempt to measure everything. </w:t>
      </w:r>
      <w:r w:rsidR="00642E07">
        <w:t>Technical papers investigating the feasibility of additional i</w:t>
      </w:r>
      <w:r w:rsidR="007B5AF6">
        <w:t>tems and scales, including well</w:t>
      </w:r>
      <w:r w:rsidR="00642E07">
        <w:t xml:space="preserve">being and health measures, </w:t>
      </w:r>
      <w:r w:rsidR="00560739">
        <w:t>would be</w:t>
      </w:r>
      <w:r w:rsidR="00642E07">
        <w:t xml:space="preserve"> </w:t>
      </w:r>
      <w:r w:rsidR="00465FA5">
        <w:t>a useful starting point.</w:t>
      </w:r>
    </w:p>
    <w:p w:rsidR="00061922" w:rsidRDefault="00061922" w:rsidP="00EB3541">
      <w:pPr>
        <w:pStyle w:val="Heading3"/>
      </w:pPr>
      <w:r>
        <w:lastRenderedPageBreak/>
        <w:t>Linking data sets</w:t>
      </w:r>
      <w:r w:rsidR="006107C7">
        <w:t xml:space="preserve"> </w:t>
      </w:r>
    </w:p>
    <w:p w:rsidR="00024583" w:rsidRDefault="00EB3541" w:rsidP="002C4AAE">
      <w:pPr>
        <w:pStyle w:val="Text"/>
        <w:ind w:left="45"/>
      </w:pPr>
      <w:r>
        <w:t xml:space="preserve">Exploring the possible linkage </w:t>
      </w:r>
      <w:r w:rsidR="007B5AF6">
        <w:t>between</w:t>
      </w:r>
      <w:r>
        <w:t xml:space="preserve"> other datasets </w:t>
      </w:r>
      <w:r w:rsidR="007B5AF6">
        <w:t>and</w:t>
      </w:r>
      <w:r>
        <w:t xml:space="preserve"> LSAY as a means to capture additional information is an alternative strategy to </w:t>
      </w:r>
      <w:r w:rsidR="007B5AF6">
        <w:t xml:space="preserve">that of </w:t>
      </w:r>
      <w:r>
        <w:t>adding more questions to the survey instruments. The use</w:t>
      </w:r>
      <w:r w:rsidR="00012DF6">
        <w:t>fulness</w:t>
      </w:r>
      <w:r>
        <w:t xml:space="preserve"> of a </w:t>
      </w:r>
      <w:r w:rsidR="00024583">
        <w:t>unique student identifier</w:t>
      </w:r>
      <w:r>
        <w:t xml:space="preserve"> was raised, </w:t>
      </w:r>
      <w:r w:rsidR="00347300">
        <w:t>which would provide better information</w:t>
      </w:r>
      <w:r w:rsidR="007B5AF6">
        <w:t xml:space="preserve"> about participation in VET in Schools</w:t>
      </w:r>
      <w:r w:rsidR="00347300">
        <w:t xml:space="preserve"> and </w:t>
      </w:r>
      <w:r w:rsidR="00347300" w:rsidRPr="00347300">
        <w:t xml:space="preserve">better documentation on variables such as student’s </w:t>
      </w:r>
      <w:r w:rsidR="00F635C4">
        <w:t>tertiary entrance rank</w:t>
      </w:r>
      <w:r w:rsidR="00347300" w:rsidRPr="00347300">
        <w:t xml:space="preserve"> by state</w:t>
      </w:r>
      <w:r w:rsidR="00347300">
        <w:t xml:space="preserve">. Similarly, technical reports could explore </w:t>
      </w:r>
      <w:r>
        <w:t>the potential to link with</w:t>
      </w:r>
      <w:r w:rsidR="00F65931">
        <w:t xml:space="preserve"> the Longitudinal Surveys of Australian Children</w:t>
      </w:r>
      <w:r>
        <w:t xml:space="preserve"> </w:t>
      </w:r>
      <w:r w:rsidR="00F65931">
        <w:t>(</w:t>
      </w:r>
      <w:r>
        <w:t>LSAC</w:t>
      </w:r>
      <w:r w:rsidR="00F65931">
        <w:t>)</w:t>
      </w:r>
      <w:r>
        <w:t xml:space="preserve"> to capture early childhood information. </w:t>
      </w:r>
    </w:p>
    <w:p w:rsidR="007D5E54" w:rsidRDefault="00EC2490" w:rsidP="005350A7">
      <w:pPr>
        <w:pStyle w:val="Heading1"/>
      </w:pPr>
      <w:r>
        <w:br w:type="page"/>
      </w:r>
      <w:bookmarkStart w:id="39" w:name="_Toc283364881"/>
      <w:r w:rsidR="00A56935">
        <w:lastRenderedPageBreak/>
        <w:br/>
      </w:r>
      <w:r w:rsidR="00A56935">
        <w:br/>
      </w:r>
      <w:r w:rsidR="007D5E54">
        <w:t>Conclusion</w:t>
      </w:r>
      <w:bookmarkEnd w:id="39"/>
    </w:p>
    <w:p w:rsidR="002A7554" w:rsidRDefault="009666E7" w:rsidP="006A12BA">
      <w:pPr>
        <w:pStyle w:val="Text"/>
        <w:spacing w:before="440"/>
      </w:pPr>
      <w:r>
        <w:t>The consultation process provided an opportunity to gauge the relevance of the LSAY research priorities and</w:t>
      </w:r>
      <w:r w:rsidR="0015428E">
        <w:t xml:space="preserve"> identify the direction of the analytical program to 2013. </w:t>
      </w:r>
      <w:r w:rsidR="00B83D91">
        <w:t xml:space="preserve">Stakeholders involved in the process participated actively and reflected a growing awareness of LSAY and </w:t>
      </w:r>
      <w:r w:rsidR="005D77DA">
        <w:t xml:space="preserve">an </w:t>
      </w:r>
      <w:r w:rsidR="00B83D91">
        <w:t xml:space="preserve">interest in exploring how the data can help inform youth transitions. </w:t>
      </w:r>
    </w:p>
    <w:p w:rsidR="00B83D91" w:rsidRDefault="00B83D91" w:rsidP="006A12BA">
      <w:pPr>
        <w:pStyle w:val="Text"/>
      </w:pPr>
      <w:r>
        <w:t xml:space="preserve">There was a consensus that the three research priorities which shaped the research in the last couple of years have retained their currency. And while a range of research topics and ideas were canvassed, </w:t>
      </w:r>
      <w:r w:rsidR="005D77DA">
        <w:t>the 2011–</w:t>
      </w:r>
      <w:r w:rsidR="002F5940">
        <w:t xml:space="preserve">13 analytical </w:t>
      </w:r>
      <w:proofErr w:type="gramStart"/>
      <w:r w:rsidR="002F5940">
        <w:t>program</w:t>
      </w:r>
      <w:proofErr w:type="gramEnd"/>
      <w:r w:rsidR="002F5940">
        <w:t xml:space="preserve"> will not satisfy every suggestion raised. This is because</w:t>
      </w:r>
      <w:r w:rsidR="007301BE">
        <w:t xml:space="preserve"> </w:t>
      </w:r>
      <w:r w:rsidR="002F5940">
        <w:t xml:space="preserve">we will need to determine the questions best suited to the LSAY data, taking into </w:t>
      </w:r>
      <w:r w:rsidR="00B80E6B">
        <w:t xml:space="preserve">account </w:t>
      </w:r>
      <w:r w:rsidR="002F5940">
        <w:t>the limitations of the information collected</w:t>
      </w:r>
      <w:r w:rsidR="0074000D">
        <w:t>, the</w:t>
      </w:r>
      <w:r w:rsidR="002F5940">
        <w:t xml:space="preserve"> </w:t>
      </w:r>
      <w:r w:rsidR="00B80E6B">
        <w:t>approaches suitable to the longitudinal nature of the dataset</w:t>
      </w:r>
      <w:r w:rsidR="0074000D">
        <w:t xml:space="preserve"> and the resources available for research</w:t>
      </w:r>
      <w:r w:rsidR="00B80E6B">
        <w:t xml:space="preserve">. </w:t>
      </w:r>
    </w:p>
    <w:p w:rsidR="00B07150" w:rsidRPr="005350A7" w:rsidRDefault="00B80E6B" w:rsidP="006A12BA">
      <w:pPr>
        <w:pStyle w:val="Text"/>
      </w:pPr>
      <w:r>
        <w:t xml:space="preserve">Nevertheless, this paper sets up a detailed framework for the direction of the LSAY research effort for the next couple of years and ensures </w:t>
      </w:r>
      <w:r w:rsidR="005D77DA">
        <w:t xml:space="preserve">that </w:t>
      </w:r>
      <w:r>
        <w:t xml:space="preserve">the work produces fresh thinking relevant to current policy directions, as well as broadening the use of LSAY in the wider research community.  </w:t>
      </w:r>
    </w:p>
    <w:sectPr w:rsidR="00B07150" w:rsidRPr="005350A7" w:rsidSect="00A56935">
      <w:footerReference w:type="even" r:id="rId18"/>
      <w:footerReference w:type="default" r:id="rId19"/>
      <w:footerReference w:type="first" r:id="rId20"/>
      <w:pgSz w:w="11899" w:h="16838" w:code="9"/>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2E3" w:rsidRDefault="008972E3">
      <w:r>
        <w:separator/>
      </w:r>
    </w:p>
  </w:endnote>
  <w:endnote w:type="continuationSeparator" w:id="0">
    <w:p w:rsidR="008972E3" w:rsidRDefault="008972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vant Garde">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E3" w:rsidRDefault="008972E3">
    <w:pPr>
      <w:pStyle w:val="Footer"/>
    </w:pPr>
  </w:p>
  <w:p w:rsidR="008972E3" w:rsidRDefault="004154B0">
    <w:pPr>
      <w:pStyle w:val="Footer"/>
      <w:pBdr>
        <w:top w:val="single" w:sz="4" w:space="1" w:color="auto"/>
      </w:pBdr>
      <w:tabs>
        <w:tab w:val="clear" w:pos="4153"/>
        <w:tab w:val="center" w:pos="3969"/>
      </w:tabs>
    </w:pPr>
    <w:r>
      <w:rPr>
        <w:rStyle w:val="PageNumber"/>
      </w:rPr>
      <w:fldChar w:fldCharType="begin"/>
    </w:r>
    <w:r w:rsidR="008972E3">
      <w:rPr>
        <w:rStyle w:val="PageNumber"/>
      </w:rPr>
      <w:instrText xml:space="preserve"> PAGE </w:instrText>
    </w:r>
    <w:r>
      <w:rPr>
        <w:rStyle w:val="PageNumber"/>
      </w:rPr>
      <w:fldChar w:fldCharType="separate"/>
    </w:r>
    <w:r w:rsidR="0041749B">
      <w:rPr>
        <w:rStyle w:val="PageNumber"/>
        <w:noProof/>
      </w:rPr>
      <w:t>2</w:t>
    </w:r>
    <w:r>
      <w:rPr>
        <w:rStyle w:val="PageNumber"/>
      </w:rPr>
      <w:fldChar w:fldCharType="end"/>
    </w:r>
    <w:r w:rsidR="008972E3">
      <w:rPr>
        <w:rStyle w:val="PageNumber"/>
      </w:rPr>
      <w:tab/>
    </w:r>
    <w:r w:rsidR="008972E3">
      <w:rPr>
        <w:rStyle w:val="PageNumber"/>
      </w:rPr>
      <w:tab/>
    </w:r>
    <w:r w:rsidR="008972E3">
      <w:t>Name of publication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E3" w:rsidRPr="00A56935" w:rsidRDefault="008972E3" w:rsidP="00A569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E3" w:rsidRDefault="008972E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E3" w:rsidRDefault="008972E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E3" w:rsidRPr="00B31DFE" w:rsidRDefault="008972E3" w:rsidP="00B31DFE">
    <w:pPr>
      <w:pStyle w:val="Footer"/>
      <w:rPr>
        <w:szCs w:val="22"/>
      </w:rPr>
    </w:pPr>
  </w:p>
  <w:p w:rsidR="008972E3" w:rsidRPr="00B31DFE" w:rsidRDefault="004154B0" w:rsidP="00B31DFE">
    <w:pPr>
      <w:pStyle w:val="Footer"/>
      <w:pBdr>
        <w:top w:val="single" w:sz="4" w:space="1" w:color="auto"/>
      </w:pBdr>
      <w:tabs>
        <w:tab w:val="clear" w:pos="4153"/>
      </w:tabs>
      <w:rPr>
        <w:szCs w:val="22"/>
      </w:rPr>
    </w:pPr>
    <w:r w:rsidRPr="00B31DFE">
      <w:rPr>
        <w:szCs w:val="22"/>
      </w:rPr>
      <w:fldChar w:fldCharType="begin"/>
    </w:r>
    <w:r w:rsidR="008972E3" w:rsidRPr="00B31DFE">
      <w:rPr>
        <w:szCs w:val="22"/>
      </w:rPr>
      <w:instrText xml:space="preserve"> PAGE </w:instrText>
    </w:r>
    <w:r w:rsidRPr="00B31DFE">
      <w:rPr>
        <w:szCs w:val="22"/>
      </w:rPr>
      <w:fldChar w:fldCharType="separate"/>
    </w:r>
    <w:r w:rsidR="004F7BD1">
      <w:rPr>
        <w:noProof/>
        <w:szCs w:val="22"/>
      </w:rPr>
      <w:t>14</w:t>
    </w:r>
    <w:r w:rsidRPr="00B31DFE">
      <w:rPr>
        <w:szCs w:val="22"/>
      </w:rPr>
      <w:fldChar w:fldCharType="end"/>
    </w:r>
    <w:r w:rsidR="008972E3">
      <w:rPr>
        <w:szCs w:val="22"/>
      </w:rPr>
      <w:tab/>
      <w:t>Outcomes of stakeholder consultations to identify the LSAY analytical program for 2011–13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E3" w:rsidRDefault="008972E3">
    <w:pPr>
      <w:pStyle w:val="Footer"/>
    </w:pPr>
  </w:p>
  <w:p w:rsidR="008972E3" w:rsidRDefault="008972E3">
    <w:pPr>
      <w:pStyle w:val="Footer"/>
      <w:pBdr>
        <w:top w:val="single" w:sz="4" w:space="1" w:color="auto"/>
      </w:pBdr>
    </w:pPr>
    <w:r>
      <w:t>NCVER</w:t>
    </w:r>
    <w:r>
      <w:tab/>
    </w:r>
    <w:r>
      <w:tab/>
    </w:r>
    <w:r w:rsidR="004154B0">
      <w:rPr>
        <w:rStyle w:val="PageNumber"/>
      </w:rPr>
      <w:fldChar w:fldCharType="begin"/>
    </w:r>
    <w:r>
      <w:rPr>
        <w:rStyle w:val="PageNumber"/>
      </w:rPr>
      <w:instrText xml:space="preserve"> PAGE </w:instrText>
    </w:r>
    <w:r w:rsidR="004154B0">
      <w:rPr>
        <w:rStyle w:val="PageNumber"/>
      </w:rPr>
      <w:fldChar w:fldCharType="separate"/>
    </w:r>
    <w:r w:rsidR="004F7BD1">
      <w:rPr>
        <w:rStyle w:val="PageNumber"/>
        <w:noProof/>
      </w:rPr>
      <w:t>15</w:t>
    </w:r>
    <w:r w:rsidR="004154B0">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2E3" w:rsidRDefault="00897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2E3" w:rsidRDefault="008972E3">
      <w:r>
        <w:separator/>
      </w:r>
    </w:p>
  </w:footnote>
  <w:footnote w:type="continuationSeparator" w:id="0">
    <w:p w:rsidR="008972E3" w:rsidRDefault="008972E3">
      <w:r>
        <w:continuationSeparator/>
      </w:r>
    </w:p>
  </w:footnote>
  <w:footnote w:id="1">
    <w:p w:rsidR="00F200F9" w:rsidRDefault="00F200F9" w:rsidP="00F200F9">
      <w:pPr>
        <w:pStyle w:val="FootnoteText"/>
        <w:tabs>
          <w:tab w:val="left" w:pos="142"/>
        </w:tabs>
      </w:pPr>
      <w:r>
        <w:rPr>
          <w:rStyle w:val="FootnoteReference"/>
        </w:rPr>
        <w:footnoteRef/>
      </w:r>
      <w:r>
        <w:t xml:space="preserve"> </w:t>
      </w:r>
      <w:r>
        <w:tab/>
        <w:t>National Assessment Program – Literacy and Numeracy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6FF05DF"/>
    <w:multiLevelType w:val="singleLevel"/>
    <w:tmpl w:val="3C76DDCE"/>
    <w:lvl w:ilvl="0">
      <w:numFmt w:val="bullet"/>
      <w:pStyle w:val="Dotpoint1"/>
      <w:lvlText w:val=""/>
      <w:lvlJc w:val="left"/>
      <w:pPr>
        <w:tabs>
          <w:tab w:val="num" w:pos="360"/>
        </w:tabs>
        <w:ind w:left="360" w:hanging="360"/>
      </w:pPr>
      <w:rPr>
        <w:rFonts w:ascii="Wingdings" w:hAnsi="Wingdings" w:hint="default"/>
      </w:rPr>
    </w:lvl>
  </w:abstractNum>
  <w:abstractNum w:abstractNumId="2">
    <w:nsid w:val="13DE6B10"/>
    <w:multiLevelType w:val="hybridMultilevel"/>
    <w:tmpl w:val="07E66E4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174A2C71"/>
    <w:multiLevelType w:val="singleLevel"/>
    <w:tmpl w:val="90A0C7A8"/>
    <w:lvl w:ilvl="0">
      <w:start w:val="1"/>
      <w:numFmt w:val="bullet"/>
      <w:pStyle w:val="Dotpoint2"/>
      <w:lvlText w:val=""/>
      <w:lvlJc w:val="left"/>
      <w:pPr>
        <w:tabs>
          <w:tab w:val="num" w:pos="0"/>
        </w:tabs>
        <w:ind w:left="360" w:hanging="360"/>
      </w:pPr>
      <w:rPr>
        <w:rFonts w:ascii="Symbol" w:hAnsi="Symbol" w:hint="default"/>
      </w:rPr>
    </w:lvl>
  </w:abstractNum>
  <w:abstractNum w:abstractNumId="4">
    <w:nsid w:val="19550E80"/>
    <w:multiLevelType w:val="hybridMultilevel"/>
    <w:tmpl w:val="0062FF02"/>
    <w:lvl w:ilvl="0" w:tplc="536AA0BE">
      <w:numFmt w:val="bullet"/>
      <w:lvlText w:val="-"/>
      <w:lvlJc w:val="left"/>
      <w:pPr>
        <w:ind w:left="405" w:hanging="360"/>
      </w:pPr>
      <w:rPr>
        <w:rFonts w:ascii="Garamond" w:eastAsia="Times New Roman" w:hAnsi="Garamond" w:cs="Times New Roman"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nsid w:val="4203241B"/>
    <w:multiLevelType w:val="hybridMultilevel"/>
    <w:tmpl w:val="C6565FB4"/>
    <w:lvl w:ilvl="0" w:tplc="984C0096">
      <w:numFmt w:val="bullet"/>
      <w:lvlText w:val="-"/>
      <w:lvlJc w:val="left"/>
      <w:pPr>
        <w:ind w:left="405" w:hanging="360"/>
      </w:pPr>
      <w:rPr>
        <w:rFonts w:ascii="Garamond" w:eastAsia="Times New Roman" w:hAnsi="Garamond" w:cs="Times New Roman"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nsid w:val="52AC66BD"/>
    <w:multiLevelType w:val="hybridMultilevel"/>
    <w:tmpl w:val="399EBA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743F75B7"/>
    <w:multiLevelType w:val="hybridMultilevel"/>
    <w:tmpl w:val="A2C00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activeWritingStyle w:appName="MSWord" w:lang="en-US" w:vendorID="8" w:dllVersion="513" w:checkStyle="1"/>
  <w:activeWritingStyle w:appName="MSWord" w:lang="en-AU" w:vendorID="8" w:dllVersion="513" w:checkStyle="1"/>
  <w:activeWritingStyle w:appName="MSWord" w:lang="en-GB" w:vendorID="8" w:dllVersion="513" w:checkStyle="1"/>
  <w:proofState w:spelling="clean" w:grammar="clean"/>
  <w:attachedTemplate r:id="rId1"/>
  <w:stylePaneFormatFilter w:val="1F08"/>
  <w:defaultTabStop w:val="720"/>
  <w:doNotHyphenateCaps/>
  <w:evenAndOddHeaders/>
  <w:drawingGridHorizontalSpacing w:val="120"/>
  <w:displayHorizontalDrawingGridEvery w:val="0"/>
  <w:displayVerticalDrawingGridEvery w:val="0"/>
  <w:noPunctuationKerning/>
  <w:characterSpacingControl w:val="doNotCompress"/>
  <w:hdrShapeDefaults>
    <o:shapedefaults v:ext="edit" spidmax="29697"/>
  </w:hdrShapeDefaults>
  <w:footnotePr>
    <w:footnote w:id="-1"/>
    <w:footnote w:id="0"/>
  </w:footnotePr>
  <w:endnotePr>
    <w:endnote w:id="-1"/>
    <w:endnote w:id="0"/>
  </w:endnotePr>
  <w:compat/>
  <w:rsids>
    <w:rsidRoot w:val="00A76892"/>
    <w:rsid w:val="0000101C"/>
    <w:rsid w:val="000064F8"/>
    <w:rsid w:val="00012CD6"/>
    <w:rsid w:val="00012DF6"/>
    <w:rsid w:val="00024583"/>
    <w:rsid w:val="00025A65"/>
    <w:rsid w:val="00037B44"/>
    <w:rsid w:val="0004217E"/>
    <w:rsid w:val="00050F2F"/>
    <w:rsid w:val="00054DD9"/>
    <w:rsid w:val="00054FA4"/>
    <w:rsid w:val="00055ED7"/>
    <w:rsid w:val="00061922"/>
    <w:rsid w:val="00074EB0"/>
    <w:rsid w:val="00076959"/>
    <w:rsid w:val="000A5F9E"/>
    <w:rsid w:val="000B3395"/>
    <w:rsid w:val="000B5A43"/>
    <w:rsid w:val="000B75D8"/>
    <w:rsid w:val="000B7F20"/>
    <w:rsid w:val="000D0EE3"/>
    <w:rsid w:val="000D1D87"/>
    <w:rsid w:val="000D2617"/>
    <w:rsid w:val="000D2E99"/>
    <w:rsid w:val="000D2FBC"/>
    <w:rsid w:val="000E19DF"/>
    <w:rsid w:val="000E38EF"/>
    <w:rsid w:val="000E6826"/>
    <w:rsid w:val="00116F7B"/>
    <w:rsid w:val="001203C0"/>
    <w:rsid w:val="00123FA0"/>
    <w:rsid w:val="00125538"/>
    <w:rsid w:val="00136BAD"/>
    <w:rsid w:val="0013787A"/>
    <w:rsid w:val="00141D6D"/>
    <w:rsid w:val="001445B2"/>
    <w:rsid w:val="00152A66"/>
    <w:rsid w:val="0015428E"/>
    <w:rsid w:val="00154EB3"/>
    <w:rsid w:val="00161BD4"/>
    <w:rsid w:val="0016557A"/>
    <w:rsid w:val="00166C10"/>
    <w:rsid w:val="001710F1"/>
    <w:rsid w:val="00172FE2"/>
    <w:rsid w:val="00175063"/>
    <w:rsid w:val="00175887"/>
    <w:rsid w:val="00175E0B"/>
    <w:rsid w:val="001761DC"/>
    <w:rsid w:val="001768BB"/>
    <w:rsid w:val="00180EAA"/>
    <w:rsid w:val="0018657E"/>
    <w:rsid w:val="00186E8B"/>
    <w:rsid w:val="00187BC5"/>
    <w:rsid w:val="00190381"/>
    <w:rsid w:val="00192424"/>
    <w:rsid w:val="00195A60"/>
    <w:rsid w:val="001A46BF"/>
    <w:rsid w:val="001B4C3F"/>
    <w:rsid w:val="001B4DA9"/>
    <w:rsid w:val="001C212B"/>
    <w:rsid w:val="001C3808"/>
    <w:rsid w:val="001C78E4"/>
    <w:rsid w:val="001D2062"/>
    <w:rsid w:val="001D65EA"/>
    <w:rsid w:val="001E17E4"/>
    <w:rsid w:val="001E28E9"/>
    <w:rsid w:val="001E7ED9"/>
    <w:rsid w:val="001F69E6"/>
    <w:rsid w:val="001F69E8"/>
    <w:rsid w:val="001F7ED1"/>
    <w:rsid w:val="0020572B"/>
    <w:rsid w:val="0020673C"/>
    <w:rsid w:val="00210FB0"/>
    <w:rsid w:val="00213BC4"/>
    <w:rsid w:val="002165CB"/>
    <w:rsid w:val="002262EF"/>
    <w:rsid w:val="00242463"/>
    <w:rsid w:val="00251847"/>
    <w:rsid w:val="00252348"/>
    <w:rsid w:val="002644EB"/>
    <w:rsid w:val="00264FEE"/>
    <w:rsid w:val="00266FD2"/>
    <w:rsid w:val="00267006"/>
    <w:rsid w:val="00270219"/>
    <w:rsid w:val="00271299"/>
    <w:rsid w:val="00273356"/>
    <w:rsid w:val="002770D2"/>
    <w:rsid w:val="00294473"/>
    <w:rsid w:val="002A5F72"/>
    <w:rsid w:val="002A6300"/>
    <w:rsid w:val="002A6A44"/>
    <w:rsid w:val="002A7328"/>
    <w:rsid w:val="002A7554"/>
    <w:rsid w:val="002A7940"/>
    <w:rsid w:val="002B1A38"/>
    <w:rsid w:val="002B335B"/>
    <w:rsid w:val="002B483A"/>
    <w:rsid w:val="002B4ACB"/>
    <w:rsid w:val="002C17E5"/>
    <w:rsid w:val="002C4AAE"/>
    <w:rsid w:val="002D3CF3"/>
    <w:rsid w:val="002D4305"/>
    <w:rsid w:val="002D497A"/>
    <w:rsid w:val="002E1CC9"/>
    <w:rsid w:val="002E4A1C"/>
    <w:rsid w:val="002E4D4D"/>
    <w:rsid w:val="002F1E16"/>
    <w:rsid w:val="002F5940"/>
    <w:rsid w:val="002F5D21"/>
    <w:rsid w:val="002F5E20"/>
    <w:rsid w:val="00300D17"/>
    <w:rsid w:val="003076E0"/>
    <w:rsid w:val="003160B9"/>
    <w:rsid w:val="0031640A"/>
    <w:rsid w:val="00323066"/>
    <w:rsid w:val="00324E54"/>
    <w:rsid w:val="00326EE5"/>
    <w:rsid w:val="00340B0A"/>
    <w:rsid w:val="00344FF5"/>
    <w:rsid w:val="00347300"/>
    <w:rsid w:val="00361879"/>
    <w:rsid w:val="0036201D"/>
    <w:rsid w:val="00370BC2"/>
    <w:rsid w:val="0037119D"/>
    <w:rsid w:val="00376EFE"/>
    <w:rsid w:val="003811D6"/>
    <w:rsid w:val="00383FAE"/>
    <w:rsid w:val="00390916"/>
    <w:rsid w:val="003912E0"/>
    <w:rsid w:val="0039515C"/>
    <w:rsid w:val="003961B7"/>
    <w:rsid w:val="003971CE"/>
    <w:rsid w:val="00397861"/>
    <w:rsid w:val="003A319B"/>
    <w:rsid w:val="003A3A74"/>
    <w:rsid w:val="003A5A6A"/>
    <w:rsid w:val="003B033D"/>
    <w:rsid w:val="003B32D0"/>
    <w:rsid w:val="003B3FAC"/>
    <w:rsid w:val="003C60AC"/>
    <w:rsid w:val="003C65C1"/>
    <w:rsid w:val="003C7ECD"/>
    <w:rsid w:val="003E2C40"/>
    <w:rsid w:val="003E3923"/>
    <w:rsid w:val="003E7202"/>
    <w:rsid w:val="003F44EC"/>
    <w:rsid w:val="003F4BDC"/>
    <w:rsid w:val="003F59F9"/>
    <w:rsid w:val="0040120D"/>
    <w:rsid w:val="0041047A"/>
    <w:rsid w:val="004113ED"/>
    <w:rsid w:val="004135F3"/>
    <w:rsid w:val="004150A6"/>
    <w:rsid w:val="004154B0"/>
    <w:rsid w:val="00415A6A"/>
    <w:rsid w:val="0041749B"/>
    <w:rsid w:val="004269B0"/>
    <w:rsid w:val="00434D24"/>
    <w:rsid w:val="00435DA8"/>
    <w:rsid w:val="0043641A"/>
    <w:rsid w:val="00442A98"/>
    <w:rsid w:val="004509EF"/>
    <w:rsid w:val="00455274"/>
    <w:rsid w:val="00456500"/>
    <w:rsid w:val="0046034A"/>
    <w:rsid w:val="00462BFD"/>
    <w:rsid w:val="00465946"/>
    <w:rsid w:val="00465DE6"/>
    <w:rsid w:val="00465FA5"/>
    <w:rsid w:val="004710F0"/>
    <w:rsid w:val="00471ED2"/>
    <w:rsid w:val="004754BC"/>
    <w:rsid w:val="00492D95"/>
    <w:rsid w:val="004949B6"/>
    <w:rsid w:val="004A1B37"/>
    <w:rsid w:val="004A519F"/>
    <w:rsid w:val="004A6B21"/>
    <w:rsid w:val="004A7F5D"/>
    <w:rsid w:val="004B014C"/>
    <w:rsid w:val="004B1EA6"/>
    <w:rsid w:val="004B28B6"/>
    <w:rsid w:val="004B39E5"/>
    <w:rsid w:val="004C0B8D"/>
    <w:rsid w:val="004C17E4"/>
    <w:rsid w:val="004C2AB4"/>
    <w:rsid w:val="004C3E60"/>
    <w:rsid w:val="004C400F"/>
    <w:rsid w:val="004C6FA5"/>
    <w:rsid w:val="004D0016"/>
    <w:rsid w:val="004D566D"/>
    <w:rsid w:val="004E2067"/>
    <w:rsid w:val="004E21E7"/>
    <w:rsid w:val="004E2364"/>
    <w:rsid w:val="004E478F"/>
    <w:rsid w:val="004E59B9"/>
    <w:rsid w:val="004F4A97"/>
    <w:rsid w:val="004F7BD1"/>
    <w:rsid w:val="004F7C19"/>
    <w:rsid w:val="00500F2E"/>
    <w:rsid w:val="0050140D"/>
    <w:rsid w:val="005057BB"/>
    <w:rsid w:val="00512BC1"/>
    <w:rsid w:val="00515829"/>
    <w:rsid w:val="00516BB6"/>
    <w:rsid w:val="00520018"/>
    <w:rsid w:val="00521844"/>
    <w:rsid w:val="00523053"/>
    <w:rsid w:val="00523C31"/>
    <w:rsid w:val="005306F5"/>
    <w:rsid w:val="005311EE"/>
    <w:rsid w:val="00533351"/>
    <w:rsid w:val="005350A7"/>
    <w:rsid w:val="00537B86"/>
    <w:rsid w:val="00544534"/>
    <w:rsid w:val="00544CB2"/>
    <w:rsid w:val="00550F2A"/>
    <w:rsid w:val="00557D90"/>
    <w:rsid w:val="00560739"/>
    <w:rsid w:val="0056369D"/>
    <w:rsid w:val="00566527"/>
    <w:rsid w:val="00574676"/>
    <w:rsid w:val="00576F56"/>
    <w:rsid w:val="00580B2C"/>
    <w:rsid w:val="005820A8"/>
    <w:rsid w:val="00582B7F"/>
    <w:rsid w:val="00584845"/>
    <w:rsid w:val="00585FDF"/>
    <w:rsid w:val="00591B51"/>
    <w:rsid w:val="00593559"/>
    <w:rsid w:val="0059560A"/>
    <w:rsid w:val="00597A9D"/>
    <w:rsid w:val="005A1AF2"/>
    <w:rsid w:val="005C11D3"/>
    <w:rsid w:val="005C6A2E"/>
    <w:rsid w:val="005D1B85"/>
    <w:rsid w:val="005D3328"/>
    <w:rsid w:val="005D410A"/>
    <w:rsid w:val="005D77DA"/>
    <w:rsid w:val="005E5110"/>
    <w:rsid w:val="005E5A37"/>
    <w:rsid w:val="005E7324"/>
    <w:rsid w:val="005E74EB"/>
    <w:rsid w:val="005F4F29"/>
    <w:rsid w:val="005F4FDD"/>
    <w:rsid w:val="005F70A5"/>
    <w:rsid w:val="0060097F"/>
    <w:rsid w:val="00600AB0"/>
    <w:rsid w:val="006041EB"/>
    <w:rsid w:val="006045A4"/>
    <w:rsid w:val="006055F6"/>
    <w:rsid w:val="006107C7"/>
    <w:rsid w:val="00612052"/>
    <w:rsid w:val="00612D4F"/>
    <w:rsid w:val="006163DA"/>
    <w:rsid w:val="00620F33"/>
    <w:rsid w:val="00627248"/>
    <w:rsid w:val="0063257A"/>
    <w:rsid w:val="00634872"/>
    <w:rsid w:val="00642E07"/>
    <w:rsid w:val="0065117F"/>
    <w:rsid w:val="00651A8A"/>
    <w:rsid w:val="006618C5"/>
    <w:rsid w:val="006665FB"/>
    <w:rsid w:val="00667B98"/>
    <w:rsid w:val="006702F2"/>
    <w:rsid w:val="00673D2F"/>
    <w:rsid w:val="00674275"/>
    <w:rsid w:val="006750B6"/>
    <w:rsid w:val="00676530"/>
    <w:rsid w:val="00685AE3"/>
    <w:rsid w:val="006864F5"/>
    <w:rsid w:val="006935F8"/>
    <w:rsid w:val="0069507D"/>
    <w:rsid w:val="00696EC5"/>
    <w:rsid w:val="00697C3F"/>
    <w:rsid w:val="006A0111"/>
    <w:rsid w:val="006A11FB"/>
    <w:rsid w:val="006A12BA"/>
    <w:rsid w:val="006A1BC3"/>
    <w:rsid w:val="006A5D59"/>
    <w:rsid w:val="006B18F9"/>
    <w:rsid w:val="006B489A"/>
    <w:rsid w:val="006C2929"/>
    <w:rsid w:val="006C2C29"/>
    <w:rsid w:val="006C39B7"/>
    <w:rsid w:val="006C4A9A"/>
    <w:rsid w:val="006D39E1"/>
    <w:rsid w:val="006E02A7"/>
    <w:rsid w:val="006E2B83"/>
    <w:rsid w:val="006E5176"/>
    <w:rsid w:val="006F1943"/>
    <w:rsid w:val="006F2ABA"/>
    <w:rsid w:val="006F4D02"/>
    <w:rsid w:val="006F541B"/>
    <w:rsid w:val="006F5BCA"/>
    <w:rsid w:val="007015EC"/>
    <w:rsid w:val="00706D60"/>
    <w:rsid w:val="00710842"/>
    <w:rsid w:val="00710CDF"/>
    <w:rsid w:val="00711210"/>
    <w:rsid w:val="0071410E"/>
    <w:rsid w:val="007154BA"/>
    <w:rsid w:val="00715706"/>
    <w:rsid w:val="00715A83"/>
    <w:rsid w:val="00727392"/>
    <w:rsid w:val="00727782"/>
    <w:rsid w:val="007301BE"/>
    <w:rsid w:val="007302BC"/>
    <w:rsid w:val="0073485A"/>
    <w:rsid w:val="00737484"/>
    <w:rsid w:val="007376BB"/>
    <w:rsid w:val="0074000D"/>
    <w:rsid w:val="00740F64"/>
    <w:rsid w:val="00744583"/>
    <w:rsid w:val="00746342"/>
    <w:rsid w:val="00753450"/>
    <w:rsid w:val="00757475"/>
    <w:rsid w:val="007623C9"/>
    <w:rsid w:val="00762834"/>
    <w:rsid w:val="00771EDB"/>
    <w:rsid w:val="0077679A"/>
    <w:rsid w:val="00777875"/>
    <w:rsid w:val="007813DB"/>
    <w:rsid w:val="00790F32"/>
    <w:rsid w:val="00793CA3"/>
    <w:rsid w:val="007A0568"/>
    <w:rsid w:val="007A3BB8"/>
    <w:rsid w:val="007B0088"/>
    <w:rsid w:val="007B3CF7"/>
    <w:rsid w:val="007B3D44"/>
    <w:rsid w:val="007B3DC8"/>
    <w:rsid w:val="007B4563"/>
    <w:rsid w:val="007B4930"/>
    <w:rsid w:val="007B5AF6"/>
    <w:rsid w:val="007C440A"/>
    <w:rsid w:val="007C532F"/>
    <w:rsid w:val="007D23C7"/>
    <w:rsid w:val="007D5E54"/>
    <w:rsid w:val="007E0637"/>
    <w:rsid w:val="007E7B29"/>
    <w:rsid w:val="007F4188"/>
    <w:rsid w:val="007F5C9F"/>
    <w:rsid w:val="00803153"/>
    <w:rsid w:val="008036B6"/>
    <w:rsid w:val="00806CFD"/>
    <w:rsid w:val="00813F9F"/>
    <w:rsid w:val="00814A36"/>
    <w:rsid w:val="00815D38"/>
    <w:rsid w:val="00817FAA"/>
    <w:rsid w:val="008205B1"/>
    <w:rsid w:val="008250AE"/>
    <w:rsid w:val="00826897"/>
    <w:rsid w:val="00826F60"/>
    <w:rsid w:val="0082752E"/>
    <w:rsid w:val="00827DDC"/>
    <w:rsid w:val="00835D1E"/>
    <w:rsid w:val="00840AE6"/>
    <w:rsid w:val="008438AD"/>
    <w:rsid w:val="0084548B"/>
    <w:rsid w:val="00845D0C"/>
    <w:rsid w:val="0086052F"/>
    <w:rsid w:val="00860F8D"/>
    <w:rsid w:val="00864FE9"/>
    <w:rsid w:val="00867B6D"/>
    <w:rsid w:val="00870777"/>
    <w:rsid w:val="008760D2"/>
    <w:rsid w:val="00882593"/>
    <w:rsid w:val="00883DD1"/>
    <w:rsid w:val="00890727"/>
    <w:rsid w:val="008915B8"/>
    <w:rsid w:val="0089253A"/>
    <w:rsid w:val="008928CC"/>
    <w:rsid w:val="008972E3"/>
    <w:rsid w:val="008A23D5"/>
    <w:rsid w:val="008A7453"/>
    <w:rsid w:val="008B1C24"/>
    <w:rsid w:val="008B6BCB"/>
    <w:rsid w:val="008D3D34"/>
    <w:rsid w:val="008D4DDB"/>
    <w:rsid w:val="008D566F"/>
    <w:rsid w:val="008D7591"/>
    <w:rsid w:val="008D7E62"/>
    <w:rsid w:val="008E601B"/>
    <w:rsid w:val="008E77F2"/>
    <w:rsid w:val="008F5365"/>
    <w:rsid w:val="008F7FEC"/>
    <w:rsid w:val="00901213"/>
    <w:rsid w:val="009106D2"/>
    <w:rsid w:val="00914646"/>
    <w:rsid w:val="00921EF1"/>
    <w:rsid w:val="0093101C"/>
    <w:rsid w:val="00931D39"/>
    <w:rsid w:val="00931E4D"/>
    <w:rsid w:val="009357A4"/>
    <w:rsid w:val="0093635B"/>
    <w:rsid w:val="00940573"/>
    <w:rsid w:val="009418F9"/>
    <w:rsid w:val="00942DAC"/>
    <w:rsid w:val="00944D58"/>
    <w:rsid w:val="0094633F"/>
    <w:rsid w:val="00954926"/>
    <w:rsid w:val="00956C59"/>
    <w:rsid w:val="00960D72"/>
    <w:rsid w:val="009627E8"/>
    <w:rsid w:val="009629A0"/>
    <w:rsid w:val="009666E7"/>
    <w:rsid w:val="00976AF3"/>
    <w:rsid w:val="00980BBE"/>
    <w:rsid w:val="00981240"/>
    <w:rsid w:val="009836A2"/>
    <w:rsid w:val="00992731"/>
    <w:rsid w:val="0099281B"/>
    <w:rsid w:val="00992AA2"/>
    <w:rsid w:val="00992F75"/>
    <w:rsid w:val="009A169B"/>
    <w:rsid w:val="009A1EFE"/>
    <w:rsid w:val="009A2958"/>
    <w:rsid w:val="009B5FF3"/>
    <w:rsid w:val="009B785E"/>
    <w:rsid w:val="009D138E"/>
    <w:rsid w:val="009E4F5C"/>
    <w:rsid w:val="009E5070"/>
    <w:rsid w:val="009E5F5C"/>
    <w:rsid w:val="009F4FCD"/>
    <w:rsid w:val="009F7265"/>
    <w:rsid w:val="00A064FF"/>
    <w:rsid w:val="00A10A60"/>
    <w:rsid w:val="00A16332"/>
    <w:rsid w:val="00A206A8"/>
    <w:rsid w:val="00A22F11"/>
    <w:rsid w:val="00A25366"/>
    <w:rsid w:val="00A263F0"/>
    <w:rsid w:val="00A31807"/>
    <w:rsid w:val="00A31B5A"/>
    <w:rsid w:val="00A3735F"/>
    <w:rsid w:val="00A41FE0"/>
    <w:rsid w:val="00A44BCF"/>
    <w:rsid w:val="00A47B7D"/>
    <w:rsid w:val="00A5147F"/>
    <w:rsid w:val="00A51558"/>
    <w:rsid w:val="00A530CD"/>
    <w:rsid w:val="00A56935"/>
    <w:rsid w:val="00A64E15"/>
    <w:rsid w:val="00A669D0"/>
    <w:rsid w:val="00A717BA"/>
    <w:rsid w:val="00A72094"/>
    <w:rsid w:val="00A74D96"/>
    <w:rsid w:val="00A76892"/>
    <w:rsid w:val="00A7737D"/>
    <w:rsid w:val="00A857E7"/>
    <w:rsid w:val="00A87294"/>
    <w:rsid w:val="00A87C05"/>
    <w:rsid w:val="00A90ABF"/>
    <w:rsid w:val="00A924C0"/>
    <w:rsid w:val="00A93C10"/>
    <w:rsid w:val="00A96223"/>
    <w:rsid w:val="00AA06A0"/>
    <w:rsid w:val="00AA21E6"/>
    <w:rsid w:val="00AB0626"/>
    <w:rsid w:val="00AB3B5D"/>
    <w:rsid w:val="00AC36F3"/>
    <w:rsid w:val="00AC4D5D"/>
    <w:rsid w:val="00AC63CD"/>
    <w:rsid w:val="00AD277E"/>
    <w:rsid w:val="00AD2ECA"/>
    <w:rsid w:val="00AE2BF2"/>
    <w:rsid w:val="00AE6DC5"/>
    <w:rsid w:val="00AF58A0"/>
    <w:rsid w:val="00AF6E38"/>
    <w:rsid w:val="00B07150"/>
    <w:rsid w:val="00B07FBD"/>
    <w:rsid w:val="00B100F4"/>
    <w:rsid w:val="00B13C2F"/>
    <w:rsid w:val="00B23DB0"/>
    <w:rsid w:val="00B241C6"/>
    <w:rsid w:val="00B31DFE"/>
    <w:rsid w:val="00B32A10"/>
    <w:rsid w:val="00B33605"/>
    <w:rsid w:val="00B34F57"/>
    <w:rsid w:val="00B35BD1"/>
    <w:rsid w:val="00B41AB5"/>
    <w:rsid w:val="00B46447"/>
    <w:rsid w:val="00B5170F"/>
    <w:rsid w:val="00B51A39"/>
    <w:rsid w:val="00B56CBD"/>
    <w:rsid w:val="00B6259B"/>
    <w:rsid w:val="00B62CAB"/>
    <w:rsid w:val="00B64C11"/>
    <w:rsid w:val="00B73647"/>
    <w:rsid w:val="00B73F4A"/>
    <w:rsid w:val="00B80E6B"/>
    <w:rsid w:val="00B83247"/>
    <w:rsid w:val="00B83D91"/>
    <w:rsid w:val="00B868DD"/>
    <w:rsid w:val="00B94903"/>
    <w:rsid w:val="00B95B3A"/>
    <w:rsid w:val="00B9691D"/>
    <w:rsid w:val="00BA0FC7"/>
    <w:rsid w:val="00BA3418"/>
    <w:rsid w:val="00BA6DEA"/>
    <w:rsid w:val="00BA6FCE"/>
    <w:rsid w:val="00BB5562"/>
    <w:rsid w:val="00BB7B2B"/>
    <w:rsid w:val="00BC2C6B"/>
    <w:rsid w:val="00BC2FA3"/>
    <w:rsid w:val="00BC3CE4"/>
    <w:rsid w:val="00BC6D28"/>
    <w:rsid w:val="00BC6DBA"/>
    <w:rsid w:val="00BD4826"/>
    <w:rsid w:val="00BE3323"/>
    <w:rsid w:val="00BF07EE"/>
    <w:rsid w:val="00BF2E89"/>
    <w:rsid w:val="00BF3D06"/>
    <w:rsid w:val="00BF5045"/>
    <w:rsid w:val="00C14909"/>
    <w:rsid w:val="00C2155D"/>
    <w:rsid w:val="00C21858"/>
    <w:rsid w:val="00C2347A"/>
    <w:rsid w:val="00C30696"/>
    <w:rsid w:val="00C323AC"/>
    <w:rsid w:val="00C44A91"/>
    <w:rsid w:val="00C45D59"/>
    <w:rsid w:val="00C46E84"/>
    <w:rsid w:val="00C51FB2"/>
    <w:rsid w:val="00C61609"/>
    <w:rsid w:val="00C65284"/>
    <w:rsid w:val="00C71804"/>
    <w:rsid w:val="00C73481"/>
    <w:rsid w:val="00C741D7"/>
    <w:rsid w:val="00C75881"/>
    <w:rsid w:val="00C76AE4"/>
    <w:rsid w:val="00C832AB"/>
    <w:rsid w:val="00CA508F"/>
    <w:rsid w:val="00CB15C1"/>
    <w:rsid w:val="00CB6AF7"/>
    <w:rsid w:val="00CD6532"/>
    <w:rsid w:val="00CD7D77"/>
    <w:rsid w:val="00CE553A"/>
    <w:rsid w:val="00CE6FF2"/>
    <w:rsid w:val="00CF20AC"/>
    <w:rsid w:val="00CF2708"/>
    <w:rsid w:val="00CF5F7F"/>
    <w:rsid w:val="00CF61EB"/>
    <w:rsid w:val="00D116FD"/>
    <w:rsid w:val="00D130EA"/>
    <w:rsid w:val="00D1359E"/>
    <w:rsid w:val="00D16AA0"/>
    <w:rsid w:val="00D173CD"/>
    <w:rsid w:val="00D20FA2"/>
    <w:rsid w:val="00D210D7"/>
    <w:rsid w:val="00D213AA"/>
    <w:rsid w:val="00D22F22"/>
    <w:rsid w:val="00D3703C"/>
    <w:rsid w:val="00D40BE6"/>
    <w:rsid w:val="00D418CE"/>
    <w:rsid w:val="00D44D15"/>
    <w:rsid w:val="00D46071"/>
    <w:rsid w:val="00D5354E"/>
    <w:rsid w:val="00D538EF"/>
    <w:rsid w:val="00D55CF2"/>
    <w:rsid w:val="00D57D11"/>
    <w:rsid w:val="00D7056F"/>
    <w:rsid w:val="00D70735"/>
    <w:rsid w:val="00D7554B"/>
    <w:rsid w:val="00DA06F0"/>
    <w:rsid w:val="00DA0F8D"/>
    <w:rsid w:val="00DA5E36"/>
    <w:rsid w:val="00DB1F1D"/>
    <w:rsid w:val="00DB2258"/>
    <w:rsid w:val="00DB2CE5"/>
    <w:rsid w:val="00DB5BC4"/>
    <w:rsid w:val="00DC00B7"/>
    <w:rsid w:val="00DC1E46"/>
    <w:rsid w:val="00DC6DF3"/>
    <w:rsid w:val="00DD0AB6"/>
    <w:rsid w:val="00DD0DC5"/>
    <w:rsid w:val="00DD603C"/>
    <w:rsid w:val="00DD6F69"/>
    <w:rsid w:val="00DE1B65"/>
    <w:rsid w:val="00DE767B"/>
    <w:rsid w:val="00E00B9A"/>
    <w:rsid w:val="00E071D7"/>
    <w:rsid w:val="00E11E94"/>
    <w:rsid w:val="00E22EEE"/>
    <w:rsid w:val="00E2726F"/>
    <w:rsid w:val="00E31761"/>
    <w:rsid w:val="00E34530"/>
    <w:rsid w:val="00E346CF"/>
    <w:rsid w:val="00E35F96"/>
    <w:rsid w:val="00E407BE"/>
    <w:rsid w:val="00E51828"/>
    <w:rsid w:val="00E55E5B"/>
    <w:rsid w:val="00E679A8"/>
    <w:rsid w:val="00E67CAF"/>
    <w:rsid w:val="00E819BC"/>
    <w:rsid w:val="00E81D4E"/>
    <w:rsid w:val="00E86FBA"/>
    <w:rsid w:val="00EA0616"/>
    <w:rsid w:val="00EA27F4"/>
    <w:rsid w:val="00EB2F1E"/>
    <w:rsid w:val="00EB3541"/>
    <w:rsid w:val="00EC0628"/>
    <w:rsid w:val="00EC2490"/>
    <w:rsid w:val="00ED1585"/>
    <w:rsid w:val="00ED3F4E"/>
    <w:rsid w:val="00ED79FD"/>
    <w:rsid w:val="00ED7FC3"/>
    <w:rsid w:val="00EE2D1A"/>
    <w:rsid w:val="00F05247"/>
    <w:rsid w:val="00F11950"/>
    <w:rsid w:val="00F142E8"/>
    <w:rsid w:val="00F16C68"/>
    <w:rsid w:val="00F200F9"/>
    <w:rsid w:val="00F23A33"/>
    <w:rsid w:val="00F2463D"/>
    <w:rsid w:val="00F438C7"/>
    <w:rsid w:val="00F45810"/>
    <w:rsid w:val="00F51E11"/>
    <w:rsid w:val="00F568A0"/>
    <w:rsid w:val="00F61DA4"/>
    <w:rsid w:val="00F635C4"/>
    <w:rsid w:val="00F65931"/>
    <w:rsid w:val="00F817A7"/>
    <w:rsid w:val="00F85265"/>
    <w:rsid w:val="00F87767"/>
    <w:rsid w:val="00F878C4"/>
    <w:rsid w:val="00F9220B"/>
    <w:rsid w:val="00F92DC7"/>
    <w:rsid w:val="00F95117"/>
    <w:rsid w:val="00F9578D"/>
    <w:rsid w:val="00F9653C"/>
    <w:rsid w:val="00F9682F"/>
    <w:rsid w:val="00FA261C"/>
    <w:rsid w:val="00FA4E2D"/>
    <w:rsid w:val="00FA55D1"/>
    <w:rsid w:val="00FA6FBA"/>
    <w:rsid w:val="00FA727B"/>
    <w:rsid w:val="00FB47E6"/>
    <w:rsid w:val="00FB5B12"/>
    <w:rsid w:val="00FC26D8"/>
    <w:rsid w:val="00FC2CC5"/>
    <w:rsid w:val="00FC41DF"/>
    <w:rsid w:val="00FC759E"/>
    <w:rsid w:val="00FD2629"/>
    <w:rsid w:val="00FE0C47"/>
    <w:rsid w:val="00FF15BC"/>
    <w:rsid w:val="00FF1E6E"/>
    <w:rsid w:val="00FF4BA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0D72"/>
    <w:pPr>
      <w:spacing w:before="200"/>
    </w:pPr>
    <w:rPr>
      <w:sz w:val="24"/>
    </w:rPr>
  </w:style>
  <w:style w:type="paragraph" w:styleId="Heading1">
    <w:name w:val="heading 1"/>
    <w:next w:val="Text"/>
    <w:autoRedefine/>
    <w:qFormat/>
    <w:rsid w:val="0093635B"/>
    <w:pPr>
      <w:widowControl w:val="0"/>
      <w:pBdr>
        <w:bottom w:val="single" w:sz="4" w:space="1" w:color="auto"/>
      </w:pBdr>
      <w:spacing w:before="440" w:after="60"/>
      <w:jc w:val="right"/>
      <w:outlineLvl w:val="0"/>
    </w:pPr>
    <w:rPr>
      <w:rFonts w:ascii="Garamond" w:hAnsi="Garamond"/>
      <w:kern w:val="28"/>
      <w:sz w:val="60"/>
    </w:rPr>
  </w:style>
  <w:style w:type="paragraph" w:styleId="Heading2">
    <w:name w:val="heading 2"/>
    <w:next w:val="Text"/>
    <w:qFormat/>
    <w:rsid w:val="00BA6DEA"/>
    <w:pPr>
      <w:keepNext/>
      <w:spacing w:before="440"/>
      <w:outlineLvl w:val="1"/>
    </w:pPr>
    <w:rPr>
      <w:rFonts w:ascii="Garamond" w:hAnsi="Garamond"/>
      <w:sz w:val="36"/>
    </w:rPr>
  </w:style>
  <w:style w:type="paragraph" w:styleId="Heading3">
    <w:name w:val="heading 3"/>
    <w:next w:val="Text"/>
    <w:qFormat/>
    <w:rsid w:val="00BA6DEA"/>
    <w:pPr>
      <w:keepNext/>
      <w:spacing w:before="280"/>
      <w:outlineLvl w:val="2"/>
    </w:pPr>
    <w:rPr>
      <w:rFonts w:ascii="Garamond" w:hAnsi="Garamond"/>
      <w:sz w:val="28"/>
    </w:rPr>
  </w:style>
  <w:style w:type="paragraph" w:styleId="Heading4">
    <w:name w:val="heading 4"/>
    <w:next w:val="Text"/>
    <w:qFormat/>
    <w:rsid w:val="00BA6DEA"/>
    <w:pPr>
      <w:keepNext/>
      <w:spacing w:before="260"/>
      <w:outlineLvl w:val="3"/>
    </w:pPr>
    <w:rPr>
      <w:rFonts w:ascii="Garamond" w:hAnsi="Garamond"/>
      <w:i/>
      <w:sz w:val="24"/>
    </w:rPr>
  </w:style>
  <w:style w:type="paragraph" w:styleId="Heading5">
    <w:name w:val="heading 5"/>
    <w:basedOn w:val="Normal"/>
    <w:next w:val="Normal"/>
    <w:qFormat/>
    <w:rsid w:val="00BA6DEA"/>
    <w:pPr>
      <w:keepNext/>
      <w:outlineLvl w:val="4"/>
    </w:pPr>
    <w:rPr>
      <w:rFonts w:ascii="Garamond" w:hAnsi="Garamond"/>
      <w:b/>
    </w:rPr>
  </w:style>
  <w:style w:type="paragraph" w:styleId="Heading6">
    <w:name w:val="heading 6"/>
    <w:basedOn w:val="Normal"/>
    <w:next w:val="Normal"/>
    <w:qFormat/>
    <w:rsid w:val="00960D72"/>
    <w:pPr>
      <w:keepNext/>
      <w:ind w:left="2977"/>
      <w:outlineLvl w:val="5"/>
    </w:pPr>
    <w:rPr>
      <w:rFonts w:ascii="Garamond" w:hAnsi="Garamond"/>
      <w:sz w:val="36"/>
    </w:rPr>
  </w:style>
  <w:style w:type="paragraph" w:styleId="Heading7">
    <w:name w:val="heading 7"/>
    <w:basedOn w:val="Normal"/>
    <w:next w:val="Normal"/>
    <w:qFormat/>
    <w:rsid w:val="00960D72"/>
    <w:pPr>
      <w:keepNext/>
      <w:jc w:val="center"/>
      <w:outlineLvl w:val="6"/>
    </w:pPr>
    <w:rPr>
      <w:rFonts w:ascii="Garamond" w:hAnsi="Garamond"/>
      <w:b/>
      <w:spacing w:val="20"/>
      <w:sz w:val="36"/>
    </w:rPr>
  </w:style>
  <w:style w:type="paragraph" w:styleId="Heading8">
    <w:name w:val="heading 8"/>
    <w:basedOn w:val="Normal"/>
    <w:next w:val="Normal"/>
    <w:qFormat/>
    <w:rsid w:val="00960D72"/>
    <w:pPr>
      <w:keepNext/>
      <w:jc w:val="center"/>
      <w:outlineLvl w:val="7"/>
    </w:pPr>
    <w:rPr>
      <w:rFonts w:ascii="Garamond" w:hAnsi="Garamond"/>
      <w:b/>
      <w:color w:val="C0C0C0"/>
      <w:spacing w:val="6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2B1A38"/>
    <w:pPr>
      <w:spacing w:before="200" w:line="260" w:lineRule="exact"/>
    </w:pPr>
    <w:rPr>
      <w:rFonts w:ascii="Garamond" w:hAnsi="Garamond"/>
      <w:sz w:val="22"/>
    </w:rPr>
  </w:style>
  <w:style w:type="character" w:styleId="PageNumber">
    <w:name w:val="page number"/>
    <w:basedOn w:val="DefaultParagraphFont"/>
    <w:rsid w:val="00960D72"/>
    <w:rPr>
      <w:rFonts w:ascii="Garamond" w:hAnsi="Garamond"/>
      <w:sz w:val="18"/>
    </w:rPr>
  </w:style>
  <w:style w:type="paragraph" w:styleId="Footer">
    <w:name w:val="footer"/>
    <w:basedOn w:val="Normal"/>
    <w:rsid w:val="00960D72"/>
    <w:pPr>
      <w:tabs>
        <w:tab w:val="center" w:pos="4153"/>
        <w:tab w:val="right" w:pos="8306"/>
      </w:tabs>
      <w:spacing w:before="0"/>
    </w:pPr>
    <w:rPr>
      <w:rFonts w:ascii="Garamond" w:hAnsi="Garamond"/>
      <w:sz w:val="18"/>
    </w:rPr>
  </w:style>
  <w:style w:type="paragraph" w:styleId="TOC1">
    <w:name w:val="toc 1"/>
    <w:uiPriority w:val="39"/>
    <w:rsid w:val="00960D72"/>
    <w:pPr>
      <w:tabs>
        <w:tab w:val="left" w:pos="221"/>
        <w:tab w:val="right" w:pos="8222"/>
      </w:tabs>
      <w:spacing w:before="80"/>
      <w:ind w:left="2268"/>
    </w:pPr>
    <w:rPr>
      <w:rFonts w:ascii="Garamond" w:hAnsi="Garamond"/>
      <w:sz w:val="22"/>
    </w:rPr>
  </w:style>
  <w:style w:type="paragraph" w:styleId="TOC2">
    <w:name w:val="toc 2"/>
    <w:basedOn w:val="Normal"/>
    <w:next w:val="Normal"/>
    <w:uiPriority w:val="39"/>
    <w:rsid w:val="00960D72"/>
    <w:pPr>
      <w:tabs>
        <w:tab w:val="left" w:pos="709"/>
        <w:tab w:val="right" w:pos="8222"/>
      </w:tabs>
      <w:spacing w:before="20" w:after="20"/>
      <w:ind w:left="2552"/>
    </w:pPr>
    <w:rPr>
      <w:rFonts w:ascii="Garamond" w:hAnsi="Garamond"/>
      <w:sz w:val="20"/>
    </w:rPr>
  </w:style>
  <w:style w:type="paragraph" w:styleId="TOC3">
    <w:name w:val="toc 3"/>
    <w:basedOn w:val="Normal"/>
    <w:next w:val="Normal"/>
    <w:autoRedefine/>
    <w:semiHidden/>
    <w:rsid w:val="00960D72"/>
    <w:pPr>
      <w:ind w:left="440"/>
    </w:pPr>
  </w:style>
  <w:style w:type="paragraph" w:customStyle="1" w:styleId="tabletitle">
    <w:name w:val="tabletitle"/>
    <w:next w:val="Text"/>
    <w:rsid w:val="00F817A7"/>
    <w:pPr>
      <w:keepNext/>
      <w:tabs>
        <w:tab w:val="left" w:pos="992"/>
      </w:tabs>
      <w:spacing w:before="360" w:after="80"/>
    </w:pPr>
    <w:rPr>
      <w:rFonts w:ascii="Arial" w:hAnsi="Arial"/>
      <w:b/>
      <w:sz w:val="17"/>
    </w:rPr>
  </w:style>
  <w:style w:type="paragraph" w:customStyle="1" w:styleId="Tabletext">
    <w:name w:val="Table text"/>
    <w:next w:val="Text"/>
    <w:rsid w:val="00960D72"/>
    <w:pPr>
      <w:spacing w:before="80"/>
    </w:pPr>
    <w:rPr>
      <w:rFonts w:ascii="Arial" w:hAnsi="Arial"/>
      <w:sz w:val="16"/>
    </w:rPr>
  </w:style>
  <w:style w:type="paragraph" w:styleId="TOC4">
    <w:name w:val="toc 4"/>
    <w:basedOn w:val="Normal"/>
    <w:next w:val="Normal"/>
    <w:autoRedefine/>
    <w:semiHidden/>
    <w:rsid w:val="00960D72"/>
    <w:pPr>
      <w:ind w:left="660"/>
    </w:pPr>
  </w:style>
  <w:style w:type="paragraph" w:styleId="TOC5">
    <w:name w:val="toc 5"/>
    <w:basedOn w:val="Normal"/>
    <w:next w:val="Normal"/>
    <w:autoRedefine/>
    <w:semiHidden/>
    <w:rsid w:val="00960D72"/>
    <w:pPr>
      <w:ind w:left="880"/>
    </w:pPr>
  </w:style>
  <w:style w:type="paragraph" w:styleId="TOC6">
    <w:name w:val="toc 6"/>
    <w:basedOn w:val="Normal"/>
    <w:next w:val="Normal"/>
    <w:autoRedefine/>
    <w:semiHidden/>
    <w:rsid w:val="00960D72"/>
    <w:pPr>
      <w:ind w:left="1100"/>
    </w:pPr>
  </w:style>
  <w:style w:type="paragraph" w:styleId="TOC7">
    <w:name w:val="toc 7"/>
    <w:basedOn w:val="Normal"/>
    <w:next w:val="Normal"/>
    <w:autoRedefine/>
    <w:semiHidden/>
    <w:rsid w:val="00960D72"/>
    <w:pPr>
      <w:ind w:left="1320"/>
    </w:pPr>
  </w:style>
  <w:style w:type="paragraph" w:styleId="TOC8">
    <w:name w:val="toc 8"/>
    <w:basedOn w:val="Normal"/>
    <w:next w:val="Normal"/>
    <w:autoRedefine/>
    <w:semiHidden/>
    <w:rsid w:val="00960D72"/>
    <w:pPr>
      <w:ind w:left="1540"/>
    </w:pPr>
  </w:style>
  <w:style w:type="paragraph" w:styleId="TOC9">
    <w:name w:val="toc 9"/>
    <w:basedOn w:val="Normal"/>
    <w:next w:val="Normal"/>
    <w:autoRedefine/>
    <w:semiHidden/>
    <w:rsid w:val="00960D72"/>
    <w:pPr>
      <w:ind w:left="1760"/>
    </w:pPr>
  </w:style>
  <w:style w:type="paragraph" w:customStyle="1" w:styleId="Tablehead1">
    <w:name w:val="Tablehead1"/>
    <w:rsid w:val="00960D72"/>
    <w:pPr>
      <w:spacing w:before="80" w:after="80"/>
    </w:pPr>
    <w:rPr>
      <w:rFonts w:ascii="Arial" w:hAnsi="Arial"/>
      <w:b/>
      <w:sz w:val="17"/>
    </w:rPr>
  </w:style>
  <w:style w:type="paragraph" w:styleId="Quote">
    <w:name w:val="Quote"/>
    <w:basedOn w:val="Text"/>
    <w:qFormat/>
    <w:rsid w:val="00960D72"/>
    <w:pPr>
      <w:spacing w:before="80"/>
      <w:ind w:left="567" w:right="646"/>
    </w:pPr>
    <w:rPr>
      <w:sz w:val="20"/>
    </w:rPr>
  </w:style>
  <w:style w:type="paragraph" w:customStyle="1" w:styleId="References">
    <w:name w:val="References"/>
    <w:rsid w:val="00960D72"/>
    <w:pPr>
      <w:ind w:left="284" w:hanging="284"/>
    </w:pPr>
    <w:rPr>
      <w:rFonts w:ascii="Garamond" w:hAnsi="Garamond"/>
    </w:rPr>
  </w:style>
  <w:style w:type="paragraph" w:customStyle="1" w:styleId="Tablehead2">
    <w:name w:val="Tablehead2"/>
    <w:basedOn w:val="Tablehead1"/>
    <w:rsid w:val="00960D72"/>
    <w:pPr>
      <w:tabs>
        <w:tab w:val="left" w:pos="992"/>
      </w:tabs>
      <w:spacing w:before="20" w:after="20"/>
    </w:pPr>
    <w:rPr>
      <w:b w:val="0"/>
    </w:rPr>
  </w:style>
  <w:style w:type="paragraph" w:customStyle="1" w:styleId="Tablehead3">
    <w:name w:val="Tablehead3"/>
    <w:basedOn w:val="Tablehead2"/>
    <w:rsid w:val="00960D72"/>
    <w:rPr>
      <w:i/>
    </w:rPr>
  </w:style>
  <w:style w:type="paragraph" w:styleId="TableofFigures">
    <w:name w:val="table of figures"/>
    <w:basedOn w:val="Normal"/>
    <w:next w:val="Normal"/>
    <w:semiHidden/>
    <w:rsid w:val="00960D72"/>
    <w:pPr>
      <w:tabs>
        <w:tab w:val="left" w:pos="3260"/>
        <w:tab w:val="right" w:pos="8222"/>
      </w:tabs>
      <w:spacing w:before="0"/>
      <w:ind w:left="2671" w:hanging="403"/>
    </w:pPr>
    <w:rPr>
      <w:rFonts w:ascii="Garamond" w:hAnsi="Garamond"/>
      <w:sz w:val="22"/>
    </w:rPr>
  </w:style>
  <w:style w:type="paragraph" w:styleId="Header">
    <w:name w:val="header"/>
    <w:basedOn w:val="Normal"/>
    <w:rsid w:val="00960D72"/>
    <w:pPr>
      <w:tabs>
        <w:tab w:val="center" w:pos="4153"/>
        <w:tab w:val="right" w:pos="8306"/>
      </w:tabs>
    </w:pPr>
  </w:style>
  <w:style w:type="paragraph" w:customStyle="1" w:styleId="Imprint">
    <w:name w:val="Imprint"/>
    <w:basedOn w:val="Normal"/>
    <w:rsid w:val="00E81D4E"/>
    <w:pPr>
      <w:spacing w:line="260" w:lineRule="atLeast"/>
    </w:pPr>
    <w:rPr>
      <w:rFonts w:ascii="Garamond" w:hAnsi="Garamond"/>
      <w:sz w:val="16"/>
    </w:rPr>
  </w:style>
  <w:style w:type="paragraph" w:customStyle="1" w:styleId="Figuretitle">
    <w:name w:val="Figuretitle"/>
    <w:basedOn w:val="tabletitle"/>
    <w:rsid w:val="00960D72"/>
  </w:style>
  <w:style w:type="paragraph" w:customStyle="1" w:styleId="PublicationTitle">
    <w:name w:val="Publication Title"/>
    <w:autoRedefine/>
    <w:rsid w:val="001B4C3F"/>
    <w:pPr>
      <w:spacing w:before="3000"/>
    </w:pPr>
    <w:rPr>
      <w:rFonts w:ascii="Franklin Gothic Medium" w:hAnsi="Franklin Gothic Medium"/>
      <w:kern w:val="28"/>
      <w:sz w:val="60"/>
    </w:rPr>
  </w:style>
  <w:style w:type="paragraph" w:customStyle="1" w:styleId="Authors">
    <w:name w:val="Authors"/>
    <w:autoRedefine/>
    <w:rsid w:val="001B4C3F"/>
    <w:pPr>
      <w:jc w:val="right"/>
    </w:pPr>
    <w:rPr>
      <w:rFonts w:ascii="Microsoft Sans Serif" w:hAnsi="Microsoft Sans Serif"/>
      <w:sz w:val="36"/>
    </w:rPr>
  </w:style>
  <w:style w:type="paragraph" w:customStyle="1" w:styleId="Dotpoint1">
    <w:name w:val="Dotpoint1"/>
    <w:rsid w:val="00960D72"/>
    <w:pPr>
      <w:numPr>
        <w:numId w:val="1"/>
      </w:numPr>
      <w:tabs>
        <w:tab w:val="clear" w:pos="360"/>
        <w:tab w:val="left" w:pos="284"/>
      </w:tabs>
      <w:spacing w:before="120"/>
      <w:ind w:left="284" w:hanging="284"/>
    </w:pPr>
    <w:rPr>
      <w:rFonts w:ascii="Garamond" w:hAnsi="Garamond"/>
      <w:sz w:val="22"/>
    </w:rPr>
  </w:style>
  <w:style w:type="paragraph" w:customStyle="1" w:styleId="Dotpoint2">
    <w:name w:val="Dotpoint2"/>
    <w:rsid w:val="00960D72"/>
    <w:pPr>
      <w:numPr>
        <w:numId w:val="2"/>
      </w:numPr>
      <w:tabs>
        <w:tab w:val="left" w:pos="284"/>
        <w:tab w:val="left" w:pos="567"/>
      </w:tabs>
      <w:ind w:left="568" w:hanging="284"/>
    </w:pPr>
    <w:rPr>
      <w:rFonts w:ascii="Garamond" w:hAnsi="Garamond"/>
      <w:sz w:val="22"/>
    </w:rPr>
  </w:style>
  <w:style w:type="paragraph" w:customStyle="1" w:styleId="contents">
    <w:name w:val="contents"/>
    <w:rsid w:val="003961B7"/>
    <w:pPr>
      <w:pBdr>
        <w:bottom w:val="single" w:sz="4" w:space="1" w:color="auto"/>
      </w:pBdr>
      <w:spacing w:before="440"/>
      <w:jc w:val="right"/>
    </w:pPr>
    <w:rPr>
      <w:rFonts w:ascii="Garamond" w:hAnsi="Garamond"/>
      <w:kern w:val="28"/>
      <w:sz w:val="60"/>
    </w:rPr>
  </w:style>
  <w:style w:type="paragraph" w:customStyle="1" w:styleId="NumberedListContinuing">
    <w:name w:val="NumberedListContinuing"/>
    <w:rsid w:val="00A25366"/>
    <w:pPr>
      <w:numPr>
        <w:numId w:val="3"/>
      </w:numPr>
      <w:spacing w:before="120"/>
      <w:ind w:left="284" w:hanging="284"/>
    </w:pPr>
    <w:rPr>
      <w:rFonts w:ascii="Garamond" w:hAnsi="Garamond"/>
      <w:sz w:val="22"/>
    </w:rPr>
  </w:style>
  <w:style w:type="paragraph" w:customStyle="1" w:styleId="Source">
    <w:name w:val="Source"/>
    <w:rsid w:val="00960D72"/>
    <w:pPr>
      <w:spacing w:before="40"/>
    </w:pPr>
    <w:rPr>
      <w:rFonts w:ascii="Arial" w:hAnsi="Arial"/>
      <w:sz w:val="15"/>
    </w:rPr>
  </w:style>
  <w:style w:type="paragraph" w:styleId="FootnoteText">
    <w:name w:val="footnote text"/>
    <w:basedOn w:val="Normal"/>
    <w:rsid w:val="00960D72"/>
    <w:rPr>
      <w:rFonts w:ascii="Garamond" w:hAnsi="Garamond"/>
      <w:sz w:val="16"/>
    </w:rPr>
  </w:style>
  <w:style w:type="character" w:styleId="Hyperlink">
    <w:name w:val="Hyperlink"/>
    <w:basedOn w:val="DefaultParagraphFont"/>
    <w:rsid w:val="00456500"/>
    <w:rPr>
      <w:color w:val="0000FF"/>
      <w:u w:val="single"/>
    </w:rPr>
  </w:style>
  <w:style w:type="character" w:customStyle="1" w:styleId="TextChar">
    <w:name w:val="Text Char"/>
    <w:basedOn w:val="DefaultParagraphFont"/>
    <w:link w:val="Text"/>
    <w:rsid w:val="002B1A38"/>
    <w:rPr>
      <w:rFonts w:ascii="Garamond" w:hAnsi="Garamond"/>
      <w:sz w:val="22"/>
      <w:lang w:val="en-AU" w:eastAsia="en-AU" w:bidi="ar-SA"/>
    </w:rPr>
  </w:style>
  <w:style w:type="character" w:styleId="CommentReference">
    <w:name w:val="annotation reference"/>
    <w:basedOn w:val="DefaultParagraphFont"/>
    <w:rsid w:val="001C3808"/>
    <w:rPr>
      <w:sz w:val="16"/>
      <w:szCs w:val="16"/>
    </w:rPr>
  </w:style>
  <w:style w:type="paragraph" w:styleId="CommentText">
    <w:name w:val="annotation text"/>
    <w:basedOn w:val="Normal"/>
    <w:link w:val="CommentTextChar"/>
    <w:rsid w:val="001C3808"/>
    <w:rPr>
      <w:sz w:val="20"/>
    </w:rPr>
  </w:style>
  <w:style w:type="character" w:customStyle="1" w:styleId="CommentTextChar">
    <w:name w:val="Comment Text Char"/>
    <w:basedOn w:val="DefaultParagraphFont"/>
    <w:link w:val="CommentText"/>
    <w:rsid w:val="001C3808"/>
  </w:style>
  <w:style w:type="paragraph" w:styleId="CommentSubject">
    <w:name w:val="annotation subject"/>
    <w:basedOn w:val="CommentText"/>
    <w:next w:val="CommentText"/>
    <w:link w:val="CommentSubjectChar"/>
    <w:rsid w:val="001C3808"/>
    <w:rPr>
      <w:b/>
      <w:bCs/>
    </w:rPr>
  </w:style>
  <w:style w:type="character" w:customStyle="1" w:styleId="CommentSubjectChar">
    <w:name w:val="Comment Subject Char"/>
    <w:basedOn w:val="CommentTextChar"/>
    <w:link w:val="CommentSubject"/>
    <w:rsid w:val="001C3808"/>
    <w:rPr>
      <w:b/>
      <w:bCs/>
    </w:rPr>
  </w:style>
  <w:style w:type="paragraph" w:styleId="BalloonText">
    <w:name w:val="Balloon Text"/>
    <w:basedOn w:val="Normal"/>
    <w:link w:val="BalloonTextChar"/>
    <w:rsid w:val="001C3808"/>
    <w:pPr>
      <w:spacing w:before="0"/>
    </w:pPr>
    <w:rPr>
      <w:rFonts w:ascii="Tahoma" w:hAnsi="Tahoma" w:cs="Tahoma"/>
      <w:sz w:val="16"/>
      <w:szCs w:val="16"/>
    </w:rPr>
  </w:style>
  <w:style w:type="character" w:customStyle="1" w:styleId="BalloonTextChar">
    <w:name w:val="Balloon Text Char"/>
    <w:basedOn w:val="DefaultParagraphFont"/>
    <w:link w:val="BalloonText"/>
    <w:rsid w:val="001C3808"/>
    <w:rPr>
      <w:rFonts w:ascii="Tahoma" w:hAnsi="Tahoma" w:cs="Tahoma"/>
      <w:sz w:val="16"/>
      <w:szCs w:val="16"/>
    </w:rPr>
  </w:style>
  <w:style w:type="paragraph" w:styleId="ListParagraph">
    <w:name w:val="List Paragraph"/>
    <w:basedOn w:val="Normal"/>
    <w:uiPriority w:val="34"/>
    <w:qFormat/>
    <w:rsid w:val="00544534"/>
    <w:pPr>
      <w:spacing w:before="0"/>
      <w:ind w:left="720"/>
    </w:pPr>
    <w:rPr>
      <w:rFonts w:ascii="Calibri" w:eastAsiaTheme="minorHAnsi" w:hAnsi="Calibri"/>
      <w:sz w:val="22"/>
      <w:szCs w:val="22"/>
    </w:rPr>
  </w:style>
  <w:style w:type="character" w:styleId="FootnoteReference">
    <w:name w:val="footnote reference"/>
    <w:basedOn w:val="DefaultParagraphFont"/>
    <w:rsid w:val="005306F5"/>
    <w:rPr>
      <w:vertAlign w:val="superscript"/>
    </w:rPr>
  </w:style>
  <w:style w:type="paragraph" w:styleId="NormalWeb">
    <w:name w:val="Normal (Web)"/>
    <w:basedOn w:val="Normal"/>
    <w:uiPriority w:val="99"/>
    <w:unhideWhenUsed/>
    <w:rsid w:val="000B5A43"/>
    <w:pPr>
      <w:spacing w:before="0" w:after="135" w:line="336" w:lineRule="atLeast"/>
    </w:pPr>
    <w:rPr>
      <w:sz w:val="19"/>
      <w:szCs w:val="19"/>
    </w:rPr>
  </w:style>
</w:styles>
</file>

<file path=word/webSettings.xml><?xml version="1.0" encoding="utf-8"?>
<w:webSettings xmlns:r="http://schemas.openxmlformats.org/officeDocument/2006/relationships" xmlns:w="http://schemas.openxmlformats.org/wordprocessingml/2006/main">
  <w:divs>
    <w:div w:id="231241291">
      <w:bodyDiv w:val="1"/>
      <w:marLeft w:val="0"/>
      <w:marRight w:val="0"/>
      <w:marTop w:val="0"/>
      <w:marBottom w:val="0"/>
      <w:divBdr>
        <w:top w:val="none" w:sz="0" w:space="0" w:color="auto"/>
        <w:left w:val="none" w:sz="0" w:space="0" w:color="auto"/>
        <w:bottom w:val="none" w:sz="0" w:space="0" w:color="auto"/>
        <w:right w:val="none" w:sz="0" w:space="0" w:color="auto"/>
      </w:divBdr>
    </w:div>
    <w:div w:id="333841573">
      <w:bodyDiv w:val="1"/>
      <w:marLeft w:val="0"/>
      <w:marRight w:val="0"/>
      <w:marTop w:val="0"/>
      <w:marBottom w:val="0"/>
      <w:divBdr>
        <w:top w:val="none" w:sz="0" w:space="0" w:color="auto"/>
        <w:left w:val="none" w:sz="0" w:space="0" w:color="auto"/>
        <w:bottom w:val="none" w:sz="0" w:space="0" w:color="auto"/>
        <w:right w:val="none" w:sz="0" w:space="0" w:color="auto"/>
      </w:divBdr>
    </w:div>
    <w:div w:id="481778147">
      <w:bodyDiv w:val="1"/>
      <w:marLeft w:val="0"/>
      <w:marRight w:val="0"/>
      <w:marTop w:val="0"/>
      <w:marBottom w:val="0"/>
      <w:divBdr>
        <w:top w:val="none" w:sz="0" w:space="0" w:color="auto"/>
        <w:left w:val="none" w:sz="0" w:space="0" w:color="auto"/>
        <w:bottom w:val="none" w:sz="0" w:space="0" w:color="auto"/>
        <w:right w:val="none" w:sz="0" w:space="0" w:color="auto"/>
      </w:divBdr>
      <w:divsChild>
        <w:div w:id="979925074">
          <w:marLeft w:val="0"/>
          <w:marRight w:val="0"/>
          <w:marTop w:val="0"/>
          <w:marBottom w:val="0"/>
          <w:divBdr>
            <w:top w:val="single" w:sz="2" w:space="8" w:color="FF0000"/>
            <w:left w:val="single" w:sz="2" w:space="11" w:color="FF0000"/>
            <w:bottom w:val="single" w:sz="2" w:space="4" w:color="FF0000"/>
            <w:right w:val="single" w:sz="2" w:space="4" w:color="FF0000"/>
          </w:divBdr>
        </w:div>
      </w:divsChild>
    </w:div>
    <w:div w:id="724983663">
      <w:bodyDiv w:val="1"/>
      <w:marLeft w:val="0"/>
      <w:marRight w:val="0"/>
      <w:marTop w:val="0"/>
      <w:marBottom w:val="0"/>
      <w:divBdr>
        <w:top w:val="none" w:sz="0" w:space="0" w:color="auto"/>
        <w:left w:val="none" w:sz="0" w:space="0" w:color="auto"/>
        <w:bottom w:val="none" w:sz="0" w:space="0" w:color="auto"/>
        <w:right w:val="none" w:sz="0" w:space="0" w:color="auto"/>
      </w:divBdr>
    </w:div>
    <w:div w:id="17509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cver.edu.au/publications/2351.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g.gov.au/cc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NCVER\Templates\NCVER_Papers&amp;Reports\Reporttemplat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51D48-BACC-4320-BB74-90A11FF5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Reporttemplate2010.dotx</Template>
  <TotalTime>41</TotalTime>
  <Pages>15</Pages>
  <Words>3977</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UQ</Company>
  <LinksUpToDate>false</LinksUpToDate>
  <CharactersWithSpaces>27569</CharactersWithSpaces>
  <SharedDoc>false</SharedDoc>
  <HLinks>
    <vt:vector size="6" baseType="variant">
      <vt:variant>
        <vt:i4>262219</vt:i4>
      </vt:variant>
      <vt:variant>
        <vt:i4>3</vt:i4>
      </vt:variant>
      <vt:variant>
        <vt:i4>0</vt:i4>
      </vt:variant>
      <vt:variant>
        <vt:i4>5</vt:i4>
      </vt:variant>
      <vt:variant>
        <vt:lpwstr>http://www.voced.edu.au/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NhiNguyen</dc:creator>
  <cp:lastModifiedBy>sarawilson</cp:lastModifiedBy>
  <cp:revision>10</cp:revision>
  <cp:lastPrinted>2011-02-14T04:58:00Z</cp:lastPrinted>
  <dcterms:created xsi:type="dcterms:W3CDTF">2011-02-14T04:59:00Z</dcterms:created>
  <dcterms:modified xsi:type="dcterms:W3CDTF">2011-03-02T01:39:00Z</dcterms:modified>
</cp:coreProperties>
</file>