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F30" w:rsidRDefault="00FA7D99" w:rsidP="001A4F30">
      <w:pPr>
        <w:pStyle w:val="Text"/>
        <w:widowControl w:val="0"/>
        <w:spacing w:before="3200" w:line="240" w:lineRule="auto"/>
        <w:ind w:left="2608"/>
        <w:rPr>
          <w:sz w:val="40"/>
        </w:rPr>
      </w:pPr>
      <w:r w:rsidRPr="00FA7D99">
        <w:rPr>
          <w:smallCaps/>
          <w:noProof/>
          <w:szCs w:val="22"/>
        </w:rPr>
        <w:pict>
          <v:shapetype id="_x0000_t202" coordsize="21600,21600" o:spt="202" path="m,l,21600r21600,l21600,xe">
            <v:stroke joinstyle="miter"/>
            <v:path gradientshapeok="t" o:connecttype="rect"/>
          </v:shapetype>
          <v:shape id="_x0000_s1100" type="#_x0000_t202" style="position:absolute;left:0;text-align:left;margin-left:-35pt;margin-top:9pt;width:100.8pt;height:679.7pt;z-index:251687424" o:allowincell="f" stroked="f">
            <v:textbox style="layout-flow:vertical;mso-layout-flow-alt:bottom-to-top;mso-next-textbox:#_x0000_s1100">
              <w:txbxContent>
                <w:p w:rsidR="00D74AD3" w:rsidRDefault="00D74AD3" w:rsidP="00296736">
                  <w:pPr>
                    <w:spacing w:line="240" w:lineRule="auto"/>
                    <w:jc w:val="center"/>
                    <w:rPr>
                      <w:color w:val="C0C0C0"/>
                      <w:sz w:val="116"/>
                      <w:lang w:val="en-US"/>
                    </w:rPr>
                  </w:pPr>
                  <w:r>
                    <w:rPr>
                      <w:color w:val="C0C0C0"/>
                      <w:sz w:val="116"/>
                      <w:lang w:val="en-US"/>
                    </w:rPr>
                    <w:t>CONFERENCE PAPER</w:t>
                  </w:r>
                </w:p>
              </w:txbxContent>
            </v:textbox>
          </v:shape>
        </w:pict>
      </w:r>
      <w:r w:rsidRPr="00FA7D99">
        <w:rPr>
          <w:i/>
          <w:noProof/>
          <w:sz w:val="40"/>
        </w:rPr>
        <w:pict>
          <v:group id="_x0000_s1096" style="position:absolute;left:0;text-align:left;margin-left:73.8pt;margin-top:9.05pt;width:372.35pt;height:685.55pt;z-index:-251630080" coordorigin="2894,1621" coordsize="7447,13711">
            <v:line id="_x0000_s1097" style="position:absolute" from="10341,1621" to="10341,15301"/>
            <v:line id="_x0000_s1098" style="position:absolute;flip:x" from="2894,15332" to="10341,15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6456;top:1621;width:3885;height:870">
              <v:imagedata r:id="rId8" o:title="ncver right tab_mono"/>
            </v:shape>
          </v:group>
        </w:pict>
      </w:r>
      <w:r w:rsidR="001A4F30">
        <w:rPr>
          <w:sz w:val="40"/>
        </w:rPr>
        <w:t>The shifting demographics and lifelong learning</w:t>
      </w:r>
    </w:p>
    <w:p w:rsidR="001A4F30" w:rsidRDefault="001A4F30" w:rsidP="001A4F30">
      <w:pPr>
        <w:pStyle w:val="Text"/>
        <w:spacing w:before="400"/>
        <w:ind w:left="2608"/>
        <w:rPr>
          <w:smallCaps/>
          <w:szCs w:val="22"/>
        </w:rPr>
      </w:pPr>
      <w:r>
        <w:rPr>
          <w:smallCaps/>
        </w:rPr>
        <w:t>TOM KARMEL</w:t>
      </w:r>
      <w:r>
        <w:rPr>
          <w:smallCaps/>
        </w:rPr>
        <w:br/>
      </w:r>
      <w:r>
        <w:rPr>
          <w:smallCaps/>
          <w:szCs w:val="22"/>
        </w:rPr>
        <w:t xml:space="preserve">National Centre for </w:t>
      </w:r>
      <w:r>
        <w:rPr>
          <w:smallCaps/>
          <w:szCs w:val="22"/>
        </w:rPr>
        <w:br/>
        <w:t>vocational Education Research</w:t>
      </w:r>
    </w:p>
    <w:p w:rsidR="001A4F30" w:rsidRPr="00443CD4" w:rsidRDefault="001A4F30" w:rsidP="001A4F30">
      <w:pPr>
        <w:pStyle w:val="Heading9"/>
        <w:spacing w:before="240"/>
        <w:ind w:left="2608" w:firstLine="0"/>
        <w:rPr>
          <w:sz w:val="20"/>
          <w:szCs w:val="22"/>
        </w:rPr>
      </w:pPr>
      <w:r w:rsidRPr="00443CD4">
        <w:rPr>
          <w:sz w:val="20"/>
          <w:szCs w:val="22"/>
        </w:rPr>
        <w:t xml:space="preserve">Paper presented to the International Symposium on Lifelong </w:t>
      </w:r>
      <w:r w:rsidRPr="00443CD4">
        <w:rPr>
          <w:sz w:val="20"/>
          <w:szCs w:val="22"/>
        </w:rPr>
        <w:br/>
        <w:t xml:space="preserve">Learning for Poverty Alleviation and Sustainable Development: </w:t>
      </w:r>
      <w:r w:rsidRPr="00443CD4">
        <w:rPr>
          <w:sz w:val="20"/>
          <w:szCs w:val="22"/>
        </w:rPr>
        <w:br/>
      </w:r>
      <w:r w:rsidRPr="000A6FBF">
        <w:rPr>
          <w:i/>
          <w:sz w:val="20"/>
          <w:szCs w:val="22"/>
        </w:rPr>
        <w:t>Developing a Research Agenda for the Asia-Pacific</w:t>
      </w:r>
      <w:r w:rsidRPr="00443CD4">
        <w:rPr>
          <w:sz w:val="20"/>
          <w:szCs w:val="22"/>
        </w:rPr>
        <w:t xml:space="preserve"> </w:t>
      </w:r>
    </w:p>
    <w:p w:rsidR="001A4F30" w:rsidRPr="005B0E3F" w:rsidRDefault="00FA7D99" w:rsidP="001A4F30">
      <w:pPr>
        <w:pStyle w:val="Imprint"/>
        <w:spacing w:before="4400"/>
        <w:ind w:left="2608" w:right="-285"/>
        <w:rPr>
          <w:bCs/>
          <w:smallCaps/>
          <w:szCs w:val="16"/>
        </w:rPr>
      </w:pPr>
      <w:r w:rsidRPr="00FA7D99">
        <w:rPr>
          <w:bCs/>
          <w:noProof/>
          <w:szCs w:val="16"/>
          <w:lang w:eastAsia="en-AU"/>
        </w:rPr>
        <w:pict>
          <v:shape id="_x0000_s1110" type="#_x0000_t202" style="position:absolute;left:0;text-align:left;margin-left:123.55pt;margin-top:62.85pt;width:214.15pt;height:84.15pt;z-index:251690496" stroked="f">
            <v:textbox>
              <w:txbxContent>
                <w:p w:rsidR="00BF075A" w:rsidRPr="00BF075A" w:rsidRDefault="00BF075A" w:rsidP="00BF075A">
                  <w:pPr>
                    <w:spacing w:line="360" w:lineRule="auto"/>
                    <w:rPr>
                      <w:color w:val="FF0000"/>
                    </w:rPr>
                  </w:pPr>
                  <w:r>
                    <w:rPr>
                      <w:color w:val="FF0000"/>
                    </w:rPr>
                    <w:t>FOR CLARITY WITH FIGURES, PLEASE PRINT IN COLOUR</w:t>
                  </w:r>
                </w:p>
              </w:txbxContent>
            </v:textbox>
          </v:shape>
        </w:pict>
      </w:r>
      <w:r w:rsidR="001A4F30" w:rsidRPr="005B0E3F">
        <w:rPr>
          <w:rStyle w:val="TextChar"/>
          <w:bCs/>
          <w:sz w:val="16"/>
          <w:szCs w:val="16"/>
        </w:rPr>
        <w:t xml:space="preserve">The views and opinions expressed in this document are those of the author and do not </w:t>
      </w:r>
      <w:r w:rsidR="001A4F30">
        <w:rPr>
          <w:rStyle w:val="TextChar"/>
          <w:bCs/>
          <w:sz w:val="16"/>
          <w:szCs w:val="16"/>
        </w:rPr>
        <w:br/>
      </w:r>
      <w:r w:rsidR="001A4F30" w:rsidRPr="005B0E3F">
        <w:rPr>
          <w:rStyle w:val="TextChar"/>
          <w:bCs/>
          <w:sz w:val="16"/>
          <w:szCs w:val="16"/>
        </w:rPr>
        <w:t>necessarily reflect the views of the Australian Government or state and territory governments</w:t>
      </w:r>
    </w:p>
    <w:p w:rsidR="001A4F30" w:rsidRDefault="001A4F30" w:rsidP="001A4F30">
      <w:pPr>
        <w:spacing w:before="0"/>
        <w:rPr>
          <w:b/>
          <w:sz w:val="16"/>
        </w:rPr>
      </w:pPr>
      <w:r>
        <w:rPr>
          <w:b/>
        </w:rPr>
        <w:br w:type="page"/>
      </w:r>
    </w:p>
    <w:p w:rsidR="007106BC" w:rsidRDefault="007106BC" w:rsidP="00C13E9C">
      <w:pPr>
        <w:tabs>
          <w:tab w:val="left" w:pos="153"/>
          <w:tab w:val="left" w:pos="283"/>
        </w:tabs>
        <w:ind w:right="1700"/>
        <w:rPr>
          <w:b/>
          <w:sz w:val="16"/>
        </w:rPr>
      </w:pPr>
    </w:p>
    <w:p w:rsidR="00C32249" w:rsidRPr="002D3B16" w:rsidRDefault="00C32249" w:rsidP="00C32249">
      <w:pPr>
        <w:pStyle w:val="Imprint"/>
        <w:spacing w:before="5600"/>
        <w:ind w:right="1701"/>
        <w:rPr>
          <w:b/>
        </w:rPr>
      </w:pPr>
      <w:proofErr w:type="gramStart"/>
      <w:r w:rsidRPr="002D3B16">
        <w:rPr>
          <w:b/>
        </w:rPr>
        <w:t xml:space="preserve">©  </w:t>
      </w:r>
      <w:r>
        <w:rPr>
          <w:b/>
        </w:rPr>
        <w:t>National</w:t>
      </w:r>
      <w:proofErr w:type="gramEnd"/>
      <w:r>
        <w:rPr>
          <w:b/>
        </w:rPr>
        <w:t xml:space="preserve"> Centre for Vocational Education Research</w:t>
      </w:r>
      <w:r w:rsidRPr="002D3B16">
        <w:rPr>
          <w:b/>
        </w:rPr>
        <w:t>, 2011</w:t>
      </w:r>
    </w:p>
    <w:p w:rsidR="00C32249" w:rsidRDefault="00C32249" w:rsidP="00C32249">
      <w:pPr>
        <w:pStyle w:val="Imprint"/>
        <w:ind w:right="1692"/>
      </w:pPr>
      <w:r>
        <w:t xml:space="preserve">With the exception of the cover design, artwork, all logos, and any other material where copyright is owned by a third party, all material presented in this document </w:t>
      </w:r>
      <w:proofErr w:type="gramStart"/>
      <w:r>
        <w:t>is</w:t>
      </w:r>
      <w:proofErr w:type="gramEnd"/>
      <w:r>
        <w:t xml:space="preserve"> provided under a Creative Commons Attribution 3.0 Australia </w:t>
      </w:r>
      <w:r w:rsidRPr="004854FF">
        <w:t>&lt;http://creativecommons.org/licenses/by/3.0/</w:t>
      </w:r>
      <w:r>
        <w:t>au/&gt;.</w:t>
      </w:r>
    </w:p>
    <w:p w:rsidR="00C32249" w:rsidRDefault="00C32249" w:rsidP="00C32249">
      <w:pPr>
        <w:pStyle w:val="Imprint"/>
        <w:ind w:right="1692"/>
        <w:rPr>
          <w:rFonts w:ascii="Arial" w:hAnsi="Arial" w:cs="Arial"/>
          <w:color w:val="333333"/>
          <w:sz w:val="15"/>
          <w:szCs w:val="15"/>
        </w:rPr>
      </w:pPr>
      <w:r>
        <w:rPr>
          <w:rFonts w:ascii="Arial" w:hAnsi="Arial" w:cs="Arial"/>
          <w:noProof/>
          <w:color w:val="1C438B"/>
          <w:sz w:val="15"/>
          <w:szCs w:val="15"/>
          <w:lang w:eastAsia="en-AU"/>
        </w:rPr>
        <w:drawing>
          <wp:inline distT="0" distB="0" distL="0" distR="0">
            <wp:extent cx="836930" cy="293370"/>
            <wp:effectExtent l="19050" t="0" r="1270" b="0"/>
            <wp:docPr id="2" name="licensebutton"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9"/>
                    </pic:cNvPr>
                    <pic:cNvPicPr>
                      <a:picLocks noChangeAspect="1" noChangeArrowheads="1"/>
                    </pic:cNvPicPr>
                  </pic:nvPicPr>
                  <pic:blipFill>
                    <a:blip r:embed="rId10" cstate="print"/>
                    <a:srcRect/>
                    <a:stretch>
                      <a:fillRect/>
                    </a:stretch>
                  </pic:blipFill>
                  <pic:spPr bwMode="auto">
                    <a:xfrm>
                      <a:off x="0" y="0"/>
                      <a:ext cx="836930" cy="293370"/>
                    </a:xfrm>
                    <a:prstGeom prst="rect">
                      <a:avLst/>
                    </a:prstGeom>
                    <a:noFill/>
                    <a:ln w="9525">
                      <a:noFill/>
                      <a:miter lim="800000"/>
                      <a:headEnd/>
                      <a:tailEnd/>
                    </a:ln>
                  </pic:spPr>
                </pic:pic>
              </a:graphicData>
            </a:graphic>
          </wp:inline>
        </w:drawing>
      </w:r>
    </w:p>
    <w:p w:rsidR="00C32249" w:rsidRPr="00185522" w:rsidRDefault="00C32249" w:rsidP="00C32249">
      <w:pPr>
        <w:pStyle w:val="Imprint"/>
        <w:ind w:right="1692"/>
      </w:pPr>
      <w:r w:rsidRPr="00185522">
        <w:t xml:space="preserve">This document should be attributed as </w:t>
      </w:r>
      <w:r w:rsidRPr="0018799E">
        <w:t xml:space="preserve">Karmel, T 2011, </w:t>
      </w:r>
      <w:proofErr w:type="gramStart"/>
      <w:r w:rsidR="002E549B">
        <w:rPr>
          <w:i/>
        </w:rPr>
        <w:t>The</w:t>
      </w:r>
      <w:proofErr w:type="gramEnd"/>
      <w:r w:rsidR="002E549B">
        <w:rPr>
          <w:i/>
        </w:rPr>
        <w:t xml:space="preserve"> shifting demographics and lifelong learning.</w:t>
      </w:r>
    </w:p>
    <w:p w:rsidR="00C32249" w:rsidRPr="003B0BE9" w:rsidRDefault="00C32249" w:rsidP="00C32249">
      <w:pPr>
        <w:pStyle w:val="Imprint"/>
        <w:ind w:right="1692"/>
      </w:pPr>
      <w:r w:rsidRPr="003B0BE9">
        <w:t>The National Centre for Vocational Education Research (NCVER) is an independent body responsible for collecting, managing and analysing, evaluating and communicating research and statistics about vocational education and training (VET).</w:t>
      </w:r>
    </w:p>
    <w:p w:rsidR="00C32249" w:rsidRPr="003B0BE9" w:rsidRDefault="00C32249" w:rsidP="00C32249">
      <w:pPr>
        <w:pStyle w:val="Imprint"/>
        <w:ind w:right="1692"/>
      </w:pPr>
      <w:r w:rsidRPr="003B0BE9">
        <w:t xml:space="preserve">NCVER’s </w:t>
      </w:r>
      <w:proofErr w:type="spellStart"/>
      <w:r w:rsidRPr="003B0BE9">
        <w:t>inhouse</w:t>
      </w:r>
      <w:proofErr w:type="spellEnd"/>
      <w:r w:rsidRPr="003B0BE9">
        <w:t xml:space="preserve"> research and evaluation program undertakes projects which are strategic to the VET sector. These projects are developed and conducted by the NCVER’s research staff and are funded by NCVER. This research aims to improve policy and practice in the VET sector.</w:t>
      </w:r>
    </w:p>
    <w:p w:rsidR="00741BFB" w:rsidRPr="00BA1646" w:rsidRDefault="00741BFB" w:rsidP="00741BFB">
      <w:pPr>
        <w:tabs>
          <w:tab w:val="left" w:pos="709"/>
          <w:tab w:val="left" w:pos="1985"/>
        </w:tabs>
        <w:spacing w:line="260" w:lineRule="atLeast"/>
        <w:rPr>
          <w:sz w:val="16"/>
        </w:rPr>
      </w:pPr>
      <w:r w:rsidRPr="00BA1646">
        <w:rPr>
          <w:sz w:val="16"/>
        </w:rPr>
        <w:t>TD/TNC</w:t>
      </w:r>
      <w:r w:rsidRPr="00BA1646">
        <w:rPr>
          <w:sz w:val="16"/>
        </w:rPr>
        <w:tab/>
      </w:r>
      <w:r>
        <w:rPr>
          <w:sz w:val="16"/>
        </w:rPr>
        <w:t>103.20</w:t>
      </w:r>
    </w:p>
    <w:p w:rsidR="00741BFB" w:rsidRPr="00BA1646" w:rsidRDefault="00741BFB" w:rsidP="00741BFB">
      <w:pPr>
        <w:spacing w:line="260" w:lineRule="atLeast"/>
        <w:rPr>
          <w:sz w:val="16"/>
        </w:rPr>
      </w:pPr>
      <w:r w:rsidRPr="00BA1646">
        <w:rPr>
          <w:sz w:val="16"/>
        </w:rPr>
        <w:t>Published by NCVER</w:t>
      </w:r>
      <w:r w:rsidRPr="00BA1646">
        <w:rPr>
          <w:sz w:val="16"/>
        </w:rPr>
        <w:br/>
        <w:t>ABN 87 007 967 311</w:t>
      </w:r>
    </w:p>
    <w:p w:rsidR="00741BFB" w:rsidRPr="00BA1646" w:rsidRDefault="00741BFB" w:rsidP="00741BFB">
      <w:pPr>
        <w:spacing w:line="260" w:lineRule="atLeast"/>
        <w:rPr>
          <w:sz w:val="16"/>
        </w:rPr>
      </w:pPr>
      <w:r w:rsidRPr="00BA1646">
        <w:rPr>
          <w:sz w:val="16"/>
        </w:rPr>
        <w:t>Level 11, 33 King William Street, Adelaide, SA 5000</w:t>
      </w:r>
      <w:r w:rsidRPr="00BA1646">
        <w:rPr>
          <w:sz w:val="16"/>
        </w:rPr>
        <w:br/>
        <w:t>PO Box 8288 Station Arcade, Adelaide SA 5000, Australia</w:t>
      </w:r>
    </w:p>
    <w:p w:rsidR="00741BFB" w:rsidRPr="00BA1646" w:rsidRDefault="00741BFB" w:rsidP="00741BFB">
      <w:pPr>
        <w:spacing w:line="260" w:lineRule="atLeast"/>
        <w:rPr>
          <w:sz w:val="16"/>
        </w:rPr>
      </w:pPr>
      <w:proofErr w:type="gramStart"/>
      <w:r w:rsidRPr="00BA1646">
        <w:rPr>
          <w:sz w:val="16"/>
        </w:rPr>
        <w:t>ph</w:t>
      </w:r>
      <w:proofErr w:type="gramEnd"/>
      <w:r w:rsidRPr="00BA1646">
        <w:rPr>
          <w:sz w:val="16"/>
        </w:rPr>
        <w:t xml:space="preserve"> +61 8 8230 8400 fax +61 8 8212 3436</w:t>
      </w:r>
      <w:r w:rsidRPr="00BA1646">
        <w:rPr>
          <w:sz w:val="16"/>
        </w:rPr>
        <w:br/>
        <w:t>email ncver@ncver.edu.au</w:t>
      </w:r>
      <w:r w:rsidRPr="00BA1646">
        <w:rPr>
          <w:sz w:val="16"/>
        </w:rPr>
        <w:br/>
        <w:t>&lt;http://www.ncver.edu.au&gt;</w:t>
      </w:r>
      <w:r w:rsidRPr="00BA1646">
        <w:rPr>
          <w:sz w:val="16"/>
        </w:rPr>
        <w:br/>
        <w:t>&lt;http://www.ncver.edu.au/publications/</w:t>
      </w:r>
      <w:r>
        <w:rPr>
          <w:sz w:val="16"/>
        </w:rPr>
        <w:t>2358</w:t>
      </w:r>
      <w:r w:rsidRPr="00BA1646">
        <w:rPr>
          <w:sz w:val="16"/>
        </w:rPr>
        <w:t>.html&gt;</w:t>
      </w:r>
    </w:p>
    <w:p w:rsidR="00741BFB" w:rsidRDefault="00741BFB" w:rsidP="00741BFB">
      <w:pPr>
        <w:spacing w:before="0"/>
        <w:rPr>
          <w:smallCaps/>
        </w:rPr>
      </w:pPr>
      <w:r>
        <w:rPr>
          <w:smallCaps/>
        </w:rPr>
        <w:br w:type="page"/>
      </w:r>
    </w:p>
    <w:p w:rsidR="001A4F30" w:rsidRDefault="00FA7D99" w:rsidP="001A4F30">
      <w:pPr>
        <w:pStyle w:val="Aboutresearch"/>
        <w:pBdr>
          <w:bottom w:val="none" w:sz="0" w:space="0" w:color="auto"/>
        </w:pBdr>
        <w:jc w:val="left"/>
      </w:pPr>
      <w:bookmarkStart w:id="0" w:name="_Toc495748330"/>
      <w:bookmarkStart w:id="1" w:name="_Toc495810630"/>
      <w:bookmarkStart w:id="2" w:name="_Toc6031787"/>
      <w:bookmarkStart w:id="3" w:name="_Toc6031844"/>
      <w:r w:rsidRPr="00FA7D99">
        <w:rPr>
          <w:i/>
          <w:noProof/>
        </w:rPr>
        <w:lastRenderedPageBreak/>
        <w:pict>
          <v:group id="_x0000_s1035" style="position:absolute;margin-left:3.05pt;margin-top:10.3pt;width:450pt;height:684pt;z-index:-251660800" coordorigin="1341,1621" coordsize="9000,13680">
            <v:line id="_x0000_s1036" style="position:absolute" from="10341,1621" to="10341,15301"/>
            <v:line id="_x0000_s1037" style="position:absolute;flip:x" from="1341,15301" to="10341,15301"/>
            <v:shape id="_x0000_s1038" type="#_x0000_t75" style="position:absolute;left:6456;top:1621;width:3885;height:870">
              <v:imagedata r:id="rId11" o:title="ncver right tab_mono"/>
            </v:shape>
          </v:group>
        </w:pict>
      </w:r>
      <w:bookmarkStart w:id="4" w:name="_Toc47346280"/>
      <w:bookmarkStart w:id="5" w:name="_Toc47951941"/>
      <w:r w:rsidR="001A4F30" w:rsidRPr="001A4F30">
        <w:rPr>
          <w:i/>
          <w:sz w:val="16"/>
          <w:szCs w:val="16"/>
        </w:rPr>
        <w:t xml:space="preserve"> </w:t>
      </w:r>
      <w:r w:rsidR="001A4F30" w:rsidRPr="00CA000C">
        <w:rPr>
          <w:i/>
          <w:sz w:val="16"/>
          <w:szCs w:val="16"/>
        </w:rPr>
        <w:br/>
      </w:r>
      <w:r w:rsidR="001A4F30" w:rsidRPr="00D002AB">
        <w:t>About the research</w:t>
      </w:r>
    </w:p>
    <w:p w:rsidR="001A4F30" w:rsidRDefault="001A4F30" w:rsidP="001A4F30">
      <w:pPr>
        <w:pStyle w:val="AboutTitle"/>
        <w:spacing w:before="720"/>
      </w:pPr>
      <w:r>
        <w:t>The shifting demographics and lifelong learning</w:t>
      </w:r>
    </w:p>
    <w:p w:rsidR="00BA1BA9" w:rsidRDefault="001A4F30" w:rsidP="001A4F30">
      <w:pPr>
        <w:pStyle w:val="Aboutauthor"/>
      </w:pPr>
      <w:r>
        <w:t>Tom Karmel</w:t>
      </w:r>
    </w:p>
    <w:p w:rsidR="004E2A45" w:rsidRPr="004E2A45" w:rsidRDefault="00E06B6F" w:rsidP="00970502">
      <w:pPr>
        <w:pStyle w:val="text0"/>
        <w:spacing w:before="440"/>
        <w:ind w:right="983"/>
      </w:pPr>
      <w:r>
        <w:t>Demographic change in the modern world is synonym</w:t>
      </w:r>
      <w:r w:rsidR="00747893">
        <w:t xml:space="preserve">ous with an ageing population. </w:t>
      </w:r>
      <w:r w:rsidR="00523C3F">
        <w:t>Karmel</w:t>
      </w:r>
      <w:r>
        <w:t xml:space="preserve"> suggest</w:t>
      </w:r>
      <w:r w:rsidR="00747893">
        <w:t>s</w:t>
      </w:r>
      <w:r>
        <w:t xml:space="preserve"> that there are four implications o</w:t>
      </w:r>
      <w:r w:rsidR="00560CA2">
        <w:t>f an ageing population for life</w:t>
      </w:r>
      <w:r>
        <w:t xml:space="preserve">long </w:t>
      </w:r>
      <w:r w:rsidR="00560CA2">
        <w:t xml:space="preserve">learning </w:t>
      </w:r>
      <w:r>
        <w:t xml:space="preserve">that are worth exploring. The first is </w:t>
      </w:r>
      <w:r w:rsidR="00523C3F">
        <w:t>the</w:t>
      </w:r>
      <w:r>
        <w:t xml:space="preserve"> need to improve labour force participation and productivity, and education is a key driver of this. The second is that the ageing population will provide a ‘demographic dividend’ because there will be fewer young people who need to be schooled (relative to the working population). The third is that increasing life expectancy changes the arithmetic of the return to investments in human capital</w:t>
      </w:r>
      <w:r w:rsidR="004E62C7">
        <w:t>, and makes investment in the educa</w:t>
      </w:r>
      <w:r w:rsidR="00741BFB">
        <w:t>tion and training of the middle-</w:t>
      </w:r>
      <w:r w:rsidR="004E62C7">
        <w:t>aged more attractive</w:t>
      </w:r>
      <w:r>
        <w:t>. The final implication is that ageing of populations in developed countries provide</w:t>
      </w:r>
      <w:r w:rsidR="00187C9E">
        <w:t>s</w:t>
      </w:r>
      <w:r>
        <w:t xml:space="preserve"> a golden opportunity for developing countries through the export of</w:t>
      </w:r>
      <w:r w:rsidR="00970502">
        <w:t> </w:t>
      </w:r>
      <w:r>
        <w:t>labour services.</w:t>
      </w:r>
    </w:p>
    <w:p w:rsidR="006C45D3" w:rsidRDefault="007B6B23">
      <w:pPr>
        <w:spacing w:before="0"/>
        <w:rPr>
          <w:i/>
        </w:rPr>
        <w:sectPr w:rsidR="006C45D3" w:rsidSect="00CA68D4">
          <w:pgSz w:w="11899" w:h="16838" w:code="9"/>
          <w:pgMar w:top="1418" w:right="1985" w:bottom="567" w:left="1418" w:header="720" w:footer="720" w:gutter="0"/>
          <w:cols w:space="720"/>
          <w:docGrid w:linePitch="360"/>
        </w:sectPr>
      </w:pPr>
      <w:r>
        <w:rPr>
          <w:i/>
        </w:rPr>
        <w:br w:type="page"/>
      </w:r>
      <w:r w:rsidR="006C45D3">
        <w:rPr>
          <w:i/>
        </w:rPr>
        <w:lastRenderedPageBreak/>
        <w:br w:type="page"/>
      </w:r>
    </w:p>
    <w:p w:rsidR="007106BC" w:rsidRPr="00CA68D4" w:rsidRDefault="007B6B23" w:rsidP="00CA68D4">
      <w:pPr>
        <w:pStyle w:val="Heading1"/>
      </w:pPr>
      <w:r>
        <w:rPr>
          <w:i/>
        </w:rPr>
        <w:lastRenderedPageBreak/>
        <w:br/>
      </w:r>
      <w:r>
        <w:rPr>
          <w:i/>
        </w:rPr>
        <w:br/>
      </w:r>
      <w:bookmarkStart w:id="6" w:name="_Toc289164595"/>
      <w:r w:rsidR="007106BC" w:rsidRPr="00CA68D4">
        <w:t>Contents</w:t>
      </w:r>
      <w:bookmarkEnd w:id="0"/>
      <w:bookmarkEnd w:id="1"/>
      <w:bookmarkEnd w:id="2"/>
      <w:bookmarkEnd w:id="3"/>
      <w:bookmarkEnd w:id="4"/>
      <w:bookmarkEnd w:id="5"/>
      <w:bookmarkEnd w:id="6"/>
    </w:p>
    <w:p w:rsidR="00A41E84" w:rsidRDefault="00FA7D99" w:rsidP="00A41E84">
      <w:pPr>
        <w:pStyle w:val="TOC1"/>
        <w:spacing w:before="440"/>
        <w:rPr>
          <w:rFonts w:asciiTheme="minorHAnsi" w:eastAsiaTheme="minorEastAsia" w:hAnsiTheme="minorHAnsi" w:cstheme="minorBidi"/>
          <w:noProof/>
          <w:szCs w:val="22"/>
          <w:lang w:eastAsia="en-AU"/>
        </w:rPr>
      </w:pPr>
      <w:r w:rsidRPr="00FA7D99">
        <w:rPr>
          <w:rFonts w:ascii="Avant Garde" w:hAnsi="Avant Garde"/>
        </w:rPr>
        <w:fldChar w:fldCharType="begin"/>
      </w:r>
      <w:r w:rsidR="007106BC">
        <w:rPr>
          <w:rFonts w:ascii="Avant Garde" w:hAnsi="Avant Garde"/>
        </w:rPr>
        <w:instrText xml:space="preserve"> TOC \o "1-2" </w:instrText>
      </w:r>
      <w:r w:rsidRPr="00FA7D99">
        <w:rPr>
          <w:rFonts w:ascii="Avant Garde" w:hAnsi="Avant Garde"/>
        </w:rPr>
        <w:fldChar w:fldCharType="separate"/>
      </w:r>
      <w:r w:rsidR="00A41E84">
        <w:rPr>
          <w:noProof/>
        </w:rPr>
        <w:t>Tables and figures</w:t>
      </w:r>
      <w:r w:rsidR="00A41E84">
        <w:rPr>
          <w:noProof/>
        </w:rPr>
        <w:tab/>
      </w:r>
      <w:r>
        <w:rPr>
          <w:noProof/>
        </w:rPr>
        <w:fldChar w:fldCharType="begin"/>
      </w:r>
      <w:r w:rsidR="00A41E84">
        <w:rPr>
          <w:noProof/>
        </w:rPr>
        <w:instrText xml:space="preserve"> PAGEREF _Toc289164596 \h </w:instrText>
      </w:r>
      <w:r>
        <w:rPr>
          <w:noProof/>
        </w:rPr>
      </w:r>
      <w:r>
        <w:rPr>
          <w:noProof/>
        </w:rPr>
        <w:fldChar w:fldCharType="separate"/>
      </w:r>
      <w:r w:rsidR="00F8674A">
        <w:rPr>
          <w:noProof/>
        </w:rPr>
        <w:t>3</w:t>
      </w:r>
      <w:r>
        <w:rPr>
          <w:noProof/>
        </w:rPr>
        <w:fldChar w:fldCharType="end"/>
      </w:r>
    </w:p>
    <w:p w:rsidR="00A41E84" w:rsidRDefault="00A41E84">
      <w:pPr>
        <w:pStyle w:val="TOC1"/>
        <w:rPr>
          <w:rFonts w:asciiTheme="minorHAnsi" w:eastAsiaTheme="minorEastAsia" w:hAnsiTheme="minorHAnsi" w:cstheme="minorBidi"/>
          <w:noProof/>
          <w:szCs w:val="22"/>
          <w:lang w:eastAsia="en-AU"/>
        </w:rPr>
      </w:pPr>
      <w:r>
        <w:rPr>
          <w:noProof/>
        </w:rPr>
        <w:t>Introduction</w:t>
      </w:r>
      <w:r>
        <w:rPr>
          <w:noProof/>
        </w:rPr>
        <w:tab/>
      </w:r>
      <w:r w:rsidR="00FA7D99">
        <w:rPr>
          <w:noProof/>
        </w:rPr>
        <w:fldChar w:fldCharType="begin"/>
      </w:r>
      <w:r>
        <w:rPr>
          <w:noProof/>
        </w:rPr>
        <w:instrText xml:space="preserve"> PAGEREF _Toc289164597 \h </w:instrText>
      </w:r>
      <w:r w:rsidR="00FA7D99">
        <w:rPr>
          <w:noProof/>
        </w:rPr>
      </w:r>
      <w:r w:rsidR="00FA7D99">
        <w:rPr>
          <w:noProof/>
        </w:rPr>
        <w:fldChar w:fldCharType="separate"/>
      </w:r>
      <w:r w:rsidR="00F8674A">
        <w:rPr>
          <w:noProof/>
        </w:rPr>
        <w:t>3</w:t>
      </w:r>
      <w:r w:rsidR="00FA7D99">
        <w:rPr>
          <w:noProof/>
        </w:rPr>
        <w:fldChar w:fldCharType="end"/>
      </w:r>
    </w:p>
    <w:p w:rsidR="00A41E84" w:rsidRDefault="00A41E84">
      <w:pPr>
        <w:pStyle w:val="TOC1"/>
        <w:rPr>
          <w:rFonts w:asciiTheme="minorHAnsi" w:eastAsiaTheme="minorEastAsia" w:hAnsiTheme="minorHAnsi" w:cstheme="minorBidi"/>
          <w:noProof/>
          <w:szCs w:val="22"/>
          <w:lang w:eastAsia="en-AU"/>
        </w:rPr>
      </w:pPr>
      <w:r>
        <w:rPr>
          <w:noProof/>
        </w:rPr>
        <w:t>Demographic change</w:t>
      </w:r>
      <w:r>
        <w:rPr>
          <w:noProof/>
        </w:rPr>
        <w:tab/>
      </w:r>
      <w:r w:rsidR="00FA7D99">
        <w:rPr>
          <w:noProof/>
        </w:rPr>
        <w:fldChar w:fldCharType="begin"/>
      </w:r>
      <w:r>
        <w:rPr>
          <w:noProof/>
        </w:rPr>
        <w:instrText xml:space="preserve"> PAGEREF _Toc289164598 \h </w:instrText>
      </w:r>
      <w:r w:rsidR="00FA7D99">
        <w:rPr>
          <w:noProof/>
        </w:rPr>
      </w:r>
      <w:r w:rsidR="00FA7D99">
        <w:rPr>
          <w:noProof/>
        </w:rPr>
        <w:fldChar w:fldCharType="separate"/>
      </w:r>
      <w:r w:rsidR="00F8674A">
        <w:rPr>
          <w:noProof/>
        </w:rPr>
        <w:t>3</w:t>
      </w:r>
      <w:r w:rsidR="00FA7D99">
        <w:rPr>
          <w:noProof/>
        </w:rPr>
        <w:fldChar w:fldCharType="end"/>
      </w:r>
    </w:p>
    <w:p w:rsidR="00A41E84" w:rsidRDefault="00A41E84">
      <w:pPr>
        <w:pStyle w:val="TOC1"/>
        <w:rPr>
          <w:rFonts w:asciiTheme="minorHAnsi" w:eastAsiaTheme="minorEastAsia" w:hAnsiTheme="minorHAnsi" w:cstheme="minorBidi"/>
          <w:noProof/>
          <w:szCs w:val="22"/>
          <w:lang w:eastAsia="en-AU"/>
        </w:rPr>
      </w:pPr>
      <w:r>
        <w:rPr>
          <w:noProof/>
        </w:rPr>
        <w:t>Increasing labour force participation and productivity</w:t>
      </w:r>
      <w:r>
        <w:rPr>
          <w:noProof/>
        </w:rPr>
        <w:tab/>
      </w:r>
      <w:r w:rsidR="00FA7D99">
        <w:rPr>
          <w:noProof/>
        </w:rPr>
        <w:fldChar w:fldCharType="begin"/>
      </w:r>
      <w:r>
        <w:rPr>
          <w:noProof/>
        </w:rPr>
        <w:instrText xml:space="preserve"> PAGEREF _Toc289164599 \h </w:instrText>
      </w:r>
      <w:r w:rsidR="00FA7D99">
        <w:rPr>
          <w:noProof/>
        </w:rPr>
      </w:r>
      <w:r w:rsidR="00FA7D99">
        <w:rPr>
          <w:noProof/>
        </w:rPr>
        <w:fldChar w:fldCharType="separate"/>
      </w:r>
      <w:r w:rsidR="00F8674A">
        <w:rPr>
          <w:noProof/>
        </w:rPr>
        <w:t>3</w:t>
      </w:r>
      <w:r w:rsidR="00FA7D99">
        <w:rPr>
          <w:noProof/>
        </w:rPr>
        <w:fldChar w:fldCharType="end"/>
      </w:r>
    </w:p>
    <w:p w:rsidR="00A41E84" w:rsidRDefault="00A41E84">
      <w:pPr>
        <w:pStyle w:val="TOC1"/>
        <w:rPr>
          <w:rFonts w:asciiTheme="minorHAnsi" w:eastAsiaTheme="minorEastAsia" w:hAnsiTheme="minorHAnsi" w:cstheme="minorBidi"/>
          <w:noProof/>
          <w:szCs w:val="22"/>
          <w:lang w:eastAsia="en-AU"/>
        </w:rPr>
      </w:pPr>
      <w:r>
        <w:rPr>
          <w:noProof/>
        </w:rPr>
        <w:t>The ‘demographic dividend’</w:t>
      </w:r>
      <w:r>
        <w:rPr>
          <w:noProof/>
        </w:rPr>
        <w:tab/>
      </w:r>
      <w:r w:rsidR="00FA7D99">
        <w:rPr>
          <w:noProof/>
        </w:rPr>
        <w:fldChar w:fldCharType="begin"/>
      </w:r>
      <w:r>
        <w:rPr>
          <w:noProof/>
        </w:rPr>
        <w:instrText xml:space="preserve"> PAGEREF _Toc289164600 \h </w:instrText>
      </w:r>
      <w:r w:rsidR="00FA7D99">
        <w:rPr>
          <w:noProof/>
        </w:rPr>
      </w:r>
      <w:r w:rsidR="00FA7D99">
        <w:rPr>
          <w:noProof/>
        </w:rPr>
        <w:fldChar w:fldCharType="separate"/>
      </w:r>
      <w:r w:rsidR="00F8674A">
        <w:rPr>
          <w:noProof/>
        </w:rPr>
        <w:t>3</w:t>
      </w:r>
      <w:r w:rsidR="00FA7D99">
        <w:rPr>
          <w:noProof/>
        </w:rPr>
        <w:fldChar w:fldCharType="end"/>
      </w:r>
    </w:p>
    <w:p w:rsidR="00A41E84" w:rsidRDefault="00A41E84">
      <w:pPr>
        <w:pStyle w:val="TOC1"/>
        <w:rPr>
          <w:rFonts w:asciiTheme="minorHAnsi" w:eastAsiaTheme="minorEastAsia" w:hAnsiTheme="minorHAnsi" w:cstheme="minorBidi"/>
          <w:noProof/>
          <w:szCs w:val="22"/>
          <w:lang w:eastAsia="en-AU"/>
        </w:rPr>
      </w:pPr>
      <w:r>
        <w:rPr>
          <w:noProof/>
        </w:rPr>
        <w:t xml:space="preserve">Increasing life expectancy and the arithmetic of investment </w:t>
      </w:r>
      <w:r>
        <w:rPr>
          <w:noProof/>
        </w:rPr>
        <w:br/>
        <w:t>in human capital</w:t>
      </w:r>
      <w:r>
        <w:rPr>
          <w:noProof/>
        </w:rPr>
        <w:tab/>
      </w:r>
      <w:r w:rsidR="00FA7D99">
        <w:rPr>
          <w:noProof/>
        </w:rPr>
        <w:fldChar w:fldCharType="begin"/>
      </w:r>
      <w:r>
        <w:rPr>
          <w:noProof/>
        </w:rPr>
        <w:instrText xml:space="preserve"> PAGEREF _Toc289164601 \h </w:instrText>
      </w:r>
      <w:r w:rsidR="00FA7D99">
        <w:rPr>
          <w:noProof/>
        </w:rPr>
      </w:r>
      <w:r w:rsidR="00FA7D99">
        <w:rPr>
          <w:noProof/>
        </w:rPr>
        <w:fldChar w:fldCharType="separate"/>
      </w:r>
      <w:r w:rsidR="00F8674A">
        <w:rPr>
          <w:noProof/>
        </w:rPr>
        <w:t>3</w:t>
      </w:r>
      <w:r w:rsidR="00FA7D99">
        <w:rPr>
          <w:noProof/>
        </w:rPr>
        <w:fldChar w:fldCharType="end"/>
      </w:r>
    </w:p>
    <w:p w:rsidR="00A41E84" w:rsidRDefault="00A41E84">
      <w:pPr>
        <w:pStyle w:val="TOC1"/>
        <w:rPr>
          <w:rFonts w:asciiTheme="minorHAnsi" w:eastAsiaTheme="minorEastAsia" w:hAnsiTheme="minorHAnsi" w:cstheme="minorBidi"/>
          <w:noProof/>
          <w:szCs w:val="22"/>
          <w:lang w:eastAsia="en-AU"/>
        </w:rPr>
      </w:pPr>
      <w:r>
        <w:rPr>
          <w:noProof/>
        </w:rPr>
        <w:t>The export of labour services</w:t>
      </w:r>
      <w:r>
        <w:rPr>
          <w:noProof/>
        </w:rPr>
        <w:tab/>
      </w:r>
      <w:r w:rsidR="00FA7D99">
        <w:rPr>
          <w:noProof/>
        </w:rPr>
        <w:fldChar w:fldCharType="begin"/>
      </w:r>
      <w:r>
        <w:rPr>
          <w:noProof/>
        </w:rPr>
        <w:instrText xml:space="preserve"> PAGEREF _Toc289164602 \h </w:instrText>
      </w:r>
      <w:r w:rsidR="00FA7D99">
        <w:rPr>
          <w:noProof/>
        </w:rPr>
      </w:r>
      <w:r w:rsidR="00FA7D99">
        <w:rPr>
          <w:noProof/>
        </w:rPr>
        <w:fldChar w:fldCharType="separate"/>
      </w:r>
      <w:r w:rsidR="00F8674A">
        <w:rPr>
          <w:noProof/>
        </w:rPr>
        <w:t>3</w:t>
      </w:r>
      <w:r w:rsidR="00FA7D99">
        <w:rPr>
          <w:noProof/>
        </w:rPr>
        <w:fldChar w:fldCharType="end"/>
      </w:r>
    </w:p>
    <w:p w:rsidR="00A41E84" w:rsidRDefault="00A41E84">
      <w:pPr>
        <w:pStyle w:val="TOC1"/>
        <w:rPr>
          <w:rFonts w:asciiTheme="minorHAnsi" w:eastAsiaTheme="minorEastAsia" w:hAnsiTheme="minorHAnsi" w:cstheme="minorBidi"/>
          <w:noProof/>
          <w:szCs w:val="22"/>
          <w:lang w:eastAsia="en-AU"/>
        </w:rPr>
      </w:pPr>
      <w:r>
        <w:rPr>
          <w:noProof/>
        </w:rPr>
        <w:t>Final comments</w:t>
      </w:r>
      <w:r>
        <w:rPr>
          <w:noProof/>
        </w:rPr>
        <w:tab/>
      </w:r>
      <w:r w:rsidR="00FA7D99">
        <w:rPr>
          <w:noProof/>
        </w:rPr>
        <w:fldChar w:fldCharType="begin"/>
      </w:r>
      <w:r>
        <w:rPr>
          <w:noProof/>
        </w:rPr>
        <w:instrText xml:space="preserve"> PAGEREF _Toc289164603 \h </w:instrText>
      </w:r>
      <w:r w:rsidR="00FA7D99">
        <w:rPr>
          <w:noProof/>
        </w:rPr>
      </w:r>
      <w:r w:rsidR="00FA7D99">
        <w:rPr>
          <w:noProof/>
        </w:rPr>
        <w:fldChar w:fldCharType="separate"/>
      </w:r>
      <w:r w:rsidR="00F8674A">
        <w:rPr>
          <w:noProof/>
        </w:rPr>
        <w:t>3</w:t>
      </w:r>
      <w:r w:rsidR="00FA7D99">
        <w:rPr>
          <w:noProof/>
        </w:rPr>
        <w:fldChar w:fldCharType="end"/>
      </w:r>
    </w:p>
    <w:p w:rsidR="00A41E84" w:rsidRDefault="00A41E84">
      <w:pPr>
        <w:pStyle w:val="TOC1"/>
        <w:rPr>
          <w:rFonts w:asciiTheme="minorHAnsi" w:eastAsiaTheme="minorEastAsia" w:hAnsiTheme="minorHAnsi" w:cstheme="minorBidi"/>
          <w:noProof/>
          <w:szCs w:val="22"/>
          <w:lang w:eastAsia="en-AU"/>
        </w:rPr>
      </w:pPr>
      <w:r>
        <w:rPr>
          <w:noProof/>
        </w:rPr>
        <w:t>References</w:t>
      </w:r>
      <w:r>
        <w:rPr>
          <w:noProof/>
        </w:rPr>
        <w:tab/>
      </w:r>
      <w:r w:rsidR="00FA7D99">
        <w:rPr>
          <w:noProof/>
        </w:rPr>
        <w:fldChar w:fldCharType="begin"/>
      </w:r>
      <w:r>
        <w:rPr>
          <w:noProof/>
        </w:rPr>
        <w:instrText xml:space="preserve"> PAGEREF _Toc289164604 \h </w:instrText>
      </w:r>
      <w:r w:rsidR="00FA7D99">
        <w:rPr>
          <w:noProof/>
        </w:rPr>
      </w:r>
      <w:r w:rsidR="00FA7D99">
        <w:rPr>
          <w:noProof/>
        </w:rPr>
        <w:fldChar w:fldCharType="separate"/>
      </w:r>
      <w:r w:rsidR="00F8674A">
        <w:rPr>
          <w:noProof/>
        </w:rPr>
        <w:t>3</w:t>
      </w:r>
      <w:r w:rsidR="00FA7D99">
        <w:rPr>
          <w:noProof/>
        </w:rPr>
        <w:fldChar w:fldCharType="end"/>
      </w:r>
    </w:p>
    <w:p w:rsidR="00C2187C" w:rsidRDefault="00FA7D99">
      <w:pPr>
        <w:pStyle w:val="TOC1"/>
      </w:pPr>
      <w:r>
        <w:fldChar w:fldCharType="end"/>
      </w:r>
    </w:p>
    <w:p w:rsidR="007106BC" w:rsidRDefault="00C2187C">
      <w:pPr>
        <w:pStyle w:val="Heading1"/>
      </w:pPr>
      <w:r>
        <w:br w:type="page"/>
      </w:r>
      <w:bookmarkStart w:id="7" w:name="_Toc457122463"/>
      <w:r w:rsidR="007106BC">
        <w:lastRenderedPageBreak/>
        <w:br/>
      </w:r>
      <w:r w:rsidR="007106BC">
        <w:br/>
      </w:r>
      <w:bookmarkStart w:id="8" w:name="_Toc289164596"/>
      <w:r w:rsidR="007106BC">
        <w:t>Tables and figures</w:t>
      </w:r>
      <w:bookmarkEnd w:id="8"/>
    </w:p>
    <w:p w:rsidR="00A41E84" w:rsidRDefault="00FA7D99" w:rsidP="00202B82">
      <w:pPr>
        <w:pStyle w:val="Heading3"/>
        <w:spacing w:before="440"/>
        <w:ind w:left="2268"/>
        <w:rPr>
          <w:noProof/>
        </w:rPr>
      </w:pPr>
      <w:r w:rsidRPr="00FA7D99">
        <w:fldChar w:fldCharType="begin"/>
      </w:r>
      <w:r w:rsidR="007106BC">
        <w:instrText xml:space="preserve"> TOC \f F \t "tabletitle" \c </w:instrText>
      </w:r>
      <w:r w:rsidRPr="00FA7D99">
        <w:fldChar w:fldCharType="separate"/>
      </w:r>
      <w:r w:rsidR="00A41E84">
        <w:rPr>
          <w:noProof/>
        </w:rPr>
        <w:t>Tables</w:t>
      </w:r>
    </w:p>
    <w:p w:rsidR="00A41E84" w:rsidRDefault="00A41E84">
      <w:pPr>
        <w:pStyle w:val="TableofFigures"/>
        <w:tabs>
          <w:tab w:val="left" w:pos="3125"/>
        </w:tabs>
        <w:rPr>
          <w:rFonts w:asciiTheme="minorHAnsi" w:eastAsiaTheme="minorEastAsia" w:hAnsiTheme="minorHAnsi" w:cstheme="minorBidi"/>
          <w:noProof/>
          <w:szCs w:val="22"/>
          <w:lang w:eastAsia="en-AU"/>
        </w:rPr>
      </w:pPr>
      <w:r>
        <w:rPr>
          <w:noProof/>
        </w:rPr>
        <w:t>1</w:t>
      </w:r>
      <w:r>
        <w:rPr>
          <w:rFonts w:asciiTheme="minorHAnsi" w:eastAsiaTheme="minorEastAsia" w:hAnsiTheme="minorHAnsi" w:cstheme="minorBidi"/>
          <w:noProof/>
          <w:szCs w:val="22"/>
          <w:lang w:eastAsia="en-AU"/>
        </w:rPr>
        <w:tab/>
      </w:r>
      <w:r>
        <w:rPr>
          <w:noProof/>
        </w:rPr>
        <w:t xml:space="preserve">Decomposition of changes in the average number of hours </w:t>
      </w:r>
      <w:r w:rsidR="00202B82">
        <w:rPr>
          <w:noProof/>
        </w:rPr>
        <w:br/>
      </w:r>
      <w:r>
        <w:rPr>
          <w:noProof/>
        </w:rPr>
        <w:t>per head of population, 1993–2003 (people 15–64 years)</w:t>
      </w:r>
      <w:r>
        <w:rPr>
          <w:noProof/>
        </w:rPr>
        <w:tab/>
      </w:r>
      <w:r w:rsidR="00FA7D99">
        <w:rPr>
          <w:noProof/>
        </w:rPr>
        <w:fldChar w:fldCharType="begin"/>
      </w:r>
      <w:r>
        <w:rPr>
          <w:noProof/>
        </w:rPr>
        <w:instrText xml:space="preserve"> PAGEREF _Toc289164657 \h </w:instrText>
      </w:r>
      <w:r w:rsidR="00FA7D99">
        <w:rPr>
          <w:noProof/>
        </w:rPr>
      </w:r>
      <w:r w:rsidR="00FA7D99">
        <w:rPr>
          <w:noProof/>
        </w:rPr>
        <w:fldChar w:fldCharType="separate"/>
      </w:r>
      <w:r w:rsidR="00F8674A">
        <w:rPr>
          <w:noProof/>
        </w:rPr>
        <w:t>3</w:t>
      </w:r>
      <w:r w:rsidR="00FA7D99">
        <w:rPr>
          <w:noProof/>
        </w:rPr>
        <w:fldChar w:fldCharType="end"/>
      </w:r>
    </w:p>
    <w:p w:rsidR="00A41E84" w:rsidRDefault="00A41E84">
      <w:pPr>
        <w:pStyle w:val="TableofFigures"/>
        <w:tabs>
          <w:tab w:val="left" w:pos="3180"/>
        </w:tabs>
        <w:rPr>
          <w:rFonts w:asciiTheme="minorHAnsi" w:eastAsiaTheme="minorEastAsia" w:hAnsiTheme="minorHAnsi" w:cstheme="minorBidi"/>
          <w:noProof/>
          <w:szCs w:val="22"/>
          <w:lang w:eastAsia="en-AU"/>
        </w:rPr>
      </w:pPr>
      <w:r>
        <w:rPr>
          <w:noProof/>
        </w:rPr>
        <w:t xml:space="preserve">2 </w:t>
      </w:r>
      <w:r>
        <w:rPr>
          <w:rFonts w:asciiTheme="minorHAnsi" w:eastAsiaTheme="minorEastAsia" w:hAnsiTheme="minorHAnsi" w:cstheme="minorBidi"/>
          <w:noProof/>
          <w:szCs w:val="22"/>
          <w:lang w:eastAsia="en-AU"/>
        </w:rPr>
        <w:tab/>
      </w:r>
      <w:r>
        <w:rPr>
          <w:noProof/>
        </w:rPr>
        <w:t xml:space="preserve">Average weekly wage by highest post-school qualification </w:t>
      </w:r>
      <w:r w:rsidR="00202B82">
        <w:rPr>
          <w:noProof/>
        </w:rPr>
        <w:br/>
      </w:r>
      <w:r>
        <w:rPr>
          <w:noProof/>
        </w:rPr>
        <w:t>and sex, Australia, 2009</w:t>
      </w:r>
      <w:r>
        <w:rPr>
          <w:noProof/>
        </w:rPr>
        <w:tab/>
      </w:r>
      <w:r w:rsidR="00FA7D99">
        <w:rPr>
          <w:noProof/>
        </w:rPr>
        <w:fldChar w:fldCharType="begin"/>
      </w:r>
      <w:r>
        <w:rPr>
          <w:noProof/>
        </w:rPr>
        <w:instrText xml:space="preserve"> PAGEREF _Toc289164658 \h </w:instrText>
      </w:r>
      <w:r w:rsidR="00FA7D99">
        <w:rPr>
          <w:noProof/>
        </w:rPr>
      </w:r>
      <w:r w:rsidR="00FA7D99">
        <w:rPr>
          <w:noProof/>
        </w:rPr>
        <w:fldChar w:fldCharType="separate"/>
      </w:r>
      <w:r w:rsidR="00F8674A">
        <w:rPr>
          <w:noProof/>
        </w:rPr>
        <w:t>3</w:t>
      </w:r>
      <w:r w:rsidR="00FA7D99">
        <w:rPr>
          <w:noProof/>
        </w:rPr>
        <w:fldChar w:fldCharType="end"/>
      </w:r>
    </w:p>
    <w:p w:rsidR="00A41E84" w:rsidRDefault="00A41E84">
      <w:pPr>
        <w:pStyle w:val="TableofFigures"/>
        <w:tabs>
          <w:tab w:val="left" w:pos="3125"/>
        </w:tabs>
        <w:rPr>
          <w:rFonts w:asciiTheme="minorHAnsi" w:eastAsiaTheme="minorEastAsia" w:hAnsiTheme="minorHAnsi" w:cstheme="minorBidi"/>
          <w:noProof/>
          <w:szCs w:val="22"/>
          <w:lang w:eastAsia="en-AU"/>
        </w:rPr>
      </w:pPr>
      <w:r>
        <w:rPr>
          <w:noProof/>
        </w:rPr>
        <w:t>3</w:t>
      </w:r>
      <w:r>
        <w:rPr>
          <w:rFonts w:asciiTheme="minorHAnsi" w:eastAsiaTheme="minorEastAsia" w:hAnsiTheme="minorHAnsi" w:cstheme="minorBidi"/>
          <w:noProof/>
          <w:szCs w:val="22"/>
          <w:lang w:eastAsia="en-AU"/>
        </w:rPr>
        <w:tab/>
      </w:r>
      <w:r>
        <w:rPr>
          <w:noProof/>
        </w:rPr>
        <w:t>The ‘demographic dividend’ for selected countries, 2010–50</w:t>
      </w:r>
      <w:r>
        <w:rPr>
          <w:noProof/>
        </w:rPr>
        <w:tab/>
      </w:r>
      <w:r w:rsidR="00FA7D99">
        <w:rPr>
          <w:noProof/>
        </w:rPr>
        <w:fldChar w:fldCharType="begin"/>
      </w:r>
      <w:r>
        <w:rPr>
          <w:noProof/>
        </w:rPr>
        <w:instrText xml:space="preserve"> PAGEREF _Toc289164659 \h </w:instrText>
      </w:r>
      <w:r w:rsidR="00FA7D99">
        <w:rPr>
          <w:noProof/>
        </w:rPr>
      </w:r>
      <w:r w:rsidR="00FA7D99">
        <w:rPr>
          <w:noProof/>
        </w:rPr>
        <w:fldChar w:fldCharType="separate"/>
      </w:r>
      <w:r w:rsidR="00F8674A">
        <w:rPr>
          <w:noProof/>
        </w:rPr>
        <w:t>3</w:t>
      </w:r>
      <w:r w:rsidR="00FA7D99">
        <w:rPr>
          <w:noProof/>
        </w:rPr>
        <w:fldChar w:fldCharType="end"/>
      </w:r>
    </w:p>
    <w:p w:rsidR="00A41E84" w:rsidRDefault="00A41E84">
      <w:pPr>
        <w:pStyle w:val="TableofFigures"/>
        <w:tabs>
          <w:tab w:val="left" w:pos="3125"/>
        </w:tabs>
        <w:rPr>
          <w:rFonts w:asciiTheme="minorHAnsi" w:eastAsiaTheme="minorEastAsia" w:hAnsiTheme="minorHAnsi" w:cstheme="minorBidi"/>
          <w:noProof/>
          <w:szCs w:val="22"/>
          <w:lang w:eastAsia="en-AU"/>
        </w:rPr>
      </w:pPr>
      <w:r>
        <w:rPr>
          <w:noProof/>
        </w:rPr>
        <w:t>4</w:t>
      </w:r>
      <w:r>
        <w:rPr>
          <w:rFonts w:asciiTheme="minorHAnsi" w:eastAsiaTheme="minorEastAsia" w:hAnsiTheme="minorHAnsi" w:cstheme="minorBidi"/>
          <w:noProof/>
          <w:szCs w:val="22"/>
          <w:lang w:eastAsia="en-AU"/>
        </w:rPr>
        <w:tab/>
      </w:r>
      <w:r>
        <w:rPr>
          <w:noProof/>
        </w:rPr>
        <w:t>Life expectancy at 40 years, selected countries, 1990 and 2008</w:t>
      </w:r>
      <w:r>
        <w:rPr>
          <w:noProof/>
        </w:rPr>
        <w:tab/>
      </w:r>
      <w:r w:rsidR="00FA7D99">
        <w:rPr>
          <w:noProof/>
        </w:rPr>
        <w:fldChar w:fldCharType="begin"/>
      </w:r>
      <w:r>
        <w:rPr>
          <w:noProof/>
        </w:rPr>
        <w:instrText xml:space="preserve"> PAGEREF _Toc289164660 \h </w:instrText>
      </w:r>
      <w:r w:rsidR="00FA7D99">
        <w:rPr>
          <w:noProof/>
        </w:rPr>
      </w:r>
      <w:r w:rsidR="00FA7D99">
        <w:rPr>
          <w:noProof/>
        </w:rPr>
        <w:fldChar w:fldCharType="separate"/>
      </w:r>
      <w:r w:rsidR="00F8674A">
        <w:rPr>
          <w:noProof/>
        </w:rPr>
        <w:t>3</w:t>
      </w:r>
      <w:r w:rsidR="00FA7D99">
        <w:rPr>
          <w:noProof/>
        </w:rPr>
        <w:fldChar w:fldCharType="end"/>
      </w:r>
    </w:p>
    <w:p w:rsidR="00A41E84" w:rsidRDefault="00FA7D99" w:rsidP="00202B82">
      <w:pPr>
        <w:pStyle w:val="Heading3"/>
        <w:ind w:left="2268"/>
        <w:rPr>
          <w:noProof/>
        </w:rPr>
      </w:pPr>
      <w:r>
        <w:rPr>
          <w:sz w:val="20"/>
        </w:rPr>
        <w:fldChar w:fldCharType="end"/>
      </w:r>
      <w:r w:rsidRPr="00FA7D99">
        <w:fldChar w:fldCharType="begin"/>
      </w:r>
      <w:r w:rsidR="007106BC">
        <w:instrText xml:space="preserve"> TOC \t "Figuretitle" \c </w:instrText>
      </w:r>
      <w:r w:rsidRPr="00FA7D99">
        <w:fldChar w:fldCharType="separate"/>
      </w:r>
      <w:r w:rsidR="00A41E84">
        <w:rPr>
          <w:noProof/>
        </w:rPr>
        <w:t>Figures</w:t>
      </w:r>
    </w:p>
    <w:p w:rsidR="00A41E84" w:rsidRDefault="00A41E84">
      <w:pPr>
        <w:pStyle w:val="TableofFigures"/>
        <w:tabs>
          <w:tab w:val="left" w:pos="3192"/>
        </w:tabs>
        <w:rPr>
          <w:rFonts w:asciiTheme="minorHAnsi" w:eastAsiaTheme="minorEastAsia" w:hAnsiTheme="minorHAnsi" w:cstheme="minorBidi"/>
          <w:noProof/>
          <w:szCs w:val="22"/>
          <w:lang w:eastAsia="en-AU"/>
        </w:rPr>
      </w:pPr>
      <w:r>
        <w:rPr>
          <w:noProof/>
        </w:rPr>
        <w:t>1</w:t>
      </w:r>
      <w:r>
        <w:rPr>
          <w:rFonts w:asciiTheme="minorHAnsi" w:eastAsiaTheme="minorEastAsia" w:hAnsiTheme="minorHAnsi" w:cstheme="minorBidi"/>
          <w:noProof/>
          <w:szCs w:val="22"/>
          <w:lang w:eastAsia="en-AU"/>
        </w:rPr>
        <w:tab/>
      </w:r>
      <w:r>
        <w:rPr>
          <w:noProof/>
        </w:rPr>
        <w:t>Population pyramids: age and sex distribution, 2000 and 2050</w:t>
      </w:r>
      <w:r>
        <w:rPr>
          <w:noProof/>
        </w:rPr>
        <w:tab/>
      </w:r>
      <w:r w:rsidR="00FA7D99">
        <w:rPr>
          <w:noProof/>
        </w:rPr>
        <w:fldChar w:fldCharType="begin"/>
      </w:r>
      <w:r>
        <w:rPr>
          <w:noProof/>
        </w:rPr>
        <w:instrText xml:space="preserve"> PAGEREF _Toc289164666 \h </w:instrText>
      </w:r>
      <w:r w:rsidR="00FA7D99">
        <w:rPr>
          <w:noProof/>
        </w:rPr>
      </w:r>
      <w:r w:rsidR="00FA7D99">
        <w:rPr>
          <w:noProof/>
        </w:rPr>
        <w:fldChar w:fldCharType="separate"/>
      </w:r>
      <w:r w:rsidR="00F8674A">
        <w:rPr>
          <w:noProof/>
        </w:rPr>
        <w:t>3</w:t>
      </w:r>
      <w:r w:rsidR="00FA7D99">
        <w:rPr>
          <w:noProof/>
        </w:rPr>
        <w:fldChar w:fldCharType="end"/>
      </w:r>
    </w:p>
    <w:p w:rsidR="00A41E84" w:rsidRDefault="00A41E84">
      <w:pPr>
        <w:pStyle w:val="TableofFigures"/>
        <w:tabs>
          <w:tab w:val="left" w:pos="3192"/>
        </w:tabs>
        <w:rPr>
          <w:rFonts w:asciiTheme="minorHAnsi" w:eastAsiaTheme="minorEastAsia" w:hAnsiTheme="minorHAnsi" w:cstheme="minorBidi"/>
          <w:noProof/>
          <w:szCs w:val="22"/>
          <w:lang w:eastAsia="en-AU"/>
        </w:rPr>
      </w:pPr>
      <w:r>
        <w:rPr>
          <w:noProof/>
        </w:rPr>
        <w:t>2</w:t>
      </w:r>
      <w:r>
        <w:rPr>
          <w:rFonts w:asciiTheme="minorHAnsi" w:eastAsiaTheme="minorEastAsia" w:hAnsiTheme="minorHAnsi" w:cstheme="minorBidi"/>
          <w:noProof/>
          <w:szCs w:val="22"/>
          <w:lang w:eastAsia="en-AU"/>
        </w:rPr>
        <w:tab/>
      </w:r>
      <w:r>
        <w:rPr>
          <w:noProof/>
        </w:rPr>
        <w:t xml:space="preserve">Impact of educational level on employment of older people, </w:t>
      </w:r>
      <w:r w:rsidR="00202B82">
        <w:rPr>
          <w:noProof/>
        </w:rPr>
        <w:br/>
      </w:r>
      <w:r>
        <w:rPr>
          <w:noProof/>
        </w:rPr>
        <w:t xml:space="preserve">2001: educational attainment of postgraduate degree or </w:t>
      </w:r>
      <w:r w:rsidR="00202B82">
        <w:rPr>
          <w:noProof/>
        </w:rPr>
        <w:br/>
      </w:r>
      <w:r>
        <w:rPr>
          <w:noProof/>
        </w:rPr>
        <w:t>graduate diploma or certificate and Year 9 or less</w:t>
      </w:r>
      <w:r>
        <w:rPr>
          <w:noProof/>
        </w:rPr>
        <w:tab/>
      </w:r>
      <w:r w:rsidR="00FA7D99">
        <w:rPr>
          <w:noProof/>
        </w:rPr>
        <w:fldChar w:fldCharType="begin"/>
      </w:r>
      <w:r>
        <w:rPr>
          <w:noProof/>
        </w:rPr>
        <w:instrText xml:space="preserve"> PAGEREF _Toc289164667 \h </w:instrText>
      </w:r>
      <w:r w:rsidR="00FA7D99">
        <w:rPr>
          <w:noProof/>
        </w:rPr>
      </w:r>
      <w:r w:rsidR="00FA7D99">
        <w:rPr>
          <w:noProof/>
        </w:rPr>
        <w:fldChar w:fldCharType="separate"/>
      </w:r>
      <w:r w:rsidR="00F8674A">
        <w:rPr>
          <w:noProof/>
        </w:rPr>
        <w:t>3</w:t>
      </w:r>
      <w:r w:rsidR="00FA7D99">
        <w:rPr>
          <w:noProof/>
        </w:rPr>
        <w:fldChar w:fldCharType="end"/>
      </w:r>
    </w:p>
    <w:p w:rsidR="00A41E84" w:rsidRDefault="00A41E84">
      <w:pPr>
        <w:pStyle w:val="TableofFigures"/>
        <w:tabs>
          <w:tab w:val="left" w:pos="3192"/>
        </w:tabs>
        <w:rPr>
          <w:rFonts w:asciiTheme="minorHAnsi" w:eastAsiaTheme="minorEastAsia" w:hAnsiTheme="minorHAnsi" w:cstheme="minorBidi"/>
          <w:noProof/>
          <w:szCs w:val="22"/>
          <w:lang w:eastAsia="en-AU"/>
        </w:rPr>
      </w:pPr>
      <w:r>
        <w:rPr>
          <w:noProof/>
        </w:rPr>
        <w:t>3</w:t>
      </w:r>
      <w:r>
        <w:rPr>
          <w:rFonts w:asciiTheme="minorHAnsi" w:eastAsiaTheme="minorEastAsia" w:hAnsiTheme="minorHAnsi" w:cstheme="minorBidi"/>
          <w:noProof/>
          <w:szCs w:val="22"/>
          <w:lang w:eastAsia="en-AU"/>
        </w:rPr>
        <w:tab/>
      </w:r>
      <w:r>
        <w:rPr>
          <w:noProof/>
        </w:rPr>
        <w:t xml:space="preserve">Impact of timing of qualifications on employment rates of </w:t>
      </w:r>
      <w:r w:rsidR="00202B82">
        <w:rPr>
          <w:noProof/>
        </w:rPr>
        <w:br/>
      </w:r>
      <w:r>
        <w:rPr>
          <w:noProof/>
        </w:rPr>
        <w:t>older workers</w:t>
      </w:r>
      <w:r>
        <w:rPr>
          <w:noProof/>
        </w:rPr>
        <w:tab/>
      </w:r>
      <w:r w:rsidR="00FA7D99">
        <w:rPr>
          <w:noProof/>
        </w:rPr>
        <w:fldChar w:fldCharType="begin"/>
      </w:r>
      <w:r>
        <w:rPr>
          <w:noProof/>
        </w:rPr>
        <w:instrText xml:space="preserve"> PAGEREF _Toc289164668 \h </w:instrText>
      </w:r>
      <w:r w:rsidR="00FA7D99">
        <w:rPr>
          <w:noProof/>
        </w:rPr>
      </w:r>
      <w:r w:rsidR="00FA7D99">
        <w:rPr>
          <w:noProof/>
        </w:rPr>
        <w:fldChar w:fldCharType="separate"/>
      </w:r>
      <w:r w:rsidR="00F8674A">
        <w:rPr>
          <w:noProof/>
        </w:rPr>
        <w:t>3</w:t>
      </w:r>
      <w:r w:rsidR="00FA7D99">
        <w:rPr>
          <w:noProof/>
        </w:rPr>
        <w:fldChar w:fldCharType="end"/>
      </w:r>
    </w:p>
    <w:p w:rsidR="00A41E84" w:rsidRDefault="00A41E84" w:rsidP="00202B82">
      <w:pPr>
        <w:pStyle w:val="TableofFigures"/>
        <w:tabs>
          <w:tab w:val="left" w:pos="3281"/>
        </w:tabs>
        <w:rPr>
          <w:rFonts w:asciiTheme="minorHAnsi" w:eastAsiaTheme="minorEastAsia" w:hAnsiTheme="minorHAnsi" w:cstheme="minorBidi"/>
          <w:noProof/>
          <w:szCs w:val="22"/>
          <w:lang w:eastAsia="en-AU"/>
        </w:rPr>
      </w:pPr>
      <w:r>
        <w:rPr>
          <w:noProof/>
        </w:rPr>
        <w:t>4a</w:t>
      </w:r>
      <w:r>
        <w:rPr>
          <w:rFonts w:asciiTheme="minorHAnsi" w:eastAsiaTheme="minorEastAsia" w:hAnsiTheme="minorHAnsi" w:cstheme="minorBidi"/>
          <w:noProof/>
          <w:szCs w:val="22"/>
          <w:lang w:eastAsia="en-AU"/>
        </w:rPr>
        <w:tab/>
      </w:r>
      <w:r>
        <w:rPr>
          <w:noProof/>
        </w:rPr>
        <w:t>Educational participation by age, males, Australia, 2009</w:t>
      </w:r>
      <w:r>
        <w:rPr>
          <w:noProof/>
        </w:rPr>
        <w:tab/>
      </w:r>
      <w:r w:rsidR="00FA7D99">
        <w:rPr>
          <w:noProof/>
        </w:rPr>
        <w:fldChar w:fldCharType="begin"/>
      </w:r>
      <w:r>
        <w:rPr>
          <w:noProof/>
        </w:rPr>
        <w:instrText xml:space="preserve"> PAGEREF _Toc289164669 \h </w:instrText>
      </w:r>
      <w:r w:rsidR="00FA7D99">
        <w:rPr>
          <w:noProof/>
        </w:rPr>
      </w:r>
      <w:r w:rsidR="00FA7D99">
        <w:rPr>
          <w:noProof/>
        </w:rPr>
        <w:fldChar w:fldCharType="separate"/>
      </w:r>
      <w:r w:rsidR="00F8674A">
        <w:rPr>
          <w:noProof/>
        </w:rPr>
        <w:t>3</w:t>
      </w:r>
      <w:r w:rsidR="00FA7D99">
        <w:rPr>
          <w:noProof/>
        </w:rPr>
        <w:fldChar w:fldCharType="end"/>
      </w:r>
    </w:p>
    <w:p w:rsidR="00A41E84" w:rsidRDefault="00A41E84" w:rsidP="00202B82">
      <w:pPr>
        <w:pStyle w:val="TableofFigures"/>
        <w:tabs>
          <w:tab w:val="left" w:pos="3304"/>
        </w:tabs>
        <w:rPr>
          <w:rFonts w:asciiTheme="minorHAnsi" w:eastAsiaTheme="minorEastAsia" w:hAnsiTheme="minorHAnsi" w:cstheme="minorBidi"/>
          <w:noProof/>
          <w:szCs w:val="22"/>
          <w:lang w:eastAsia="en-AU"/>
        </w:rPr>
      </w:pPr>
      <w:r>
        <w:rPr>
          <w:noProof/>
        </w:rPr>
        <w:t>4b</w:t>
      </w:r>
      <w:r>
        <w:rPr>
          <w:rFonts w:asciiTheme="minorHAnsi" w:eastAsiaTheme="minorEastAsia" w:hAnsiTheme="minorHAnsi" w:cstheme="minorBidi"/>
          <w:noProof/>
          <w:szCs w:val="22"/>
          <w:lang w:eastAsia="en-AU"/>
        </w:rPr>
        <w:tab/>
      </w:r>
      <w:r>
        <w:rPr>
          <w:noProof/>
        </w:rPr>
        <w:t>Educational participation by age, females, Australia, 2009</w:t>
      </w:r>
      <w:r>
        <w:rPr>
          <w:noProof/>
        </w:rPr>
        <w:tab/>
      </w:r>
      <w:r w:rsidR="00FA7D99">
        <w:rPr>
          <w:noProof/>
        </w:rPr>
        <w:fldChar w:fldCharType="begin"/>
      </w:r>
      <w:r>
        <w:rPr>
          <w:noProof/>
        </w:rPr>
        <w:instrText xml:space="preserve"> PAGEREF _Toc289164671 \h </w:instrText>
      </w:r>
      <w:r w:rsidR="00FA7D99">
        <w:rPr>
          <w:noProof/>
        </w:rPr>
      </w:r>
      <w:r w:rsidR="00FA7D99">
        <w:rPr>
          <w:noProof/>
        </w:rPr>
        <w:fldChar w:fldCharType="separate"/>
      </w:r>
      <w:r w:rsidR="00F8674A">
        <w:rPr>
          <w:noProof/>
        </w:rPr>
        <w:t>3</w:t>
      </w:r>
      <w:r w:rsidR="00FA7D99">
        <w:rPr>
          <w:noProof/>
        </w:rPr>
        <w:fldChar w:fldCharType="end"/>
      </w:r>
    </w:p>
    <w:p w:rsidR="00A41E84" w:rsidRDefault="00A41E84" w:rsidP="00202B82">
      <w:pPr>
        <w:pStyle w:val="TableofFigures"/>
        <w:tabs>
          <w:tab w:val="left" w:pos="3192"/>
        </w:tabs>
        <w:rPr>
          <w:rFonts w:asciiTheme="minorHAnsi" w:eastAsiaTheme="minorEastAsia" w:hAnsiTheme="minorHAnsi" w:cstheme="minorBidi"/>
          <w:noProof/>
          <w:szCs w:val="22"/>
          <w:lang w:eastAsia="en-AU"/>
        </w:rPr>
      </w:pPr>
      <w:r>
        <w:rPr>
          <w:noProof/>
        </w:rPr>
        <w:t>5</w:t>
      </w:r>
      <w:r>
        <w:rPr>
          <w:rFonts w:asciiTheme="minorHAnsi" w:eastAsiaTheme="minorEastAsia" w:hAnsiTheme="minorHAnsi" w:cstheme="minorBidi"/>
          <w:noProof/>
          <w:szCs w:val="22"/>
          <w:lang w:eastAsia="en-AU"/>
        </w:rPr>
        <w:tab/>
      </w:r>
      <w:r>
        <w:rPr>
          <w:noProof/>
        </w:rPr>
        <w:t xml:space="preserve">Net present value of $100 per annum against years since </w:t>
      </w:r>
      <w:r w:rsidR="00202B82">
        <w:rPr>
          <w:noProof/>
        </w:rPr>
        <w:br/>
      </w:r>
      <w:r>
        <w:rPr>
          <w:noProof/>
        </w:rPr>
        <w:t>investment</w:t>
      </w:r>
      <w:r>
        <w:rPr>
          <w:noProof/>
        </w:rPr>
        <w:tab/>
      </w:r>
      <w:r w:rsidR="00FA7D99">
        <w:rPr>
          <w:noProof/>
        </w:rPr>
        <w:fldChar w:fldCharType="begin"/>
      </w:r>
      <w:r>
        <w:rPr>
          <w:noProof/>
        </w:rPr>
        <w:instrText xml:space="preserve"> PAGEREF _Toc289164673 \h </w:instrText>
      </w:r>
      <w:r w:rsidR="00FA7D99">
        <w:rPr>
          <w:noProof/>
        </w:rPr>
      </w:r>
      <w:r w:rsidR="00FA7D99">
        <w:rPr>
          <w:noProof/>
        </w:rPr>
        <w:fldChar w:fldCharType="separate"/>
      </w:r>
      <w:r w:rsidR="00F8674A">
        <w:rPr>
          <w:noProof/>
        </w:rPr>
        <w:t>3</w:t>
      </w:r>
      <w:r w:rsidR="00FA7D99">
        <w:rPr>
          <w:noProof/>
        </w:rPr>
        <w:fldChar w:fldCharType="end"/>
      </w:r>
    </w:p>
    <w:p w:rsidR="00A41E84" w:rsidRDefault="00A41E84">
      <w:pPr>
        <w:pStyle w:val="TableofFigures"/>
        <w:tabs>
          <w:tab w:val="left" w:pos="3192"/>
        </w:tabs>
        <w:rPr>
          <w:rFonts w:asciiTheme="minorHAnsi" w:eastAsiaTheme="minorEastAsia" w:hAnsiTheme="minorHAnsi" w:cstheme="minorBidi"/>
          <w:noProof/>
          <w:szCs w:val="22"/>
          <w:lang w:eastAsia="en-AU"/>
        </w:rPr>
      </w:pPr>
      <w:r>
        <w:rPr>
          <w:noProof/>
        </w:rPr>
        <w:t>6</w:t>
      </w:r>
      <w:r>
        <w:rPr>
          <w:rFonts w:asciiTheme="minorHAnsi" w:eastAsiaTheme="minorEastAsia" w:hAnsiTheme="minorHAnsi" w:cstheme="minorBidi"/>
          <w:noProof/>
          <w:szCs w:val="22"/>
          <w:lang w:eastAsia="en-AU"/>
        </w:rPr>
        <w:tab/>
      </w:r>
      <w:r>
        <w:rPr>
          <w:noProof/>
        </w:rPr>
        <w:t xml:space="preserve">Asia: remittances in $US and as a share of GDP by country, </w:t>
      </w:r>
      <w:r w:rsidR="00202B82">
        <w:rPr>
          <w:noProof/>
        </w:rPr>
        <w:br/>
      </w:r>
      <w:r>
        <w:rPr>
          <w:noProof/>
        </w:rPr>
        <w:t>2004</w:t>
      </w:r>
      <w:r w:rsidR="00202B82">
        <w:rPr>
          <w:noProof/>
        </w:rPr>
        <w:tab/>
      </w:r>
      <w:r>
        <w:rPr>
          <w:noProof/>
        </w:rPr>
        <w:tab/>
      </w:r>
      <w:r w:rsidR="00FA7D99">
        <w:rPr>
          <w:noProof/>
        </w:rPr>
        <w:fldChar w:fldCharType="begin"/>
      </w:r>
      <w:r>
        <w:rPr>
          <w:noProof/>
        </w:rPr>
        <w:instrText xml:space="preserve"> PAGEREF _Toc289164675 \h </w:instrText>
      </w:r>
      <w:r w:rsidR="00FA7D99">
        <w:rPr>
          <w:noProof/>
        </w:rPr>
      </w:r>
      <w:r w:rsidR="00FA7D99">
        <w:rPr>
          <w:noProof/>
        </w:rPr>
        <w:fldChar w:fldCharType="separate"/>
      </w:r>
      <w:r w:rsidR="00F8674A">
        <w:rPr>
          <w:noProof/>
        </w:rPr>
        <w:t>3</w:t>
      </w:r>
      <w:r w:rsidR="00FA7D99">
        <w:rPr>
          <w:noProof/>
        </w:rPr>
        <w:fldChar w:fldCharType="end"/>
      </w:r>
    </w:p>
    <w:p w:rsidR="00C2187C" w:rsidRDefault="00FA7D99" w:rsidP="004D27A8">
      <w:pPr>
        <w:pStyle w:val="Text"/>
        <w:tabs>
          <w:tab w:val="center" w:pos="4536"/>
        </w:tabs>
      </w:pPr>
      <w:r>
        <w:fldChar w:fldCharType="end"/>
      </w:r>
    </w:p>
    <w:p w:rsidR="007106BC" w:rsidRDefault="00C2187C" w:rsidP="00CA68D4">
      <w:pPr>
        <w:pStyle w:val="Heading1"/>
      </w:pPr>
      <w:r>
        <w:br w:type="page"/>
      </w:r>
      <w:bookmarkEnd w:id="7"/>
      <w:r w:rsidR="00176437">
        <w:lastRenderedPageBreak/>
        <w:br/>
      </w:r>
      <w:r w:rsidR="00176437">
        <w:br/>
      </w:r>
      <w:bookmarkStart w:id="9" w:name="_Toc289164597"/>
      <w:r w:rsidR="00B66609" w:rsidRPr="00CA68D4">
        <w:t>Introduction</w:t>
      </w:r>
      <w:r w:rsidR="004E62C7" w:rsidRPr="00CA68D4">
        <w:rPr>
          <w:vertAlign w:val="superscript"/>
        </w:rPr>
        <w:footnoteReference w:id="1"/>
      </w:r>
      <w:bookmarkEnd w:id="9"/>
    </w:p>
    <w:p w:rsidR="00C85B17" w:rsidRDefault="00C85B17" w:rsidP="00970502">
      <w:pPr>
        <w:pStyle w:val="text0"/>
        <w:spacing w:before="440"/>
      </w:pPr>
      <w:r>
        <w:t xml:space="preserve">When I began to think about the topic it was not clear to me that there was an obvious link between demographic change and lifelong learning. There is no doubt that demographic change is one of the big </w:t>
      </w:r>
      <w:r w:rsidR="00FC5C4C">
        <w:t>structural</w:t>
      </w:r>
      <w:r>
        <w:t xml:space="preserve"> changes facing our </w:t>
      </w:r>
      <w:r w:rsidR="00FC5C4C">
        <w:t>economics</w:t>
      </w:r>
      <w:r>
        <w:t xml:space="preserve"> </w:t>
      </w:r>
      <w:r w:rsidR="008E3933">
        <w:t>and labour markets. Many policy-</w:t>
      </w:r>
      <w:r>
        <w:t xml:space="preserve">makers emphasise the importance of lifelong learning. But what is the link between </w:t>
      </w:r>
      <w:r w:rsidR="000052EC">
        <w:t>demographic change and lifelong learning?</w:t>
      </w:r>
    </w:p>
    <w:p w:rsidR="00721FCB" w:rsidRDefault="00C85B17" w:rsidP="00970502">
      <w:pPr>
        <w:pStyle w:val="text0"/>
      </w:pPr>
      <w:r>
        <w:t xml:space="preserve">In this presentation, I first make the point that </w:t>
      </w:r>
      <w:r w:rsidR="00FC5C4C">
        <w:t>demographic</w:t>
      </w:r>
      <w:r>
        <w:t xml:space="preserve"> change in the modern world is </w:t>
      </w:r>
      <w:r w:rsidR="00FC5C4C">
        <w:t>synonymous</w:t>
      </w:r>
      <w:r w:rsidR="008E3933">
        <w:t xml:space="preserve"> with an ageing population. </w:t>
      </w:r>
      <w:r>
        <w:t xml:space="preserve">I suggest that there are four implications of an ageing population that are worth exploring. </w:t>
      </w:r>
      <w:r w:rsidR="00990DA1">
        <w:t>The first is that inevitably an ageing population will mean that, if we are to maintain increases in living standards, we need to improve labour force participation and productivity, and education is a key driver of this. The second is that the ageing population will provide a ‘demographic dividend’ because there will be fewer young people who need to be schooled (relative to the working population). The third is that increasing life expectancy changes the arithmetic of the return to investments in human capital. The final implication is that ageing populations in developed countries will increase the return to labour</w:t>
      </w:r>
      <w:r w:rsidR="00BD028F">
        <w:t xml:space="preserve"> (that is, the ageing of the population will increase wages relative to returns on investments) </w:t>
      </w:r>
      <w:r w:rsidR="00990DA1">
        <w:t xml:space="preserve">and this provides a golden opportunity for developing countries </w:t>
      </w:r>
      <w:r w:rsidR="004E62C7">
        <w:t>to</w:t>
      </w:r>
      <w:r w:rsidR="00990DA1">
        <w:t xml:space="preserve"> export labour</w:t>
      </w:r>
      <w:r w:rsidR="004E62C7">
        <w:t>.</w:t>
      </w:r>
    </w:p>
    <w:p w:rsidR="00721FCB" w:rsidRDefault="00721FCB" w:rsidP="00970502">
      <w:pPr>
        <w:pStyle w:val="text0"/>
      </w:pPr>
      <w:r>
        <w:t xml:space="preserve">I will address each of these in turn, but first I provide a very quick picture of the </w:t>
      </w:r>
      <w:r w:rsidR="00FC5C4C">
        <w:t>demographic</w:t>
      </w:r>
      <w:r>
        <w:t xml:space="preserve"> change</w:t>
      </w:r>
      <w:r w:rsidR="004E62C7">
        <w:t xml:space="preserve"> over the next 40 years</w:t>
      </w:r>
      <w:r>
        <w:t>. I end with a few final comments.</w:t>
      </w:r>
    </w:p>
    <w:p w:rsidR="00FC5C4C" w:rsidRDefault="00FC5C4C">
      <w:pPr>
        <w:spacing w:before="0"/>
        <w:rPr>
          <w:kern w:val="28"/>
          <w:sz w:val="60"/>
        </w:rPr>
      </w:pPr>
      <w:r>
        <w:br w:type="page"/>
      </w:r>
    </w:p>
    <w:p w:rsidR="00721FCB" w:rsidRDefault="00176437" w:rsidP="00CA68D4">
      <w:pPr>
        <w:pStyle w:val="Heading1"/>
      </w:pPr>
      <w:r>
        <w:lastRenderedPageBreak/>
        <w:br/>
      </w:r>
      <w:r>
        <w:br/>
      </w:r>
      <w:bookmarkStart w:id="10" w:name="_Toc289164598"/>
      <w:r w:rsidR="00721FCB">
        <w:t xml:space="preserve">Demographic </w:t>
      </w:r>
      <w:r w:rsidR="00721FCB" w:rsidRPr="00CA68D4">
        <w:t>change</w:t>
      </w:r>
      <w:bookmarkEnd w:id="10"/>
    </w:p>
    <w:p w:rsidR="00721FCB" w:rsidRDefault="00721FCB" w:rsidP="00970502">
      <w:pPr>
        <w:pStyle w:val="text0"/>
        <w:spacing w:before="440"/>
      </w:pPr>
      <w:r>
        <w:t xml:space="preserve">The way that demographic change is usually portrayed is </w:t>
      </w:r>
      <w:r w:rsidR="000052EC">
        <w:t>through</w:t>
      </w:r>
      <w:r>
        <w:t xml:space="preserve"> population pyramids showing how the proportion of the population by age changes</w:t>
      </w:r>
      <w:r w:rsidR="00FC5C4C">
        <w:t xml:space="preserve"> (figure 1</w:t>
      </w:r>
      <w:r>
        <w:t>). The first point to be taken from</w:t>
      </w:r>
      <w:r w:rsidR="006409DA">
        <w:t xml:space="preserve"> the</w:t>
      </w:r>
      <w:r>
        <w:t xml:space="preserve"> figure is that</w:t>
      </w:r>
      <w:r w:rsidR="00741BFB">
        <w:t>,</w:t>
      </w:r>
      <w:r>
        <w:t xml:space="preserve"> while ageing of the population is more pronounced in developed countries and certainly has received more attention, it is also occurring in </w:t>
      </w:r>
      <w:r w:rsidR="00FC5C4C">
        <w:t>developing</w:t>
      </w:r>
      <w:r>
        <w:t xml:space="preserve"> coun</w:t>
      </w:r>
      <w:r w:rsidR="001032D6">
        <w:t>tries. Maclean and Pavlova (2007</w:t>
      </w:r>
      <w:r w:rsidR="00FC5C4C">
        <w:t>) point</w:t>
      </w:r>
      <w:r>
        <w:t xml:space="preserve"> out that ageing poses a serious set of issues for developing countries:</w:t>
      </w:r>
    </w:p>
    <w:p w:rsidR="00721FCB" w:rsidRDefault="00721FCB" w:rsidP="00721FCB">
      <w:pPr>
        <w:pStyle w:val="Quote"/>
      </w:pPr>
      <w:r>
        <w:t xml:space="preserve"> </w:t>
      </w:r>
      <w:proofErr w:type="gramStart"/>
      <w:r>
        <w:t>the</w:t>
      </w:r>
      <w:proofErr w:type="gramEnd"/>
      <w:r>
        <w:t xml:space="preserve"> tempo of ageing in developing countries is more rapid than in developed countries, thus developing countries are likely to have less time than the developed countries to adapt to the consequences of population ageing.</w:t>
      </w:r>
    </w:p>
    <w:p w:rsidR="00721FCB" w:rsidRPr="00CA68D4" w:rsidRDefault="00721FCB" w:rsidP="00970502">
      <w:pPr>
        <w:pStyle w:val="text0"/>
      </w:pPr>
      <w:r>
        <w:t xml:space="preserve">They argue that the ageing of the population in developing countries will have very direct economic consequences. The employable population will shrink in relative terms and older people living at subsistence levels will be particularly vulnerable because of insufficient numbers of young people to support them. Maclean and Pavlova suggest two major objectives to be pursued: training the workforce for self-employment; and raising </w:t>
      </w:r>
      <w:r w:rsidRPr="00CA68D4">
        <w:t xml:space="preserve">the productivity of the informal sector. </w:t>
      </w:r>
    </w:p>
    <w:p w:rsidR="00FC5C4C" w:rsidRPr="00CA68D4" w:rsidRDefault="00721FCB" w:rsidP="00970502">
      <w:pPr>
        <w:pStyle w:val="text0"/>
      </w:pPr>
      <w:r w:rsidRPr="00CA68D4">
        <w:t xml:space="preserve">Even in India ageing is an issue. In the 100 years to 2016 it is expected that India’s population will have increased five times, but the aged population by 13 times. While issues relating to ageing are important, </w:t>
      </w:r>
      <w:proofErr w:type="spellStart"/>
      <w:r w:rsidRPr="00CA68D4">
        <w:t>Rajput</w:t>
      </w:r>
      <w:proofErr w:type="spellEnd"/>
      <w:r w:rsidRPr="00CA68D4">
        <w:t xml:space="preserve"> (2007) argues that, in an Indian context, they are not necessarily the most pressing. Rather, the critical priorities are unemployment among youth and adults, the universalisation of elementary education, and the need to put more emphasis on </w:t>
      </w:r>
      <w:r w:rsidR="008E3933" w:rsidRPr="00CA68D4">
        <w:t>technical and vocational education and training (</w:t>
      </w:r>
      <w:r w:rsidRPr="00CA68D4">
        <w:t>TVET</w:t>
      </w:r>
      <w:r w:rsidR="008E3933" w:rsidRPr="00CA68D4">
        <w:t>)</w:t>
      </w:r>
      <w:r w:rsidRPr="00CA68D4">
        <w:t xml:space="preserve"> rather than on more academic education.</w:t>
      </w:r>
    </w:p>
    <w:p w:rsidR="004E62C7" w:rsidRDefault="004E62C7" w:rsidP="00970502">
      <w:pPr>
        <w:pStyle w:val="text0"/>
      </w:pPr>
      <w:r w:rsidRPr="00CA68D4">
        <w:t>How</w:t>
      </w:r>
      <w:r w:rsidR="008E3933" w:rsidRPr="00CA68D4">
        <w:t xml:space="preserve">ever, the major point remains—the </w:t>
      </w:r>
      <w:r w:rsidRPr="00CA68D4">
        <w:t>ag</w:t>
      </w:r>
      <w:r>
        <w:t>eing of the population is an international phenomenon.</w:t>
      </w:r>
    </w:p>
    <w:p w:rsidR="00FC5C4C" w:rsidRDefault="00FC5C4C">
      <w:pPr>
        <w:spacing w:before="0"/>
      </w:pPr>
      <w:r>
        <w:br w:type="page"/>
      </w:r>
    </w:p>
    <w:p w:rsidR="00FC5C4C" w:rsidRDefault="00FC5C4C" w:rsidP="00CA68D4">
      <w:pPr>
        <w:pStyle w:val="Figuretitle"/>
      </w:pPr>
      <w:bookmarkStart w:id="11" w:name="_Toc289164666"/>
      <w:r>
        <w:lastRenderedPageBreak/>
        <w:t xml:space="preserve">Figure </w:t>
      </w:r>
      <w:r w:rsidR="004E62C7">
        <w:t>1</w:t>
      </w:r>
      <w:r>
        <w:tab/>
        <w:t>Pop</w:t>
      </w:r>
      <w:r w:rsidR="006409DA">
        <w:t>ulation pyramids: a</w:t>
      </w:r>
      <w:r>
        <w:t>ge and sex distribution, 2000 and 2050</w:t>
      </w:r>
      <w:bookmarkEnd w:id="11"/>
    </w:p>
    <w:p w:rsidR="00FC5C4C" w:rsidRDefault="00FA7D99" w:rsidP="003904A0">
      <w:pPr>
        <w:pStyle w:val="Source"/>
        <w:spacing w:before="160"/>
      </w:pPr>
      <w:r w:rsidRPr="00FA7D99">
        <w:rPr>
          <w:noProof/>
          <w:sz w:val="18"/>
        </w:rPr>
        <w:pict>
          <v:group id="_x0000_s1075" style="position:absolute;left:0;text-align:left;margin-left:-1.9pt;margin-top:.55pt;width:415.05pt;height:610.5pt;z-index:251676160" coordorigin="1380,1704" coordsize="8301,12210" o:allowincell="f">
            <v:shape id="_x0000_s1076" type="#_x0000_t75" alt="Age distribution tables illustrating ageing population in 2050." style="position:absolute;left:1380;top:1704;width:8301;height:12210" fillcolor="window">
              <v:imagedata r:id="rId12" o:title="fig1"/>
            </v:shape>
            <v:group id="_x0000_s1077" style="position:absolute;left:2818;top:4668;width:6015;height:9224" coordorigin="2818,4668" coordsize="6015,9224">
              <v:shape id="_x0000_s1078" type="#_x0000_t202" style="position:absolute;left:2818;top:13722;width:1701;height:170" stroked="f">
                <v:textbox style="mso-next-textbox:#_x0000_s1078" inset="0,0,0,0">
                  <w:txbxContent>
                    <w:p w:rsidR="00D74AD3" w:rsidRDefault="00D74AD3" w:rsidP="003904A0">
                      <w:pPr>
                        <w:spacing w:before="0" w:line="240" w:lineRule="auto"/>
                        <w:jc w:val="center"/>
                        <w:rPr>
                          <w:rFonts w:ascii="Arial" w:hAnsi="Arial"/>
                          <w:sz w:val="14"/>
                        </w:rPr>
                      </w:pPr>
                      <w:r>
                        <w:rPr>
                          <w:rFonts w:ascii="Arial" w:hAnsi="Arial"/>
                          <w:sz w:val="14"/>
                        </w:rPr>
                        <w:t>Percentage of population</w:t>
                      </w:r>
                    </w:p>
                  </w:txbxContent>
                </v:textbox>
              </v:shape>
              <v:shape id="_x0000_s1079" type="#_x0000_t202" style="position:absolute;left:7095;top:13711;width:1701;height:170" stroked="f">
                <v:textbox style="mso-next-textbox:#_x0000_s1079" inset="0,0,0,0">
                  <w:txbxContent>
                    <w:p w:rsidR="00D74AD3" w:rsidRDefault="00D74AD3" w:rsidP="003904A0">
                      <w:pPr>
                        <w:spacing w:before="0" w:line="240" w:lineRule="auto"/>
                        <w:jc w:val="center"/>
                        <w:rPr>
                          <w:rFonts w:ascii="Arial" w:hAnsi="Arial"/>
                          <w:sz w:val="14"/>
                        </w:rPr>
                      </w:pPr>
                      <w:r>
                        <w:rPr>
                          <w:rFonts w:ascii="Arial" w:hAnsi="Arial"/>
                          <w:sz w:val="14"/>
                        </w:rPr>
                        <w:t>Percentage of population</w:t>
                      </w:r>
                    </w:p>
                  </w:txbxContent>
                </v:textbox>
              </v:shape>
              <v:shape id="_x0000_s1080" type="#_x0000_t202" style="position:absolute;left:2844;top:10764;width:1701;height:170" stroked="f">
                <v:textbox style="mso-next-textbox:#_x0000_s1080" inset="0,0,0,0">
                  <w:txbxContent>
                    <w:p w:rsidR="00D74AD3" w:rsidRDefault="00D74AD3" w:rsidP="003904A0">
                      <w:pPr>
                        <w:spacing w:before="0" w:line="240" w:lineRule="auto"/>
                        <w:jc w:val="center"/>
                        <w:rPr>
                          <w:rFonts w:ascii="Arial" w:hAnsi="Arial"/>
                          <w:sz w:val="14"/>
                        </w:rPr>
                      </w:pPr>
                      <w:r>
                        <w:rPr>
                          <w:rFonts w:ascii="Arial" w:hAnsi="Arial"/>
                          <w:sz w:val="14"/>
                        </w:rPr>
                        <w:t>Percentage of population</w:t>
                      </w:r>
                    </w:p>
                  </w:txbxContent>
                </v:textbox>
              </v:shape>
              <v:shape id="_x0000_s1081" type="#_x0000_t202" style="position:absolute;left:7132;top:10800;width:1701;height:170" stroked="f">
                <v:textbox style="mso-next-textbox:#_x0000_s1081" inset="0,0,0,0">
                  <w:txbxContent>
                    <w:p w:rsidR="00D74AD3" w:rsidRDefault="00D74AD3" w:rsidP="003904A0">
                      <w:pPr>
                        <w:spacing w:before="0" w:line="240" w:lineRule="auto"/>
                        <w:jc w:val="center"/>
                        <w:rPr>
                          <w:rFonts w:ascii="Arial" w:hAnsi="Arial"/>
                          <w:sz w:val="14"/>
                        </w:rPr>
                      </w:pPr>
                      <w:r>
                        <w:rPr>
                          <w:rFonts w:ascii="Arial" w:hAnsi="Arial"/>
                          <w:sz w:val="14"/>
                        </w:rPr>
                        <w:t>Percentage of population</w:t>
                      </w:r>
                    </w:p>
                  </w:txbxContent>
                </v:textbox>
              </v:shape>
              <v:shape id="_x0000_s1082" type="#_x0000_t202" style="position:absolute;left:2820;top:7680;width:1701;height:170" stroked="f">
                <v:textbox style="mso-next-textbox:#_x0000_s1082" inset="0,0,0,0">
                  <w:txbxContent>
                    <w:p w:rsidR="00D74AD3" w:rsidRDefault="00D74AD3" w:rsidP="003904A0">
                      <w:pPr>
                        <w:spacing w:before="0" w:line="240" w:lineRule="auto"/>
                        <w:jc w:val="center"/>
                        <w:rPr>
                          <w:rFonts w:ascii="Arial" w:hAnsi="Arial"/>
                          <w:sz w:val="14"/>
                        </w:rPr>
                      </w:pPr>
                      <w:r>
                        <w:rPr>
                          <w:rFonts w:ascii="Arial" w:hAnsi="Arial"/>
                          <w:sz w:val="14"/>
                        </w:rPr>
                        <w:t>Percentage of population</w:t>
                      </w:r>
                    </w:p>
                  </w:txbxContent>
                </v:textbox>
              </v:shape>
              <v:shape id="_x0000_s1083" type="#_x0000_t202" style="position:absolute;left:7108;top:7680;width:1701;height:170" stroked="f">
                <v:textbox style="mso-next-textbox:#_x0000_s1083" inset="0,0,0,0">
                  <w:txbxContent>
                    <w:p w:rsidR="00D74AD3" w:rsidRDefault="00D74AD3" w:rsidP="003904A0">
                      <w:pPr>
                        <w:spacing w:before="0" w:line="240" w:lineRule="auto"/>
                        <w:jc w:val="center"/>
                        <w:rPr>
                          <w:rFonts w:ascii="Arial" w:hAnsi="Arial"/>
                          <w:sz w:val="14"/>
                        </w:rPr>
                      </w:pPr>
                      <w:r>
                        <w:rPr>
                          <w:rFonts w:ascii="Arial" w:hAnsi="Arial"/>
                          <w:sz w:val="14"/>
                        </w:rPr>
                        <w:t>Percentage of population</w:t>
                      </w:r>
                    </w:p>
                  </w:txbxContent>
                </v:textbox>
              </v:shape>
              <v:shape id="_x0000_s1084" type="#_x0000_t202" style="position:absolute;left:2856;top:4680;width:1701;height:170" stroked="f">
                <v:textbox style="mso-next-textbox:#_x0000_s1084" inset="0,0,0,0">
                  <w:txbxContent>
                    <w:p w:rsidR="00D74AD3" w:rsidRDefault="00D74AD3" w:rsidP="003904A0">
                      <w:pPr>
                        <w:spacing w:before="0" w:line="240" w:lineRule="auto"/>
                        <w:jc w:val="center"/>
                        <w:rPr>
                          <w:rFonts w:ascii="Arial" w:hAnsi="Arial"/>
                          <w:sz w:val="14"/>
                        </w:rPr>
                      </w:pPr>
                      <w:r>
                        <w:rPr>
                          <w:rFonts w:ascii="Arial" w:hAnsi="Arial"/>
                          <w:sz w:val="14"/>
                        </w:rPr>
                        <w:t>Percentage of population</w:t>
                      </w:r>
                    </w:p>
                  </w:txbxContent>
                </v:textbox>
              </v:shape>
              <v:shape id="_x0000_s1085" type="#_x0000_t202" style="position:absolute;left:7096;top:4668;width:1701;height:170" stroked="f">
                <v:textbox style="mso-next-textbox:#_x0000_s1085" inset="0,0,0,0">
                  <w:txbxContent>
                    <w:p w:rsidR="00D74AD3" w:rsidRDefault="00D74AD3" w:rsidP="003904A0">
                      <w:pPr>
                        <w:spacing w:before="0" w:line="240" w:lineRule="auto"/>
                        <w:jc w:val="center"/>
                        <w:rPr>
                          <w:rFonts w:ascii="Arial" w:hAnsi="Arial"/>
                          <w:sz w:val="14"/>
                        </w:rPr>
                      </w:pPr>
                      <w:r>
                        <w:rPr>
                          <w:rFonts w:ascii="Arial" w:hAnsi="Arial"/>
                          <w:sz w:val="14"/>
                        </w:rPr>
                        <w:t>Percentage of population</w:t>
                      </w:r>
                    </w:p>
                  </w:txbxContent>
                </v:textbox>
              </v:shape>
            </v:group>
            <w10:wrap type="topAndBottom"/>
          </v:group>
        </w:pict>
      </w:r>
      <w:r w:rsidRPr="00FA7D99">
        <w:rPr>
          <w:noProof/>
          <w:sz w:val="18"/>
        </w:rPr>
        <w:pict>
          <v:shape id="_x0000_s1073" type="#_x0000_t202" style="position:absolute;left:0;text-align:left;margin-left:73.05pt;margin-top:462.5pt;width:85.05pt;height:8.5pt;z-index:251674112" o:allowincell="f" stroked="f">
            <v:textbox style="mso-next-textbox:#_x0000_s1073" inset="0,0,0,0">
              <w:txbxContent>
                <w:p w:rsidR="00D74AD3" w:rsidRDefault="00D74AD3" w:rsidP="00FC5C4C">
                  <w:pPr>
                    <w:jc w:val="center"/>
                    <w:rPr>
                      <w:rFonts w:ascii="Arial" w:hAnsi="Arial"/>
                      <w:sz w:val="14"/>
                    </w:rPr>
                  </w:pPr>
                  <w:r>
                    <w:rPr>
                      <w:rFonts w:ascii="Arial" w:hAnsi="Arial"/>
                      <w:sz w:val="14"/>
                    </w:rPr>
                    <w:t>Percentage of population</w:t>
                  </w:r>
                </w:p>
              </w:txbxContent>
            </v:textbox>
          </v:shape>
        </w:pict>
      </w:r>
      <w:r w:rsidRPr="00FA7D99">
        <w:rPr>
          <w:noProof/>
          <w:sz w:val="18"/>
        </w:rPr>
        <w:pict>
          <v:shape id="_x0000_s1074" type="#_x0000_t202" style="position:absolute;left:0;text-align:left;margin-left:287.85pt;margin-top:465.3pt;width:85.05pt;height:8.5pt;z-index:251675136" o:allowincell="f" stroked="f">
            <v:textbox style="mso-next-textbox:#_x0000_s1074" inset="0,0,0,0">
              <w:txbxContent>
                <w:p w:rsidR="00D74AD3" w:rsidRDefault="00D74AD3" w:rsidP="00FC5C4C">
                  <w:pPr>
                    <w:jc w:val="center"/>
                    <w:rPr>
                      <w:rFonts w:ascii="Arial" w:hAnsi="Arial"/>
                      <w:sz w:val="14"/>
                    </w:rPr>
                  </w:pPr>
                  <w:r>
                    <w:rPr>
                      <w:rFonts w:ascii="Arial" w:hAnsi="Arial"/>
                      <w:sz w:val="14"/>
                    </w:rPr>
                    <w:t>Percentage of population</w:t>
                  </w:r>
                </w:p>
              </w:txbxContent>
            </v:textbox>
          </v:shape>
        </w:pict>
      </w:r>
      <w:r w:rsidRPr="00FA7D99">
        <w:rPr>
          <w:noProof/>
          <w:sz w:val="18"/>
        </w:rPr>
        <w:pict>
          <v:shape id="_x0000_s1072" type="#_x0000_t202" style="position:absolute;left:0;text-align:left;margin-left:287.3pt;margin-top:309.15pt;width:85.05pt;height:8.5pt;z-index:251673088" o:allowincell="f" stroked="f">
            <v:textbox style="mso-next-textbox:#_x0000_s1072" inset="0,0,0,0">
              <w:txbxContent>
                <w:p w:rsidR="00D74AD3" w:rsidRDefault="00D74AD3" w:rsidP="00FC5C4C">
                  <w:pPr>
                    <w:jc w:val="center"/>
                    <w:rPr>
                      <w:rFonts w:ascii="Arial" w:hAnsi="Arial"/>
                      <w:sz w:val="14"/>
                    </w:rPr>
                  </w:pPr>
                  <w:r>
                    <w:rPr>
                      <w:rFonts w:ascii="Arial" w:hAnsi="Arial"/>
                      <w:sz w:val="14"/>
                    </w:rPr>
                    <w:t>Percentage of population</w:t>
                  </w:r>
                </w:p>
              </w:txbxContent>
            </v:textbox>
          </v:shape>
        </w:pict>
      </w:r>
      <w:r w:rsidRPr="00FA7D99">
        <w:rPr>
          <w:noProof/>
          <w:sz w:val="18"/>
        </w:rPr>
        <w:pict>
          <v:shape id="_x0000_s1071" type="#_x0000_t202" style="position:absolute;left:0;text-align:left;margin-left:72.4pt;margin-top:309.15pt;width:85.05pt;height:8.5pt;z-index:251672064" o:allowincell="f" stroked="f">
            <v:textbox style="mso-next-textbox:#_x0000_s1071" inset="0,0,0,0">
              <w:txbxContent>
                <w:p w:rsidR="00D74AD3" w:rsidRDefault="00D74AD3" w:rsidP="00FC5C4C">
                  <w:pPr>
                    <w:jc w:val="center"/>
                    <w:rPr>
                      <w:rFonts w:ascii="Arial" w:hAnsi="Arial"/>
                      <w:sz w:val="14"/>
                    </w:rPr>
                  </w:pPr>
                  <w:r>
                    <w:rPr>
                      <w:rFonts w:ascii="Arial" w:hAnsi="Arial"/>
                      <w:sz w:val="14"/>
                    </w:rPr>
                    <w:t>Percentage of population</w:t>
                  </w:r>
                </w:p>
              </w:txbxContent>
            </v:textbox>
          </v:shape>
        </w:pict>
      </w:r>
      <w:r w:rsidRPr="00FA7D99">
        <w:rPr>
          <w:noProof/>
          <w:sz w:val="18"/>
        </w:rPr>
        <w:pict>
          <v:shape id="_x0000_s1070" type="#_x0000_t202" style="position:absolute;left:0;text-align:left;margin-left:286.75pt;margin-top:158.5pt;width:85.05pt;height:8.5pt;z-index:251671040" o:allowincell="f" stroked="f">
            <v:textbox style="mso-next-textbox:#_x0000_s1070" inset="0,0,0,0">
              <w:txbxContent>
                <w:p w:rsidR="00D74AD3" w:rsidRDefault="00D74AD3" w:rsidP="00FC5C4C">
                  <w:pPr>
                    <w:jc w:val="center"/>
                    <w:rPr>
                      <w:rFonts w:ascii="Arial" w:hAnsi="Arial"/>
                      <w:sz w:val="14"/>
                    </w:rPr>
                  </w:pPr>
                  <w:r>
                    <w:rPr>
                      <w:rFonts w:ascii="Arial" w:hAnsi="Arial"/>
                      <w:sz w:val="14"/>
                    </w:rPr>
                    <w:t>Percentage of population</w:t>
                  </w:r>
                </w:p>
              </w:txbxContent>
            </v:textbox>
          </v:shape>
        </w:pict>
      </w:r>
      <w:r w:rsidRPr="00FA7D99">
        <w:rPr>
          <w:noProof/>
          <w:sz w:val="18"/>
        </w:rPr>
        <w:pict>
          <v:shape id="_x0000_s1069" type="#_x0000_t202" style="position:absolute;left:0;text-align:left;margin-left:74.1pt;margin-top:158.5pt;width:85.05pt;height:8.5pt;z-index:251670016" o:allowincell="f" stroked="f">
            <v:textbox style="mso-next-textbox:#_x0000_s1069" inset="0,0,0,0">
              <w:txbxContent>
                <w:p w:rsidR="00D74AD3" w:rsidRDefault="00D74AD3" w:rsidP="00FC5C4C">
                  <w:pPr>
                    <w:jc w:val="center"/>
                    <w:rPr>
                      <w:rFonts w:ascii="Arial" w:hAnsi="Arial"/>
                      <w:sz w:val="14"/>
                    </w:rPr>
                  </w:pPr>
                  <w:r>
                    <w:rPr>
                      <w:rFonts w:ascii="Arial" w:hAnsi="Arial"/>
                      <w:sz w:val="14"/>
                    </w:rPr>
                    <w:t>Percentage of population</w:t>
                  </w:r>
                </w:p>
              </w:txbxContent>
            </v:textbox>
          </v:shape>
        </w:pict>
      </w:r>
      <w:r w:rsidR="00FC5C4C">
        <w:t>Source:</w:t>
      </w:r>
      <w:r w:rsidR="00FC5C4C">
        <w:tab/>
        <w:t>U</w:t>
      </w:r>
      <w:r w:rsidR="008E3933">
        <w:t xml:space="preserve">nited Nations </w:t>
      </w:r>
      <w:r w:rsidR="008E3933" w:rsidRPr="00084AF7">
        <w:t>Secretariat</w:t>
      </w:r>
      <w:r w:rsidR="008E3933">
        <w:t xml:space="preserve"> (1998, cited in Karmel </w:t>
      </w:r>
      <w:r w:rsidR="00741BFB">
        <w:t>&amp;</w:t>
      </w:r>
      <w:r w:rsidR="008E3933">
        <w:t xml:space="preserve"> Maclean </w:t>
      </w:r>
      <w:r w:rsidR="00C1174D">
        <w:t>2007).</w:t>
      </w:r>
    </w:p>
    <w:p w:rsidR="00721FCB" w:rsidRDefault="00721FCB" w:rsidP="00721FCB">
      <w:pPr>
        <w:pStyle w:val="Text"/>
      </w:pPr>
    </w:p>
    <w:p w:rsidR="00CB3943" w:rsidRDefault="00176437" w:rsidP="00721FCB">
      <w:pPr>
        <w:pStyle w:val="Heading1"/>
      </w:pPr>
      <w:r>
        <w:lastRenderedPageBreak/>
        <w:br/>
      </w:r>
      <w:bookmarkStart w:id="12" w:name="_Toc289164599"/>
      <w:r w:rsidR="00CB3943">
        <w:t xml:space="preserve">Increasing </w:t>
      </w:r>
      <w:r w:rsidR="00416A45">
        <w:t>labour force participation</w:t>
      </w:r>
      <w:r w:rsidR="00084AF7">
        <w:t> </w:t>
      </w:r>
      <w:r w:rsidR="00CB3943">
        <w:t>and</w:t>
      </w:r>
      <w:r w:rsidR="00416A45">
        <w:t xml:space="preserve"> productivity</w:t>
      </w:r>
      <w:bookmarkEnd w:id="12"/>
      <w:r w:rsidR="00CB3943">
        <w:t xml:space="preserve"> </w:t>
      </w:r>
    </w:p>
    <w:p w:rsidR="00CB3943" w:rsidRDefault="00CB3943" w:rsidP="00970502">
      <w:pPr>
        <w:pStyle w:val="text0"/>
        <w:spacing w:before="440"/>
      </w:pPr>
      <w:r>
        <w:t xml:space="preserve">The ageing of the </w:t>
      </w:r>
      <w:r w:rsidR="00550FAD">
        <w:t>population</w:t>
      </w:r>
      <w:r>
        <w:t xml:space="preserve"> has caused consternation in many countries, including Australia. Governments see budgetary problems </w:t>
      </w:r>
      <w:r w:rsidR="00550FAD">
        <w:t>occurring</w:t>
      </w:r>
      <w:r>
        <w:t xml:space="preserve"> because dependency ratios (</w:t>
      </w:r>
      <w:r w:rsidR="008E3933">
        <w:t>that is,</w:t>
      </w:r>
      <w:r>
        <w:t xml:space="preserve"> the ratio of persons who are dependent </w:t>
      </w:r>
      <w:r w:rsidR="008E3933">
        <w:t>on</w:t>
      </w:r>
      <w:r>
        <w:t xml:space="preserve"> persons who are contributing economically) are projected to decline. In Australia, the mantra </w:t>
      </w:r>
      <w:r w:rsidR="004E62C7">
        <w:t xml:space="preserve">to address this </w:t>
      </w:r>
      <w:r>
        <w:t xml:space="preserve">has been the three Ps: population, participation and productivity. An increase in population will certainly promote economic growth but whether it will increase economic </w:t>
      </w:r>
      <w:r w:rsidR="00550FAD">
        <w:t>growth</w:t>
      </w:r>
      <w:r>
        <w:t xml:space="preserve"> per capita will depend on whether there are increasing or decreasing returns to the size of the population. In many parts of the world there </w:t>
      </w:r>
      <w:r w:rsidR="004E62C7">
        <w:t>may well be</w:t>
      </w:r>
      <w:r>
        <w:t xml:space="preserve"> decreasing returns, </w:t>
      </w:r>
      <w:r w:rsidR="00550FAD">
        <w:t>particularly</w:t>
      </w:r>
      <w:r>
        <w:t xml:space="preserve"> when population growth puts too much pressure on the natural </w:t>
      </w:r>
      <w:r w:rsidR="00550FAD">
        <w:t>environment</w:t>
      </w:r>
      <w:r>
        <w:t>. However, the se</w:t>
      </w:r>
      <w:r w:rsidR="008E3933">
        <w:t>cond and third of the three Ps—</w:t>
      </w:r>
      <w:r>
        <w:t>participation and productivity-</w:t>
      </w:r>
      <w:r w:rsidR="008E3933">
        <w:t>—</w:t>
      </w:r>
      <w:r w:rsidR="009825F7">
        <w:t xml:space="preserve">are less controversial, and are the ones to which education and training </w:t>
      </w:r>
      <w:r w:rsidR="00741BFB">
        <w:t xml:space="preserve">are </w:t>
      </w:r>
      <w:r w:rsidR="009825F7">
        <w:t>relevant.</w:t>
      </w:r>
    </w:p>
    <w:p w:rsidR="009825F7" w:rsidRDefault="009825F7" w:rsidP="00970502">
      <w:pPr>
        <w:pStyle w:val="text0"/>
      </w:pPr>
      <w:r>
        <w:t>The simple argument is that those with higher levels of education tend to be more engaged with the labour market and are more productive than those with lower levels of education. I will use Australian data to illustrate this point.</w:t>
      </w:r>
    </w:p>
    <w:p w:rsidR="009825F7" w:rsidRDefault="004E62C7" w:rsidP="00970502">
      <w:pPr>
        <w:pStyle w:val="text0"/>
      </w:pPr>
      <w:r>
        <w:t>Figure 2</w:t>
      </w:r>
      <w:r w:rsidR="008E3933">
        <w:t xml:space="preserve"> shows employment-to-</w:t>
      </w:r>
      <w:r w:rsidR="009825F7">
        <w:t xml:space="preserve">population ratios for people </w:t>
      </w:r>
      <w:r w:rsidR="00CA107F">
        <w:t xml:space="preserve">at the two </w:t>
      </w:r>
      <w:r w:rsidR="00550FAD">
        <w:t>extremes</w:t>
      </w:r>
      <w:r w:rsidR="00CA107F">
        <w:t xml:space="preserve"> </w:t>
      </w:r>
      <w:r w:rsidR="008E3933">
        <w:t>of educational attainment (postgraduate degree and Y</w:t>
      </w:r>
      <w:r w:rsidR="00CA107F">
        <w:t>ear 9 or less)</w:t>
      </w:r>
      <w:r w:rsidR="008E3933">
        <w:t xml:space="preserve"> for persons aged 40–</w:t>
      </w:r>
      <w:r>
        <w:t>65 years</w:t>
      </w:r>
      <w:r w:rsidR="00CA107F">
        <w:t xml:space="preserve">. These polar cases are chosen to </w:t>
      </w:r>
      <w:r w:rsidR="00550FAD">
        <w:t>illustrate</w:t>
      </w:r>
      <w:r w:rsidR="00CA107F">
        <w:t xml:space="preserve"> that employment is very much related to educational attainment.</w:t>
      </w:r>
    </w:p>
    <w:p w:rsidR="00CA107F" w:rsidRDefault="00CA107F" w:rsidP="00CB3943">
      <w:pPr>
        <w:pStyle w:val="Text"/>
      </w:pPr>
    </w:p>
    <w:p w:rsidR="004E62C7" w:rsidRDefault="004E62C7">
      <w:pPr>
        <w:spacing w:before="0"/>
        <w:rPr>
          <w:rFonts w:ascii="Arial" w:hAnsi="Arial"/>
          <w:b/>
          <w:sz w:val="17"/>
        </w:rPr>
      </w:pPr>
      <w:r>
        <w:br w:type="page"/>
      </w:r>
    </w:p>
    <w:p w:rsidR="00CA107F" w:rsidRDefault="00CA107F" w:rsidP="001C2973">
      <w:pPr>
        <w:pStyle w:val="Figuretitle"/>
      </w:pPr>
      <w:bookmarkStart w:id="13" w:name="_Toc289164667"/>
      <w:r>
        <w:lastRenderedPageBreak/>
        <w:t xml:space="preserve">Figure </w:t>
      </w:r>
      <w:r w:rsidR="00CC57E4">
        <w:t>2</w:t>
      </w:r>
      <w:r>
        <w:tab/>
        <w:t>Impact of educational level on employment of older people, 2001: educational attainment of postgraduate degree or graduate diploma or certificate and Year 9 or less</w:t>
      </w:r>
      <w:bookmarkEnd w:id="13"/>
    </w:p>
    <w:p w:rsidR="00CA107F" w:rsidRDefault="00CA107F" w:rsidP="001C2973">
      <w:pPr>
        <w:pStyle w:val="Source"/>
        <w:spacing w:before="160"/>
      </w:pPr>
      <w:r>
        <w:rPr>
          <w:noProof/>
          <w:lang w:eastAsia="en-AU"/>
        </w:rPr>
        <w:drawing>
          <wp:anchor distT="0" distB="0" distL="114300" distR="114300" simplePos="0" relativeHeight="251678208" behindDoc="0" locked="0" layoutInCell="0" allowOverlap="1">
            <wp:simplePos x="0" y="0"/>
            <wp:positionH relativeFrom="column">
              <wp:posOffset>0</wp:posOffset>
            </wp:positionH>
            <wp:positionV relativeFrom="paragraph">
              <wp:posOffset>0</wp:posOffset>
            </wp:positionV>
            <wp:extent cx="5482590" cy="2550795"/>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srcRect/>
                    <a:stretch>
                      <a:fillRect/>
                    </a:stretch>
                  </pic:blipFill>
                  <pic:spPr bwMode="auto">
                    <a:xfrm>
                      <a:off x="0" y="0"/>
                      <a:ext cx="5482590" cy="2550795"/>
                    </a:xfrm>
                    <a:prstGeom prst="rect">
                      <a:avLst/>
                    </a:prstGeom>
                    <a:noFill/>
                    <a:ln w="9525">
                      <a:noFill/>
                      <a:miter lim="800000"/>
                      <a:headEnd/>
                      <a:tailEnd/>
                    </a:ln>
                  </pic:spPr>
                </pic:pic>
              </a:graphicData>
            </a:graphic>
          </wp:anchor>
        </w:drawing>
      </w:r>
      <w:r w:rsidR="001C2973">
        <w:t>Source:</w:t>
      </w:r>
      <w:r>
        <w:tab/>
        <w:t>Karmel and Woods (2004)</w:t>
      </w:r>
      <w:r w:rsidR="008E3933">
        <w:t>.</w:t>
      </w:r>
    </w:p>
    <w:p w:rsidR="00CA107F" w:rsidRDefault="00F127AF" w:rsidP="001C2973">
      <w:pPr>
        <w:pStyle w:val="text-moreb4"/>
      </w:pPr>
      <w:r>
        <w:t xml:space="preserve">From these </w:t>
      </w:r>
      <w:r w:rsidR="004E62C7">
        <w:t>graphs</w:t>
      </w:r>
      <w:r>
        <w:t xml:space="preserve"> it is clear that those with high educational attainmen</w:t>
      </w:r>
      <w:r w:rsidR="000052EC">
        <w:t xml:space="preserve">t tend to retire later as well </w:t>
      </w:r>
      <w:r>
        <w:t xml:space="preserve">as being more engaged with the </w:t>
      </w:r>
      <w:r w:rsidR="00550FAD">
        <w:t>labour</w:t>
      </w:r>
      <w:r>
        <w:t xml:space="preserve"> market at earlier ages.</w:t>
      </w:r>
    </w:p>
    <w:p w:rsidR="00F127AF" w:rsidRDefault="00F127AF" w:rsidP="00970502">
      <w:pPr>
        <w:pStyle w:val="text0"/>
      </w:pPr>
      <w:r>
        <w:t xml:space="preserve">Karmel and Woods (2004) show that increasing levels of education are significant in explaining changes </w:t>
      </w:r>
      <w:r w:rsidR="00C4034C">
        <w:t>in overall</w:t>
      </w:r>
      <w:r>
        <w:t xml:space="preserve"> participation. Table </w:t>
      </w:r>
      <w:r w:rsidR="004E62C7">
        <w:t>1</w:t>
      </w:r>
      <w:r w:rsidR="008E3933">
        <w:t xml:space="preserve"> look</w:t>
      </w:r>
      <w:r w:rsidR="006409DA">
        <w:t>s</w:t>
      </w:r>
      <w:r w:rsidR="008E3933">
        <w:t xml:space="preserve"> at the decade 1993–</w:t>
      </w:r>
      <w:r w:rsidR="000052EC">
        <w:t>2</w:t>
      </w:r>
      <w:r>
        <w:t xml:space="preserve">003 and </w:t>
      </w:r>
      <w:r w:rsidR="00550FAD">
        <w:t>show</w:t>
      </w:r>
      <w:r w:rsidR="004E62C7">
        <w:t>s</w:t>
      </w:r>
      <w:r w:rsidR="008E3933">
        <w:t xml:space="preserve"> that, </w:t>
      </w:r>
      <w:r>
        <w:t>for Australia</w:t>
      </w:r>
      <w:r w:rsidR="008E3933">
        <w:t>,</w:t>
      </w:r>
      <w:r>
        <w:t xml:space="preserve"> increasing education levels explained 2.4 </w:t>
      </w:r>
      <w:r w:rsidR="004E62C7">
        <w:t>%</w:t>
      </w:r>
      <w:r>
        <w:t xml:space="preserve"> points (males) and 7.6% points (females) of the chan</w:t>
      </w:r>
      <w:r w:rsidR="00CC57E4">
        <w:t>ges in hours of work per head. T</w:t>
      </w:r>
      <w:r>
        <w:t xml:space="preserve">hese are very </w:t>
      </w:r>
      <w:r w:rsidR="00550FAD">
        <w:t>significant</w:t>
      </w:r>
      <w:r>
        <w:t xml:space="preserve"> c</w:t>
      </w:r>
      <w:r w:rsidR="00CC57E4">
        <w:t>ontributions</w:t>
      </w:r>
      <w:r>
        <w:t>.</w:t>
      </w:r>
    </w:p>
    <w:p w:rsidR="00F127AF" w:rsidRDefault="00F127AF" w:rsidP="001C2973">
      <w:pPr>
        <w:pStyle w:val="tabletitle"/>
      </w:pPr>
      <w:bookmarkStart w:id="14" w:name="_Toc88984191"/>
      <w:bookmarkStart w:id="15" w:name="_Toc289164657"/>
      <w:r>
        <w:t xml:space="preserve">Table </w:t>
      </w:r>
      <w:proofErr w:type="gramStart"/>
      <w:r w:rsidR="00CC57E4">
        <w:t>1</w:t>
      </w:r>
      <w:r w:rsidR="00FE7CF1">
        <w:tab/>
      </w:r>
      <w:r>
        <w:t>Decomposition</w:t>
      </w:r>
      <w:proofErr w:type="gramEnd"/>
      <w:r>
        <w:t xml:space="preserve"> of changes in the average </w:t>
      </w:r>
      <w:r w:rsidRPr="001C2973">
        <w:t>number</w:t>
      </w:r>
      <w:r>
        <w:t xml:space="preserve"> of hours per head of population, 1993–2003 (people 15–64</w:t>
      </w:r>
      <w:r w:rsidR="008E3933">
        <w:t xml:space="preserve"> years</w:t>
      </w:r>
      <w:r>
        <w:t>)</w:t>
      </w:r>
      <w:bookmarkEnd w:id="14"/>
      <w:bookmarkEnd w:id="15"/>
    </w:p>
    <w:tbl>
      <w:tblPr>
        <w:tblW w:w="8505" w:type="dxa"/>
        <w:tblInd w:w="108" w:type="dxa"/>
        <w:tblBorders>
          <w:top w:val="single" w:sz="4" w:space="0" w:color="auto"/>
          <w:bottom w:val="single" w:sz="4" w:space="0" w:color="auto"/>
        </w:tblBorders>
        <w:tblLayout w:type="fixed"/>
        <w:tblLook w:val="01E0"/>
      </w:tblPr>
      <w:tblGrid>
        <w:gridCol w:w="4253"/>
        <w:gridCol w:w="2126"/>
        <w:gridCol w:w="2126"/>
      </w:tblGrid>
      <w:tr w:rsidR="00F127AF" w:rsidTr="00C15EAF">
        <w:tc>
          <w:tcPr>
            <w:tcW w:w="4253" w:type="dxa"/>
            <w:tcBorders>
              <w:top w:val="single" w:sz="4" w:space="0" w:color="auto"/>
              <w:bottom w:val="single" w:sz="4" w:space="0" w:color="auto"/>
            </w:tcBorders>
          </w:tcPr>
          <w:p w:rsidR="00F127AF" w:rsidRDefault="00F127AF" w:rsidP="00F127AF"/>
        </w:tc>
        <w:tc>
          <w:tcPr>
            <w:tcW w:w="2126" w:type="dxa"/>
            <w:tcBorders>
              <w:top w:val="single" w:sz="4" w:space="0" w:color="auto"/>
              <w:bottom w:val="single" w:sz="4" w:space="0" w:color="auto"/>
            </w:tcBorders>
          </w:tcPr>
          <w:p w:rsidR="00F127AF" w:rsidRDefault="00F127AF" w:rsidP="00F127AF">
            <w:pPr>
              <w:pStyle w:val="Tablehead1"/>
              <w:jc w:val="center"/>
            </w:pPr>
            <w:r>
              <w:t>Males</w:t>
            </w:r>
          </w:p>
        </w:tc>
        <w:tc>
          <w:tcPr>
            <w:tcW w:w="2126" w:type="dxa"/>
            <w:tcBorders>
              <w:top w:val="single" w:sz="4" w:space="0" w:color="auto"/>
              <w:bottom w:val="single" w:sz="4" w:space="0" w:color="auto"/>
            </w:tcBorders>
          </w:tcPr>
          <w:p w:rsidR="00F127AF" w:rsidRDefault="00F127AF" w:rsidP="00F127AF">
            <w:pPr>
              <w:pStyle w:val="Tablehead1"/>
              <w:jc w:val="center"/>
            </w:pPr>
            <w:r>
              <w:t>Females</w:t>
            </w:r>
          </w:p>
        </w:tc>
      </w:tr>
      <w:tr w:rsidR="00F127AF" w:rsidTr="00C15EAF">
        <w:tc>
          <w:tcPr>
            <w:tcW w:w="4253" w:type="dxa"/>
            <w:tcBorders>
              <w:top w:val="nil"/>
            </w:tcBorders>
          </w:tcPr>
          <w:p w:rsidR="00F127AF" w:rsidRDefault="00F127AF" w:rsidP="00F127AF">
            <w:pPr>
              <w:pStyle w:val="Tabletext"/>
            </w:pPr>
            <w:r>
              <w:t>1993 hours per head of population</w:t>
            </w:r>
          </w:p>
        </w:tc>
        <w:tc>
          <w:tcPr>
            <w:tcW w:w="2126" w:type="dxa"/>
            <w:tcBorders>
              <w:top w:val="nil"/>
            </w:tcBorders>
          </w:tcPr>
          <w:p w:rsidR="00F127AF" w:rsidRPr="00C15EAF" w:rsidRDefault="00F127AF" w:rsidP="00C15EAF">
            <w:pPr>
              <w:pStyle w:val="Tabletext"/>
              <w:tabs>
                <w:tab w:val="decimal" w:pos="964"/>
              </w:tabs>
            </w:pPr>
            <w:r w:rsidRPr="00C15EAF">
              <w:t>31.0</w:t>
            </w:r>
          </w:p>
        </w:tc>
        <w:tc>
          <w:tcPr>
            <w:tcW w:w="2126" w:type="dxa"/>
            <w:tcBorders>
              <w:top w:val="nil"/>
            </w:tcBorders>
          </w:tcPr>
          <w:p w:rsidR="00F127AF" w:rsidRPr="00C15EAF" w:rsidRDefault="00F127AF" w:rsidP="00C15EAF">
            <w:pPr>
              <w:pStyle w:val="Tabletext"/>
              <w:tabs>
                <w:tab w:val="decimal" w:pos="964"/>
              </w:tabs>
            </w:pPr>
            <w:r w:rsidRPr="00C15EAF">
              <w:t>17.0</w:t>
            </w:r>
          </w:p>
        </w:tc>
      </w:tr>
      <w:tr w:rsidR="00F127AF" w:rsidTr="00C15EAF">
        <w:tc>
          <w:tcPr>
            <w:tcW w:w="4253" w:type="dxa"/>
          </w:tcPr>
          <w:p w:rsidR="00F127AF" w:rsidRDefault="00F127AF" w:rsidP="00F127AF">
            <w:pPr>
              <w:pStyle w:val="Tabletext"/>
            </w:pPr>
            <w:r>
              <w:t>2003 hours per head of population</w:t>
            </w:r>
          </w:p>
        </w:tc>
        <w:tc>
          <w:tcPr>
            <w:tcW w:w="2126" w:type="dxa"/>
          </w:tcPr>
          <w:p w:rsidR="00F127AF" w:rsidRPr="00C15EAF" w:rsidRDefault="00F127AF" w:rsidP="00C15EAF">
            <w:pPr>
              <w:pStyle w:val="Tabletext"/>
              <w:tabs>
                <w:tab w:val="decimal" w:pos="964"/>
              </w:tabs>
            </w:pPr>
            <w:r w:rsidRPr="00C15EAF">
              <w:t>33.0</w:t>
            </w:r>
          </w:p>
        </w:tc>
        <w:tc>
          <w:tcPr>
            <w:tcW w:w="2126" w:type="dxa"/>
          </w:tcPr>
          <w:p w:rsidR="00F127AF" w:rsidRPr="00C15EAF" w:rsidRDefault="00F127AF" w:rsidP="00C15EAF">
            <w:pPr>
              <w:pStyle w:val="Tabletext"/>
              <w:tabs>
                <w:tab w:val="decimal" w:pos="964"/>
              </w:tabs>
            </w:pPr>
            <w:r w:rsidRPr="00C15EAF">
              <w:t>18.8</w:t>
            </w:r>
          </w:p>
        </w:tc>
      </w:tr>
      <w:tr w:rsidR="00F127AF" w:rsidTr="00C15EAF">
        <w:tc>
          <w:tcPr>
            <w:tcW w:w="4253" w:type="dxa"/>
          </w:tcPr>
          <w:p w:rsidR="00F127AF" w:rsidRDefault="00F127AF" w:rsidP="00F127AF">
            <w:pPr>
              <w:pStyle w:val="Tabletext"/>
            </w:pPr>
            <w:r>
              <w:t>Education effect (percentage points)</w:t>
            </w:r>
          </w:p>
        </w:tc>
        <w:tc>
          <w:tcPr>
            <w:tcW w:w="2126" w:type="dxa"/>
          </w:tcPr>
          <w:p w:rsidR="00F127AF" w:rsidRPr="00C15EAF" w:rsidRDefault="00F127AF" w:rsidP="00C15EAF">
            <w:pPr>
              <w:pStyle w:val="Tabletext"/>
              <w:tabs>
                <w:tab w:val="decimal" w:pos="964"/>
              </w:tabs>
            </w:pPr>
            <w:r w:rsidRPr="00C15EAF">
              <w:t>2.4</w:t>
            </w:r>
          </w:p>
        </w:tc>
        <w:tc>
          <w:tcPr>
            <w:tcW w:w="2126" w:type="dxa"/>
          </w:tcPr>
          <w:p w:rsidR="00F127AF" w:rsidRPr="00C15EAF" w:rsidRDefault="00F127AF" w:rsidP="00C15EAF">
            <w:pPr>
              <w:pStyle w:val="Tabletext"/>
              <w:tabs>
                <w:tab w:val="decimal" w:pos="964"/>
              </w:tabs>
            </w:pPr>
            <w:r w:rsidRPr="00C15EAF">
              <w:t>7.6</w:t>
            </w:r>
          </w:p>
        </w:tc>
      </w:tr>
      <w:tr w:rsidR="00F127AF" w:rsidTr="00C15EAF">
        <w:tc>
          <w:tcPr>
            <w:tcW w:w="4253" w:type="dxa"/>
          </w:tcPr>
          <w:p w:rsidR="00F127AF" w:rsidRDefault="00F127AF" w:rsidP="00F127AF">
            <w:pPr>
              <w:pStyle w:val="Tabletext"/>
            </w:pPr>
            <w:r>
              <w:t>Employment effect (percentage points)</w:t>
            </w:r>
          </w:p>
        </w:tc>
        <w:tc>
          <w:tcPr>
            <w:tcW w:w="2126" w:type="dxa"/>
          </w:tcPr>
          <w:p w:rsidR="00F127AF" w:rsidRPr="00C15EAF" w:rsidRDefault="00F127AF" w:rsidP="00C15EAF">
            <w:pPr>
              <w:pStyle w:val="Tabletext"/>
              <w:tabs>
                <w:tab w:val="decimal" w:pos="964"/>
              </w:tabs>
            </w:pPr>
            <w:r w:rsidRPr="00C15EAF">
              <w:t>3.9</w:t>
            </w:r>
          </w:p>
        </w:tc>
        <w:tc>
          <w:tcPr>
            <w:tcW w:w="2126" w:type="dxa"/>
          </w:tcPr>
          <w:p w:rsidR="00F127AF" w:rsidRPr="00C15EAF" w:rsidRDefault="00F127AF" w:rsidP="00C15EAF">
            <w:pPr>
              <w:pStyle w:val="Tabletext"/>
              <w:tabs>
                <w:tab w:val="decimal" w:pos="964"/>
              </w:tabs>
            </w:pPr>
            <w:r w:rsidRPr="00C15EAF">
              <w:t>6.5</w:t>
            </w:r>
          </w:p>
        </w:tc>
      </w:tr>
      <w:tr w:rsidR="00F127AF" w:rsidTr="00C15EAF">
        <w:tc>
          <w:tcPr>
            <w:tcW w:w="4253" w:type="dxa"/>
          </w:tcPr>
          <w:p w:rsidR="00F127AF" w:rsidRDefault="00F127AF" w:rsidP="00F127AF">
            <w:pPr>
              <w:pStyle w:val="Tabletext"/>
            </w:pPr>
            <w:r>
              <w:t>Hours effect</w:t>
            </w:r>
          </w:p>
        </w:tc>
        <w:tc>
          <w:tcPr>
            <w:tcW w:w="2126" w:type="dxa"/>
          </w:tcPr>
          <w:p w:rsidR="00F127AF" w:rsidRPr="00C15EAF" w:rsidRDefault="00F127AF" w:rsidP="00C15EAF">
            <w:pPr>
              <w:pStyle w:val="Tabletext"/>
              <w:tabs>
                <w:tab w:val="decimal" w:pos="964"/>
              </w:tabs>
            </w:pPr>
            <w:r w:rsidRPr="00C15EAF">
              <w:t>2.8</w:t>
            </w:r>
          </w:p>
        </w:tc>
        <w:tc>
          <w:tcPr>
            <w:tcW w:w="2126" w:type="dxa"/>
          </w:tcPr>
          <w:p w:rsidR="00F127AF" w:rsidRPr="00C15EAF" w:rsidRDefault="00F127AF" w:rsidP="00C15EAF">
            <w:pPr>
              <w:pStyle w:val="Tabletext"/>
              <w:tabs>
                <w:tab w:val="decimal" w:pos="964"/>
              </w:tabs>
            </w:pPr>
            <w:r w:rsidRPr="00C15EAF">
              <w:t>-3.7</w:t>
            </w:r>
          </w:p>
        </w:tc>
      </w:tr>
      <w:tr w:rsidR="00F127AF" w:rsidTr="00C15EAF">
        <w:tc>
          <w:tcPr>
            <w:tcW w:w="4253" w:type="dxa"/>
          </w:tcPr>
          <w:p w:rsidR="00F127AF" w:rsidRDefault="00F127AF" w:rsidP="00F127AF">
            <w:pPr>
              <w:pStyle w:val="Tabletext"/>
            </w:pPr>
            <w:r>
              <w:t>Demographic effect and interactions (percentage points)</w:t>
            </w:r>
          </w:p>
        </w:tc>
        <w:tc>
          <w:tcPr>
            <w:tcW w:w="2126" w:type="dxa"/>
          </w:tcPr>
          <w:p w:rsidR="00F127AF" w:rsidRPr="00C15EAF" w:rsidRDefault="00F127AF" w:rsidP="00C15EAF">
            <w:pPr>
              <w:pStyle w:val="Tabletext"/>
              <w:tabs>
                <w:tab w:val="decimal" w:pos="964"/>
              </w:tabs>
            </w:pPr>
            <w:r w:rsidRPr="00C15EAF">
              <w:t>-2.8</w:t>
            </w:r>
          </w:p>
        </w:tc>
        <w:tc>
          <w:tcPr>
            <w:tcW w:w="2126" w:type="dxa"/>
          </w:tcPr>
          <w:p w:rsidR="00F127AF" w:rsidRPr="00C15EAF" w:rsidRDefault="00F127AF" w:rsidP="00C15EAF">
            <w:pPr>
              <w:pStyle w:val="Tabletext"/>
              <w:tabs>
                <w:tab w:val="decimal" w:pos="964"/>
              </w:tabs>
            </w:pPr>
            <w:r w:rsidRPr="00C15EAF">
              <w:t>0.1</w:t>
            </w:r>
          </w:p>
        </w:tc>
      </w:tr>
      <w:tr w:rsidR="00F127AF" w:rsidRPr="00C15EAF" w:rsidTr="00C15EAF">
        <w:tc>
          <w:tcPr>
            <w:tcW w:w="4253" w:type="dxa"/>
            <w:tcBorders>
              <w:bottom w:val="single" w:sz="4" w:space="0" w:color="auto"/>
            </w:tcBorders>
          </w:tcPr>
          <w:p w:rsidR="00F127AF" w:rsidRPr="00C15EAF" w:rsidRDefault="00F127AF" w:rsidP="00C15EAF">
            <w:pPr>
              <w:pStyle w:val="Tabletext"/>
              <w:spacing w:after="40"/>
              <w:rPr>
                <w:b/>
              </w:rPr>
            </w:pPr>
            <w:r w:rsidRPr="00C15EAF">
              <w:rPr>
                <w:b/>
              </w:rPr>
              <w:t>Total change in hours per head (percentage)</w:t>
            </w:r>
          </w:p>
        </w:tc>
        <w:tc>
          <w:tcPr>
            <w:tcW w:w="2126" w:type="dxa"/>
            <w:tcBorders>
              <w:bottom w:val="single" w:sz="4" w:space="0" w:color="auto"/>
            </w:tcBorders>
          </w:tcPr>
          <w:p w:rsidR="00F127AF" w:rsidRPr="00C15EAF" w:rsidRDefault="00F127AF" w:rsidP="00C15EAF">
            <w:pPr>
              <w:pStyle w:val="Tabletext"/>
              <w:tabs>
                <w:tab w:val="decimal" w:pos="964"/>
              </w:tabs>
              <w:spacing w:after="40"/>
              <w:rPr>
                <w:b/>
              </w:rPr>
            </w:pPr>
            <w:r w:rsidRPr="00C15EAF">
              <w:rPr>
                <w:b/>
              </w:rPr>
              <w:t>6.3</w:t>
            </w:r>
          </w:p>
        </w:tc>
        <w:tc>
          <w:tcPr>
            <w:tcW w:w="2126" w:type="dxa"/>
            <w:tcBorders>
              <w:bottom w:val="single" w:sz="4" w:space="0" w:color="auto"/>
            </w:tcBorders>
          </w:tcPr>
          <w:p w:rsidR="00F127AF" w:rsidRPr="00C15EAF" w:rsidRDefault="00F127AF" w:rsidP="00C15EAF">
            <w:pPr>
              <w:pStyle w:val="Tabletext"/>
              <w:tabs>
                <w:tab w:val="decimal" w:pos="964"/>
              </w:tabs>
              <w:spacing w:after="40"/>
              <w:rPr>
                <w:b/>
              </w:rPr>
            </w:pPr>
            <w:r w:rsidRPr="00C15EAF">
              <w:rPr>
                <w:b/>
              </w:rPr>
              <w:t>10.5</w:t>
            </w:r>
          </w:p>
        </w:tc>
      </w:tr>
    </w:tbl>
    <w:p w:rsidR="00F127AF" w:rsidRDefault="00C15EAF" w:rsidP="00C15EAF">
      <w:pPr>
        <w:pStyle w:val="Source"/>
      </w:pPr>
      <w:r>
        <w:t>Source:</w:t>
      </w:r>
      <w:r>
        <w:tab/>
      </w:r>
      <w:r w:rsidR="004E62C7">
        <w:t>Karmel and Woods (2004)</w:t>
      </w:r>
      <w:r w:rsidR="008E3933">
        <w:t>.</w:t>
      </w:r>
    </w:p>
    <w:p w:rsidR="0047211B" w:rsidRDefault="00F127AF" w:rsidP="00C15EAF">
      <w:pPr>
        <w:pStyle w:val="text-moreb4"/>
        <w:ind w:right="-151"/>
      </w:pPr>
      <w:r>
        <w:t>Karmel and Woods also look</w:t>
      </w:r>
      <w:r w:rsidR="004E62C7">
        <w:t>ed</w:t>
      </w:r>
      <w:r>
        <w:t xml:space="preserve"> forward and show</w:t>
      </w:r>
      <w:r w:rsidR="004E62C7">
        <w:t>ed</w:t>
      </w:r>
      <w:r>
        <w:t xml:space="preserve"> that increasing education levels will continue to</w:t>
      </w:r>
      <w:r w:rsidR="00C15EAF">
        <w:t> </w:t>
      </w:r>
      <w:r>
        <w:t>make a significant</w:t>
      </w:r>
      <w:r w:rsidR="0047211B">
        <w:t xml:space="preserve"> </w:t>
      </w:r>
      <w:r w:rsidR="00550FAD">
        <w:t>contribution</w:t>
      </w:r>
      <w:r w:rsidR="0047211B">
        <w:t xml:space="preserve"> to available labour supply, based on current patterns of skills acquisition. </w:t>
      </w:r>
      <w:r w:rsidR="004E62C7">
        <w:t>The point is that participation will naturally increase as more educate</w:t>
      </w:r>
      <w:r w:rsidR="008E3933">
        <w:t>d cohorts move through the work</w:t>
      </w:r>
      <w:r w:rsidR="004E62C7">
        <w:t xml:space="preserve">force. </w:t>
      </w:r>
      <w:r w:rsidR="0047211B">
        <w:t>In addition</w:t>
      </w:r>
      <w:r w:rsidR="00CC57E4">
        <w:t>,</w:t>
      </w:r>
      <w:r w:rsidR="0047211B">
        <w:t xml:space="preserve"> they </w:t>
      </w:r>
      <w:r>
        <w:t xml:space="preserve">were also interested to see whether education acquired later in life had the same </w:t>
      </w:r>
      <w:r w:rsidR="00550FAD">
        <w:t>effect</w:t>
      </w:r>
      <w:r>
        <w:t xml:space="preserve"> as education obtained at younger ages</w:t>
      </w:r>
      <w:r w:rsidR="0047211B">
        <w:t>, a</w:t>
      </w:r>
      <w:r w:rsidR="00CC57E4">
        <w:t xml:space="preserve">nd found that indeed </w:t>
      </w:r>
      <w:r w:rsidR="000052EC">
        <w:t>it</w:t>
      </w:r>
      <w:r w:rsidR="00CC57E4">
        <w:t xml:space="preserve"> did. F</w:t>
      </w:r>
      <w:r w:rsidR="0047211B">
        <w:t>igure</w:t>
      </w:r>
      <w:r w:rsidR="00C15EAF">
        <w:t> </w:t>
      </w:r>
      <w:r w:rsidR="00CC57E4">
        <w:t>3</w:t>
      </w:r>
      <w:r w:rsidR="0047211B">
        <w:t xml:space="preserve"> show</w:t>
      </w:r>
      <w:r w:rsidR="0029118E">
        <w:t>s</w:t>
      </w:r>
      <w:r w:rsidR="0047211B">
        <w:t xml:space="preserve"> the employment rates of older workers, depending on </w:t>
      </w:r>
      <w:r w:rsidR="000052EC">
        <w:t>the age at which they obtained</w:t>
      </w:r>
      <w:r w:rsidR="0047211B">
        <w:t xml:space="preserve"> their qualifications.</w:t>
      </w:r>
      <w:r w:rsidR="007C70BF">
        <w:t xml:space="preserve"> The graphs show the predicted probability of being em</w:t>
      </w:r>
      <w:r w:rsidR="008E3933">
        <w:t>ployed for those with a diploma-</w:t>
      </w:r>
      <w:r w:rsidR="007C70BF">
        <w:t xml:space="preserve">level qualification or higher, those </w:t>
      </w:r>
      <w:r w:rsidR="001032D6">
        <w:t>with</w:t>
      </w:r>
      <w:r w:rsidR="007C70BF">
        <w:t xml:space="preserve"> an Australian Qualification</w:t>
      </w:r>
      <w:r w:rsidR="006409DA">
        <w:t>s</w:t>
      </w:r>
      <w:r w:rsidR="007C70BF">
        <w:t xml:space="preserve"> Framework certificate III or IV, and those with an Australian Qualification</w:t>
      </w:r>
      <w:r w:rsidR="008E3933">
        <w:t>s</w:t>
      </w:r>
      <w:r w:rsidR="007C70BF">
        <w:t xml:space="preserve"> Framework certificate I or II.</w:t>
      </w:r>
    </w:p>
    <w:p w:rsidR="003D4135" w:rsidRDefault="003D4135">
      <w:pPr>
        <w:spacing w:before="0"/>
        <w:rPr>
          <w:rFonts w:ascii="Arial" w:hAnsi="Arial"/>
          <w:sz w:val="15"/>
        </w:rPr>
      </w:pPr>
      <w:r>
        <w:br w:type="page"/>
      </w:r>
    </w:p>
    <w:p w:rsidR="003D4135" w:rsidRDefault="000B2752" w:rsidP="000B2752">
      <w:pPr>
        <w:pStyle w:val="Figuretitle"/>
      </w:pPr>
      <w:r>
        <w:rPr>
          <w:noProof/>
          <w:lang w:eastAsia="en-AU"/>
        </w:rPr>
        <w:lastRenderedPageBreak/>
        <w:drawing>
          <wp:anchor distT="0" distB="0" distL="114300" distR="114300" simplePos="0" relativeHeight="251680256" behindDoc="0" locked="0" layoutInCell="0" allowOverlap="1">
            <wp:simplePos x="0" y="0"/>
            <wp:positionH relativeFrom="column">
              <wp:posOffset>-184150</wp:posOffset>
            </wp:positionH>
            <wp:positionV relativeFrom="paragraph">
              <wp:posOffset>2759710</wp:posOffset>
            </wp:positionV>
            <wp:extent cx="5486400" cy="2771775"/>
            <wp:effectExtent l="0" t="0" r="0" b="0"/>
            <wp:wrapTopAndBottom/>
            <wp:docPr id="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srcRect/>
                    <a:stretch>
                      <a:fillRect/>
                    </a:stretch>
                  </pic:blipFill>
                  <pic:spPr bwMode="auto">
                    <a:xfrm>
                      <a:off x="0" y="0"/>
                      <a:ext cx="5486400" cy="27717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82304" behindDoc="0" locked="0" layoutInCell="0" allowOverlap="1">
            <wp:simplePos x="0" y="0"/>
            <wp:positionH relativeFrom="column">
              <wp:posOffset>-184150</wp:posOffset>
            </wp:positionH>
            <wp:positionV relativeFrom="paragraph">
              <wp:posOffset>245110</wp:posOffset>
            </wp:positionV>
            <wp:extent cx="5486400" cy="2419350"/>
            <wp:effectExtent l="0" t="0" r="0" b="0"/>
            <wp:wrapTopAndBottom/>
            <wp:docPr id="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cstate="print"/>
                    <a:srcRect/>
                    <a:stretch>
                      <a:fillRect/>
                    </a:stretch>
                  </pic:blipFill>
                  <pic:spPr bwMode="auto">
                    <a:xfrm>
                      <a:off x="0" y="0"/>
                      <a:ext cx="5486400" cy="2419350"/>
                    </a:xfrm>
                    <a:prstGeom prst="rect">
                      <a:avLst/>
                    </a:prstGeom>
                    <a:noFill/>
                    <a:ln w="9525">
                      <a:noFill/>
                      <a:miter lim="800000"/>
                      <a:headEnd/>
                      <a:tailEnd/>
                    </a:ln>
                  </pic:spPr>
                </pic:pic>
              </a:graphicData>
            </a:graphic>
          </wp:anchor>
        </w:drawing>
      </w:r>
      <w:bookmarkStart w:id="16" w:name="_Toc289164668"/>
      <w:r w:rsidR="003D4135" w:rsidRPr="00B04400">
        <w:t>Figure 3</w:t>
      </w:r>
      <w:r w:rsidR="003D4135">
        <w:tab/>
      </w:r>
      <w:r w:rsidR="003D4135" w:rsidRPr="00B04400">
        <w:t xml:space="preserve">Impact of timing of qualifications on </w:t>
      </w:r>
      <w:r w:rsidR="003D4135" w:rsidRPr="000B2752">
        <w:t>employment</w:t>
      </w:r>
      <w:r w:rsidR="003D4135" w:rsidRPr="00B04400">
        <w:t xml:space="preserve"> rates of older workers</w:t>
      </w:r>
      <w:bookmarkEnd w:id="16"/>
    </w:p>
    <w:p w:rsidR="003D4135" w:rsidRDefault="000B2752" w:rsidP="000B2752">
      <w:pPr>
        <w:pStyle w:val="Source"/>
        <w:spacing w:before="160"/>
      </w:pPr>
      <w:r>
        <w:rPr>
          <w:noProof/>
          <w:lang w:eastAsia="en-AU"/>
        </w:rPr>
        <w:drawing>
          <wp:anchor distT="0" distB="0" distL="114300" distR="114300" simplePos="0" relativeHeight="251681280" behindDoc="0" locked="0" layoutInCell="0" allowOverlap="1">
            <wp:simplePos x="0" y="0"/>
            <wp:positionH relativeFrom="column">
              <wp:posOffset>-184150</wp:posOffset>
            </wp:positionH>
            <wp:positionV relativeFrom="paragraph">
              <wp:posOffset>2952750</wp:posOffset>
            </wp:positionV>
            <wp:extent cx="5486400" cy="2619375"/>
            <wp:effectExtent l="0" t="0" r="0" b="0"/>
            <wp:wrapTopAndBottom/>
            <wp:docPr id="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srcRect/>
                    <a:stretch>
                      <a:fillRect/>
                    </a:stretch>
                  </pic:blipFill>
                  <pic:spPr bwMode="auto">
                    <a:xfrm>
                      <a:off x="0" y="0"/>
                      <a:ext cx="5486400" cy="2619375"/>
                    </a:xfrm>
                    <a:prstGeom prst="rect">
                      <a:avLst/>
                    </a:prstGeom>
                    <a:noFill/>
                    <a:ln w="9525">
                      <a:noFill/>
                      <a:miter lim="800000"/>
                      <a:headEnd/>
                      <a:tailEnd/>
                    </a:ln>
                  </pic:spPr>
                </pic:pic>
              </a:graphicData>
            </a:graphic>
          </wp:anchor>
        </w:drawing>
      </w:r>
      <w:r>
        <w:t>Source:</w:t>
      </w:r>
      <w:r>
        <w:tab/>
      </w:r>
      <w:r w:rsidR="003D4135" w:rsidRPr="00B04400">
        <w:t>Karmel and Woods (2004</w:t>
      </w:r>
      <w:r w:rsidR="003D4135">
        <w:t>)</w:t>
      </w:r>
      <w:r w:rsidR="008E3933">
        <w:t>.</w:t>
      </w:r>
    </w:p>
    <w:p w:rsidR="000B2752" w:rsidRDefault="000B2752">
      <w:pPr>
        <w:spacing w:before="0" w:line="240" w:lineRule="auto"/>
      </w:pPr>
      <w:r>
        <w:br w:type="page"/>
      </w:r>
    </w:p>
    <w:p w:rsidR="0047211B" w:rsidRDefault="0047211B" w:rsidP="00970502">
      <w:pPr>
        <w:pStyle w:val="text0"/>
      </w:pPr>
      <w:r>
        <w:lastRenderedPageBreak/>
        <w:t>As can be seen</w:t>
      </w:r>
      <w:r w:rsidR="008E3933">
        <w:t>,</w:t>
      </w:r>
      <w:r>
        <w:t xml:space="preserve"> </w:t>
      </w:r>
      <w:r w:rsidR="000052EC">
        <w:t xml:space="preserve">the </w:t>
      </w:r>
      <w:r>
        <w:t>more recent</w:t>
      </w:r>
      <w:r w:rsidR="000052EC">
        <w:t>ly acquired</w:t>
      </w:r>
      <w:r>
        <w:t xml:space="preserve"> qualifications are </w:t>
      </w:r>
      <w:r w:rsidR="00550FAD">
        <w:t>associated</w:t>
      </w:r>
      <w:r>
        <w:t xml:space="preserve"> with a higher probability of </w:t>
      </w:r>
      <w:r w:rsidR="00550FAD">
        <w:t>employment</w:t>
      </w:r>
      <w:r>
        <w:t>, a result very supportive of the concept of lifelong learning.</w:t>
      </w:r>
    </w:p>
    <w:p w:rsidR="0047211B" w:rsidRDefault="007C70BF" w:rsidP="00970502">
      <w:pPr>
        <w:pStyle w:val="text0"/>
      </w:pPr>
      <w:r>
        <w:t xml:space="preserve">So far I have </w:t>
      </w:r>
      <w:r w:rsidR="008E3933">
        <w:t>focu</w:t>
      </w:r>
      <w:r w:rsidR="0047211B">
        <w:t xml:space="preserve">sed on the </w:t>
      </w:r>
      <w:r w:rsidR="00550FAD">
        <w:t>participation</w:t>
      </w:r>
      <w:r w:rsidR="00CC57E4">
        <w:t xml:space="preserve"> part of the equation. T</w:t>
      </w:r>
      <w:r w:rsidR="0047211B">
        <w:t xml:space="preserve">he effects of education on productivity are also important, and are well known. It is not the place to go into the vast literature on the returns </w:t>
      </w:r>
      <w:r w:rsidR="008E3933">
        <w:t>from</w:t>
      </w:r>
      <w:r w:rsidR="0047211B">
        <w:t xml:space="preserve"> education, but</w:t>
      </w:r>
      <w:r w:rsidR="00741BFB">
        <w:t>,</w:t>
      </w:r>
      <w:r w:rsidR="0047211B">
        <w:t xml:space="preserve"> to illustrate the </w:t>
      </w:r>
      <w:proofErr w:type="gramStart"/>
      <w:r w:rsidR="0047211B">
        <w:t>point</w:t>
      </w:r>
      <w:r w:rsidR="00741BFB">
        <w:t>,</w:t>
      </w:r>
      <w:proofErr w:type="gramEnd"/>
      <w:r w:rsidR="0047211B">
        <w:t xml:space="preserve"> I present some recent </w:t>
      </w:r>
      <w:r w:rsidR="00550FAD">
        <w:t>Australian</w:t>
      </w:r>
      <w:r w:rsidR="0047211B">
        <w:t xml:space="preserve"> data showing average weekly wages by post-school </w:t>
      </w:r>
      <w:r w:rsidR="00550FAD">
        <w:t>qualification</w:t>
      </w:r>
      <w:r w:rsidR="0047211B">
        <w:t>.</w:t>
      </w:r>
      <w:r w:rsidR="0047211B">
        <w:rPr>
          <w:rStyle w:val="FootnoteReference"/>
        </w:rPr>
        <w:footnoteReference w:id="2"/>
      </w:r>
    </w:p>
    <w:p w:rsidR="0052040C" w:rsidRPr="004429DA" w:rsidRDefault="0052040C" w:rsidP="000B2752">
      <w:pPr>
        <w:pStyle w:val="tabletitle"/>
      </w:pPr>
      <w:bookmarkStart w:id="17" w:name="_Toc289164658"/>
      <w:r w:rsidRPr="004429DA">
        <w:t xml:space="preserve">Table </w:t>
      </w:r>
      <w:r w:rsidR="00CC57E4">
        <w:t>2</w:t>
      </w:r>
      <w:r w:rsidRPr="004429DA">
        <w:t xml:space="preserve"> </w:t>
      </w:r>
      <w:r w:rsidR="00813C5D">
        <w:tab/>
      </w:r>
      <w:r w:rsidRPr="004429DA">
        <w:t>Average weekly wage by highest post-school qualification and sex, Australia, 2009</w:t>
      </w:r>
      <w:bookmarkEnd w:id="17"/>
    </w:p>
    <w:tbl>
      <w:tblPr>
        <w:tblW w:w="8505" w:type="dxa"/>
        <w:tblInd w:w="93" w:type="dxa"/>
        <w:tblLayout w:type="fixed"/>
        <w:tblLook w:val="04A0"/>
      </w:tblPr>
      <w:tblGrid>
        <w:gridCol w:w="5118"/>
        <w:gridCol w:w="1693"/>
        <w:gridCol w:w="1694"/>
      </w:tblGrid>
      <w:tr w:rsidR="00813C5D" w:rsidRPr="00CC0D5D" w:rsidTr="00FF498E">
        <w:trPr>
          <w:trHeight w:val="292"/>
        </w:trPr>
        <w:tc>
          <w:tcPr>
            <w:tcW w:w="5118" w:type="dxa"/>
            <w:tcBorders>
              <w:top w:val="single" w:sz="4" w:space="0" w:color="auto"/>
              <w:left w:val="nil"/>
              <w:bottom w:val="nil"/>
              <w:right w:val="nil"/>
            </w:tcBorders>
            <w:shd w:val="clear" w:color="auto" w:fill="auto"/>
            <w:noWrap/>
            <w:vAlign w:val="bottom"/>
            <w:hideMark/>
          </w:tcPr>
          <w:p w:rsidR="00813C5D" w:rsidRPr="00CC0D5D" w:rsidRDefault="00813C5D" w:rsidP="00FF498E">
            <w:pPr>
              <w:pStyle w:val="Tablehead1"/>
            </w:pPr>
            <w:r w:rsidRPr="00CC0D5D">
              <w:t> </w:t>
            </w:r>
          </w:p>
        </w:tc>
        <w:tc>
          <w:tcPr>
            <w:tcW w:w="1693" w:type="dxa"/>
            <w:tcBorders>
              <w:top w:val="single" w:sz="4" w:space="0" w:color="auto"/>
              <w:left w:val="nil"/>
              <w:bottom w:val="nil"/>
              <w:right w:val="nil"/>
            </w:tcBorders>
            <w:shd w:val="clear" w:color="auto" w:fill="auto"/>
            <w:noWrap/>
            <w:hideMark/>
          </w:tcPr>
          <w:p w:rsidR="00813C5D" w:rsidRPr="00CC0D5D" w:rsidRDefault="00813C5D" w:rsidP="00FF498E">
            <w:pPr>
              <w:pStyle w:val="Tablehead1"/>
              <w:jc w:val="center"/>
            </w:pPr>
            <w:r w:rsidRPr="00CC0D5D">
              <w:t>Male</w:t>
            </w:r>
          </w:p>
        </w:tc>
        <w:tc>
          <w:tcPr>
            <w:tcW w:w="1694" w:type="dxa"/>
            <w:tcBorders>
              <w:top w:val="single" w:sz="4" w:space="0" w:color="auto"/>
              <w:left w:val="nil"/>
              <w:bottom w:val="nil"/>
              <w:right w:val="nil"/>
            </w:tcBorders>
            <w:shd w:val="clear" w:color="auto" w:fill="auto"/>
            <w:noWrap/>
            <w:hideMark/>
          </w:tcPr>
          <w:p w:rsidR="00813C5D" w:rsidRPr="00CC0D5D" w:rsidRDefault="00813C5D" w:rsidP="00FF498E">
            <w:pPr>
              <w:pStyle w:val="Tablehead1"/>
              <w:jc w:val="center"/>
            </w:pPr>
            <w:r w:rsidRPr="00CC0D5D">
              <w:t>Female</w:t>
            </w:r>
          </w:p>
        </w:tc>
      </w:tr>
      <w:tr w:rsidR="00813C5D" w:rsidRPr="00CC0D5D" w:rsidTr="00FF498E">
        <w:trPr>
          <w:trHeight w:val="278"/>
        </w:trPr>
        <w:tc>
          <w:tcPr>
            <w:tcW w:w="5118" w:type="dxa"/>
            <w:tcBorders>
              <w:top w:val="nil"/>
              <w:left w:val="nil"/>
              <w:bottom w:val="single" w:sz="4" w:space="0" w:color="auto"/>
              <w:right w:val="nil"/>
            </w:tcBorders>
            <w:shd w:val="clear" w:color="auto" w:fill="auto"/>
            <w:noWrap/>
            <w:vAlign w:val="bottom"/>
            <w:hideMark/>
          </w:tcPr>
          <w:p w:rsidR="00813C5D" w:rsidRPr="00CC0D5D" w:rsidRDefault="00813C5D" w:rsidP="00FF498E">
            <w:pPr>
              <w:pStyle w:val="Tablehead2"/>
            </w:pPr>
            <w:r w:rsidRPr="00CC0D5D">
              <w:t> </w:t>
            </w:r>
          </w:p>
        </w:tc>
        <w:tc>
          <w:tcPr>
            <w:tcW w:w="1693" w:type="dxa"/>
            <w:tcBorders>
              <w:top w:val="nil"/>
              <w:left w:val="nil"/>
              <w:bottom w:val="single" w:sz="4" w:space="0" w:color="auto"/>
              <w:right w:val="nil"/>
            </w:tcBorders>
            <w:shd w:val="clear" w:color="auto" w:fill="auto"/>
            <w:noWrap/>
            <w:hideMark/>
          </w:tcPr>
          <w:p w:rsidR="00813C5D" w:rsidRPr="00CC0D5D" w:rsidRDefault="00813C5D" w:rsidP="00FF498E">
            <w:pPr>
              <w:pStyle w:val="Tablehead2"/>
              <w:jc w:val="center"/>
            </w:pPr>
            <w:r w:rsidRPr="00CC0D5D">
              <w:t>$</w:t>
            </w:r>
          </w:p>
        </w:tc>
        <w:tc>
          <w:tcPr>
            <w:tcW w:w="1694" w:type="dxa"/>
            <w:tcBorders>
              <w:top w:val="nil"/>
              <w:left w:val="nil"/>
              <w:bottom w:val="single" w:sz="4" w:space="0" w:color="auto"/>
              <w:right w:val="nil"/>
            </w:tcBorders>
            <w:shd w:val="clear" w:color="auto" w:fill="auto"/>
            <w:noWrap/>
            <w:hideMark/>
          </w:tcPr>
          <w:p w:rsidR="00813C5D" w:rsidRPr="00CC0D5D" w:rsidRDefault="00813C5D" w:rsidP="00FF498E">
            <w:pPr>
              <w:pStyle w:val="Tablehead2"/>
              <w:jc w:val="center"/>
            </w:pPr>
            <w:r w:rsidRPr="00CC0D5D">
              <w:t>$</w:t>
            </w:r>
          </w:p>
        </w:tc>
      </w:tr>
      <w:tr w:rsidR="00813C5D" w:rsidRPr="00CC0D5D" w:rsidTr="00FF498E">
        <w:trPr>
          <w:trHeight w:val="225"/>
        </w:trPr>
        <w:tc>
          <w:tcPr>
            <w:tcW w:w="5118" w:type="dxa"/>
            <w:tcBorders>
              <w:top w:val="nil"/>
              <w:left w:val="nil"/>
              <w:bottom w:val="nil"/>
              <w:right w:val="nil"/>
            </w:tcBorders>
            <w:shd w:val="clear" w:color="auto" w:fill="auto"/>
            <w:noWrap/>
            <w:vAlign w:val="bottom"/>
            <w:hideMark/>
          </w:tcPr>
          <w:p w:rsidR="00813C5D" w:rsidRPr="00CC0D5D" w:rsidRDefault="00813C5D" w:rsidP="00FF498E">
            <w:pPr>
              <w:pStyle w:val="Tabletext"/>
            </w:pPr>
            <w:r w:rsidRPr="00CC0D5D">
              <w:t xml:space="preserve">Postgraduate </w:t>
            </w:r>
            <w:r w:rsidR="00EB3DD7" w:rsidRPr="00CC0D5D">
              <w:t>degree, graduate diploma/graduate certificate</w:t>
            </w:r>
          </w:p>
        </w:tc>
        <w:tc>
          <w:tcPr>
            <w:tcW w:w="1693" w:type="dxa"/>
            <w:tcBorders>
              <w:top w:val="nil"/>
              <w:left w:val="nil"/>
              <w:bottom w:val="nil"/>
              <w:right w:val="nil"/>
            </w:tcBorders>
            <w:shd w:val="clear" w:color="auto" w:fill="auto"/>
            <w:noWrap/>
            <w:vAlign w:val="bottom"/>
            <w:hideMark/>
          </w:tcPr>
          <w:p w:rsidR="00813C5D" w:rsidRPr="00CC0D5D" w:rsidRDefault="00813C5D" w:rsidP="00FF498E">
            <w:pPr>
              <w:pStyle w:val="Tabletext"/>
              <w:tabs>
                <w:tab w:val="decimal" w:pos="851"/>
              </w:tabs>
            </w:pPr>
            <w:r w:rsidRPr="00CC0D5D">
              <w:t>1376.8</w:t>
            </w:r>
          </w:p>
        </w:tc>
        <w:tc>
          <w:tcPr>
            <w:tcW w:w="1694" w:type="dxa"/>
            <w:tcBorders>
              <w:top w:val="nil"/>
              <w:left w:val="nil"/>
              <w:bottom w:val="nil"/>
              <w:right w:val="nil"/>
            </w:tcBorders>
            <w:shd w:val="clear" w:color="auto" w:fill="auto"/>
            <w:noWrap/>
            <w:vAlign w:val="bottom"/>
            <w:hideMark/>
          </w:tcPr>
          <w:p w:rsidR="00813C5D" w:rsidRPr="00CC0D5D" w:rsidRDefault="00813C5D" w:rsidP="00FF498E">
            <w:pPr>
              <w:pStyle w:val="Tabletext"/>
              <w:tabs>
                <w:tab w:val="decimal" w:pos="851"/>
              </w:tabs>
            </w:pPr>
            <w:r w:rsidRPr="00CC0D5D">
              <w:t>1116.6</w:t>
            </w:r>
          </w:p>
        </w:tc>
      </w:tr>
      <w:tr w:rsidR="00813C5D" w:rsidRPr="00CC0D5D" w:rsidTr="00FF498E">
        <w:trPr>
          <w:trHeight w:val="225"/>
        </w:trPr>
        <w:tc>
          <w:tcPr>
            <w:tcW w:w="5118" w:type="dxa"/>
            <w:tcBorders>
              <w:top w:val="nil"/>
              <w:left w:val="nil"/>
              <w:bottom w:val="nil"/>
              <w:right w:val="nil"/>
            </w:tcBorders>
            <w:shd w:val="clear" w:color="auto" w:fill="auto"/>
            <w:noWrap/>
            <w:vAlign w:val="bottom"/>
            <w:hideMark/>
          </w:tcPr>
          <w:p w:rsidR="00813C5D" w:rsidRPr="00CC0D5D" w:rsidRDefault="00EB3DD7" w:rsidP="00FF498E">
            <w:pPr>
              <w:pStyle w:val="Tabletext"/>
            </w:pPr>
            <w:r>
              <w:t>Bachelor d</w:t>
            </w:r>
            <w:r w:rsidR="00813C5D" w:rsidRPr="00CC0D5D">
              <w:t>egree</w:t>
            </w:r>
          </w:p>
        </w:tc>
        <w:tc>
          <w:tcPr>
            <w:tcW w:w="1693" w:type="dxa"/>
            <w:tcBorders>
              <w:top w:val="nil"/>
              <w:left w:val="nil"/>
              <w:bottom w:val="nil"/>
              <w:right w:val="nil"/>
            </w:tcBorders>
            <w:shd w:val="clear" w:color="auto" w:fill="auto"/>
            <w:noWrap/>
            <w:vAlign w:val="bottom"/>
            <w:hideMark/>
          </w:tcPr>
          <w:p w:rsidR="00813C5D" w:rsidRPr="00CC0D5D" w:rsidRDefault="00813C5D" w:rsidP="00FF498E">
            <w:pPr>
              <w:pStyle w:val="Tabletext"/>
              <w:tabs>
                <w:tab w:val="decimal" w:pos="851"/>
              </w:tabs>
            </w:pPr>
            <w:r w:rsidRPr="00CC0D5D">
              <w:t>1238.4</w:t>
            </w:r>
          </w:p>
        </w:tc>
        <w:tc>
          <w:tcPr>
            <w:tcW w:w="1694" w:type="dxa"/>
            <w:tcBorders>
              <w:top w:val="nil"/>
              <w:left w:val="nil"/>
              <w:bottom w:val="nil"/>
              <w:right w:val="nil"/>
            </w:tcBorders>
            <w:shd w:val="clear" w:color="auto" w:fill="auto"/>
            <w:noWrap/>
            <w:vAlign w:val="bottom"/>
            <w:hideMark/>
          </w:tcPr>
          <w:p w:rsidR="00813C5D" w:rsidRPr="00CC0D5D" w:rsidRDefault="00813C5D" w:rsidP="00FF498E">
            <w:pPr>
              <w:pStyle w:val="Tabletext"/>
              <w:tabs>
                <w:tab w:val="decimal" w:pos="851"/>
              </w:tabs>
            </w:pPr>
            <w:r w:rsidRPr="00CC0D5D">
              <w:t>967.0</w:t>
            </w:r>
          </w:p>
        </w:tc>
      </w:tr>
      <w:tr w:rsidR="00813C5D" w:rsidRPr="00CC0D5D" w:rsidTr="00FF498E">
        <w:trPr>
          <w:trHeight w:val="225"/>
        </w:trPr>
        <w:tc>
          <w:tcPr>
            <w:tcW w:w="5118" w:type="dxa"/>
            <w:tcBorders>
              <w:top w:val="nil"/>
              <w:left w:val="nil"/>
              <w:bottom w:val="nil"/>
              <w:right w:val="nil"/>
            </w:tcBorders>
            <w:shd w:val="clear" w:color="auto" w:fill="auto"/>
            <w:noWrap/>
            <w:vAlign w:val="bottom"/>
            <w:hideMark/>
          </w:tcPr>
          <w:p w:rsidR="00813C5D" w:rsidRPr="00CC0D5D" w:rsidRDefault="00813C5D" w:rsidP="00FF498E">
            <w:pPr>
              <w:pStyle w:val="Tabletext"/>
            </w:pPr>
            <w:r w:rsidRPr="00CC0D5D">
              <w:t xml:space="preserve">Advanced </w:t>
            </w:r>
            <w:r w:rsidR="00EB3DD7" w:rsidRPr="00CC0D5D">
              <w:t>diploma/diploma</w:t>
            </w:r>
          </w:p>
        </w:tc>
        <w:tc>
          <w:tcPr>
            <w:tcW w:w="1693" w:type="dxa"/>
            <w:tcBorders>
              <w:top w:val="nil"/>
              <w:left w:val="nil"/>
              <w:bottom w:val="nil"/>
              <w:right w:val="nil"/>
            </w:tcBorders>
            <w:shd w:val="clear" w:color="auto" w:fill="auto"/>
            <w:noWrap/>
            <w:vAlign w:val="bottom"/>
            <w:hideMark/>
          </w:tcPr>
          <w:p w:rsidR="00813C5D" w:rsidRPr="00CC0D5D" w:rsidRDefault="00813C5D" w:rsidP="00FF498E">
            <w:pPr>
              <w:pStyle w:val="Tabletext"/>
              <w:tabs>
                <w:tab w:val="decimal" w:pos="851"/>
              </w:tabs>
            </w:pPr>
            <w:r w:rsidRPr="00CC0D5D">
              <w:t>1108.7</w:t>
            </w:r>
          </w:p>
        </w:tc>
        <w:tc>
          <w:tcPr>
            <w:tcW w:w="1694" w:type="dxa"/>
            <w:tcBorders>
              <w:top w:val="nil"/>
              <w:left w:val="nil"/>
              <w:bottom w:val="nil"/>
              <w:right w:val="nil"/>
            </w:tcBorders>
            <w:shd w:val="clear" w:color="auto" w:fill="auto"/>
            <w:noWrap/>
            <w:vAlign w:val="bottom"/>
            <w:hideMark/>
          </w:tcPr>
          <w:p w:rsidR="00813C5D" w:rsidRPr="00CC0D5D" w:rsidRDefault="00813C5D" w:rsidP="00FF498E">
            <w:pPr>
              <w:pStyle w:val="Tabletext"/>
              <w:tabs>
                <w:tab w:val="decimal" w:pos="851"/>
              </w:tabs>
            </w:pPr>
            <w:r w:rsidRPr="00CC0D5D">
              <w:t>777.7</w:t>
            </w:r>
          </w:p>
        </w:tc>
      </w:tr>
      <w:tr w:rsidR="00813C5D" w:rsidRPr="00CC0D5D" w:rsidTr="00FF498E">
        <w:trPr>
          <w:trHeight w:val="225"/>
        </w:trPr>
        <w:tc>
          <w:tcPr>
            <w:tcW w:w="5118" w:type="dxa"/>
            <w:tcBorders>
              <w:top w:val="nil"/>
              <w:left w:val="nil"/>
              <w:bottom w:val="nil"/>
              <w:right w:val="nil"/>
            </w:tcBorders>
            <w:shd w:val="clear" w:color="auto" w:fill="auto"/>
            <w:noWrap/>
            <w:vAlign w:val="bottom"/>
            <w:hideMark/>
          </w:tcPr>
          <w:p w:rsidR="00813C5D" w:rsidRPr="00CC0D5D" w:rsidRDefault="00813C5D" w:rsidP="00FF498E">
            <w:pPr>
              <w:pStyle w:val="Tabletext"/>
            </w:pPr>
            <w:r w:rsidRPr="00CC0D5D">
              <w:t>Certificate III/IV</w:t>
            </w:r>
          </w:p>
        </w:tc>
        <w:tc>
          <w:tcPr>
            <w:tcW w:w="1693" w:type="dxa"/>
            <w:tcBorders>
              <w:top w:val="nil"/>
              <w:left w:val="nil"/>
              <w:bottom w:val="nil"/>
              <w:right w:val="nil"/>
            </w:tcBorders>
            <w:shd w:val="clear" w:color="auto" w:fill="auto"/>
            <w:noWrap/>
            <w:vAlign w:val="bottom"/>
            <w:hideMark/>
          </w:tcPr>
          <w:p w:rsidR="00813C5D" w:rsidRPr="00CC0D5D" w:rsidRDefault="00813C5D" w:rsidP="00FF498E">
            <w:pPr>
              <w:pStyle w:val="Tabletext"/>
              <w:tabs>
                <w:tab w:val="decimal" w:pos="851"/>
              </w:tabs>
            </w:pPr>
            <w:r w:rsidRPr="00CC0D5D">
              <w:t>1059.0</w:t>
            </w:r>
          </w:p>
        </w:tc>
        <w:tc>
          <w:tcPr>
            <w:tcW w:w="1694" w:type="dxa"/>
            <w:tcBorders>
              <w:top w:val="nil"/>
              <w:left w:val="nil"/>
              <w:bottom w:val="nil"/>
              <w:right w:val="nil"/>
            </w:tcBorders>
            <w:shd w:val="clear" w:color="auto" w:fill="auto"/>
            <w:noWrap/>
            <w:vAlign w:val="bottom"/>
            <w:hideMark/>
          </w:tcPr>
          <w:p w:rsidR="00813C5D" w:rsidRPr="00CC0D5D" w:rsidRDefault="00813C5D" w:rsidP="00FF498E">
            <w:pPr>
              <w:pStyle w:val="Tabletext"/>
              <w:tabs>
                <w:tab w:val="decimal" w:pos="851"/>
              </w:tabs>
            </w:pPr>
            <w:r w:rsidRPr="00CC0D5D">
              <w:t>640.4</w:t>
            </w:r>
          </w:p>
        </w:tc>
      </w:tr>
      <w:tr w:rsidR="00813C5D" w:rsidRPr="00CC0D5D" w:rsidTr="00FF498E">
        <w:trPr>
          <w:trHeight w:val="225"/>
        </w:trPr>
        <w:tc>
          <w:tcPr>
            <w:tcW w:w="5118" w:type="dxa"/>
            <w:tcBorders>
              <w:top w:val="nil"/>
              <w:left w:val="nil"/>
              <w:bottom w:val="nil"/>
              <w:right w:val="nil"/>
            </w:tcBorders>
            <w:shd w:val="clear" w:color="auto" w:fill="auto"/>
            <w:noWrap/>
            <w:vAlign w:val="bottom"/>
            <w:hideMark/>
          </w:tcPr>
          <w:p w:rsidR="00813C5D" w:rsidRPr="00CC0D5D" w:rsidRDefault="00813C5D" w:rsidP="00FF498E">
            <w:pPr>
              <w:pStyle w:val="Tabletext"/>
            </w:pPr>
            <w:r w:rsidRPr="00CC0D5D">
              <w:t>Certificate I/II</w:t>
            </w:r>
          </w:p>
        </w:tc>
        <w:tc>
          <w:tcPr>
            <w:tcW w:w="1693" w:type="dxa"/>
            <w:tcBorders>
              <w:top w:val="nil"/>
              <w:left w:val="nil"/>
              <w:bottom w:val="nil"/>
              <w:right w:val="nil"/>
            </w:tcBorders>
            <w:shd w:val="clear" w:color="auto" w:fill="auto"/>
            <w:noWrap/>
            <w:vAlign w:val="bottom"/>
            <w:hideMark/>
          </w:tcPr>
          <w:p w:rsidR="00813C5D" w:rsidRPr="00CC0D5D" w:rsidRDefault="00813C5D" w:rsidP="00FF498E">
            <w:pPr>
              <w:pStyle w:val="Tabletext"/>
              <w:tabs>
                <w:tab w:val="decimal" w:pos="851"/>
              </w:tabs>
            </w:pPr>
            <w:r w:rsidRPr="00CC0D5D">
              <w:t>782.5</w:t>
            </w:r>
          </w:p>
        </w:tc>
        <w:tc>
          <w:tcPr>
            <w:tcW w:w="1694" w:type="dxa"/>
            <w:tcBorders>
              <w:top w:val="nil"/>
              <w:left w:val="nil"/>
              <w:bottom w:val="nil"/>
              <w:right w:val="nil"/>
            </w:tcBorders>
            <w:shd w:val="clear" w:color="auto" w:fill="auto"/>
            <w:noWrap/>
            <w:vAlign w:val="bottom"/>
            <w:hideMark/>
          </w:tcPr>
          <w:p w:rsidR="00813C5D" w:rsidRPr="00CC0D5D" w:rsidRDefault="00813C5D" w:rsidP="00FF498E">
            <w:pPr>
              <w:pStyle w:val="Tabletext"/>
              <w:tabs>
                <w:tab w:val="decimal" w:pos="851"/>
              </w:tabs>
            </w:pPr>
            <w:r w:rsidRPr="00CC0D5D">
              <w:t>589.5</w:t>
            </w:r>
          </w:p>
        </w:tc>
      </w:tr>
      <w:tr w:rsidR="00813C5D" w:rsidRPr="00CC0D5D" w:rsidTr="00FF498E">
        <w:trPr>
          <w:trHeight w:val="225"/>
        </w:trPr>
        <w:tc>
          <w:tcPr>
            <w:tcW w:w="5118" w:type="dxa"/>
            <w:tcBorders>
              <w:top w:val="nil"/>
              <w:left w:val="nil"/>
              <w:bottom w:val="nil"/>
              <w:right w:val="nil"/>
            </w:tcBorders>
            <w:shd w:val="clear" w:color="auto" w:fill="auto"/>
            <w:noWrap/>
            <w:vAlign w:val="bottom"/>
            <w:hideMark/>
          </w:tcPr>
          <w:p w:rsidR="00813C5D" w:rsidRPr="00CC0D5D" w:rsidRDefault="00813C5D" w:rsidP="00FF498E">
            <w:pPr>
              <w:pStyle w:val="Tabletext"/>
            </w:pPr>
            <w:r w:rsidRPr="00CC0D5D">
              <w:t>Certificate not further defined</w:t>
            </w:r>
          </w:p>
        </w:tc>
        <w:tc>
          <w:tcPr>
            <w:tcW w:w="1693" w:type="dxa"/>
            <w:tcBorders>
              <w:top w:val="nil"/>
              <w:left w:val="nil"/>
              <w:bottom w:val="nil"/>
              <w:right w:val="nil"/>
            </w:tcBorders>
            <w:shd w:val="clear" w:color="auto" w:fill="auto"/>
            <w:noWrap/>
            <w:vAlign w:val="bottom"/>
            <w:hideMark/>
          </w:tcPr>
          <w:p w:rsidR="00813C5D" w:rsidRPr="00CC0D5D" w:rsidRDefault="00813C5D" w:rsidP="00FF498E">
            <w:pPr>
              <w:pStyle w:val="Tabletext"/>
              <w:tabs>
                <w:tab w:val="decimal" w:pos="851"/>
              </w:tabs>
            </w:pPr>
            <w:r w:rsidRPr="00CC0D5D">
              <w:t>956.4</w:t>
            </w:r>
          </w:p>
        </w:tc>
        <w:tc>
          <w:tcPr>
            <w:tcW w:w="1694" w:type="dxa"/>
            <w:tcBorders>
              <w:top w:val="nil"/>
              <w:left w:val="nil"/>
              <w:bottom w:val="nil"/>
              <w:right w:val="nil"/>
            </w:tcBorders>
            <w:shd w:val="clear" w:color="auto" w:fill="auto"/>
            <w:noWrap/>
            <w:vAlign w:val="bottom"/>
            <w:hideMark/>
          </w:tcPr>
          <w:p w:rsidR="00813C5D" w:rsidRPr="00CC0D5D" w:rsidRDefault="00813C5D" w:rsidP="00FF498E">
            <w:pPr>
              <w:pStyle w:val="Tabletext"/>
              <w:tabs>
                <w:tab w:val="decimal" w:pos="851"/>
              </w:tabs>
            </w:pPr>
            <w:r w:rsidRPr="00CC0D5D">
              <w:t>586.5</w:t>
            </w:r>
          </w:p>
        </w:tc>
      </w:tr>
      <w:tr w:rsidR="00813C5D" w:rsidRPr="00CC0D5D" w:rsidTr="00FF498E">
        <w:trPr>
          <w:trHeight w:val="225"/>
        </w:trPr>
        <w:tc>
          <w:tcPr>
            <w:tcW w:w="5118" w:type="dxa"/>
            <w:tcBorders>
              <w:top w:val="nil"/>
              <w:left w:val="nil"/>
              <w:bottom w:val="nil"/>
              <w:right w:val="nil"/>
            </w:tcBorders>
            <w:shd w:val="clear" w:color="auto" w:fill="auto"/>
            <w:noWrap/>
            <w:vAlign w:val="bottom"/>
            <w:hideMark/>
          </w:tcPr>
          <w:p w:rsidR="00813C5D" w:rsidRPr="00CC0D5D" w:rsidRDefault="00813C5D" w:rsidP="00FF498E">
            <w:pPr>
              <w:pStyle w:val="Tabletext"/>
            </w:pPr>
            <w:r w:rsidRPr="00CC0D5D">
              <w:t>No non-school qualification</w:t>
            </w:r>
          </w:p>
        </w:tc>
        <w:tc>
          <w:tcPr>
            <w:tcW w:w="1693" w:type="dxa"/>
            <w:tcBorders>
              <w:top w:val="nil"/>
              <w:left w:val="nil"/>
              <w:bottom w:val="nil"/>
              <w:right w:val="nil"/>
            </w:tcBorders>
            <w:shd w:val="clear" w:color="auto" w:fill="auto"/>
            <w:noWrap/>
            <w:vAlign w:val="bottom"/>
            <w:hideMark/>
          </w:tcPr>
          <w:p w:rsidR="00813C5D" w:rsidRPr="00CC0D5D" w:rsidRDefault="00813C5D" w:rsidP="00FF498E">
            <w:pPr>
              <w:pStyle w:val="Tabletext"/>
              <w:tabs>
                <w:tab w:val="decimal" w:pos="851"/>
              </w:tabs>
            </w:pPr>
            <w:r w:rsidRPr="00CC0D5D">
              <w:t>801.1</w:t>
            </w:r>
          </w:p>
        </w:tc>
        <w:tc>
          <w:tcPr>
            <w:tcW w:w="1694" w:type="dxa"/>
            <w:tcBorders>
              <w:top w:val="nil"/>
              <w:left w:val="nil"/>
              <w:bottom w:val="nil"/>
              <w:right w:val="nil"/>
            </w:tcBorders>
            <w:shd w:val="clear" w:color="auto" w:fill="auto"/>
            <w:noWrap/>
            <w:vAlign w:val="bottom"/>
            <w:hideMark/>
          </w:tcPr>
          <w:p w:rsidR="00813C5D" w:rsidRPr="00CC0D5D" w:rsidRDefault="00813C5D" w:rsidP="00FF498E">
            <w:pPr>
              <w:pStyle w:val="Tabletext"/>
              <w:tabs>
                <w:tab w:val="decimal" w:pos="851"/>
              </w:tabs>
            </w:pPr>
            <w:r w:rsidRPr="00CC0D5D">
              <w:t>513.7</w:t>
            </w:r>
          </w:p>
        </w:tc>
      </w:tr>
      <w:tr w:rsidR="00813C5D" w:rsidRPr="00CC0D5D" w:rsidTr="00FF498E">
        <w:trPr>
          <w:trHeight w:val="225"/>
        </w:trPr>
        <w:tc>
          <w:tcPr>
            <w:tcW w:w="5118" w:type="dxa"/>
            <w:tcBorders>
              <w:top w:val="nil"/>
              <w:left w:val="nil"/>
              <w:bottom w:val="nil"/>
              <w:right w:val="nil"/>
            </w:tcBorders>
            <w:shd w:val="clear" w:color="auto" w:fill="auto"/>
            <w:noWrap/>
            <w:vAlign w:val="bottom"/>
            <w:hideMark/>
          </w:tcPr>
          <w:p w:rsidR="00813C5D" w:rsidRPr="00CC0D5D" w:rsidRDefault="00813C5D" w:rsidP="00FF498E">
            <w:pPr>
              <w:pStyle w:val="Tabletext"/>
            </w:pPr>
            <w:r w:rsidRPr="00CC0D5D">
              <w:t>Level not determined</w:t>
            </w:r>
          </w:p>
        </w:tc>
        <w:tc>
          <w:tcPr>
            <w:tcW w:w="1693" w:type="dxa"/>
            <w:tcBorders>
              <w:top w:val="nil"/>
              <w:left w:val="nil"/>
              <w:bottom w:val="nil"/>
              <w:right w:val="nil"/>
            </w:tcBorders>
            <w:shd w:val="clear" w:color="auto" w:fill="auto"/>
            <w:noWrap/>
            <w:vAlign w:val="bottom"/>
            <w:hideMark/>
          </w:tcPr>
          <w:p w:rsidR="00813C5D" w:rsidRPr="00CC0D5D" w:rsidRDefault="00813C5D" w:rsidP="00FF498E">
            <w:pPr>
              <w:pStyle w:val="Tabletext"/>
              <w:tabs>
                <w:tab w:val="decimal" w:pos="851"/>
              </w:tabs>
            </w:pPr>
            <w:r w:rsidRPr="00CC0D5D">
              <w:t>1017.6</w:t>
            </w:r>
          </w:p>
        </w:tc>
        <w:tc>
          <w:tcPr>
            <w:tcW w:w="1694" w:type="dxa"/>
            <w:tcBorders>
              <w:top w:val="nil"/>
              <w:left w:val="nil"/>
              <w:bottom w:val="nil"/>
              <w:right w:val="nil"/>
            </w:tcBorders>
            <w:shd w:val="clear" w:color="auto" w:fill="auto"/>
            <w:noWrap/>
            <w:vAlign w:val="bottom"/>
            <w:hideMark/>
          </w:tcPr>
          <w:p w:rsidR="00813C5D" w:rsidRPr="00CC0D5D" w:rsidRDefault="00813C5D" w:rsidP="00FF498E">
            <w:pPr>
              <w:pStyle w:val="Tabletext"/>
              <w:tabs>
                <w:tab w:val="decimal" w:pos="851"/>
              </w:tabs>
            </w:pPr>
            <w:r w:rsidRPr="00CC0D5D">
              <w:t>691.4</w:t>
            </w:r>
          </w:p>
        </w:tc>
      </w:tr>
      <w:tr w:rsidR="00813C5D" w:rsidRPr="00CC0D5D" w:rsidTr="00FF498E">
        <w:trPr>
          <w:trHeight w:val="225"/>
        </w:trPr>
        <w:tc>
          <w:tcPr>
            <w:tcW w:w="5118" w:type="dxa"/>
            <w:tcBorders>
              <w:top w:val="nil"/>
              <w:left w:val="nil"/>
              <w:bottom w:val="single" w:sz="4" w:space="0" w:color="auto"/>
              <w:right w:val="nil"/>
            </w:tcBorders>
            <w:shd w:val="clear" w:color="auto" w:fill="auto"/>
            <w:noWrap/>
            <w:vAlign w:val="bottom"/>
            <w:hideMark/>
          </w:tcPr>
          <w:p w:rsidR="00813C5D" w:rsidRPr="00CC0D5D" w:rsidRDefault="00813C5D" w:rsidP="00FF498E">
            <w:pPr>
              <w:pStyle w:val="Tabletext"/>
              <w:spacing w:after="40"/>
              <w:rPr>
                <w:b/>
                <w:bCs/>
              </w:rPr>
            </w:pPr>
            <w:r w:rsidRPr="00CC0D5D">
              <w:rPr>
                <w:b/>
                <w:bCs/>
              </w:rPr>
              <w:t>Total</w:t>
            </w:r>
          </w:p>
        </w:tc>
        <w:tc>
          <w:tcPr>
            <w:tcW w:w="1693" w:type="dxa"/>
            <w:tcBorders>
              <w:top w:val="nil"/>
              <w:left w:val="nil"/>
              <w:bottom w:val="single" w:sz="4" w:space="0" w:color="auto"/>
              <w:right w:val="nil"/>
            </w:tcBorders>
            <w:shd w:val="clear" w:color="auto" w:fill="auto"/>
            <w:noWrap/>
            <w:vAlign w:val="bottom"/>
            <w:hideMark/>
          </w:tcPr>
          <w:p w:rsidR="00813C5D" w:rsidRPr="00CC0D5D" w:rsidRDefault="00813C5D" w:rsidP="00FF498E">
            <w:pPr>
              <w:pStyle w:val="Tabletext"/>
              <w:tabs>
                <w:tab w:val="decimal" w:pos="851"/>
              </w:tabs>
              <w:spacing w:after="40"/>
              <w:rPr>
                <w:b/>
                <w:bCs/>
              </w:rPr>
            </w:pPr>
            <w:r w:rsidRPr="00CC0D5D">
              <w:rPr>
                <w:b/>
                <w:bCs/>
              </w:rPr>
              <w:t>1007.0</w:t>
            </w:r>
          </w:p>
        </w:tc>
        <w:tc>
          <w:tcPr>
            <w:tcW w:w="1694" w:type="dxa"/>
            <w:tcBorders>
              <w:top w:val="nil"/>
              <w:left w:val="nil"/>
              <w:bottom w:val="single" w:sz="4" w:space="0" w:color="auto"/>
              <w:right w:val="nil"/>
            </w:tcBorders>
            <w:shd w:val="clear" w:color="auto" w:fill="auto"/>
            <w:noWrap/>
            <w:vAlign w:val="bottom"/>
            <w:hideMark/>
          </w:tcPr>
          <w:p w:rsidR="00813C5D" w:rsidRPr="00CC0D5D" w:rsidRDefault="00813C5D" w:rsidP="00FF498E">
            <w:pPr>
              <w:pStyle w:val="Tabletext"/>
              <w:tabs>
                <w:tab w:val="decimal" w:pos="851"/>
              </w:tabs>
              <w:spacing w:after="40"/>
              <w:rPr>
                <w:b/>
                <w:bCs/>
              </w:rPr>
            </w:pPr>
            <w:r w:rsidRPr="00CC0D5D">
              <w:rPr>
                <w:b/>
                <w:bCs/>
              </w:rPr>
              <w:t>721.3</w:t>
            </w:r>
          </w:p>
        </w:tc>
      </w:tr>
    </w:tbl>
    <w:p w:rsidR="00FF498E" w:rsidRDefault="00FF498E" w:rsidP="00FF498E">
      <w:pPr>
        <w:pStyle w:val="Source"/>
      </w:pPr>
      <w:r w:rsidRPr="00CC0D5D">
        <w:t>Note:</w:t>
      </w:r>
      <w:r>
        <w:tab/>
      </w:r>
      <w:r w:rsidRPr="00CC0D5D">
        <w:t>Sample restricted to wage and salary earners only.</w:t>
      </w:r>
    </w:p>
    <w:p w:rsidR="00FF498E" w:rsidRDefault="00FF498E" w:rsidP="00FF498E">
      <w:pPr>
        <w:pStyle w:val="Source"/>
      </w:pPr>
      <w:r>
        <w:t>Source:</w:t>
      </w:r>
      <w:r>
        <w:tab/>
      </w:r>
      <w:r w:rsidRPr="00CC0D5D">
        <w:t>Survey of Education and Training, 2009.</w:t>
      </w:r>
    </w:p>
    <w:p w:rsidR="0047211B" w:rsidRDefault="0052040C" w:rsidP="00FF498E">
      <w:pPr>
        <w:pStyle w:val="text-moreb4"/>
      </w:pPr>
      <w:r>
        <w:t xml:space="preserve">There is no doubt that education and training are very important elements of any increases in </w:t>
      </w:r>
      <w:r w:rsidR="00550FAD">
        <w:t>participation</w:t>
      </w:r>
      <w:r>
        <w:t xml:space="preserve"> and productivity, which are needed to maintain living standards as ageing of the </w:t>
      </w:r>
      <w:r w:rsidR="00550FAD">
        <w:t>population</w:t>
      </w:r>
      <w:r>
        <w:t xml:space="preserve"> occurs.</w:t>
      </w:r>
    </w:p>
    <w:p w:rsidR="00F127AF" w:rsidRDefault="00F127AF" w:rsidP="00CB3943">
      <w:pPr>
        <w:pStyle w:val="Text"/>
      </w:pPr>
    </w:p>
    <w:p w:rsidR="00CB3943" w:rsidRPr="00D12007" w:rsidRDefault="00CB3943">
      <w:pPr>
        <w:spacing w:before="0"/>
        <w:rPr>
          <w:kern w:val="28"/>
          <w:sz w:val="20"/>
        </w:rPr>
      </w:pPr>
      <w:r>
        <w:br w:type="page"/>
      </w:r>
    </w:p>
    <w:p w:rsidR="00721FCB" w:rsidRPr="00176437" w:rsidRDefault="00176437" w:rsidP="00176437">
      <w:pPr>
        <w:pStyle w:val="Heading1"/>
      </w:pPr>
      <w:r>
        <w:lastRenderedPageBreak/>
        <w:br/>
      </w:r>
      <w:r>
        <w:br/>
      </w:r>
      <w:bookmarkStart w:id="18" w:name="_Toc289164600"/>
      <w:r w:rsidR="00721FCB" w:rsidRPr="00176437">
        <w:t>The ‘demographic dividend’</w:t>
      </w:r>
      <w:bookmarkEnd w:id="18"/>
    </w:p>
    <w:p w:rsidR="00AF58BC" w:rsidRPr="00FF498E" w:rsidRDefault="00B66609" w:rsidP="00970502">
      <w:pPr>
        <w:pStyle w:val="text0"/>
        <w:spacing w:before="440"/>
      </w:pPr>
      <w:r>
        <w:t>One o</w:t>
      </w:r>
      <w:r w:rsidR="00FB4E00">
        <w:t>f the characteristics of forma</w:t>
      </w:r>
      <w:r w:rsidR="00561839">
        <w:t>l</w:t>
      </w:r>
      <w:r>
        <w:t xml:space="preserve"> education a</w:t>
      </w:r>
      <w:r w:rsidR="00EB3DD7">
        <w:t>nd training is that it is front-end-loaded—</w:t>
      </w:r>
      <w:r>
        <w:t xml:space="preserve">the majority of formal education and training is undertaken when people are young. </w:t>
      </w:r>
      <w:r w:rsidR="00561839">
        <w:t>This</w:t>
      </w:r>
      <w:r>
        <w:t xml:space="preserve"> is for very good reasons. First, in order to u</w:t>
      </w:r>
      <w:r w:rsidR="00741BFB">
        <w:t>ndertake post-school education</w:t>
      </w:r>
      <w:r>
        <w:t xml:space="preserve"> a </w:t>
      </w:r>
      <w:r w:rsidR="00561839">
        <w:t>reasonable</w:t>
      </w:r>
      <w:r>
        <w:t xml:space="preserve"> level of secondary schooling</w:t>
      </w:r>
      <w:r w:rsidR="00741BFB">
        <w:t xml:space="preserve"> needs to be completed</w:t>
      </w:r>
      <w:r>
        <w:t xml:space="preserve">. </w:t>
      </w:r>
      <w:r w:rsidR="00EB3DD7">
        <w:t>Attendance at secondary school</w:t>
      </w:r>
      <w:r>
        <w:t xml:space="preserve"> </w:t>
      </w:r>
      <w:r w:rsidR="00EB3DD7">
        <w:t>requires completion of</w:t>
      </w:r>
      <w:r>
        <w:t xml:space="preserve"> primary schooling. </w:t>
      </w:r>
      <w:r w:rsidR="00561839">
        <w:t xml:space="preserve">In order to complete primary schooling one needs to be taught to read and write. </w:t>
      </w:r>
      <w:r>
        <w:t xml:space="preserve">And so on. Second, the </w:t>
      </w:r>
      <w:r w:rsidR="00CC57E4">
        <w:t>‘</w:t>
      </w:r>
      <w:r>
        <w:t>learning to learn</w:t>
      </w:r>
      <w:r w:rsidR="00CC57E4">
        <w:t>’</w:t>
      </w:r>
      <w:r w:rsidR="00EB3DD7">
        <w:t xml:space="preserve"> nature of education—</w:t>
      </w:r>
      <w:r>
        <w:t>the better educated you are</w:t>
      </w:r>
      <w:r w:rsidR="00741BFB">
        <w:t>,</w:t>
      </w:r>
      <w:r>
        <w:t xml:space="preserve"> the easier i</w:t>
      </w:r>
      <w:r w:rsidR="00EB3DD7">
        <w:t>t is to acquire more education—</w:t>
      </w:r>
      <w:r w:rsidR="00741BFB">
        <w:t>means that life</w:t>
      </w:r>
      <w:r>
        <w:t xml:space="preserve">time learning will be maximised by investing heavily early in life. Finally, if </w:t>
      </w:r>
      <w:r w:rsidR="00561839">
        <w:t>education</w:t>
      </w:r>
      <w:r>
        <w:t xml:space="preserve"> and training </w:t>
      </w:r>
      <w:r w:rsidR="00741BFB">
        <w:t>are considered</w:t>
      </w:r>
      <w:r w:rsidR="00EB3DD7">
        <w:t xml:space="preserve"> in human capital terms—</w:t>
      </w:r>
      <w:r>
        <w:t xml:space="preserve">as </w:t>
      </w:r>
      <w:r w:rsidR="00561839">
        <w:t>an</w:t>
      </w:r>
      <w:r>
        <w:t xml:space="preserve"> </w:t>
      </w:r>
      <w:r w:rsidR="00AF58BC">
        <w:t xml:space="preserve">investment in future </w:t>
      </w:r>
      <w:r w:rsidR="00561839">
        <w:t>productivity</w:t>
      </w:r>
      <w:r w:rsidR="00EB3DD7">
        <w:t>—</w:t>
      </w:r>
      <w:r w:rsidR="00AF58BC" w:rsidRPr="00FF498E">
        <w:t>then the greatest return is obtained by investing earlier rather than later in life.</w:t>
      </w:r>
    </w:p>
    <w:p w:rsidR="0036186C" w:rsidRDefault="00F5743D" w:rsidP="00970502">
      <w:pPr>
        <w:pStyle w:val="text0"/>
      </w:pPr>
      <w:r w:rsidRPr="00FF498E">
        <w:t>T</w:t>
      </w:r>
      <w:r w:rsidR="00CC57E4" w:rsidRPr="00FF498E">
        <w:t>o illustrate this point</w:t>
      </w:r>
      <w:r w:rsidR="00EB3DD7" w:rsidRPr="00FF498E">
        <w:t>,</w:t>
      </w:r>
      <w:r w:rsidR="00CC57E4" w:rsidRPr="00FF498E">
        <w:t xml:space="preserve"> figure 4</w:t>
      </w:r>
      <w:r w:rsidRPr="00FF498E">
        <w:t xml:space="preserve"> presents</w:t>
      </w:r>
      <w:r>
        <w:t xml:space="preserve"> educational participation by age in Australia.</w:t>
      </w:r>
    </w:p>
    <w:p w:rsidR="00FF498E" w:rsidRDefault="00F5743D" w:rsidP="00FF498E">
      <w:pPr>
        <w:pStyle w:val="Figuretitle"/>
      </w:pPr>
      <w:bookmarkStart w:id="19" w:name="_Toc289164669"/>
      <w:r w:rsidRPr="00FF498E">
        <w:t>Figure</w:t>
      </w:r>
      <w:r>
        <w:t xml:space="preserve"> </w:t>
      </w:r>
      <w:r w:rsidR="00CC57E4">
        <w:t>4</w:t>
      </w:r>
      <w:r>
        <w:t>a</w:t>
      </w:r>
      <w:r w:rsidR="00813C5D">
        <w:tab/>
      </w:r>
      <w:r>
        <w:t>Educational participation by age, males, Australia, 2009</w:t>
      </w:r>
      <w:bookmarkStart w:id="20" w:name="_Toc280607272"/>
      <w:bookmarkStart w:id="21" w:name="_Toc280609416"/>
      <w:bookmarkEnd w:id="20"/>
      <w:bookmarkEnd w:id="21"/>
      <w:bookmarkEnd w:id="19"/>
    </w:p>
    <w:bookmarkStart w:id="22" w:name="_Toc289164670"/>
    <w:bookmarkEnd w:id="22"/>
    <w:p w:rsidR="00F5743D" w:rsidRDefault="00FF498E" w:rsidP="00970502">
      <w:pPr>
        <w:pStyle w:val="Figuretitle"/>
        <w:spacing w:before="0"/>
      </w:pPr>
      <w:r>
        <w:object w:dxaOrig="7205" w:dyaOrig="4095">
          <v:shape id="_x0000_i1025" type="#_x0000_t75" style="width:5in;height:204.5pt" o:ole="">
            <v:imagedata r:id="rId17" o:title=""/>
          </v:shape>
          <o:OLEObject Type="Embed" ProgID="Excel.Sheet.12" ShapeID="_x0000_i1025" DrawAspect="Content" ObjectID="_1364710490" r:id="rId18"/>
        </w:object>
      </w:r>
    </w:p>
    <w:p w:rsidR="00970502" w:rsidRDefault="00970502">
      <w:pPr>
        <w:spacing w:before="0" w:line="240" w:lineRule="auto"/>
        <w:rPr>
          <w:rFonts w:ascii="Arial" w:hAnsi="Arial"/>
          <w:b/>
          <w:sz w:val="17"/>
        </w:rPr>
      </w:pPr>
      <w:bookmarkStart w:id="23" w:name="_Toc280609417"/>
      <w:r>
        <w:br w:type="page"/>
      </w:r>
    </w:p>
    <w:p w:rsidR="00970502" w:rsidRDefault="00F5743D" w:rsidP="00970502">
      <w:pPr>
        <w:pStyle w:val="Figuretitle"/>
      </w:pPr>
      <w:bookmarkStart w:id="24" w:name="_Toc289164671"/>
      <w:r>
        <w:lastRenderedPageBreak/>
        <w:t xml:space="preserve">Figure </w:t>
      </w:r>
      <w:r w:rsidR="00CC57E4">
        <w:t>4</w:t>
      </w:r>
      <w:r w:rsidR="00FC5C4C">
        <w:t>b</w:t>
      </w:r>
      <w:r w:rsidR="00813C5D">
        <w:tab/>
      </w:r>
      <w:r>
        <w:t>Educational participation by age, females, Australia, 2009</w:t>
      </w:r>
      <w:bookmarkStart w:id="25" w:name="_Toc280607274"/>
      <w:bookmarkStart w:id="26" w:name="_Toc280609418"/>
      <w:bookmarkEnd w:id="23"/>
      <w:bookmarkEnd w:id="25"/>
      <w:bookmarkEnd w:id="26"/>
      <w:bookmarkEnd w:id="24"/>
    </w:p>
    <w:bookmarkStart w:id="27" w:name="_Toc289164672"/>
    <w:bookmarkEnd w:id="27"/>
    <w:p w:rsidR="0036186C" w:rsidRDefault="0036186C" w:rsidP="00970502">
      <w:pPr>
        <w:pStyle w:val="Figuretitle"/>
        <w:spacing w:before="0"/>
      </w:pPr>
      <w:r>
        <w:object w:dxaOrig="7205" w:dyaOrig="4095">
          <v:shape id="_x0000_i1026" type="#_x0000_t75" style="width:5in;height:204.5pt" o:ole="">
            <v:imagedata r:id="rId19" o:title=""/>
          </v:shape>
          <o:OLEObject Type="Embed" ProgID="Excel.Sheet.12" ShapeID="_x0000_i1026" DrawAspect="Content" ObjectID="_1364710491" r:id="rId20"/>
        </w:object>
      </w:r>
    </w:p>
    <w:p w:rsidR="00F5743D" w:rsidRDefault="00F5743D" w:rsidP="00970502">
      <w:pPr>
        <w:pStyle w:val="Source"/>
      </w:pPr>
      <w:r>
        <w:t>Source:</w:t>
      </w:r>
      <w:r w:rsidR="00970502">
        <w:tab/>
      </w:r>
      <w:r w:rsidR="00FC5C4C">
        <w:t>S</w:t>
      </w:r>
      <w:r>
        <w:t xml:space="preserve">urvey of </w:t>
      </w:r>
      <w:r w:rsidR="00FC5C4C">
        <w:t>Education and T</w:t>
      </w:r>
      <w:r w:rsidR="00EB3DD7">
        <w:t>raining, 2009.</w:t>
      </w:r>
    </w:p>
    <w:p w:rsidR="00F5743D" w:rsidRDefault="00F5743D" w:rsidP="00970502">
      <w:pPr>
        <w:pStyle w:val="text-moreb4"/>
      </w:pPr>
      <w:r>
        <w:t>The figure</w:t>
      </w:r>
      <w:r w:rsidR="0029118E">
        <w:t>s</w:t>
      </w:r>
      <w:r>
        <w:t xml:space="preserve"> show that the bulk of educational participation occurs for people below the age of 24 years</w:t>
      </w:r>
      <w:r w:rsidR="00CC57E4">
        <w:t xml:space="preserve">, and this is in an education system which is </w:t>
      </w:r>
      <w:r w:rsidR="00EB3DD7">
        <w:t>very open and encourages mature-</w:t>
      </w:r>
      <w:r w:rsidR="00CC57E4">
        <w:t>age entry</w:t>
      </w:r>
      <w:r>
        <w:t>. It further shows that</w:t>
      </w:r>
      <w:r w:rsidR="006E5097">
        <w:t>,</w:t>
      </w:r>
      <w:r>
        <w:t xml:space="preserve"> among the young</w:t>
      </w:r>
      <w:r w:rsidR="006E5097">
        <w:t>,</w:t>
      </w:r>
      <w:r>
        <w:t xml:space="preserve"> educational </w:t>
      </w:r>
      <w:r w:rsidR="00561839">
        <w:t>participation</w:t>
      </w:r>
      <w:r>
        <w:t xml:space="preserve"> is mostly full-time</w:t>
      </w:r>
      <w:r w:rsidR="00EB3DD7">
        <w:t>,</w:t>
      </w:r>
      <w:r>
        <w:t xml:space="preserve"> while in older cohorts it is mostly part-time.</w:t>
      </w:r>
    </w:p>
    <w:p w:rsidR="00721FCB" w:rsidRDefault="00721FCB" w:rsidP="00970502">
      <w:pPr>
        <w:pStyle w:val="text0"/>
      </w:pPr>
      <w:r>
        <w:t>The implication of this is that, everything being equal, countries with ageing populations will have to spend relatively less on education. The ‘everything being</w:t>
      </w:r>
      <w:r w:rsidR="00F26DFA">
        <w:t xml:space="preserve"> equal’ assumption is of course a foolish one in the sense that all governments are attempting to increase educational participation rates. However, the point is that the ageing of the population does provide governments with some discretion </w:t>
      </w:r>
      <w:r w:rsidR="00CC57E4">
        <w:t>with</w:t>
      </w:r>
      <w:r w:rsidR="00F26DFA">
        <w:t xml:space="preserve"> their budget</w:t>
      </w:r>
      <w:r w:rsidR="00FC5C4C">
        <w:t>.</w:t>
      </w:r>
    </w:p>
    <w:p w:rsidR="00FC5C4C" w:rsidRDefault="00FC5C4C" w:rsidP="00970502">
      <w:pPr>
        <w:pStyle w:val="text0"/>
      </w:pPr>
      <w:r>
        <w:t xml:space="preserve">The way we show this ‘dividend’ is to calculate the ratio of persons in education to persons not in education, where the latter is </w:t>
      </w:r>
      <w:r w:rsidR="00EB3DD7">
        <w:t>calculated for the age group 15–</w:t>
      </w:r>
      <w:r>
        <w:t xml:space="preserve">64 years. </w:t>
      </w:r>
      <w:r w:rsidR="00EC22F5">
        <w:t>This</w:t>
      </w:r>
      <w:r>
        <w:t xml:space="preserve"> ratio is projected into the future by assuming that current levels of educational </w:t>
      </w:r>
      <w:r w:rsidR="00EC22F5">
        <w:t>participation</w:t>
      </w:r>
      <w:r>
        <w:t xml:space="preserve"> are maintained but </w:t>
      </w:r>
      <w:r w:rsidR="00741BFB">
        <w:t xml:space="preserve">that </w:t>
      </w:r>
      <w:r>
        <w:t>the population profile changes. A ‘dividend</w:t>
      </w:r>
      <w:r w:rsidR="00EB3DD7">
        <w:t>’</w:t>
      </w:r>
      <w:r>
        <w:t xml:space="preserve"> is observed if that ratio declines; such a decline implies that fewer workers are required to support those in education.</w:t>
      </w:r>
      <w:r w:rsidR="00F347F9">
        <w:t xml:space="preserve"> Table </w:t>
      </w:r>
      <w:r w:rsidR="0029118E">
        <w:t>3</w:t>
      </w:r>
      <w:r w:rsidR="00F347F9">
        <w:t xml:space="preserve"> shows these calculations for a number of countries.</w:t>
      </w:r>
    </w:p>
    <w:p w:rsidR="00F347F9" w:rsidRDefault="00EC22F5" w:rsidP="00EC22F5">
      <w:pPr>
        <w:pStyle w:val="tabletitle"/>
      </w:pPr>
      <w:bookmarkStart w:id="28" w:name="_Toc289164659"/>
      <w:r>
        <w:t>Table</w:t>
      </w:r>
      <w:r w:rsidR="00CC57E4">
        <w:t xml:space="preserve"> 3</w:t>
      </w:r>
      <w:r w:rsidR="00813C5D">
        <w:tab/>
      </w:r>
      <w:r>
        <w:t>The ‘demographic dividend’</w:t>
      </w:r>
      <w:r w:rsidR="00EB3DD7">
        <w:t xml:space="preserve"> for selected countries, 2010–</w:t>
      </w:r>
      <w:r>
        <w:t>50</w:t>
      </w:r>
      <w:bookmarkEnd w:id="28"/>
    </w:p>
    <w:tbl>
      <w:tblPr>
        <w:tblW w:w="8516" w:type="dxa"/>
        <w:tblInd w:w="93" w:type="dxa"/>
        <w:tblLayout w:type="fixed"/>
        <w:tblLook w:val="04A0"/>
      </w:tblPr>
      <w:tblGrid>
        <w:gridCol w:w="1716"/>
        <w:gridCol w:w="1360"/>
        <w:gridCol w:w="1360"/>
        <w:gridCol w:w="1360"/>
        <w:gridCol w:w="1360"/>
        <w:gridCol w:w="1360"/>
      </w:tblGrid>
      <w:tr w:rsidR="00070380" w:rsidRPr="00070380" w:rsidTr="00070380">
        <w:trPr>
          <w:trHeight w:val="255"/>
        </w:trPr>
        <w:tc>
          <w:tcPr>
            <w:tcW w:w="1716" w:type="dxa"/>
            <w:tcBorders>
              <w:top w:val="single" w:sz="4" w:space="0" w:color="auto"/>
              <w:left w:val="nil"/>
              <w:right w:val="nil"/>
            </w:tcBorders>
            <w:shd w:val="clear" w:color="auto" w:fill="auto"/>
            <w:noWrap/>
            <w:hideMark/>
          </w:tcPr>
          <w:p w:rsidR="00070380" w:rsidRPr="00070380" w:rsidRDefault="00070380" w:rsidP="00070380">
            <w:pPr>
              <w:pStyle w:val="Tablehead1"/>
              <w:jc w:val="center"/>
            </w:pPr>
          </w:p>
        </w:tc>
        <w:tc>
          <w:tcPr>
            <w:tcW w:w="2720" w:type="dxa"/>
            <w:gridSpan w:val="2"/>
            <w:tcBorders>
              <w:top w:val="single" w:sz="4" w:space="0" w:color="auto"/>
              <w:left w:val="nil"/>
              <w:right w:val="nil"/>
            </w:tcBorders>
            <w:shd w:val="clear" w:color="auto" w:fill="auto"/>
            <w:noWrap/>
            <w:hideMark/>
          </w:tcPr>
          <w:p w:rsidR="00070380" w:rsidRPr="00070380" w:rsidRDefault="00070380" w:rsidP="00070380">
            <w:pPr>
              <w:pStyle w:val="Tablehead1"/>
              <w:jc w:val="center"/>
            </w:pPr>
            <w:r w:rsidRPr="00070380">
              <w:t>Median age</w:t>
            </w:r>
          </w:p>
        </w:tc>
        <w:tc>
          <w:tcPr>
            <w:tcW w:w="2720" w:type="dxa"/>
            <w:gridSpan w:val="2"/>
            <w:tcBorders>
              <w:top w:val="single" w:sz="4" w:space="0" w:color="auto"/>
              <w:left w:val="nil"/>
              <w:right w:val="nil"/>
            </w:tcBorders>
            <w:shd w:val="clear" w:color="auto" w:fill="auto"/>
            <w:noWrap/>
            <w:hideMark/>
          </w:tcPr>
          <w:p w:rsidR="00070380" w:rsidRPr="00070380" w:rsidRDefault="00070380" w:rsidP="00070380">
            <w:pPr>
              <w:pStyle w:val="Tablehead1"/>
              <w:jc w:val="center"/>
            </w:pPr>
            <w:r w:rsidRPr="00070380">
              <w:t>In education/adults not in education</w:t>
            </w:r>
          </w:p>
        </w:tc>
        <w:tc>
          <w:tcPr>
            <w:tcW w:w="1360" w:type="dxa"/>
            <w:tcBorders>
              <w:top w:val="single" w:sz="4" w:space="0" w:color="auto"/>
              <w:left w:val="nil"/>
              <w:right w:val="nil"/>
            </w:tcBorders>
            <w:shd w:val="clear" w:color="auto" w:fill="auto"/>
            <w:noWrap/>
            <w:hideMark/>
          </w:tcPr>
          <w:p w:rsidR="00070380" w:rsidRPr="00070380" w:rsidRDefault="00070380" w:rsidP="00070380">
            <w:pPr>
              <w:pStyle w:val="Tablehead1"/>
              <w:jc w:val="center"/>
            </w:pPr>
            <w:r w:rsidRPr="00070380">
              <w:t>Change</w:t>
            </w:r>
          </w:p>
        </w:tc>
      </w:tr>
      <w:tr w:rsidR="00F347F9" w:rsidRPr="00F347F9" w:rsidTr="00070380">
        <w:trPr>
          <w:trHeight w:val="255"/>
        </w:trPr>
        <w:tc>
          <w:tcPr>
            <w:tcW w:w="1716" w:type="dxa"/>
            <w:tcBorders>
              <w:left w:val="nil"/>
              <w:bottom w:val="single" w:sz="4" w:space="0" w:color="auto"/>
              <w:right w:val="nil"/>
            </w:tcBorders>
            <w:shd w:val="clear" w:color="auto" w:fill="auto"/>
            <w:noWrap/>
            <w:vAlign w:val="bottom"/>
            <w:hideMark/>
          </w:tcPr>
          <w:p w:rsidR="00F347F9" w:rsidRPr="00F347F9" w:rsidRDefault="00F347F9" w:rsidP="00070380">
            <w:pPr>
              <w:pStyle w:val="Tablehead2"/>
              <w:jc w:val="center"/>
            </w:pPr>
          </w:p>
        </w:tc>
        <w:tc>
          <w:tcPr>
            <w:tcW w:w="1360" w:type="dxa"/>
            <w:tcBorders>
              <w:left w:val="nil"/>
              <w:bottom w:val="single" w:sz="4" w:space="0" w:color="auto"/>
              <w:right w:val="nil"/>
            </w:tcBorders>
            <w:shd w:val="clear" w:color="auto" w:fill="auto"/>
            <w:noWrap/>
            <w:vAlign w:val="bottom"/>
            <w:hideMark/>
          </w:tcPr>
          <w:p w:rsidR="00F347F9" w:rsidRPr="00F347F9" w:rsidRDefault="00F347F9" w:rsidP="00070380">
            <w:pPr>
              <w:pStyle w:val="Tablehead2"/>
              <w:jc w:val="center"/>
            </w:pPr>
            <w:r w:rsidRPr="00F347F9">
              <w:t>2010</w:t>
            </w:r>
          </w:p>
        </w:tc>
        <w:tc>
          <w:tcPr>
            <w:tcW w:w="1360" w:type="dxa"/>
            <w:tcBorders>
              <w:left w:val="nil"/>
              <w:bottom w:val="single" w:sz="4" w:space="0" w:color="auto"/>
              <w:right w:val="nil"/>
            </w:tcBorders>
            <w:shd w:val="clear" w:color="auto" w:fill="auto"/>
            <w:noWrap/>
            <w:vAlign w:val="bottom"/>
            <w:hideMark/>
          </w:tcPr>
          <w:p w:rsidR="00F347F9" w:rsidRPr="00F347F9" w:rsidRDefault="00F347F9" w:rsidP="00070380">
            <w:pPr>
              <w:pStyle w:val="Tablehead2"/>
              <w:jc w:val="center"/>
            </w:pPr>
            <w:r w:rsidRPr="00F347F9">
              <w:t>2050</w:t>
            </w:r>
          </w:p>
        </w:tc>
        <w:tc>
          <w:tcPr>
            <w:tcW w:w="1360" w:type="dxa"/>
            <w:tcBorders>
              <w:left w:val="nil"/>
              <w:bottom w:val="single" w:sz="4" w:space="0" w:color="auto"/>
              <w:right w:val="nil"/>
            </w:tcBorders>
            <w:shd w:val="clear" w:color="auto" w:fill="auto"/>
            <w:noWrap/>
            <w:vAlign w:val="bottom"/>
            <w:hideMark/>
          </w:tcPr>
          <w:p w:rsidR="00F347F9" w:rsidRPr="00F347F9" w:rsidRDefault="00F347F9" w:rsidP="00070380">
            <w:pPr>
              <w:pStyle w:val="Tablehead2"/>
              <w:jc w:val="center"/>
            </w:pPr>
            <w:r w:rsidRPr="00F347F9">
              <w:t>2010</w:t>
            </w:r>
          </w:p>
        </w:tc>
        <w:tc>
          <w:tcPr>
            <w:tcW w:w="1360" w:type="dxa"/>
            <w:tcBorders>
              <w:left w:val="nil"/>
              <w:bottom w:val="single" w:sz="4" w:space="0" w:color="auto"/>
              <w:right w:val="nil"/>
            </w:tcBorders>
            <w:shd w:val="clear" w:color="auto" w:fill="auto"/>
            <w:noWrap/>
            <w:vAlign w:val="bottom"/>
            <w:hideMark/>
          </w:tcPr>
          <w:p w:rsidR="00F347F9" w:rsidRPr="00F347F9" w:rsidRDefault="00F347F9" w:rsidP="00070380">
            <w:pPr>
              <w:pStyle w:val="Tablehead2"/>
              <w:jc w:val="center"/>
            </w:pPr>
            <w:r w:rsidRPr="00F347F9">
              <w:t>2050</w:t>
            </w:r>
          </w:p>
        </w:tc>
        <w:tc>
          <w:tcPr>
            <w:tcW w:w="1360" w:type="dxa"/>
            <w:tcBorders>
              <w:left w:val="nil"/>
              <w:bottom w:val="single" w:sz="4" w:space="0" w:color="auto"/>
              <w:right w:val="nil"/>
            </w:tcBorders>
            <w:shd w:val="clear" w:color="auto" w:fill="auto"/>
            <w:noWrap/>
            <w:vAlign w:val="bottom"/>
            <w:hideMark/>
          </w:tcPr>
          <w:p w:rsidR="00F347F9" w:rsidRPr="00F347F9" w:rsidRDefault="00F347F9" w:rsidP="00070380">
            <w:pPr>
              <w:pStyle w:val="Tablehead2"/>
              <w:jc w:val="center"/>
            </w:pPr>
            <w:r w:rsidRPr="00F347F9">
              <w:t>%</w:t>
            </w:r>
            <w:r w:rsidR="001032D6">
              <w:t xml:space="preserve"> </w:t>
            </w:r>
            <w:r w:rsidRPr="00F347F9">
              <w:t>pts</w:t>
            </w:r>
          </w:p>
        </w:tc>
      </w:tr>
      <w:tr w:rsidR="00F347F9" w:rsidRPr="00F347F9" w:rsidTr="00070380">
        <w:trPr>
          <w:trHeight w:val="255"/>
        </w:trPr>
        <w:tc>
          <w:tcPr>
            <w:tcW w:w="1716" w:type="dxa"/>
            <w:tcBorders>
              <w:top w:val="single" w:sz="4" w:space="0" w:color="auto"/>
              <w:left w:val="nil"/>
              <w:bottom w:val="nil"/>
              <w:right w:val="nil"/>
            </w:tcBorders>
            <w:shd w:val="clear" w:color="auto" w:fill="auto"/>
            <w:noWrap/>
            <w:vAlign w:val="bottom"/>
            <w:hideMark/>
          </w:tcPr>
          <w:p w:rsidR="00F347F9" w:rsidRPr="00F347F9" w:rsidRDefault="00F347F9" w:rsidP="00070380">
            <w:pPr>
              <w:pStyle w:val="Tabletext"/>
            </w:pPr>
            <w:r w:rsidRPr="00F347F9">
              <w:t>Australia</w:t>
            </w:r>
          </w:p>
        </w:tc>
        <w:tc>
          <w:tcPr>
            <w:tcW w:w="1360" w:type="dxa"/>
            <w:tcBorders>
              <w:top w:val="single" w:sz="4" w:space="0" w:color="auto"/>
              <w:left w:val="nil"/>
              <w:bottom w:val="nil"/>
              <w:right w:val="nil"/>
            </w:tcBorders>
            <w:shd w:val="clear" w:color="auto" w:fill="auto"/>
            <w:noWrap/>
            <w:vAlign w:val="bottom"/>
            <w:hideMark/>
          </w:tcPr>
          <w:p w:rsidR="00F347F9" w:rsidRPr="00F347F9" w:rsidRDefault="00F347F9" w:rsidP="00070380">
            <w:pPr>
              <w:pStyle w:val="Tabletext"/>
              <w:tabs>
                <w:tab w:val="decimal" w:pos="567"/>
              </w:tabs>
            </w:pPr>
            <w:r w:rsidRPr="00F347F9">
              <w:t>37.5</w:t>
            </w:r>
          </w:p>
        </w:tc>
        <w:tc>
          <w:tcPr>
            <w:tcW w:w="1360" w:type="dxa"/>
            <w:tcBorders>
              <w:top w:val="single" w:sz="4" w:space="0" w:color="auto"/>
              <w:left w:val="nil"/>
              <w:bottom w:val="nil"/>
              <w:right w:val="nil"/>
            </w:tcBorders>
            <w:shd w:val="clear" w:color="auto" w:fill="auto"/>
            <w:noWrap/>
            <w:vAlign w:val="bottom"/>
            <w:hideMark/>
          </w:tcPr>
          <w:p w:rsidR="00F347F9" w:rsidRPr="00F347F9" w:rsidRDefault="00F347F9" w:rsidP="00070380">
            <w:pPr>
              <w:pStyle w:val="Tabletext"/>
              <w:tabs>
                <w:tab w:val="decimal" w:pos="567"/>
              </w:tabs>
            </w:pPr>
            <w:r w:rsidRPr="00F347F9">
              <w:t>42.7</w:t>
            </w:r>
          </w:p>
        </w:tc>
        <w:tc>
          <w:tcPr>
            <w:tcW w:w="1360" w:type="dxa"/>
            <w:tcBorders>
              <w:top w:val="single" w:sz="4" w:space="0" w:color="auto"/>
              <w:left w:val="nil"/>
              <w:bottom w:val="nil"/>
              <w:right w:val="nil"/>
            </w:tcBorders>
            <w:shd w:val="clear" w:color="auto" w:fill="auto"/>
            <w:noWrap/>
            <w:vAlign w:val="bottom"/>
            <w:hideMark/>
          </w:tcPr>
          <w:p w:rsidR="00F347F9" w:rsidRPr="00F347F9" w:rsidRDefault="00F347F9" w:rsidP="00D74AD3">
            <w:pPr>
              <w:pStyle w:val="Tabletext"/>
              <w:tabs>
                <w:tab w:val="decimal" w:pos="482"/>
              </w:tabs>
            </w:pPr>
            <w:r w:rsidRPr="00F347F9">
              <w:t>0.378</w:t>
            </w:r>
          </w:p>
        </w:tc>
        <w:tc>
          <w:tcPr>
            <w:tcW w:w="1360" w:type="dxa"/>
            <w:tcBorders>
              <w:top w:val="single" w:sz="4" w:space="0" w:color="auto"/>
              <w:left w:val="nil"/>
              <w:bottom w:val="nil"/>
              <w:right w:val="nil"/>
            </w:tcBorders>
            <w:shd w:val="clear" w:color="auto" w:fill="auto"/>
            <w:noWrap/>
            <w:vAlign w:val="bottom"/>
            <w:hideMark/>
          </w:tcPr>
          <w:p w:rsidR="00F347F9" w:rsidRPr="00F347F9" w:rsidRDefault="00F347F9" w:rsidP="00D74AD3">
            <w:pPr>
              <w:pStyle w:val="Tabletext"/>
              <w:tabs>
                <w:tab w:val="decimal" w:pos="482"/>
              </w:tabs>
            </w:pPr>
            <w:r w:rsidRPr="00F347F9">
              <w:t>0.353</w:t>
            </w:r>
          </w:p>
        </w:tc>
        <w:tc>
          <w:tcPr>
            <w:tcW w:w="1360" w:type="dxa"/>
            <w:tcBorders>
              <w:top w:val="single" w:sz="4" w:space="0" w:color="auto"/>
              <w:left w:val="nil"/>
              <w:bottom w:val="nil"/>
              <w:right w:val="nil"/>
            </w:tcBorders>
            <w:shd w:val="clear" w:color="auto" w:fill="auto"/>
            <w:noWrap/>
            <w:vAlign w:val="bottom"/>
            <w:hideMark/>
          </w:tcPr>
          <w:p w:rsidR="00F347F9" w:rsidRPr="00F347F9" w:rsidRDefault="00F347F9" w:rsidP="00D74AD3">
            <w:pPr>
              <w:pStyle w:val="Tabletext"/>
              <w:tabs>
                <w:tab w:val="decimal" w:pos="539"/>
              </w:tabs>
            </w:pPr>
            <w:r w:rsidRPr="00F347F9">
              <w:t>2.5</w:t>
            </w:r>
          </w:p>
        </w:tc>
      </w:tr>
      <w:tr w:rsidR="00F347F9" w:rsidRPr="00F347F9" w:rsidTr="00070380">
        <w:trPr>
          <w:trHeight w:val="255"/>
        </w:trPr>
        <w:tc>
          <w:tcPr>
            <w:tcW w:w="1716" w:type="dxa"/>
            <w:tcBorders>
              <w:top w:val="nil"/>
              <w:left w:val="nil"/>
              <w:bottom w:val="nil"/>
              <w:right w:val="nil"/>
            </w:tcBorders>
            <w:shd w:val="clear" w:color="auto" w:fill="auto"/>
            <w:noWrap/>
            <w:vAlign w:val="bottom"/>
            <w:hideMark/>
          </w:tcPr>
          <w:p w:rsidR="00F347F9" w:rsidRPr="00F347F9" w:rsidRDefault="00F347F9" w:rsidP="00070380">
            <w:pPr>
              <w:pStyle w:val="Tabletext"/>
            </w:pPr>
            <w:r w:rsidRPr="00F347F9">
              <w:t>India</w:t>
            </w:r>
          </w:p>
        </w:tc>
        <w:tc>
          <w:tcPr>
            <w:tcW w:w="1360" w:type="dxa"/>
            <w:tcBorders>
              <w:top w:val="nil"/>
              <w:left w:val="nil"/>
              <w:bottom w:val="nil"/>
              <w:right w:val="nil"/>
            </w:tcBorders>
            <w:shd w:val="clear" w:color="auto" w:fill="auto"/>
            <w:noWrap/>
            <w:vAlign w:val="bottom"/>
            <w:hideMark/>
          </w:tcPr>
          <w:p w:rsidR="00F347F9" w:rsidRPr="00F347F9" w:rsidRDefault="00F347F9" w:rsidP="00070380">
            <w:pPr>
              <w:pStyle w:val="Tabletext"/>
              <w:tabs>
                <w:tab w:val="decimal" w:pos="567"/>
              </w:tabs>
            </w:pPr>
            <w:r w:rsidRPr="00F347F9">
              <w:t>25.9</w:t>
            </w:r>
          </w:p>
        </w:tc>
        <w:tc>
          <w:tcPr>
            <w:tcW w:w="1360" w:type="dxa"/>
            <w:tcBorders>
              <w:top w:val="nil"/>
              <w:left w:val="nil"/>
              <w:bottom w:val="nil"/>
              <w:right w:val="nil"/>
            </w:tcBorders>
            <w:shd w:val="clear" w:color="auto" w:fill="auto"/>
            <w:noWrap/>
            <w:vAlign w:val="bottom"/>
            <w:hideMark/>
          </w:tcPr>
          <w:p w:rsidR="00F347F9" w:rsidRPr="00F347F9" w:rsidRDefault="00F347F9" w:rsidP="00070380">
            <w:pPr>
              <w:pStyle w:val="Tabletext"/>
              <w:tabs>
                <w:tab w:val="decimal" w:pos="567"/>
              </w:tabs>
            </w:pPr>
            <w:r w:rsidRPr="00F347F9">
              <w:t>37.2</w:t>
            </w:r>
          </w:p>
        </w:tc>
        <w:tc>
          <w:tcPr>
            <w:tcW w:w="1360" w:type="dxa"/>
            <w:tcBorders>
              <w:top w:val="nil"/>
              <w:left w:val="nil"/>
              <w:bottom w:val="nil"/>
              <w:right w:val="nil"/>
            </w:tcBorders>
            <w:shd w:val="clear" w:color="auto" w:fill="auto"/>
            <w:noWrap/>
            <w:vAlign w:val="bottom"/>
            <w:hideMark/>
          </w:tcPr>
          <w:p w:rsidR="00F347F9" w:rsidRPr="00F347F9" w:rsidRDefault="00F347F9" w:rsidP="00D74AD3">
            <w:pPr>
              <w:pStyle w:val="Tabletext"/>
              <w:tabs>
                <w:tab w:val="decimal" w:pos="482"/>
              </w:tabs>
            </w:pPr>
            <w:r w:rsidRPr="00F347F9">
              <w:t>0.618</w:t>
            </w:r>
          </w:p>
        </w:tc>
        <w:tc>
          <w:tcPr>
            <w:tcW w:w="1360" w:type="dxa"/>
            <w:tcBorders>
              <w:top w:val="nil"/>
              <w:left w:val="nil"/>
              <w:bottom w:val="nil"/>
              <w:right w:val="nil"/>
            </w:tcBorders>
            <w:shd w:val="clear" w:color="auto" w:fill="auto"/>
            <w:noWrap/>
            <w:vAlign w:val="bottom"/>
            <w:hideMark/>
          </w:tcPr>
          <w:p w:rsidR="00F347F9" w:rsidRPr="00F347F9" w:rsidRDefault="00F347F9" w:rsidP="00D74AD3">
            <w:pPr>
              <w:pStyle w:val="Tabletext"/>
              <w:tabs>
                <w:tab w:val="decimal" w:pos="482"/>
              </w:tabs>
            </w:pPr>
            <w:r w:rsidRPr="00F347F9">
              <w:t>0.408</w:t>
            </w:r>
          </w:p>
        </w:tc>
        <w:tc>
          <w:tcPr>
            <w:tcW w:w="1360" w:type="dxa"/>
            <w:tcBorders>
              <w:top w:val="nil"/>
              <w:left w:val="nil"/>
              <w:bottom w:val="nil"/>
              <w:right w:val="nil"/>
            </w:tcBorders>
            <w:shd w:val="clear" w:color="auto" w:fill="auto"/>
            <w:noWrap/>
            <w:vAlign w:val="bottom"/>
            <w:hideMark/>
          </w:tcPr>
          <w:p w:rsidR="00F347F9" w:rsidRPr="00F347F9" w:rsidRDefault="00F347F9" w:rsidP="00D74AD3">
            <w:pPr>
              <w:pStyle w:val="Tabletext"/>
              <w:tabs>
                <w:tab w:val="decimal" w:pos="539"/>
              </w:tabs>
            </w:pPr>
            <w:r w:rsidRPr="00F347F9">
              <w:t>21.0</w:t>
            </w:r>
          </w:p>
        </w:tc>
      </w:tr>
      <w:tr w:rsidR="00F347F9" w:rsidRPr="00F347F9" w:rsidTr="00070380">
        <w:trPr>
          <w:trHeight w:val="255"/>
        </w:trPr>
        <w:tc>
          <w:tcPr>
            <w:tcW w:w="1716" w:type="dxa"/>
            <w:tcBorders>
              <w:top w:val="nil"/>
              <w:left w:val="nil"/>
              <w:bottom w:val="nil"/>
              <w:right w:val="nil"/>
            </w:tcBorders>
            <w:shd w:val="clear" w:color="auto" w:fill="auto"/>
            <w:noWrap/>
            <w:vAlign w:val="bottom"/>
            <w:hideMark/>
          </w:tcPr>
          <w:p w:rsidR="00F347F9" w:rsidRPr="00F347F9" w:rsidRDefault="00F347F9" w:rsidP="00070380">
            <w:pPr>
              <w:pStyle w:val="Tabletext"/>
            </w:pPr>
            <w:r w:rsidRPr="00F347F9">
              <w:t>Indonesia</w:t>
            </w:r>
          </w:p>
        </w:tc>
        <w:tc>
          <w:tcPr>
            <w:tcW w:w="1360" w:type="dxa"/>
            <w:tcBorders>
              <w:top w:val="nil"/>
              <w:left w:val="nil"/>
              <w:bottom w:val="nil"/>
              <w:right w:val="nil"/>
            </w:tcBorders>
            <w:shd w:val="clear" w:color="auto" w:fill="auto"/>
            <w:noWrap/>
            <w:vAlign w:val="bottom"/>
            <w:hideMark/>
          </w:tcPr>
          <w:p w:rsidR="00F347F9" w:rsidRPr="00F347F9" w:rsidRDefault="00F347F9" w:rsidP="00070380">
            <w:pPr>
              <w:pStyle w:val="Tabletext"/>
              <w:tabs>
                <w:tab w:val="decimal" w:pos="567"/>
              </w:tabs>
            </w:pPr>
            <w:r w:rsidRPr="00F347F9">
              <w:t>27.9</w:t>
            </w:r>
          </w:p>
        </w:tc>
        <w:tc>
          <w:tcPr>
            <w:tcW w:w="1360" w:type="dxa"/>
            <w:tcBorders>
              <w:top w:val="nil"/>
              <w:left w:val="nil"/>
              <w:bottom w:val="nil"/>
              <w:right w:val="nil"/>
            </w:tcBorders>
            <w:shd w:val="clear" w:color="auto" w:fill="auto"/>
            <w:noWrap/>
            <w:vAlign w:val="bottom"/>
            <w:hideMark/>
          </w:tcPr>
          <w:p w:rsidR="00F347F9" w:rsidRPr="00F347F9" w:rsidRDefault="00F347F9" w:rsidP="00070380">
            <w:pPr>
              <w:pStyle w:val="Tabletext"/>
              <w:tabs>
                <w:tab w:val="decimal" w:pos="567"/>
              </w:tabs>
            </w:pPr>
            <w:r w:rsidRPr="00F347F9">
              <w:t>40.3</w:t>
            </w:r>
          </w:p>
        </w:tc>
        <w:tc>
          <w:tcPr>
            <w:tcW w:w="1360" w:type="dxa"/>
            <w:tcBorders>
              <w:top w:val="nil"/>
              <w:left w:val="nil"/>
              <w:bottom w:val="nil"/>
              <w:right w:val="nil"/>
            </w:tcBorders>
            <w:shd w:val="clear" w:color="auto" w:fill="auto"/>
            <w:noWrap/>
            <w:vAlign w:val="bottom"/>
            <w:hideMark/>
          </w:tcPr>
          <w:p w:rsidR="00F347F9" w:rsidRPr="00F347F9" w:rsidRDefault="00F347F9" w:rsidP="00D74AD3">
            <w:pPr>
              <w:pStyle w:val="Tabletext"/>
              <w:tabs>
                <w:tab w:val="decimal" w:pos="482"/>
              </w:tabs>
            </w:pPr>
            <w:r w:rsidRPr="00F347F9">
              <w:t>0.522</w:t>
            </w:r>
          </w:p>
        </w:tc>
        <w:tc>
          <w:tcPr>
            <w:tcW w:w="1360" w:type="dxa"/>
            <w:tcBorders>
              <w:top w:val="nil"/>
              <w:left w:val="nil"/>
              <w:bottom w:val="nil"/>
              <w:right w:val="nil"/>
            </w:tcBorders>
            <w:shd w:val="clear" w:color="auto" w:fill="auto"/>
            <w:noWrap/>
            <w:vAlign w:val="bottom"/>
            <w:hideMark/>
          </w:tcPr>
          <w:p w:rsidR="00F347F9" w:rsidRPr="00F347F9" w:rsidRDefault="00F347F9" w:rsidP="00D74AD3">
            <w:pPr>
              <w:pStyle w:val="Tabletext"/>
              <w:tabs>
                <w:tab w:val="decimal" w:pos="482"/>
              </w:tabs>
            </w:pPr>
            <w:r w:rsidRPr="00F347F9">
              <w:t>0.376</w:t>
            </w:r>
          </w:p>
        </w:tc>
        <w:tc>
          <w:tcPr>
            <w:tcW w:w="1360" w:type="dxa"/>
            <w:tcBorders>
              <w:top w:val="nil"/>
              <w:left w:val="nil"/>
              <w:bottom w:val="nil"/>
              <w:right w:val="nil"/>
            </w:tcBorders>
            <w:shd w:val="clear" w:color="auto" w:fill="auto"/>
            <w:noWrap/>
            <w:vAlign w:val="bottom"/>
            <w:hideMark/>
          </w:tcPr>
          <w:p w:rsidR="00F347F9" w:rsidRPr="00F347F9" w:rsidRDefault="00F347F9" w:rsidP="00D74AD3">
            <w:pPr>
              <w:pStyle w:val="Tabletext"/>
              <w:tabs>
                <w:tab w:val="decimal" w:pos="539"/>
              </w:tabs>
            </w:pPr>
            <w:r w:rsidRPr="00F347F9">
              <w:t>14.6</w:t>
            </w:r>
          </w:p>
        </w:tc>
      </w:tr>
      <w:tr w:rsidR="00F347F9" w:rsidRPr="00F347F9" w:rsidTr="00070380">
        <w:trPr>
          <w:trHeight w:val="255"/>
        </w:trPr>
        <w:tc>
          <w:tcPr>
            <w:tcW w:w="1716" w:type="dxa"/>
            <w:tcBorders>
              <w:top w:val="nil"/>
              <w:left w:val="nil"/>
              <w:bottom w:val="nil"/>
              <w:right w:val="nil"/>
            </w:tcBorders>
            <w:shd w:val="clear" w:color="auto" w:fill="auto"/>
            <w:noWrap/>
            <w:vAlign w:val="bottom"/>
            <w:hideMark/>
          </w:tcPr>
          <w:p w:rsidR="00F347F9" w:rsidRPr="00F347F9" w:rsidRDefault="00EC22F5" w:rsidP="00070380">
            <w:pPr>
              <w:pStyle w:val="Tabletext"/>
            </w:pPr>
            <w:r w:rsidRPr="00F347F9">
              <w:t>Philippines</w:t>
            </w:r>
          </w:p>
        </w:tc>
        <w:tc>
          <w:tcPr>
            <w:tcW w:w="1360" w:type="dxa"/>
            <w:tcBorders>
              <w:top w:val="nil"/>
              <w:left w:val="nil"/>
              <w:bottom w:val="nil"/>
              <w:right w:val="nil"/>
            </w:tcBorders>
            <w:shd w:val="clear" w:color="auto" w:fill="auto"/>
            <w:noWrap/>
            <w:vAlign w:val="bottom"/>
            <w:hideMark/>
          </w:tcPr>
          <w:p w:rsidR="00F347F9" w:rsidRPr="00F347F9" w:rsidRDefault="00F347F9" w:rsidP="00070380">
            <w:pPr>
              <w:pStyle w:val="Tabletext"/>
              <w:tabs>
                <w:tab w:val="decimal" w:pos="567"/>
              </w:tabs>
            </w:pPr>
            <w:r w:rsidRPr="00F347F9">
              <w:t>22.7</w:t>
            </w:r>
          </w:p>
        </w:tc>
        <w:tc>
          <w:tcPr>
            <w:tcW w:w="1360" w:type="dxa"/>
            <w:tcBorders>
              <w:top w:val="nil"/>
              <w:left w:val="nil"/>
              <w:bottom w:val="nil"/>
              <w:right w:val="nil"/>
            </w:tcBorders>
            <w:shd w:val="clear" w:color="auto" w:fill="auto"/>
            <w:noWrap/>
            <w:vAlign w:val="bottom"/>
            <w:hideMark/>
          </w:tcPr>
          <w:p w:rsidR="00F347F9" w:rsidRPr="00F347F9" w:rsidRDefault="00F347F9" w:rsidP="00070380">
            <w:pPr>
              <w:pStyle w:val="Tabletext"/>
              <w:tabs>
                <w:tab w:val="decimal" w:pos="567"/>
              </w:tabs>
            </w:pPr>
            <w:r w:rsidRPr="00F347F9">
              <w:t>32.6</w:t>
            </w:r>
          </w:p>
        </w:tc>
        <w:tc>
          <w:tcPr>
            <w:tcW w:w="1360" w:type="dxa"/>
            <w:tcBorders>
              <w:top w:val="nil"/>
              <w:left w:val="nil"/>
              <w:bottom w:val="nil"/>
              <w:right w:val="nil"/>
            </w:tcBorders>
            <w:shd w:val="clear" w:color="auto" w:fill="auto"/>
            <w:noWrap/>
            <w:vAlign w:val="bottom"/>
            <w:hideMark/>
          </w:tcPr>
          <w:p w:rsidR="00F347F9" w:rsidRPr="00F347F9" w:rsidRDefault="00F347F9" w:rsidP="00D74AD3">
            <w:pPr>
              <w:pStyle w:val="Tabletext"/>
              <w:tabs>
                <w:tab w:val="decimal" w:pos="482"/>
              </w:tabs>
            </w:pPr>
            <w:r w:rsidRPr="00F347F9">
              <w:t>0.736</w:t>
            </w:r>
          </w:p>
        </w:tc>
        <w:tc>
          <w:tcPr>
            <w:tcW w:w="1360" w:type="dxa"/>
            <w:tcBorders>
              <w:top w:val="nil"/>
              <w:left w:val="nil"/>
              <w:bottom w:val="nil"/>
              <w:right w:val="nil"/>
            </w:tcBorders>
            <w:shd w:val="clear" w:color="auto" w:fill="auto"/>
            <w:noWrap/>
            <w:vAlign w:val="bottom"/>
            <w:hideMark/>
          </w:tcPr>
          <w:p w:rsidR="00F347F9" w:rsidRPr="00F347F9" w:rsidRDefault="00F347F9" w:rsidP="00D74AD3">
            <w:pPr>
              <w:pStyle w:val="Tabletext"/>
              <w:tabs>
                <w:tab w:val="decimal" w:pos="482"/>
              </w:tabs>
            </w:pPr>
            <w:r w:rsidRPr="00F347F9">
              <w:t>0.486</w:t>
            </w:r>
          </w:p>
        </w:tc>
        <w:tc>
          <w:tcPr>
            <w:tcW w:w="1360" w:type="dxa"/>
            <w:tcBorders>
              <w:top w:val="nil"/>
              <w:left w:val="nil"/>
              <w:bottom w:val="nil"/>
              <w:right w:val="nil"/>
            </w:tcBorders>
            <w:shd w:val="clear" w:color="auto" w:fill="auto"/>
            <w:noWrap/>
            <w:vAlign w:val="bottom"/>
            <w:hideMark/>
          </w:tcPr>
          <w:p w:rsidR="00F347F9" w:rsidRPr="00F347F9" w:rsidRDefault="00F347F9" w:rsidP="00D74AD3">
            <w:pPr>
              <w:pStyle w:val="Tabletext"/>
              <w:tabs>
                <w:tab w:val="decimal" w:pos="539"/>
              </w:tabs>
            </w:pPr>
            <w:r w:rsidRPr="00F347F9">
              <w:t>25.0</w:t>
            </w:r>
          </w:p>
        </w:tc>
      </w:tr>
      <w:tr w:rsidR="00F347F9" w:rsidRPr="00F347F9" w:rsidTr="00070380">
        <w:trPr>
          <w:trHeight w:val="255"/>
        </w:trPr>
        <w:tc>
          <w:tcPr>
            <w:tcW w:w="1716" w:type="dxa"/>
            <w:tcBorders>
              <w:top w:val="nil"/>
              <w:left w:val="nil"/>
              <w:right w:val="nil"/>
            </w:tcBorders>
            <w:shd w:val="clear" w:color="auto" w:fill="auto"/>
            <w:noWrap/>
            <w:vAlign w:val="bottom"/>
            <w:hideMark/>
          </w:tcPr>
          <w:p w:rsidR="00F347F9" w:rsidRPr="00F347F9" w:rsidRDefault="00F347F9" w:rsidP="00070380">
            <w:pPr>
              <w:pStyle w:val="Tabletext"/>
            </w:pPr>
            <w:r w:rsidRPr="00F347F9">
              <w:t>Bangladesh</w:t>
            </w:r>
          </w:p>
        </w:tc>
        <w:tc>
          <w:tcPr>
            <w:tcW w:w="1360" w:type="dxa"/>
            <w:tcBorders>
              <w:top w:val="nil"/>
              <w:left w:val="nil"/>
              <w:right w:val="nil"/>
            </w:tcBorders>
            <w:shd w:val="clear" w:color="auto" w:fill="auto"/>
            <w:noWrap/>
            <w:vAlign w:val="bottom"/>
            <w:hideMark/>
          </w:tcPr>
          <w:p w:rsidR="00F347F9" w:rsidRPr="00F347F9" w:rsidRDefault="00F347F9" w:rsidP="00070380">
            <w:pPr>
              <w:pStyle w:val="Tabletext"/>
              <w:tabs>
                <w:tab w:val="decimal" w:pos="567"/>
              </w:tabs>
            </w:pPr>
            <w:r w:rsidRPr="00F347F9">
              <w:t>22.9</w:t>
            </w:r>
          </w:p>
        </w:tc>
        <w:tc>
          <w:tcPr>
            <w:tcW w:w="1360" w:type="dxa"/>
            <w:tcBorders>
              <w:top w:val="nil"/>
              <w:left w:val="nil"/>
              <w:right w:val="nil"/>
            </w:tcBorders>
            <w:shd w:val="clear" w:color="auto" w:fill="auto"/>
            <w:noWrap/>
            <w:vAlign w:val="bottom"/>
            <w:hideMark/>
          </w:tcPr>
          <w:p w:rsidR="00F347F9" w:rsidRPr="00F347F9" w:rsidRDefault="00F347F9" w:rsidP="00070380">
            <w:pPr>
              <w:pStyle w:val="Tabletext"/>
              <w:tabs>
                <w:tab w:val="decimal" w:pos="567"/>
              </w:tabs>
            </w:pPr>
            <w:r w:rsidRPr="00F347F9">
              <w:t>37.7</w:t>
            </w:r>
          </w:p>
        </w:tc>
        <w:tc>
          <w:tcPr>
            <w:tcW w:w="1360" w:type="dxa"/>
            <w:tcBorders>
              <w:top w:val="nil"/>
              <w:left w:val="nil"/>
              <w:right w:val="nil"/>
            </w:tcBorders>
            <w:shd w:val="clear" w:color="auto" w:fill="auto"/>
            <w:noWrap/>
            <w:vAlign w:val="bottom"/>
            <w:hideMark/>
          </w:tcPr>
          <w:p w:rsidR="00F347F9" w:rsidRPr="00F347F9" w:rsidRDefault="00F347F9" w:rsidP="00D74AD3">
            <w:pPr>
              <w:pStyle w:val="Tabletext"/>
              <w:tabs>
                <w:tab w:val="decimal" w:pos="482"/>
              </w:tabs>
            </w:pPr>
            <w:r w:rsidRPr="00F347F9">
              <w:t>0.746</w:t>
            </w:r>
          </w:p>
        </w:tc>
        <w:tc>
          <w:tcPr>
            <w:tcW w:w="1360" w:type="dxa"/>
            <w:tcBorders>
              <w:top w:val="nil"/>
              <w:left w:val="nil"/>
              <w:right w:val="nil"/>
            </w:tcBorders>
            <w:shd w:val="clear" w:color="auto" w:fill="auto"/>
            <w:noWrap/>
            <w:vAlign w:val="bottom"/>
            <w:hideMark/>
          </w:tcPr>
          <w:p w:rsidR="00F347F9" w:rsidRPr="00F347F9" w:rsidRDefault="00F347F9" w:rsidP="00D74AD3">
            <w:pPr>
              <w:pStyle w:val="Tabletext"/>
              <w:tabs>
                <w:tab w:val="decimal" w:pos="482"/>
              </w:tabs>
            </w:pPr>
            <w:r w:rsidRPr="00F347F9">
              <w:t>0.41</w:t>
            </w:r>
          </w:p>
        </w:tc>
        <w:tc>
          <w:tcPr>
            <w:tcW w:w="1360" w:type="dxa"/>
            <w:tcBorders>
              <w:top w:val="nil"/>
              <w:left w:val="nil"/>
              <w:right w:val="nil"/>
            </w:tcBorders>
            <w:shd w:val="clear" w:color="auto" w:fill="auto"/>
            <w:noWrap/>
            <w:vAlign w:val="bottom"/>
            <w:hideMark/>
          </w:tcPr>
          <w:p w:rsidR="00F347F9" w:rsidRPr="00F347F9" w:rsidRDefault="00F347F9" w:rsidP="00D74AD3">
            <w:pPr>
              <w:pStyle w:val="Tabletext"/>
              <w:tabs>
                <w:tab w:val="decimal" w:pos="539"/>
              </w:tabs>
            </w:pPr>
            <w:r w:rsidRPr="00F347F9">
              <w:t>33.6</w:t>
            </w:r>
          </w:p>
        </w:tc>
      </w:tr>
      <w:tr w:rsidR="00F347F9" w:rsidRPr="00F347F9" w:rsidTr="00070380">
        <w:trPr>
          <w:trHeight w:val="255"/>
        </w:trPr>
        <w:tc>
          <w:tcPr>
            <w:tcW w:w="1716" w:type="dxa"/>
            <w:tcBorders>
              <w:top w:val="nil"/>
              <w:left w:val="nil"/>
              <w:bottom w:val="single" w:sz="4" w:space="0" w:color="auto"/>
              <w:right w:val="nil"/>
            </w:tcBorders>
            <w:shd w:val="clear" w:color="auto" w:fill="auto"/>
            <w:noWrap/>
            <w:vAlign w:val="bottom"/>
            <w:hideMark/>
          </w:tcPr>
          <w:p w:rsidR="00F347F9" w:rsidRPr="00F347F9" w:rsidRDefault="00F347F9" w:rsidP="00D74AD3">
            <w:pPr>
              <w:pStyle w:val="Tabletext"/>
              <w:spacing w:after="40"/>
            </w:pPr>
            <w:r w:rsidRPr="00F347F9">
              <w:t>Iran</w:t>
            </w:r>
          </w:p>
        </w:tc>
        <w:tc>
          <w:tcPr>
            <w:tcW w:w="1360" w:type="dxa"/>
            <w:tcBorders>
              <w:top w:val="nil"/>
              <w:left w:val="nil"/>
              <w:bottom w:val="single" w:sz="4" w:space="0" w:color="auto"/>
              <w:right w:val="nil"/>
            </w:tcBorders>
            <w:shd w:val="clear" w:color="auto" w:fill="auto"/>
            <w:noWrap/>
            <w:vAlign w:val="bottom"/>
            <w:hideMark/>
          </w:tcPr>
          <w:p w:rsidR="00F347F9" w:rsidRPr="00F347F9" w:rsidRDefault="00F347F9" w:rsidP="00D74AD3">
            <w:pPr>
              <w:pStyle w:val="Tabletext"/>
              <w:tabs>
                <w:tab w:val="decimal" w:pos="567"/>
              </w:tabs>
              <w:spacing w:after="40"/>
            </w:pPr>
            <w:r w:rsidRPr="00F347F9">
              <w:t>26.3</w:t>
            </w:r>
          </w:p>
        </w:tc>
        <w:tc>
          <w:tcPr>
            <w:tcW w:w="1360" w:type="dxa"/>
            <w:tcBorders>
              <w:top w:val="nil"/>
              <w:left w:val="nil"/>
              <w:bottom w:val="single" w:sz="4" w:space="0" w:color="auto"/>
              <w:right w:val="nil"/>
            </w:tcBorders>
            <w:shd w:val="clear" w:color="auto" w:fill="auto"/>
            <w:noWrap/>
            <w:vAlign w:val="bottom"/>
            <w:hideMark/>
          </w:tcPr>
          <w:p w:rsidR="00F347F9" w:rsidRPr="00F347F9" w:rsidRDefault="00F347F9" w:rsidP="00D74AD3">
            <w:pPr>
              <w:pStyle w:val="Tabletext"/>
              <w:tabs>
                <w:tab w:val="decimal" w:pos="567"/>
              </w:tabs>
              <w:spacing w:after="40"/>
            </w:pPr>
            <w:r w:rsidRPr="00F347F9">
              <w:t>42.6</w:t>
            </w:r>
          </w:p>
        </w:tc>
        <w:tc>
          <w:tcPr>
            <w:tcW w:w="1360" w:type="dxa"/>
            <w:tcBorders>
              <w:top w:val="nil"/>
              <w:left w:val="nil"/>
              <w:bottom w:val="single" w:sz="4" w:space="0" w:color="auto"/>
              <w:right w:val="nil"/>
            </w:tcBorders>
            <w:shd w:val="clear" w:color="auto" w:fill="auto"/>
            <w:noWrap/>
            <w:vAlign w:val="bottom"/>
            <w:hideMark/>
          </w:tcPr>
          <w:p w:rsidR="00F347F9" w:rsidRPr="00F347F9" w:rsidRDefault="00F347F9" w:rsidP="00D74AD3">
            <w:pPr>
              <w:pStyle w:val="Tabletext"/>
              <w:tabs>
                <w:tab w:val="decimal" w:pos="482"/>
              </w:tabs>
              <w:spacing w:after="40"/>
            </w:pPr>
            <w:r w:rsidRPr="00F347F9">
              <w:t>0.546</w:t>
            </w:r>
          </w:p>
        </w:tc>
        <w:tc>
          <w:tcPr>
            <w:tcW w:w="1360" w:type="dxa"/>
            <w:tcBorders>
              <w:top w:val="nil"/>
              <w:left w:val="nil"/>
              <w:bottom w:val="single" w:sz="4" w:space="0" w:color="auto"/>
              <w:right w:val="nil"/>
            </w:tcBorders>
            <w:shd w:val="clear" w:color="auto" w:fill="auto"/>
            <w:noWrap/>
            <w:vAlign w:val="bottom"/>
            <w:hideMark/>
          </w:tcPr>
          <w:p w:rsidR="00F347F9" w:rsidRPr="00F347F9" w:rsidRDefault="00F347F9" w:rsidP="00D74AD3">
            <w:pPr>
              <w:pStyle w:val="Tabletext"/>
              <w:tabs>
                <w:tab w:val="decimal" w:pos="482"/>
              </w:tabs>
              <w:spacing w:after="40"/>
            </w:pPr>
            <w:r w:rsidRPr="00F347F9">
              <w:t>0.337</w:t>
            </w:r>
          </w:p>
        </w:tc>
        <w:tc>
          <w:tcPr>
            <w:tcW w:w="1360" w:type="dxa"/>
            <w:tcBorders>
              <w:top w:val="nil"/>
              <w:left w:val="nil"/>
              <w:bottom w:val="single" w:sz="4" w:space="0" w:color="auto"/>
              <w:right w:val="nil"/>
            </w:tcBorders>
            <w:shd w:val="clear" w:color="auto" w:fill="auto"/>
            <w:noWrap/>
            <w:vAlign w:val="bottom"/>
            <w:hideMark/>
          </w:tcPr>
          <w:p w:rsidR="00F347F9" w:rsidRPr="00F347F9" w:rsidRDefault="00F347F9" w:rsidP="00D74AD3">
            <w:pPr>
              <w:pStyle w:val="Tabletext"/>
              <w:tabs>
                <w:tab w:val="decimal" w:pos="539"/>
              </w:tabs>
              <w:spacing w:after="40"/>
            </w:pPr>
            <w:r w:rsidRPr="00F347F9">
              <w:t>20.9</w:t>
            </w:r>
          </w:p>
        </w:tc>
      </w:tr>
    </w:tbl>
    <w:p w:rsidR="00F347F9" w:rsidRDefault="00F347F9" w:rsidP="00EC22F5">
      <w:pPr>
        <w:pStyle w:val="Source"/>
      </w:pPr>
      <w:r w:rsidRPr="00F347F9">
        <w:t>Note:</w:t>
      </w:r>
      <w:r w:rsidR="00D74AD3">
        <w:tab/>
        <w:t>T</w:t>
      </w:r>
      <w:r w:rsidRPr="00F347F9">
        <w:t>he education participation rates are those of Australia, with part-time education assumed to be 1/3 of a person's time</w:t>
      </w:r>
      <w:r w:rsidR="00EB3DD7">
        <w:t>.</w:t>
      </w:r>
    </w:p>
    <w:p w:rsidR="00F347F9" w:rsidRPr="00F347F9" w:rsidRDefault="00D74AD3" w:rsidP="00EC22F5">
      <w:pPr>
        <w:pStyle w:val="Source"/>
      </w:pPr>
      <w:r>
        <w:t>Source:</w:t>
      </w:r>
      <w:r>
        <w:tab/>
        <w:t>A</w:t>
      </w:r>
      <w:r w:rsidR="00F347F9">
        <w:t xml:space="preserve">uthor’s </w:t>
      </w:r>
      <w:r w:rsidR="00EC22F5">
        <w:t>calculations</w:t>
      </w:r>
      <w:r w:rsidR="00F347F9">
        <w:t xml:space="preserve"> based on Australian educational </w:t>
      </w:r>
      <w:r w:rsidR="00EC22F5">
        <w:t>participation</w:t>
      </w:r>
      <w:r w:rsidR="00CC57E4">
        <w:t xml:space="preserve"> rates (S</w:t>
      </w:r>
      <w:r w:rsidR="00F347F9">
        <w:t xml:space="preserve">urvey of Education and Training), and </w:t>
      </w:r>
      <w:r w:rsidR="00EB3DD7">
        <w:t>US</w:t>
      </w:r>
      <w:r w:rsidR="00F347F9" w:rsidRPr="00F347F9">
        <w:t xml:space="preserve"> C</w:t>
      </w:r>
      <w:r w:rsidR="006E5097">
        <w:t>ensus Bureau International Datab</w:t>
      </w:r>
      <w:r w:rsidR="00EC22F5" w:rsidRPr="00F347F9">
        <w:t>ase</w:t>
      </w:r>
      <w:r w:rsidR="006E5097">
        <w:t>.</w:t>
      </w:r>
      <w:r w:rsidR="00F347F9" w:rsidRPr="00F347F9">
        <w:t xml:space="preserve"> </w:t>
      </w:r>
    </w:p>
    <w:p w:rsidR="00EC22F5" w:rsidRDefault="00F347F9" w:rsidP="00D74AD3">
      <w:pPr>
        <w:pStyle w:val="text-moreb4"/>
      </w:pPr>
      <w:r>
        <w:t>An immediate difficulty is that in the tim</w:t>
      </w:r>
      <w:r w:rsidR="00EC22F5">
        <w:t xml:space="preserve">e </w:t>
      </w:r>
      <w:r>
        <w:t xml:space="preserve">available I did not manage to </w:t>
      </w:r>
      <w:r w:rsidR="00EC22F5">
        <w:t>locate</w:t>
      </w:r>
      <w:r>
        <w:t xml:space="preserve"> educational participation rates for countries other than Australia. Thus these calculations are rather artificial. Nevertheless, they show the extent of </w:t>
      </w:r>
      <w:r w:rsidR="00EC22F5">
        <w:t>demographic</w:t>
      </w:r>
      <w:r>
        <w:t xml:space="preserve"> change and make the point that the </w:t>
      </w:r>
      <w:r>
        <w:lastRenderedPageBreak/>
        <w:t xml:space="preserve">‘demographic dividend’ is very large for </w:t>
      </w:r>
      <w:r w:rsidR="00EC22F5">
        <w:t>developing</w:t>
      </w:r>
      <w:r>
        <w:t xml:space="preserve"> countries. For example, if India in 2010 were to have </w:t>
      </w:r>
      <w:r w:rsidR="00EC22F5">
        <w:t>educational</w:t>
      </w:r>
      <w:r>
        <w:t xml:space="preserve"> participation rates </w:t>
      </w:r>
      <w:r w:rsidR="00EC22F5">
        <w:t>equivalent</w:t>
      </w:r>
      <w:r>
        <w:t xml:space="preserve"> to those in </w:t>
      </w:r>
      <w:r w:rsidR="00EC22F5">
        <w:t>Australia</w:t>
      </w:r>
      <w:r w:rsidR="006E5097">
        <w:t>,</w:t>
      </w:r>
      <w:r w:rsidR="001032D6">
        <w:t xml:space="preserve"> then for every 100 adults </w:t>
      </w:r>
      <w:r>
        <w:t>who are potential full-time workers (</w:t>
      </w:r>
      <w:r w:rsidR="006E5097">
        <w:t>that is, aged 15–</w:t>
      </w:r>
      <w:r>
        <w:t>64</w:t>
      </w:r>
      <w:r w:rsidR="006E5097">
        <w:t xml:space="preserve"> years</w:t>
      </w:r>
      <w:r>
        <w:t xml:space="preserve"> and not in full-time education) there would be</w:t>
      </w:r>
      <w:r w:rsidR="006E5097">
        <w:t xml:space="preserve"> 62 full-time students (aged 15–</w:t>
      </w:r>
      <w:r>
        <w:t>64</w:t>
      </w:r>
      <w:r w:rsidR="00F86A49">
        <w:t xml:space="preserve"> years</w:t>
      </w:r>
      <w:r>
        <w:t>). By 2050 this ratio falls to 41</w:t>
      </w:r>
      <w:r w:rsidR="00EC22F5">
        <w:t xml:space="preserve"> students for every 100 adults who are potential full-time workers.</w:t>
      </w:r>
    </w:p>
    <w:p w:rsidR="00EC22F5" w:rsidRDefault="00EC22F5" w:rsidP="00D74AD3">
      <w:pPr>
        <w:pStyle w:val="text0"/>
        <w:ind w:right="-151"/>
      </w:pPr>
      <w:r>
        <w:t>What this implies is that the ageing of the population provides choices to governments. Since the task of maintaining educational participation rates becomes easier</w:t>
      </w:r>
      <w:r w:rsidR="006E5097">
        <w:t>,</w:t>
      </w:r>
      <w:r>
        <w:t xml:space="preserve"> governments have the opportunity to improve levels of educational participation (or quality) or</w:t>
      </w:r>
      <w:r w:rsidR="00CC57E4">
        <w:t>,</w:t>
      </w:r>
      <w:r>
        <w:t xml:space="preserve"> alternatively</w:t>
      </w:r>
      <w:r w:rsidR="00CC57E4">
        <w:t>,</w:t>
      </w:r>
      <w:r>
        <w:t xml:space="preserve"> spend the resources on other sectors of the economy. In a sense, lifelong learning will become more affordable. </w:t>
      </w:r>
    </w:p>
    <w:p w:rsidR="00CB3943" w:rsidRDefault="00CB3943">
      <w:pPr>
        <w:spacing w:before="0"/>
        <w:rPr>
          <w:kern w:val="28"/>
          <w:sz w:val="60"/>
        </w:rPr>
      </w:pPr>
      <w:r>
        <w:br w:type="page"/>
      </w:r>
    </w:p>
    <w:p w:rsidR="00EC22F5" w:rsidRDefault="00EC22F5" w:rsidP="00EC22F5">
      <w:pPr>
        <w:pStyle w:val="Heading1"/>
      </w:pPr>
      <w:bookmarkStart w:id="29" w:name="_Toc289164601"/>
      <w:r>
        <w:lastRenderedPageBreak/>
        <w:t>Increasing life expectancy and</w:t>
      </w:r>
      <w:r w:rsidR="00D74AD3">
        <w:t xml:space="preserve"> </w:t>
      </w:r>
      <w:r>
        <w:t>the</w:t>
      </w:r>
      <w:r w:rsidR="00D74AD3">
        <w:t> </w:t>
      </w:r>
      <w:r>
        <w:t>arithmetic of investment</w:t>
      </w:r>
      <w:r w:rsidR="00D74AD3">
        <w:t xml:space="preserve"> </w:t>
      </w:r>
      <w:r>
        <w:t>in</w:t>
      </w:r>
      <w:r w:rsidR="00D74AD3">
        <w:t> </w:t>
      </w:r>
      <w:r>
        <w:t>human capital</w:t>
      </w:r>
      <w:bookmarkEnd w:id="29"/>
    </w:p>
    <w:p w:rsidR="0018015F" w:rsidRDefault="00EC22F5" w:rsidP="00D74AD3">
      <w:pPr>
        <w:pStyle w:val="text0"/>
        <w:spacing w:before="440"/>
      </w:pPr>
      <w:r>
        <w:t xml:space="preserve">I have argued earlier that </w:t>
      </w:r>
      <w:r w:rsidR="006E5097">
        <w:t>education and training is front-end-</w:t>
      </w:r>
      <w:r>
        <w:t xml:space="preserve">loaded and this is perfectly logical. On the assumption that there is a return </w:t>
      </w:r>
      <w:r w:rsidR="00741BFB">
        <w:t>from</w:t>
      </w:r>
      <w:r>
        <w:t xml:space="preserve"> education and training</w:t>
      </w:r>
      <w:r w:rsidR="006E5097">
        <w:t>,</w:t>
      </w:r>
      <w:r>
        <w:t xml:space="preserve"> the optimal strategy must be to concentrate on foundation skills and initial ent</w:t>
      </w:r>
      <w:r w:rsidR="0018015F">
        <w:t>r</w:t>
      </w:r>
      <w:r>
        <w:t>y education and training, for the simple reason that this enabl</w:t>
      </w:r>
      <w:r w:rsidR="0018015F">
        <w:t xml:space="preserve">es the longest possible time to realise the return. </w:t>
      </w:r>
      <w:r w:rsidR="00134669">
        <w:t>However, the very fact that this conference is occurring indicates the importance attached to lifelong learning, and no one would argue that learning ends or should end once an individual has competed their initial training</w:t>
      </w:r>
      <w:r w:rsidR="00AF58BC">
        <w:t>.</w:t>
      </w:r>
    </w:p>
    <w:p w:rsidR="00850C84" w:rsidRDefault="0018015F" w:rsidP="00D74AD3">
      <w:pPr>
        <w:pStyle w:val="text0"/>
      </w:pPr>
      <w:r>
        <w:t xml:space="preserve">However, a model in which all education and training is </w:t>
      </w:r>
      <w:r w:rsidR="006E5097">
        <w:t xml:space="preserve">applied to </w:t>
      </w:r>
      <w:r>
        <w:t xml:space="preserve">the young misses two </w:t>
      </w:r>
      <w:r w:rsidR="00550FAD">
        <w:t>simple</w:t>
      </w:r>
      <w:r>
        <w:t xml:space="preserve"> facts. The first is that there is considerable investment in the skills of older persons which occurs through the workplace. Wages tend to increase with age because of the return </w:t>
      </w:r>
      <w:r w:rsidR="006E5097">
        <w:t>from</w:t>
      </w:r>
      <w:r>
        <w:t xml:space="preserve"> experience, reflecting increasing skill levels and productivity</w:t>
      </w:r>
      <w:r w:rsidR="00850C84">
        <w:t xml:space="preserve">. This type of learning tends to be forgotten because it is funded by employers and employees and is implicit rather than </w:t>
      </w:r>
      <w:r w:rsidR="00550FAD">
        <w:t>explicit</w:t>
      </w:r>
      <w:r w:rsidR="00850C84">
        <w:t>.</w:t>
      </w:r>
    </w:p>
    <w:p w:rsidR="00850C84" w:rsidRDefault="00B74272" w:rsidP="00D74AD3">
      <w:pPr>
        <w:pStyle w:val="text0"/>
      </w:pPr>
      <w:r>
        <w:t>The second is that rate-of-</w:t>
      </w:r>
      <w:r w:rsidR="00850C84">
        <w:t>return calculations need to take into account the value of time</w:t>
      </w:r>
      <w:r w:rsidR="006E5097">
        <w:t>,</w:t>
      </w:r>
      <w:r w:rsidR="00850C84">
        <w:t xml:space="preserve"> so that net present value </w:t>
      </w:r>
      <w:r w:rsidR="00550FAD">
        <w:t>calculations</w:t>
      </w:r>
      <w:r w:rsidR="00850C84">
        <w:t xml:space="preserve"> need to use a discount rate (often the long-te</w:t>
      </w:r>
      <w:r w:rsidR="00E73324">
        <w:t>r</w:t>
      </w:r>
      <w:r w:rsidR="00850C84">
        <w:t xml:space="preserve">m bond rate). What this means is that it is the returns close to the time of </w:t>
      </w:r>
      <w:r w:rsidR="00550FAD">
        <w:t>investment</w:t>
      </w:r>
      <w:r w:rsidR="00850C84">
        <w:t xml:space="preserve"> </w:t>
      </w:r>
      <w:r w:rsidR="00741BFB">
        <w:t xml:space="preserve">that </w:t>
      </w:r>
      <w:r w:rsidR="00850C84">
        <w:t>matter more than returns some year</w:t>
      </w:r>
      <w:r w:rsidR="00CC57E4">
        <w:t>s off. F</w:t>
      </w:r>
      <w:r w:rsidR="00850C84">
        <w:t>or example</w:t>
      </w:r>
      <w:r w:rsidR="00CC57E4">
        <w:t>,</w:t>
      </w:r>
      <w:r w:rsidR="00850C84">
        <w:t xml:space="preserve"> if a particular skill leads to an increase in wages of $100 per annum</w:t>
      </w:r>
      <w:r w:rsidR="006E5097">
        <w:t>,</w:t>
      </w:r>
      <w:r w:rsidR="00850C84">
        <w:t xml:space="preserve"> then </w:t>
      </w:r>
      <w:r w:rsidR="00CC57E4">
        <w:t xml:space="preserve">a substantial portion </w:t>
      </w:r>
      <w:r w:rsidR="00850C84">
        <w:t xml:space="preserve">of the return is obtained in the first </w:t>
      </w:r>
      <w:r w:rsidR="006E5097">
        <w:t>ten</w:t>
      </w:r>
      <w:r w:rsidR="00850C84">
        <w:t xml:space="preserve"> years. Figure </w:t>
      </w:r>
      <w:r w:rsidR="00CC57E4">
        <w:t>5</w:t>
      </w:r>
      <w:r w:rsidR="00850C84">
        <w:t xml:space="preserve"> illustrates this </w:t>
      </w:r>
      <w:r w:rsidR="00550FAD">
        <w:t>point by</w:t>
      </w:r>
      <w:r w:rsidR="00C25CF1">
        <w:t xml:space="preserve"> plotting the share of the net present value </w:t>
      </w:r>
      <w:r w:rsidR="00CC57E4">
        <w:t xml:space="preserve">of an investment that provides an annual return of $100 </w:t>
      </w:r>
      <w:r w:rsidR="00C25CF1">
        <w:t>against years since investment</w:t>
      </w:r>
      <w:r w:rsidR="00CC57E4">
        <w:t>. The example assumes</w:t>
      </w:r>
      <w:r w:rsidR="00C25CF1">
        <w:t xml:space="preserve"> that the life of the investment is 40 years (representing the length of working life) and a discount rate of 6%</w:t>
      </w:r>
      <w:r w:rsidR="00850C84">
        <w:t>.</w:t>
      </w:r>
    </w:p>
    <w:p w:rsidR="00D74AD3" w:rsidRDefault="00850C84" w:rsidP="00D74AD3">
      <w:pPr>
        <w:pStyle w:val="Figuretitle"/>
      </w:pPr>
      <w:bookmarkStart w:id="30" w:name="_Toc289164673"/>
      <w:r>
        <w:t xml:space="preserve">Figure </w:t>
      </w:r>
      <w:r w:rsidR="00CC57E4">
        <w:t>5</w:t>
      </w:r>
      <w:r w:rsidR="00813C5D">
        <w:tab/>
      </w:r>
      <w:r>
        <w:t>Net present value of $</w:t>
      </w:r>
      <w:r w:rsidRPr="00D74AD3">
        <w:t>100</w:t>
      </w:r>
      <w:r>
        <w:t xml:space="preserve"> per annum</w:t>
      </w:r>
      <w:r w:rsidR="00C25CF1">
        <w:t xml:space="preserve"> against years since investment</w:t>
      </w:r>
      <w:bookmarkStart w:id="31" w:name="_Toc280607276"/>
      <w:bookmarkStart w:id="32" w:name="_Toc280609420"/>
      <w:bookmarkEnd w:id="31"/>
      <w:bookmarkEnd w:id="32"/>
      <w:bookmarkEnd w:id="30"/>
    </w:p>
    <w:bookmarkStart w:id="33" w:name="_Toc289164674"/>
    <w:bookmarkEnd w:id="33"/>
    <w:p w:rsidR="00C25CF1" w:rsidRDefault="00C25CF1" w:rsidP="00D74AD3">
      <w:pPr>
        <w:pStyle w:val="Figuretitle"/>
        <w:spacing w:before="0"/>
      </w:pPr>
      <w:r>
        <w:object w:dxaOrig="7207" w:dyaOrig="4458">
          <v:shape id="_x0000_i1027" type="#_x0000_t75" style="width:5in;height:222.9pt" o:ole="">
            <v:imagedata r:id="rId21" o:title=""/>
          </v:shape>
          <o:OLEObject Type="Embed" ProgID="Excel.Sheet.12" ShapeID="_x0000_i1027" DrawAspect="Content" ObjectID="_1364710492" r:id="rId22"/>
        </w:object>
      </w:r>
    </w:p>
    <w:p w:rsidR="001F21D9" w:rsidRDefault="001F21D9" w:rsidP="00D74AD3">
      <w:pPr>
        <w:pStyle w:val="Source"/>
      </w:pPr>
      <w:r>
        <w:t>Source:</w:t>
      </w:r>
      <w:r w:rsidR="00D74AD3">
        <w:tab/>
        <w:t>A</w:t>
      </w:r>
      <w:r>
        <w:t>uthor’s calculations.</w:t>
      </w:r>
    </w:p>
    <w:p w:rsidR="00D74AD3" w:rsidRDefault="00D74AD3">
      <w:pPr>
        <w:spacing w:before="0" w:line="240" w:lineRule="auto"/>
      </w:pPr>
      <w:r>
        <w:br w:type="page"/>
      </w:r>
    </w:p>
    <w:p w:rsidR="00C25CF1" w:rsidRDefault="00C25CF1" w:rsidP="00D74AD3">
      <w:pPr>
        <w:pStyle w:val="text-moreb4"/>
      </w:pPr>
      <w:r>
        <w:lastRenderedPageBreak/>
        <w:t>What this implies</w:t>
      </w:r>
      <w:r w:rsidR="006E5097">
        <w:t xml:space="preserve"> is that return over the first ten years is around 50</w:t>
      </w:r>
      <w:r>
        <w:t xml:space="preserve">% of the total return, and that the return over 20 years is 80% of the return. </w:t>
      </w:r>
      <w:r w:rsidR="00CC57E4">
        <w:t>Thus</w:t>
      </w:r>
      <w:r>
        <w:t xml:space="preserve"> an individual who invests in education and training at the age of 40 </w:t>
      </w:r>
      <w:r w:rsidR="006E5097">
        <w:t xml:space="preserve">years </w:t>
      </w:r>
      <w:r>
        <w:t>can expect to harv</w:t>
      </w:r>
      <w:r w:rsidR="006E5097">
        <w:t>est 80% of the return that a 20-year-</w:t>
      </w:r>
      <w:r>
        <w:t>old would obtain (assuming both work until they are 60 years</w:t>
      </w:r>
      <w:r w:rsidR="00CC57E4">
        <w:t>)</w:t>
      </w:r>
      <w:r>
        <w:t>. Th</w:t>
      </w:r>
      <w:r w:rsidR="00CC57E4">
        <w:t>erefore we see</w:t>
      </w:r>
      <w:r>
        <w:t xml:space="preserve"> that investments in education and training have a very good return</w:t>
      </w:r>
      <w:r w:rsidR="006E5097">
        <w:t>,</w:t>
      </w:r>
      <w:r>
        <w:t xml:space="preserve"> certainly until middle age, depending on </w:t>
      </w:r>
      <w:r w:rsidR="006E5097">
        <w:t>the length of an individual’s working life.</w:t>
      </w:r>
    </w:p>
    <w:p w:rsidR="00C25CF1" w:rsidRDefault="00C25CF1" w:rsidP="00D74AD3">
      <w:pPr>
        <w:pStyle w:val="text0"/>
      </w:pPr>
      <w:r>
        <w:t xml:space="preserve">One of the features of demographic trends is that ageing of the </w:t>
      </w:r>
      <w:r w:rsidR="00550FAD">
        <w:t>population</w:t>
      </w:r>
      <w:r>
        <w:t xml:space="preserve"> is </w:t>
      </w:r>
      <w:r w:rsidR="00550FAD">
        <w:t>occurring</w:t>
      </w:r>
      <w:r>
        <w:t xml:space="preserve"> because of a decline in </w:t>
      </w:r>
      <w:r w:rsidR="00550FAD">
        <w:t>fertility</w:t>
      </w:r>
      <w:r>
        <w:t xml:space="preserve"> but also </w:t>
      </w:r>
      <w:r w:rsidR="00550FAD">
        <w:t>because</w:t>
      </w:r>
      <w:r>
        <w:t xml:space="preserve"> of increasing life expectancy. It is true that increases in life expectancy are partly due to declines in infant mortality and maternal mortality. But putting these to one side</w:t>
      </w:r>
      <w:r w:rsidR="00A1125C">
        <w:t>,</w:t>
      </w:r>
      <w:r>
        <w:t xml:space="preserve"> life </w:t>
      </w:r>
      <w:r w:rsidR="00550FAD">
        <w:t>expectancy</w:t>
      </w:r>
      <w:r>
        <w:t xml:space="preserve"> has been increasing steadily and therefore one would expect that working lives will begin to get longer as well. Table </w:t>
      </w:r>
      <w:r w:rsidR="00291FCA">
        <w:t>4</w:t>
      </w:r>
      <w:r>
        <w:t xml:space="preserve"> shows current life </w:t>
      </w:r>
      <w:r w:rsidR="00550FAD">
        <w:t>expectancy</w:t>
      </w:r>
      <w:r>
        <w:t xml:space="preserve"> at the age of 40 </w:t>
      </w:r>
      <w:r w:rsidR="00A1125C">
        <w:t xml:space="preserve">years </w:t>
      </w:r>
      <w:r>
        <w:t xml:space="preserve">for our selection of </w:t>
      </w:r>
      <w:r w:rsidR="00550FAD">
        <w:t>countries for</w:t>
      </w:r>
      <w:r w:rsidR="0073394B">
        <w:t xml:space="preserve"> 1990 and 2008</w:t>
      </w:r>
      <w:r>
        <w:t>.</w:t>
      </w:r>
    </w:p>
    <w:p w:rsidR="0073394B" w:rsidRDefault="0073394B" w:rsidP="00D74AD3">
      <w:pPr>
        <w:pStyle w:val="tabletitle"/>
      </w:pPr>
      <w:bookmarkStart w:id="34" w:name="_Toc289164660"/>
      <w:r>
        <w:t>T</w:t>
      </w:r>
      <w:r w:rsidR="00CC57E4">
        <w:t>able 4</w:t>
      </w:r>
      <w:r w:rsidR="00813C5D">
        <w:tab/>
      </w:r>
      <w:r>
        <w:t xml:space="preserve">Life expectancy at 40 years, selected countries, 1990 and </w:t>
      </w:r>
      <w:r w:rsidRPr="00D74AD3">
        <w:t>2008</w:t>
      </w:r>
      <w:bookmarkEnd w:id="34"/>
    </w:p>
    <w:tbl>
      <w:tblPr>
        <w:tblW w:w="8505" w:type="dxa"/>
        <w:tblInd w:w="93" w:type="dxa"/>
        <w:tblLayout w:type="fixed"/>
        <w:tblLook w:val="04A0"/>
      </w:tblPr>
      <w:tblGrid>
        <w:gridCol w:w="2283"/>
        <w:gridCol w:w="1555"/>
        <w:gridCol w:w="1556"/>
        <w:gridCol w:w="1555"/>
        <w:gridCol w:w="1556"/>
      </w:tblGrid>
      <w:tr w:rsidR="0073394B" w:rsidRPr="0073394B" w:rsidTr="00D74AD3">
        <w:trPr>
          <w:trHeight w:val="287"/>
        </w:trPr>
        <w:tc>
          <w:tcPr>
            <w:tcW w:w="2283" w:type="dxa"/>
            <w:tcBorders>
              <w:top w:val="single" w:sz="4" w:space="0" w:color="auto"/>
              <w:left w:val="nil"/>
              <w:bottom w:val="nil"/>
              <w:right w:val="nil"/>
            </w:tcBorders>
            <w:shd w:val="clear" w:color="auto" w:fill="auto"/>
            <w:noWrap/>
            <w:vAlign w:val="bottom"/>
            <w:hideMark/>
          </w:tcPr>
          <w:p w:rsidR="0073394B" w:rsidRPr="0073394B" w:rsidRDefault="0073394B" w:rsidP="00D74AD3">
            <w:pPr>
              <w:pStyle w:val="Tablehead1"/>
            </w:pPr>
          </w:p>
        </w:tc>
        <w:tc>
          <w:tcPr>
            <w:tcW w:w="1555" w:type="dxa"/>
            <w:tcBorders>
              <w:top w:val="single" w:sz="4" w:space="0" w:color="auto"/>
              <w:left w:val="nil"/>
              <w:bottom w:val="nil"/>
              <w:right w:val="nil"/>
            </w:tcBorders>
            <w:shd w:val="clear" w:color="auto" w:fill="auto"/>
            <w:noWrap/>
            <w:hideMark/>
          </w:tcPr>
          <w:p w:rsidR="0073394B" w:rsidRPr="0073394B" w:rsidRDefault="0073394B" w:rsidP="00D74AD3">
            <w:pPr>
              <w:pStyle w:val="Tablehead1"/>
              <w:jc w:val="center"/>
            </w:pPr>
            <w:r w:rsidRPr="0073394B">
              <w:t>1990</w:t>
            </w:r>
          </w:p>
        </w:tc>
        <w:tc>
          <w:tcPr>
            <w:tcW w:w="1556" w:type="dxa"/>
            <w:tcBorders>
              <w:top w:val="single" w:sz="4" w:space="0" w:color="auto"/>
              <w:left w:val="nil"/>
              <w:bottom w:val="nil"/>
              <w:right w:val="nil"/>
            </w:tcBorders>
            <w:shd w:val="clear" w:color="auto" w:fill="auto"/>
            <w:noWrap/>
            <w:hideMark/>
          </w:tcPr>
          <w:p w:rsidR="0073394B" w:rsidRPr="0073394B" w:rsidRDefault="0073394B" w:rsidP="00D74AD3">
            <w:pPr>
              <w:pStyle w:val="Tablehead1"/>
              <w:jc w:val="center"/>
            </w:pPr>
          </w:p>
        </w:tc>
        <w:tc>
          <w:tcPr>
            <w:tcW w:w="1555" w:type="dxa"/>
            <w:tcBorders>
              <w:top w:val="single" w:sz="4" w:space="0" w:color="auto"/>
              <w:left w:val="nil"/>
              <w:bottom w:val="nil"/>
              <w:right w:val="nil"/>
            </w:tcBorders>
            <w:shd w:val="clear" w:color="auto" w:fill="auto"/>
            <w:noWrap/>
            <w:hideMark/>
          </w:tcPr>
          <w:p w:rsidR="0073394B" w:rsidRPr="0073394B" w:rsidRDefault="0073394B" w:rsidP="00D74AD3">
            <w:pPr>
              <w:pStyle w:val="Tablehead1"/>
              <w:jc w:val="center"/>
            </w:pPr>
            <w:r w:rsidRPr="0073394B">
              <w:t>2008</w:t>
            </w:r>
          </w:p>
        </w:tc>
        <w:tc>
          <w:tcPr>
            <w:tcW w:w="1556" w:type="dxa"/>
            <w:tcBorders>
              <w:top w:val="single" w:sz="4" w:space="0" w:color="auto"/>
              <w:left w:val="nil"/>
              <w:bottom w:val="nil"/>
              <w:right w:val="nil"/>
            </w:tcBorders>
            <w:shd w:val="clear" w:color="auto" w:fill="auto"/>
            <w:noWrap/>
            <w:hideMark/>
          </w:tcPr>
          <w:p w:rsidR="0073394B" w:rsidRPr="0073394B" w:rsidRDefault="0073394B" w:rsidP="00D74AD3">
            <w:pPr>
              <w:pStyle w:val="Tablehead1"/>
              <w:jc w:val="center"/>
            </w:pPr>
          </w:p>
        </w:tc>
      </w:tr>
      <w:tr w:rsidR="0073394B" w:rsidRPr="0073394B" w:rsidTr="00D74AD3">
        <w:trPr>
          <w:trHeight w:val="300"/>
        </w:trPr>
        <w:tc>
          <w:tcPr>
            <w:tcW w:w="2283" w:type="dxa"/>
            <w:tcBorders>
              <w:top w:val="nil"/>
              <w:left w:val="nil"/>
              <w:bottom w:val="single" w:sz="4" w:space="0" w:color="auto"/>
              <w:right w:val="nil"/>
            </w:tcBorders>
            <w:shd w:val="clear" w:color="auto" w:fill="auto"/>
            <w:noWrap/>
            <w:vAlign w:val="center"/>
            <w:hideMark/>
          </w:tcPr>
          <w:p w:rsidR="0073394B" w:rsidRPr="0073394B" w:rsidRDefault="0073394B" w:rsidP="00D74AD3">
            <w:pPr>
              <w:pStyle w:val="Tablehead2"/>
            </w:pPr>
          </w:p>
        </w:tc>
        <w:tc>
          <w:tcPr>
            <w:tcW w:w="1555" w:type="dxa"/>
            <w:tcBorders>
              <w:top w:val="nil"/>
              <w:left w:val="nil"/>
              <w:bottom w:val="single" w:sz="4" w:space="0" w:color="auto"/>
              <w:right w:val="nil"/>
            </w:tcBorders>
            <w:shd w:val="clear" w:color="auto" w:fill="auto"/>
            <w:noWrap/>
            <w:hideMark/>
          </w:tcPr>
          <w:p w:rsidR="0073394B" w:rsidRPr="0073394B" w:rsidRDefault="00D74AD3" w:rsidP="00D74AD3">
            <w:pPr>
              <w:pStyle w:val="Tablehead2"/>
              <w:jc w:val="center"/>
            </w:pPr>
            <w:r w:rsidRPr="0073394B">
              <w:t>Females</w:t>
            </w:r>
          </w:p>
        </w:tc>
        <w:tc>
          <w:tcPr>
            <w:tcW w:w="1556" w:type="dxa"/>
            <w:tcBorders>
              <w:top w:val="nil"/>
              <w:left w:val="nil"/>
              <w:bottom w:val="single" w:sz="4" w:space="0" w:color="auto"/>
              <w:right w:val="nil"/>
            </w:tcBorders>
            <w:shd w:val="clear" w:color="auto" w:fill="auto"/>
            <w:noWrap/>
            <w:hideMark/>
          </w:tcPr>
          <w:p w:rsidR="0073394B" w:rsidRPr="0073394B" w:rsidRDefault="00D74AD3" w:rsidP="00D74AD3">
            <w:pPr>
              <w:pStyle w:val="Tablehead2"/>
              <w:jc w:val="center"/>
            </w:pPr>
            <w:r w:rsidRPr="0073394B">
              <w:t>Males</w:t>
            </w:r>
          </w:p>
        </w:tc>
        <w:tc>
          <w:tcPr>
            <w:tcW w:w="1555" w:type="dxa"/>
            <w:tcBorders>
              <w:top w:val="nil"/>
              <w:left w:val="nil"/>
              <w:bottom w:val="single" w:sz="4" w:space="0" w:color="auto"/>
              <w:right w:val="nil"/>
            </w:tcBorders>
            <w:shd w:val="clear" w:color="auto" w:fill="auto"/>
            <w:noWrap/>
            <w:hideMark/>
          </w:tcPr>
          <w:p w:rsidR="0073394B" w:rsidRPr="0073394B" w:rsidRDefault="00D74AD3" w:rsidP="00D74AD3">
            <w:pPr>
              <w:pStyle w:val="Tablehead2"/>
              <w:jc w:val="center"/>
            </w:pPr>
            <w:r w:rsidRPr="0073394B">
              <w:t>Females</w:t>
            </w:r>
          </w:p>
        </w:tc>
        <w:tc>
          <w:tcPr>
            <w:tcW w:w="1556" w:type="dxa"/>
            <w:tcBorders>
              <w:top w:val="nil"/>
              <w:left w:val="nil"/>
              <w:bottom w:val="single" w:sz="4" w:space="0" w:color="auto"/>
              <w:right w:val="nil"/>
            </w:tcBorders>
            <w:shd w:val="clear" w:color="auto" w:fill="auto"/>
            <w:noWrap/>
            <w:hideMark/>
          </w:tcPr>
          <w:p w:rsidR="0073394B" w:rsidRPr="0073394B" w:rsidRDefault="00D74AD3" w:rsidP="00D74AD3">
            <w:pPr>
              <w:pStyle w:val="Tablehead2"/>
              <w:jc w:val="center"/>
            </w:pPr>
            <w:r w:rsidRPr="0073394B">
              <w:t>Males</w:t>
            </w:r>
          </w:p>
        </w:tc>
      </w:tr>
      <w:tr w:rsidR="0073394B" w:rsidRPr="00D74AD3" w:rsidTr="00D74AD3">
        <w:trPr>
          <w:trHeight w:val="300"/>
        </w:trPr>
        <w:tc>
          <w:tcPr>
            <w:tcW w:w="2283" w:type="dxa"/>
            <w:tcBorders>
              <w:top w:val="single" w:sz="4" w:space="0" w:color="auto"/>
              <w:left w:val="nil"/>
              <w:bottom w:val="nil"/>
              <w:right w:val="nil"/>
            </w:tcBorders>
            <w:shd w:val="clear" w:color="auto" w:fill="auto"/>
            <w:noWrap/>
            <w:vAlign w:val="center"/>
            <w:hideMark/>
          </w:tcPr>
          <w:p w:rsidR="0073394B" w:rsidRPr="00D74AD3" w:rsidRDefault="0073394B" w:rsidP="00D74AD3">
            <w:pPr>
              <w:pStyle w:val="Tabletext"/>
            </w:pPr>
            <w:r w:rsidRPr="00D74AD3">
              <w:t>Australia</w:t>
            </w:r>
          </w:p>
        </w:tc>
        <w:tc>
          <w:tcPr>
            <w:tcW w:w="1555" w:type="dxa"/>
            <w:tcBorders>
              <w:top w:val="single" w:sz="4" w:space="0" w:color="auto"/>
              <w:left w:val="nil"/>
              <w:bottom w:val="nil"/>
              <w:right w:val="nil"/>
            </w:tcBorders>
            <w:shd w:val="clear" w:color="auto" w:fill="auto"/>
            <w:noWrap/>
            <w:vAlign w:val="center"/>
            <w:hideMark/>
          </w:tcPr>
          <w:p w:rsidR="0073394B" w:rsidRPr="00D74AD3" w:rsidRDefault="0073394B" w:rsidP="00D74AD3">
            <w:pPr>
              <w:pStyle w:val="Tabletext"/>
              <w:tabs>
                <w:tab w:val="decimal" w:pos="680"/>
              </w:tabs>
            </w:pPr>
            <w:r w:rsidRPr="00D74AD3">
              <w:t>41.7</w:t>
            </w:r>
          </w:p>
        </w:tc>
        <w:tc>
          <w:tcPr>
            <w:tcW w:w="1556" w:type="dxa"/>
            <w:tcBorders>
              <w:top w:val="single" w:sz="4" w:space="0" w:color="auto"/>
              <w:left w:val="nil"/>
              <w:bottom w:val="nil"/>
              <w:right w:val="nil"/>
            </w:tcBorders>
            <w:shd w:val="clear" w:color="auto" w:fill="auto"/>
            <w:noWrap/>
            <w:vAlign w:val="center"/>
            <w:hideMark/>
          </w:tcPr>
          <w:p w:rsidR="0073394B" w:rsidRPr="00D74AD3" w:rsidRDefault="0073394B" w:rsidP="00D74AD3">
            <w:pPr>
              <w:pStyle w:val="Tabletext"/>
              <w:tabs>
                <w:tab w:val="decimal" w:pos="680"/>
              </w:tabs>
            </w:pPr>
            <w:r w:rsidRPr="00D74AD3">
              <w:t>36.5</w:t>
            </w:r>
          </w:p>
        </w:tc>
        <w:tc>
          <w:tcPr>
            <w:tcW w:w="1555" w:type="dxa"/>
            <w:tcBorders>
              <w:top w:val="single" w:sz="4" w:space="0" w:color="auto"/>
              <w:left w:val="nil"/>
              <w:bottom w:val="nil"/>
              <w:right w:val="nil"/>
            </w:tcBorders>
            <w:shd w:val="clear" w:color="auto" w:fill="auto"/>
            <w:noWrap/>
            <w:vAlign w:val="center"/>
            <w:hideMark/>
          </w:tcPr>
          <w:p w:rsidR="0073394B" w:rsidRPr="00D74AD3" w:rsidRDefault="0073394B" w:rsidP="00D74AD3">
            <w:pPr>
              <w:pStyle w:val="Tabletext"/>
              <w:tabs>
                <w:tab w:val="decimal" w:pos="680"/>
              </w:tabs>
            </w:pPr>
            <w:r w:rsidRPr="00D74AD3">
              <w:t>45.0</w:t>
            </w:r>
          </w:p>
        </w:tc>
        <w:tc>
          <w:tcPr>
            <w:tcW w:w="1556" w:type="dxa"/>
            <w:tcBorders>
              <w:top w:val="single" w:sz="4" w:space="0" w:color="auto"/>
              <w:left w:val="nil"/>
              <w:bottom w:val="nil"/>
              <w:right w:val="nil"/>
            </w:tcBorders>
            <w:shd w:val="clear" w:color="auto" w:fill="auto"/>
            <w:noWrap/>
            <w:vAlign w:val="bottom"/>
            <w:hideMark/>
          </w:tcPr>
          <w:p w:rsidR="0073394B" w:rsidRPr="00D74AD3" w:rsidRDefault="0073394B" w:rsidP="00D74AD3">
            <w:pPr>
              <w:pStyle w:val="Tabletext"/>
              <w:tabs>
                <w:tab w:val="decimal" w:pos="680"/>
              </w:tabs>
              <w:rPr>
                <w:szCs w:val="22"/>
              </w:rPr>
            </w:pPr>
            <w:r w:rsidRPr="00D74AD3">
              <w:rPr>
                <w:szCs w:val="22"/>
              </w:rPr>
              <w:t>41.1</w:t>
            </w:r>
          </w:p>
        </w:tc>
      </w:tr>
      <w:tr w:rsidR="0073394B" w:rsidRPr="0073394B" w:rsidTr="00D74AD3">
        <w:trPr>
          <w:trHeight w:val="300"/>
        </w:trPr>
        <w:tc>
          <w:tcPr>
            <w:tcW w:w="2283" w:type="dxa"/>
            <w:tcBorders>
              <w:top w:val="nil"/>
              <w:left w:val="nil"/>
              <w:bottom w:val="nil"/>
              <w:right w:val="nil"/>
            </w:tcBorders>
            <w:shd w:val="clear" w:color="auto" w:fill="auto"/>
            <w:noWrap/>
            <w:vAlign w:val="center"/>
            <w:hideMark/>
          </w:tcPr>
          <w:p w:rsidR="0073394B" w:rsidRPr="0073394B" w:rsidRDefault="0073394B" w:rsidP="00D74AD3">
            <w:pPr>
              <w:pStyle w:val="Tabletext"/>
            </w:pPr>
            <w:r w:rsidRPr="0073394B">
              <w:t>Bangladesh</w:t>
            </w:r>
          </w:p>
        </w:tc>
        <w:tc>
          <w:tcPr>
            <w:tcW w:w="1555" w:type="dxa"/>
            <w:tcBorders>
              <w:top w:val="nil"/>
              <w:left w:val="nil"/>
              <w:bottom w:val="nil"/>
              <w:right w:val="nil"/>
            </w:tcBorders>
            <w:shd w:val="clear" w:color="auto" w:fill="auto"/>
            <w:noWrap/>
            <w:vAlign w:val="center"/>
            <w:hideMark/>
          </w:tcPr>
          <w:p w:rsidR="0073394B" w:rsidRPr="0073394B" w:rsidRDefault="0073394B" w:rsidP="00D74AD3">
            <w:pPr>
              <w:pStyle w:val="Tabletext"/>
              <w:tabs>
                <w:tab w:val="decimal" w:pos="680"/>
              </w:tabs>
            </w:pPr>
            <w:r w:rsidRPr="0073394B">
              <w:t>29.8</w:t>
            </w:r>
          </w:p>
        </w:tc>
        <w:tc>
          <w:tcPr>
            <w:tcW w:w="1556" w:type="dxa"/>
            <w:tcBorders>
              <w:top w:val="nil"/>
              <w:left w:val="nil"/>
              <w:bottom w:val="nil"/>
              <w:right w:val="nil"/>
            </w:tcBorders>
            <w:shd w:val="clear" w:color="auto" w:fill="auto"/>
            <w:noWrap/>
            <w:vAlign w:val="center"/>
            <w:hideMark/>
          </w:tcPr>
          <w:p w:rsidR="0073394B" w:rsidRPr="0073394B" w:rsidRDefault="0073394B" w:rsidP="00D74AD3">
            <w:pPr>
              <w:pStyle w:val="Tabletext"/>
              <w:tabs>
                <w:tab w:val="decimal" w:pos="680"/>
              </w:tabs>
            </w:pPr>
            <w:r w:rsidRPr="0073394B">
              <w:t>29.0</w:t>
            </w:r>
          </w:p>
        </w:tc>
        <w:tc>
          <w:tcPr>
            <w:tcW w:w="1555" w:type="dxa"/>
            <w:tcBorders>
              <w:top w:val="nil"/>
              <w:left w:val="nil"/>
              <w:bottom w:val="nil"/>
              <w:right w:val="nil"/>
            </w:tcBorders>
            <w:shd w:val="clear" w:color="auto" w:fill="auto"/>
            <w:noWrap/>
            <w:vAlign w:val="center"/>
            <w:hideMark/>
          </w:tcPr>
          <w:p w:rsidR="0073394B" w:rsidRPr="0073394B" w:rsidRDefault="0073394B" w:rsidP="00D74AD3">
            <w:pPr>
              <w:pStyle w:val="Tabletext"/>
              <w:tabs>
                <w:tab w:val="decimal" w:pos="680"/>
              </w:tabs>
            </w:pPr>
            <w:r w:rsidRPr="0073394B">
              <w:t>32.5</w:t>
            </w:r>
          </w:p>
        </w:tc>
        <w:tc>
          <w:tcPr>
            <w:tcW w:w="1556" w:type="dxa"/>
            <w:tcBorders>
              <w:top w:val="nil"/>
              <w:left w:val="nil"/>
              <w:bottom w:val="nil"/>
              <w:right w:val="nil"/>
            </w:tcBorders>
            <w:shd w:val="clear" w:color="auto" w:fill="auto"/>
            <w:noWrap/>
            <w:vAlign w:val="center"/>
            <w:hideMark/>
          </w:tcPr>
          <w:p w:rsidR="0073394B" w:rsidRPr="0073394B" w:rsidRDefault="0073394B" w:rsidP="00D74AD3">
            <w:pPr>
              <w:pStyle w:val="Tabletext"/>
              <w:tabs>
                <w:tab w:val="decimal" w:pos="680"/>
              </w:tabs>
            </w:pPr>
            <w:r w:rsidRPr="0073394B">
              <w:t>31.0</w:t>
            </w:r>
          </w:p>
        </w:tc>
      </w:tr>
      <w:tr w:rsidR="0073394B" w:rsidRPr="0073394B" w:rsidTr="00D74AD3">
        <w:trPr>
          <w:trHeight w:val="300"/>
        </w:trPr>
        <w:tc>
          <w:tcPr>
            <w:tcW w:w="2283" w:type="dxa"/>
            <w:tcBorders>
              <w:top w:val="nil"/>
              <w:left w:val="nil"/>
              <w:bottom w:val="nil"/>
              <w:right w:val="nil"/>
            </w:tcBorders>
            <w:shd w:val="clear" w:color="auto" w:fill="auto"/>
            <w:noWrap/>
            <w:vAlign w:val="center"/>
            <w:hideMark/>
          </w:tcPr>
          <w:p w:rsidR="0073394B" w:rsidRPr="0073394B" w:rsidRDefault="0073394B" w:rsidP="00D74AD3">
            <w:pPr>
              <w:pStyle w:val="Tabletext"/>
            </w:pPr>
            <w:r w:rsidRPr="0073394B">
              <w:t>Indonesia</w:t>
            </w:r>
          </w:p>
        </w:tc>
        <w:tc>
          <w:tcPr>
            <w:tcW w:w="1555" w:type="dxa"/>
            <w:tcBorders>
              <w:top w:val="nil"/>
              <w:left w:val="nil"/>
              <w:bottom w:val="nil"/>
              <w:right w:val="nil"/>
            </w:tcBorders>
            <w:shd w:val="clear" w:color="auto" w:fill="auto"/>
            <w:noWrap/>
            <w:vAlign w:val="center"/>
            <w:hideMark/>
          </w:tcPr>
          <w:p w:rsidR="0073394B" w:rsidRPr="0073394B" w:rsidRDefault="0073394B" w:rsidP="00D74AD3">
            <w:pPr>
              <w:pStyle w:val="Tabletext"/>
              <w:tabs>
                <w:tab w:val="decimal" w:pos="680"/>
              </w:tabs>
            </w:pPr>
            <w:r w:rsidRPr="0073394B">
              <w:t>31.2</w:t>
            </w:r>
          </w:p>
        </w:tc>
        <w:tc>
          <w:tcPr>
            <w:tcW w:w="1556" w:type="dxa"/>
            <w:tcBorders>
              <w:top w:val="nil"/>
              <w:left w:val="nil"/>
              <w:bottom w:val="nil"/>
              <w:right w:val="nil"/>
            </w:tcBorders>
            <w:shd w:val="clear" w:color="auto" w:fill="auto"/>
            <w:noWrap/>
            <w:vAlign w:val="center"/>
            <w:hideMark/>
          </w:tcPr>
          <w:p w:rsidR="0073394B" w:rsidRPr="0073394B" w:rsidRDefault="0073394B" w:rsidP="00D74AD3">
            <w:pPr>
              <w:pStyle w:val="Tabletext"/>
              <w:tabs>
                <w:tab w:val="decimal" w:pos="680"/>
              </w:tabs>
            </w:pPr>
            <w:r w:rsidRPr="0073394B">
              <w:t>28.5</w:t>
            </w:r>
          </w:p>
        </w:tc>
        <w:tc>
          <w:tcPr>
            <w:tcW w:w="1555" w:type="dxa"/>
            <w:tcBorders>
              <w:top w:val="nil"/>
              <w:left w:val="nil"/>
              <w:bottom w:val="nil"/>
              <w:right w:val="nil"/>
            </w:tcBorders>
            <w:shd w:val="clear" w:color="auto" w:fill="auto"/>
            <w:noWrap/>
            <w:vAlign w:val="center"/>
            <w:hideMark/>
          </w:tcPr>
          <w:p w:rsidR="0073394B" w:rsidRPr="0073394B" w:rsidRDefault="0073394B" w:rsidP="00D74AD3">
            <w:pPr>
              <w:pStyle w:val="Tabletext"/>
              <w:tabs>
                <w:tab w:val="decimal" w:pos="680"/>
              </w:tabs>
            </w:pPr>
            <w:r w:rsidRPr="0073394B">
              <w:t>34.1</w:t>
            </w:r>
          </w:p>
        </w:tc>
        <w:tc>
          <w:tcPr>
            <w:tcW w:w="1556" w:type="dxa"/>
            <w:tcBorders>
              <w:top w:val="nil"/>
              <w:left w:val="nil"/>
              <w:bottom w:val="nil"/>
              <w:right w:val="nil"/>
            </w:tcBorders>
            <w:shd w:val="clear" w:color="auto" w:fill="auto"/>
            <w:noWrap/>
            <w:vAlign w:val="center"/>
            <w:hideMark/>
          </w:tcPr>
          <w:p w:rsidR="0073394B" w:rsidRPr="0073394B" w:rsidRDefault="0073394B" w:rsidP="00D74AD3">
            <w:pPr>
              <w:pStyle w:val="Tabletext"/>
              <w:tabs>
                <w:tab w:val="decimal" w:pos="680"/>
              </w:tabs>
            </w:pPr>
            <w:r w:rsidRPr="0073394B">
              <w:t>31.6</w:t>
            </w:r>
          </w:p>
        </w:tc>
      </w:tr>
      <w:tr w:rsidR="0073394B" w:rsidRPr="0073394B" w:rsidTr="00D74AD3">
        <w:trPr>
          <w:trHeight w:val="300"/>
        </w:trPr>
        <w:tc>
          <w:tcPr>
            <w:tcW w:w="2283" w:type="dxa"/>
            <w:tcBorders>
              <w:top w:val="nil"/>
              <w:left w:val="nil"/>
              <w:bottom w:val="nil"/>
              <w:right w:val="nil"/>
            </w:tcBorders>
            <w:shd w:val="clear" w:color="auto" w:fill="auto"/>
            <w:noWrap/>
            <w:vAlign w:val="center"/>
            <w:hideMark/>
          </w:tcPr>
          <w:p w:rsidR="0073394B" w:rsidRPr="0073394B" w:rsidRDefault="0073394B" w:rsidP="00D74AD3">
            <w:pPr>
              <w:pStyle w:val="Tabletext"/>
            </w:pPr>
            <w:r w:rsidRPr="0073394B">
              <w:t>India</w:t>
            </w:r>
          </w:p>
        </w:tc>
        <w:tc>
          <w:tcPr>
            <w:tcW w:w="1555" w:type="dxa"/>
            <w:tcBorders>
              <w:top w:val="nil"/>
              <w:left w:val="nil"/>
              <w:bottom w:val="nil"/>
              <w:right w:val="nil"/>
            </w:tcBorders>
            <w:shd w:val="clear" w:color="auto" w:fill="auto"/>
            <w:noWrap/>
            <w:vAlign w:val="center"/>
            <w:hideMark/>
          </w:tcPr>
          <w:p w:rsidR="0073394B" w:rsidRPr="0073394B" w:rsidRDefault="0073394B" w:rsidP="00D74AD3">
            <w:pPr>
              <w:pStyle w:val="Tabletext"/>
              <w:tabs>
                <w:tab w:val="decimal" w:pos="680"/>
              </w:tabs>
            </w:pPr>
            <w:r w:rsidRPr="0073394B">
              <w:t>31.4</w:t>
            </w:r>
          </w:p>
        </w:tc>
        <w:tc>
          <w:tcPr>
            <w:tcW w:w="1556" w:type="dxa"/>
            <w:tcBorders>
              <w:top w:val="nil"/>
              <w:left w:val="nil"/>
              <w:bottom w:val="nil"/>
              <w:right w:val="nil"/>
            </w:tcBorders>
            <w:shd w:val="clear" w:color="auto" w:fill="auto"/>
            <w:noWrap/>
            <w:vAlign w:val="center"/>
            <w:hideMark/>
          </w:tcPr>
          <w:p w:rsidR="0073394B" w:rsidRPr="0073394B" w:rsidRDefault="0073394B" w:rsidP="00D74AD3">
            <w:pPr>
              <w:pStyle w:val="Tabletext"/>
              <w:tabs>
                <w:tab w:val="decimal" w:pos="680"/>
              </w:tabs>
            </w:pPr>
            <w:r w:rsidRPr="0073394B">
              <w:t>29.7</w:t>
            </w:r>
          </w:p>
        </w:tc>
        <w:tc>
          <w:tcPr>
            <w:tcW w:w="1555" w:type="dxa"/>
            <w:tcBorders>
              <w:top w:val="nil"/>
              <w:left w:val="nil"/>
              <w:bottom w:val="nil"/>
              <w:right w:val="nil"/>
            </w:tcBorders>
            <w:shd w:val="clear" w:color="auto" w:fill="auto"/>
            <w:noWrap/>
            <w:vAlign w:val="center"/>
            <w:hideMark/>
          </w:tcPr>
          <w:p w:rsidR="0073394B" w:rsidRPr="0073394B" w:rsidRDefault="0073394B" w:rsidP="00D74AD3">
            <w:pPr>
              <w:pStyle w:val="Tabletext"/>
              <w:tabs>
                <w:tab w:val="decimal" w:pos="680"/>
              </w:tabs>
            </w:pPr>
            <w:r w:rsidRPr="0073394B">
              <w:t>34.1</w:t>
            </w:r>
          </w:p>
        </w:tc>
        <w:tc>
          <w:tcPr>
            <w:tcW w:w="1556" w:type="dxa"/>
            <w:tcBorders>
              <w:top w:val="nil"/>
              <w:left w:val="nil"/>
              <w:bottom w:val="nil"/>
              <w:right w:val="nil"/>
            </w:tcBorders>
            <w:shd w:val="clear" w:color="auto" w:fill="auto"/>
            <w:noWrap/>
            <w:vAlign w:val="center"/>
            <w:hideMark/>
          </w:tcPr>
          <w:p w:rsidR="0073394B" w:rsidRPr="0073394B" w:rsidRDefault="0073394B" w:rsidP="00D74AD3">
            <w:pPr>
              <w:pStyle w:val="Tabletext"/>
              <w:tabs>
                <w:tab w:val="decimal" w:pos="680"/>
              </w:tabs>
            </w:pPr>
            <w:r w:rsidRPr="0073394B">
              <w:t>30.9</w:t>
            </w:r>
          </w:p>
        </w:tc>
      </w:tr>
      <w:tr w:rsidR="0073394B" w:rsidRPr="0073394B" w:rsidTr="00D74AD3">
        <w:trPr>
          <w:trHeight w:val="300"/>
        </w:trPr>
        <w:tc>
          <w:tcPr>
            <w:tcW w:w="2283" w:type="dxa"/>
            <w:tcBorders>
              <w:top w:val="nil"/>
              <w:left w:val="nil"/>
              <w:right w:val="nil"/>
            </w:tcBorders>
            <w:shd w:val="clear" w:color="auto" w:fill="auto"/>
            <w:noWrap/>
            <w:vAlign w:val="center"/>
            <w:hideMark/>
          </w:tcPr>
          <w:p w:rsidR="0073394B" w:rsidRPr="0073394B" w:rsidRDefault="0073394B" w:rsidP="00D74AD3">
            <w:pPr>
              <w:pStyle w:val="Tabletext"/>
            </w:pPr>
            <w:r w:rsidRPr="0073394B">
              <w:t xml:space="preserve">Iran </w:t>
            </w:r>
          </w:p>
        </w:tc>
        <w:tc>
          <w:tcPr>
            <w:tcW w:w="1555" w:type="dxa"/>
            <w:tcBorders>
              <w:top w:val="nil"/>
              <w:left w:val="nil"/>
              <w:right w:val="nil"/>
            </w:tcBorders>
            <w:shd w:val="clear" w:color="auto" w:fill="auto"/>
            <w:noWrap/>
            <w:vAlign w:val="center"/>
            <w:hideMark/>
          </w:tcPr>
          <w:p w:rsidR="0073394B" w:rsidRPr="0073394B" w:rsidRDefault="0073394B" w:rsidP="00D74AD3">
            <w:pPr>
              <w:pStyle w:val="Tabletext"/>
              <w:tabs>
                <w:tab w:val="decimal" w:pos="680"/>
              </w:tabs>
            </w:pPr>
            <w:r w:rsidRPr="0073394B">
              <w:t>33.1</w:t>
            </w:r>
          </w:p>
        </w:tc>
        <w:tc>
          <w:tcPr>
            <w:tcW w:w="1556" w:type="dxa"/>
            <w:tcBorders>
              <w:top w:val="nil"/>
              <w:left w:val="nil"/>
              <w:right w:val="nil"/>
            </w:tcBorders>
            <w:shd w:val="clear" w:color="auto" w:fill="auto"/>
            <w:noWrap/>
            <w:vAlign w:val="center"/>
            <w:hideMark/>
          </w:tcPr>
          <w:p w:rsidR="0073394B" w:rsidRPr="0073394B" w:rsidRDefault="0073394B" w:rsidP="00D74AD3">
            <w:pPr>
              <w:pStyle w:val="Tabletext"/>
              <w:tabs>
                <w:tab w:val="decimal" w:pos="680"/>
              </w:tabs>
            </w:pPr>
            <w:r w:rsidRPr="0073394B">
              <w:t>29.6</w:t>
            </w:r>
          </w:p>
        </w:tc>
        <w:tc>
          <w:tcPr>
            <w:tcW w:w="1555" w:type="dxa"/>
            <w:tcBorders>
              <w:top w:val="nil"/>
              <w:left w:val="nil"/>
              <w:right w:val="nil"/>
            </w:tcBorders>
            <w:shd w:val="clear" w:color="auto" w:fill="auto"/>
            <w:noWrap/>
            <w:vAlign w:val="center"/>
            <w:hideMark/>
          </w:tcPr>
          <w:p w:rsidR="0073394B" w:rsidRPr="0073394B" w:rsidRDefault="0073394B" w:rsidP="00D74AD3">
            <w:pPr>
              <w:pStyle w:val="Tabletext"/>
              <w:tabs>
                <w:tab w:val="decimal" w:pos="680"/>
              </w:tabs>
            </w:pPr>
            <w:r w:rsidRPr="0073394B">
              <w:t>37.9</w:t>
            </w:r>
          </w:p>
        </w:tc>
        <w:tc>
          <w:tcPr>
            <w:tcW w:w="1556" w:type="dxa"/>
            <w:tcBorders>
              <w:top w:val="nil"/>
              <w:left w:val="nil"/>
              <w:right w:val="nil"/>
            </w:tcBorders>
            <w:shd w:val="clear" w:color="auto" w:fill="auto"/>
            <w:noWrap/>
            <w:vAlign w:val="center"/>
            <w:hideMark/>
          </w:tcPr>
          <w:p w:rsidR="0073394B" w:rsidRPr="0073394B" w:rsidRDefault="0073394B" w:rsidP="00D74AD3">
            <w:pPr>
              <w:pStyle w:val="Tabletext"/>
              <w:tabs>
                <w:tab w:val="decimal" w:pos="680"/>
              </w:tabs>
            </w:pPr>
            <w:r w:rsidRPr="0073394B">
              <w:t>34.4</w:t>
            </w:r>
          </w:p>
        </w:tc>
      </w:tr>
      <w:tr w:rsidR="0073394B" w:rsidRPr="0073394B" w:rsidTr="00D74AD3">
        <w:trPr>
          <w:trHeight w:val="300"/>
        </w:trPr>
        <w:tc>
          <w:tcPr>
            <w:tcW w:w="2283" w:type="dxa"/>
            <w:tcBorders>
              <w:top w:val="nil"/>
              <w:left w:val="nil"/>
              <w:bottom w:val="single" w:sz="4" w:space="0" w:color="auto"/>
              <w:right w:val="nil"/>
            </w:tcBorders>
            <w:shd w:val="clear" w:color="auto" w:fill="auto"/>
            <w:noWrap/>
            <w:vAlign w:val="center"/>
            <w:hideMark/>
          </w:tcPr>
          <w:p w:rsidR="0073394B" w:rsidRPr="0073394B" w:rsidRDefault="0073394B" w:rsidP="00D74AD3">
            <w:pPr>
              <w:pStyle w:val="Tabletext"/>
              <w:spacing w:after="40"/>
            </w:pPr>
            <w:r w:rsidRPr="0073394B">
              <w:t>Philippines</w:t>
            </w:r>
          </w:p>
        </w:tc>
        <w:tc>
          <w:tcPr>
            <w:tcW w:w="1555" w:type="dxa"/>
            <w:tcBorders>
              <w:top w:val="nil"/>
              <w:left w:val="nil"/>
              <w:bottom w:val="single" w:sz="4" w:space="0" w:color="auto"/>
              <w:right w:val="nil"/>
            </w:tcBorders>
            <w:shd w:val="clear" w:color="auto" w:fill="auto"/>
            <w:noWrap/>
            <w:vAlign w:val="center"/>
            <w:hideMark/>
          </w:tcPr>
          <w:p w:rsidR="0073394B" w:rsidRPr="0073394B" w:rsidRDefault="0073394B" w:rsidP="00D74AD3">
            <w:pPr>
              <w:pStyle w:val="Tabletext"/>
              <w:tabs>
                <w:tab w:val="decimal" w:pos="680"/>
              </w:tabs>
              <w:spacing w:after="40"/>
            </w:pPr>
            <w:r w:rsidRPr="0073394B">
              <w:t>34.8</w:t>
            </w:r>
          </w:p>
        </w:tc>
        <w:tc>
          <w:tcPr>
            <w:tcW w:w="1556" w:type="dxa"/>
            <w:tcBorders>
              <w:top w:val="nil"/>
              <w:left w:val="nil"/>
              <w:bottom w:val="single" w:sz="4" w:space="0" w:color="auto"/>
              <w:right w:val="nil"/>
            </w:tcBorders>
            <w:shd w:val="clear" w:color="auto" w:fill="auto"/>
            <w:noWrap/>
            <w:vAlign w:val="center"/>
            <w:hideMark/>
          </w:tcPr>
          <w:p w:rsidR="0073394B" w:rsidRPr="0073394B" w:rsidRDefault="0073394B" w:rsidP="00D74AD3">
            <w:pPr>
              <w:pStyle w:val="Tabletext"/>
              <w:tabs>
                <w:tab w:val="decimal" w:pos="680"/>
              </w:tabs>
              <w:spacing w:after="40"/>
            </w:pPr>
            <w:r w:rsidRPr="0073394B">
              <w:t>31.1</w:t>
            </w:r>
          </w:p>
        </w:tc>
        <w:tc>
          <w:tcPr>
            <w:tcW w:w="1555" w:type="dxa"/>
            <w:tcBorders>
              <w:top w:val="nil"/>
              <w:left w:val="nil"/>
              <w:bottom w:val="single" w:sz="4" w:space="0" w:color="auto"/>
              <w:right w:val="nil"/>
            </w:tcBorders>
            <w:shd w:val="clear" w:color="auto" w:fill="auto"/>
            <w:noWrap/>
            <w:vAlign w:val="center"/>
            <w:hideMark/>
          </w:tcPr>
          <w:p w:rsidR="0073394B" w:rsidRPr="0073394B" w:rsidRDefault="0073394B" w:rsidP="00D74AD3">
            <w:pPr>
              <w:pStyle w:val="Tabletext"/>
              <w:tabs>
                <w:tab w:val="decimal" w:pos="680"/>
              </w:tabs>
              <w:spacing w:after="40"/>
            </w:pPr>
            <w:r w:rsidRPr="0073394B">
              <w:t>37.5</w:t>
            </w:r>
          </w:p>
        </w:tc>
        <w:tc>
          <w:tcPr>
            <w:tcW w:w="1556" w:type="dxa"/>
            <w:tcBorders>
              <w:top w:val="nil"/>
              <w:left w:val="nil"/>
              <w:bottom w:val="single" w:sz="4" w:space="0" w:color="auto"/>
              <w:right w:val="nil"/>
            </w:tcBorders>
            <w:shd w:val="clear" w:color="auto" w:fill="auto"/>
            <w:noWrap/>
            <w:vAlign w:val="center"/>
            <w:hideMark/>
          </w:tcPr>
          <w:p w:rsidR="0073394B" w:rsidRPr="0073394B" w:rsidRDefault="0073394B" w:rsidP="00D74AD3">
            <w:pPr>
              <w:pStyle w:val="Tabletext"/>
              <w:tabs>
                <w:tab w:val="decimal" w:pos="680"/>
              </w:tabs>
              <w:spacing w:after="40"/>
            </w:pPr>
            <w:r w:rsidRPr="0073394B">
              <w:t>32.4</w:t>
            </w:r>
          </w:p>
        </w:tc>
      </w:tr>
    </w:tbl>
    <w:p w:rsidR="00075035" w:rsidRPr="00813C5D" w:rsidRDefault="00CB3943" w:rsidP="00D74AD3">
      <w:pPr>
        <w:pStyle w:val="Source"/>
      </w:pPr>
      <w:r>
        <w:t>Source:</w:t>
      </w:r>
      <w:r w:rsidR="00D74AD3">
        <w:tab/>
      </w:r>
      <w:r w:rsidR="00075035">
        <w:t>Wo</w:t>
      </w:r>
      <w:r w:rsidR="00A1125C">
        <w:t>rld Health Organisation (2010), ll</w:t>
      </w:r>
      <w:r w:rsidR="00075035">
        <w:t xml:space="preserve">fe tables for WHO </w:t>
      </w:r>
      <w:r w:rsidR="00A1125C">
        <w:t xml:space="preserve">member states, 1990, 2000, 2010, </w:t>
      </w:r>
      <w:r w:rsidR="00075035">
        <w:t xml:space="preserve">by country and region </w:t>
      </w:r>
      <w:r w:rsidR="00A1125C">
        <w:t>&lt;</w:t>
      </w:r>
      <w:hyperlink r:id="rId23" w:history="1">
        <w:r w:rsidR="00075035" w:rsidRPr="00813C5D">
          <w:t>http://www.who.int/healthinfo/statistics/mortality_life_tables/en/</w:t>
        </w:r>
      </w:hyperlink>
      <w:r w:rsidR="00A1125C">
        <w:t>&gt;.</w:t>
      </w:r>
    </w:p>
    <w:p w:rsidR="00C25CF1" w:rsidRDefault="0073394B" w:rsidP="00D74AD3">
      <w:pPr>
        <w:pStyle w:val="text-moreb4"/>
      </w:pPr>
      <w:r>
        <w:t xml:space="preserve">We see that even in poor countries such as Bangladesh </w:t>
      </w:r>
      <w:r w:rsidR="00A1125C">
        <w:t xml:space="preserve">the </w:t>
      </w:r>
      <w:r>
        <w:t xml:space="preserve">life </w:t>
      </w:r>
      <w:r w:rsidR="00550FAD">
        <w:t>expectancy</w:t>
      </w:r>
      <w:r>
        <w:t xml:space="preserve"> of </w:t>
      </w:r>
      <w:r w:rsidR="001032D6">
        <w:t xml:space="preserve">a </w:t>
      </w:r>
      <w:r w:rsidR="00A1125C">
        <w:t>40-year-</w:t>
      </w:r>
      <w:r w:rsidR="00CB3943">
        <w:t xml:space="preserve">old </w:t>
      </w:r>
      <w:r w:rsidR="00550FAD">
        <w:t>is</w:t>
      </w:r>
      <w:r w:rsidR="00CB3943">
        <w:t xml:space="preserve"> around 30 years, and this has increased by around two years between 1990 and 2008. I would expect these increases to continue, noting that life expectancies are significantly higher in developed countries. The point is that investments in education and training during middle age have the potential to pay off, on the assumption that people continue to work into their 60s. Whether individuals will </w:t>
      </w:r>
      <w:r w:rsidR="001F21D9">
        <w:t xml:space="preserve">do so </w:t>
      </w:r>
      <w:r w:rsidR="00CB3943">
        <w:t xml:space="preserve">is </w:t>
      </w:r>
      <w:r w:rsidR="00550FAD">
        <w:t>another</w:t>
      </w:r>
      <w:r w:rsidR="00A1125C">
        <w:t xml:space="preserve"> matter </w:t>
      </w:r>
      <w:r w:rsidR="00CB3943">
        <w:t>and will depend on all sorts of things such as health, availability of suitable work</w:t>
      </w:r>
      <w:r w:rsidR="001F21D9">
        <w:t>,</w:t>
      </w:r>
      <w:r w:rsidR="00CB3943">
        <w:t xml:space="preserve"> and alternative sources of income. </w:t>
      </w:r>
    </w:p>
    <w:p w:rsidR="00C25CF1" w:rsidRDefault="00C25CF1">
      <w:pPr>
        <w:pStyle w:val="Text"/>
      </w:pPr>
    </w:p>
    <w:p w:rsidR="00CC57E4" w:rsidRDefault="00CC57E4">
      <w:pPr>
        <w:spacing w:before="0"/>
        <w:rPr>
          <w:kern w:val="28"/>
          <w:sz w:val="60"/>
        </w:rPr>
      </w:pPr>
      <w:r>
        <w:br w:type="page"/>
      </w:r>
    </w:p>
    <w:p w:rsidR="00C25CF1" w:rsidRDefault="00176437" w:rsidP="0052040C">
      <w:pPr>
        <w:pStyle w:val="Heading1"/>
      </w:pPr>
      <w:r>
        <w:lastRenderedPageBreak/>
        <w:br/>
      </w:r>
      <w:r>
        <w:br/>
      </w:r>
      <w:bookmarkStart w:id="35" w:name="_Toc289164602"/>
      <w:r w:rsidR="00CC57E4">
        <w:t>The</w:t>
      </w:r>
      <w:r w:rsidR="000837BA">
        <w:t xml:space="preserve"> </w:t>
      </w:r>
      <w:r w:rsidR="00CC57E4">
        <w:t>ex</w:t>
      </w:r>
      <w:r w:rsidR="0052040C">
        <w:t>port of labour services</w:t>
      </w:r>
      <w:bookmarkEnd w:id="35"/>
    </w:p>
    <w:p w:rsidR="00C25CF1" w:rsidRDefault="0052040C" w:rsidP="00A14272">
      <w:pPr>
        <w:pStyle w:val="text0"/>
        <w:spacing w:before="440"/>
      </w:pPr>
      <w:r>
        <w:t xml:space="preserve">The </w:t>
      </w:r>
      <w:r w:rsidR="00550FAD">
        <w:t>argument</w:t>
      </w:r>
      <w:r>
        <w:t xml:space="preserve"> here is that the ageing of the populations of developed countries provides a gol</w:t>
      </w:r>
      <w:r w:rsidR="000837BA">
        <w:t xml:space="preserve">den opportunity for developing </w:t>
      </w:r>
      <w:r>
        <w:t xml:space="preserve">countries to </w:t>
      </w:r>
      <w:r w:rsidR="00550FAD">
        <w:t>export</w:t>
      </w:r>
      <w:r>
        <w:t xml:space="preserve"> labour services. Sectors currently important in this regard are construction, health and community services and personal services. This export of labour is already very important for a number of countries, and my expectation is that this will continue.</w:t>
      </w:r>
    </w:p>
    <w:p w:rsidR="000837BA" w:rsidRDefault="000837BA" w:rsidP="00A14272">
      <w:pPr>
        <w:pStyle w:val="text0"/>
      </w:pPr>
      <w:proofErr w:type="gramStart"/>
      <w:r>
        <w:t>Graeme Hugo (2007) notes that in 2005 there were around 14 mil</w:t>
      </w:r>
      <w:r w:rsidR="0057574C">
        <w:t>lion migrant workers from South-</w:t>
      </w:r>
      <w:r>
        <w:t xml:space="preserve">East Asia, 17 million from South Asia and </w:t>
      </w:r>
      <w:r w:rsidR="00A1125C">
        <w:t>two</w:t>
      </w:r>
      <w:r w:rsidR="0057574C">
        <w:t xml:space="preserve"> million from North-</w:t>
      </w:r>
      <w:r>
        <w:t xml:space="preserve">East </w:t>
      </w:r>
      <w:r w:rsidRPr="00D37DDC">
        <w:t>Asia</w:t>
      </w:r>
      <w:r w:rsidR="00A1125C" w:rsidRPr="00D37DDC">
        <w:t xml:space="preserve"> working in various countries around the world</w:t>
      </w:r>
      <w:r w:rsidRPr="00D37DDC">
        <w:t>.</w:t>
      </w:r>
      <w:proofErr w:type="gramEnd"/>
      <w:r>
        <w:t xml:space="preserve"> The remittances from these workers are very substantial.</w:t>
      </w:r>
    </w:p>
    <w:p w:rsidR="00030C79" w:rsidRDefault="00A14272" w:rsidP="00A14272">
      <w:pPr>
        <w:pStyle w:val="Figuretitle"/>
      </w:pPr>
      <w:r>
        <w:rPr>
          <w:noProof/>
          <w:lang w:eastAsia="en-AU"/>
        </w:rPr>
        <w:drawing>
          <wp:anchor distT="0" distB="0" distL="114300" distR="114300" simplePos="0" relativeHeight="251688448" behindDoc="0" locked="0" layoutInCell="1" allowOverlap="1">
            <wp:simplePos x="0" y="0"/>
            <wp:positionH relativeFrom="column">
              <wp:posOffset>-52705</wp:posOffset>
            </wp:positionH>
            <wp:positionV relativeFrom="paragraph">
              <wp:posOffset>489585</wp:posOffset>
            </wp:positionV>
            <wp:extent cx="5269865" cy="2800350"/>
            <wp:effectExtent l="19050" t="0" r="6985" b="0"/>
            <wp:wrapTopAndBottom/>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269865" cy="2800350"/>
                    </a:xfrm>
                    <a:prstGeom prst="rect">
                      <a:avLst/>
                    </a:prstGeom>
                    <a:noFill/>
                    <a:ln w="9525">
                      <a:noFill/>
                      <a:miter lim="800000"/>
                      <a:headEnd/>
                      <a:tailEnd/>
                    </a:ln>
                  </pic:spPr>
                </pic:pic>
              </a:graphicData>
            </a:graphic>
          </wp:anchor>
        </w:drawing>
      </w:r>
      <w:bookmarkStart w:id="36" w:name="_Toc289164675"/>
      <w:r w:rsidR="0052040C">
        <w:t>Figure</w:t>
      </w:r>
      <w:r w:rsidR="000837BA">
        <w:t xml:space="preserve"> 6</w:t>
      </w:r>
      <w:r w:rsidR="00030C79">
        <w:tab/>
      </w:r>
      <w:r w:rsidR="00A1125C">
        <w:t>Asia: remittances in $US and as a share of GDP by c</w:t>
      </w:r>
      <w:r w:rsidR="00030C79" w:rsidRPr="00FD1559">
        <w:t>ountry, 2004</w:t>
      </w:r>
      <w:bookmarkEnd w:id="36"/>
      <w:r w:rsidR="00030C79">
        <w:rPr>
          <w:b w:val="0"/>
          <w:bCs/>
          <w:sz w:val="48"/>
          <w:szCs w:val="48"/>
        </w:rPr>
        <w:t xml:space="preserve"> </w:t>
      </w:r>
    </w:p>
    <w:p w:rsidR="00030C79" w:rsidRPr="00FD1559" w:rsidRDefault="0052040C" w:rsidP="00A14272">
      <w:pPr>
        <w:pStyle w:val="Source"/>
        <w:spacing w:before="160"/>
      </w:pPr>
      <w:r>
        <w:t>Source:</w:t>
      </w:r>
      <w:r w:rsidR="00030C79">
        <w:tab/>
      </w:r>
      <w:r>
        <w:t xml:space="preserve"> </w:t>
      </w:r>
      <w:r w:rsidR="000837BA">
        <w:t>Hugo (2007)</w:t>
      </w:r>
      <w:r w:rsidR="00A1125C">
        <w:t>.</w:t>
      </w:r>
    </w:p>
    <w:p w:rsidR="00C25CF1" w:rsidRDefault="001F387E" w:rsidP="00A14272">
      <w:pPr>
        <w:pStyle w:val="text-moreb4"/>
      </w:pPr>
      <w:r>
        <w:t xml:space="preserve">The remittances of people </w:t>
      </w:r>
      <w:r w:rsidR="00A1125C">
        <w:t>working over</w:t>
      </w:r>
      <w:r>
        <w:t xml:space="preserve">seas on a temporary basis are </w:t>
      </w:r>
      <w:r w:rsidR="000837BA">
        <w:t>very significant as a proportion of GDP for Nepal, Philippines, Sri Lanka, Vietnam and Bangladesh (all greater than 5% of GDP).</w:t>
      </w:r>
      <w:r>
        <w:t xml:space="preserve"> Countries </w:t>
      </w:r>
      <w:r w:rsidR="000837BA">
        <w:t>which</w:t>
      </w:r>
      <w:r>
        <w:t xml:space="preserve"> see this as an opportunity will need to position their education and training </w:t>
      </w:r>
      <w:r w:rsidR="00550FAD">
        <w:t>systems</w:t>
      </w:r>
      <w:r>
        <w:t xml:space="preserve"> to train people for occupations that are in demand overseas.</w:t>
      </w:r>
    </w:p>
    <w:p w:rsidR="00C25CF1" w:rsidRDefault="00C25CF1">
      <w:pPr>
        <w:pStyle w:val="Text"/>
      </w:pPr>
    </w:p>
    <w:p w:rsidR="00C25CF1" w:rsidRDefault="00C25CF1">
      <w:pPr>
        <w:pStyle w:val="Text"/>
      </w:pPr>
    </w:p>
    <w:p w:rsidR="00CC3857" w:rsidRDefault="00CC3857">
      <w:pPr>
        <w:spacing w:before="0"/>
      </w:pPr>
      <w:r>
        <w:br w:type="page"/>
      </w:r>
    </w:p>
    <w:p w:rsidR="00C25CF1" w:rsidRDefault="00176437" w:rsidP="00CC3857">
      <w:pPr>
        <w:pStyle w:val="Heading1"/>
      </w:pPr>
      <w:r>
        <w:lastRenderedPageBreak/>
        <w:br/>
      </w:r>
      <w:r>
        <w:br/>
      </w:r>
      <w:bookmarkStart w:id="37" w:name="_Toc289164603"/>
      <w:r w:rsidR="00CC3857">
        <w:t>Final comments</w:t>
      </w:r>
      <w:bookmarkEnd w:id="37"/>
    </w:p>
    <w:p w:rsidR="00CC3857" w:rsidRDefault="00CC3857" w:rsidP="00A14272">
      <w:pPr>
        <w:pStyle w:val="text0"/>
        <w:spacing w:before="440"/>
      </w:pPr>
      <w:r>
        <w:t>The purpose of this paper is to act as a discussion starter</w:t>
      </w:r>
      <w:r w:rsidR="00561839">
        <w:t>.</w:t>
      </w:r>
      <w:bookmarkStart w:id="38" w:name="_Toc456000800"/>
      <w:bookmarkStart w:id="39" w:name="_Toc457122465"/>
      <w:r>
        <w:t xml:space="preserve"> The links between lifelong learning and demographic change are by no means </w:t>
      </w:r>
      <w:r w:rsidR="00550FAD">
        <w:t>obvious</w:t>
      </w:r>
      <w:r>
        <w:t>. I have put forward for consideration four possible implications which go further than ‘people are living longer and therefore we need to provide lifelong learning for the elderly’. My interest is in the basic economic questions relating</w:t>
      </w:r>
      <w:r w:rsidR="00A1125C">
        <w:t xml:space="preserve"> to</w:t>
      </w:r>
      <w:r>
        <w:t xml:space="preserve"> labour markets and standards of living, and thus my focus has been economic rather than social. </w:t>
      </w:r>
    </w:p>
    <w:p w:rsidR="00CC3857" w:rsidRDefault="00A1125C" w:rsidP="00A14272">
      <w:pPr>
        <w:pStyle w:val="text0"/>
      </w:pPr>
      <w:r>
        <w:t>In proposing these</w:t>
      </w:r>
      <w:r w:rsidR="00CC3857">
        <w:t xml:space="preserve"> four areas I don’t pretend that I</w:t>
      </w:r>
      <w:r>
        <w:t xml:space="preserve"> have provided a comprehensive </w:t>
      </w:r>
      <w:r w:rsidR="00CC3857">
        <w:t xml:space="preserve">or balanced discussion. </w:t>
      </w:r>
      <w:r w:rsidR="00550FAD">
        <w:t>Inevitably</w:t>
      </w:r>
      <w:r w:rsidR="00CC3857">
        <w:t xml:space="preserve">, I have drawn on Australian data and literature and some data </w:t>
      </w:r>
      <w:r w:rsidR="00550FAD">
        <w:t>available</w:t>
      </w:r>
      <w:r w:rsidR="00CC3857">
        <w:t xml:space="preserve"> from </w:t>
      </w:r>
      <w:r w:rsidR="00550FAD">
        <w:t>international</w:t>
      </w:r>
      <w:r>
        <w:t xml:space="preserve"> data</w:t>
      </w:r>
      <w:r w:rsidR="00CC3857">
        <w:t xml:space="preserve">bases because </w:t>
      </w:r>
      <w:r>
        <w:t>these are</w:t>
      </w:r>
      <w:r w:rsidR="00CC3857">
        <w:t xml:space="preserve"> what </w:t>
      </w:r>
      <w:r>
        <w:t>are</w:t>
      </w:r>
      <w:r w:rsidR="00CC3857">
        <w:t xml:space="preserve"> readily to hand. </w:t>
      </w:r>
      <w:r w:rsidR="00550FAD">
        <w:t>However</w:t>
      </w:r>
      <w:r w:rsidR="00CC3857">
        <w:t xml:space="preserve">, the data </w:t>
      </w:r>
      <w:r w:rsidR="000837BA">
        <w:t>are</w:t>
      </w:r>
      <w:r w:rsidR="00CC3857">
        <w:t xml:space="preserve"> intended to illustrate the various points rather than to be definitive.</w:t>
      </w:r>
    </w:p>
    <w:p w:rsidR="00990DA1" w:rsidRDefault="000837BA" w:rsidP="00A14272">
      <w:pPr>
        <w:pStyle w:val="text0"/>
      </w:pPr>
      <w:r>
        <w:t>To summarise, my contention is that:</w:t>
      </w:r>
    </w:p>
    <w:p w:rsidR="00990DA1" w:rsidRDefault="00A1125C" w:rsidP="00990DA1">
      <w:pPr>
        <w:pStyle w:val="Dotpoint1"/>
      </w:pPr>
      <w:r>
        <w:t>A</w:t>
      </w:r>
      <w:r w:rsidR="00990DA1">
        <w:t>n ageing population will mean that, if we are to maintain increases in living standards, we need to improve labour force participation and productivity, and edu</w:t>
      </w:r>
      <w:r w:rsidR="000837BA">
        <w:t>cation is a key driver of this</w:t>
      </w:r>
      <w:r>
        <w:t>.</w:t>
      </w:r>
    </w:p>
    <w:p w:rsidR="00990DA1" w:rsidRDefault="00A1125C" w:rsidP="00990DA1">
      <w:pPr>
        <w:pStyle w:val="Dotpoint1"/>
      </w:pPr>
      <w:r>
        <w:t>T</w:t>
      </w:r>
      <w:r w:rsidR="00990DA1">
        <w:t xml:space="preserve">he ageing population will provide a ‘demographic dividend’ because there will be fewer young people who need to be schooled (relative to the working population). </w:t>
      </w:r>
    </w:p>
    <w:p w:rsidR="00990DA1" w:rsidRDefault="00A1125C" w:rsidP="00990DA1">
      <w:pPr>
        <w:pStyle w:val="Dotpoint1"/>
      </w:pPr>
      <w:r>
        <w:t>I</w:t>
      </w:r>
      <w:r w:rsidR="00990DA1">
        <w:t xml:space="preserve">ncreasing life expectancy changes the arithmetic of the return </w:t>
      </w:r>
      <w:r>
        <w:t>from</w:t>
      </w:r>
      <w:r w:rsidR="000837BA">
        <w:t xml:space="preserve"> investments in human capital and makes it more attractive to invest in the educa</w:t>
      </w:r>
      <w:r>
        <w:t>tion and training of the middle-</w:t>
      </w:r>
      <w:r w:rsidR="000837BA">
        <w:t>aged.</w:t>
      </w:r>
      <w:r w:rsidR="00990DA1">
        <w:t xml:space="preserve"> </w:t>
      </w:r>
    </w:p>
    <w:p w:rsidR="00561839" w:rsidRDefault="00A1125C" w:rsidP="00990DA1">
      <w:pPr>
        <w:pStyle w:val="Dotpoint1"/>
      </w:pPr>
      <w:r>
        <w:t xml:space="preserve">The </w:t>
      </w:r>
      <w:r w:rsidR="00990DA1">
        <w:t>ageing of populations in developed countries provides a golden opportunity for developing countries through the export of labour services</w:t>
      </w:r>
      <w:r>
        <w:t>.</w:t>
      </w:r>
    </w:p>
    <w:p w:rsidR="00990DA1" w:rsidRDefault="000837BA" w:rsidP="00A14272">
      <w:pPr>
        <w:pStyle w:val="text0"/>
      </w:pPr>
      <w:r>
        <w:t xml:space="preserve">I trust this is helpful in </w:t>
      </w:r>
      <w:r w:rsidR="00CA2733">
        <w:t>starting a discussion on</w:t>
      </w:r>
      <w:r w:rsidR="00990DA1">
        <w:t xml:space="preserve"> what chan</w:t>
      </w:r>
      <w:r w:rsidR="00A1125C">
        <w:t>ging demographics mean for life</w:t>
      </w:r>
      <w:r w:rsidR="00990DA1">
        <w:t>long learning</w:t>
      </w:r>
      <w:r>
        <w:t xml:space="preserve"> in </w:t>
      </w:r>
      <w:r w:rsidR="001F21D9">
        <w:t>delegates’</w:t>
      </w:r>
      <w:r>
        <w:t xml:space="preserve"> countries</w:t>
      </w:r>
      <w:r w:rsidR="00990DA1">
        <w:t>.</w:t>
      </w:r>
    </w:p>
    <w:bookmarkEnd w:id="38"/>
    <w:bookmarkEnd w:id="39"/>
    <w:p w:rsidR="00561839" w:rsidRDefault="00561839">
      <w:pPr>
        <w:spacing w:before="0"/>
      </w:pPr>
      <w:r>
        <w:br w:type="page"/>
      </w:r>
    </w:p>
    <w:p w:rsidR="00561839" w:rsidRDefault="00176437" w:rsidP="00A14272">
      <w:pPr>
        <w:pStyle w:val="Heading1"/>
      </w:pPr>
      <w:r>
        <w:lastRenderedPageBreak/>
        <w:br/>
      </w:r>
      <w:r>
        <w:br/>
      </w:r>
      <w:bookmarkStart w:id="40" w:name="_Toc289164604"/>
      <w:r w:rsidR="00561839" w:rsidRPr="00A14272">
        <w:t>References</w:t>
      </w:r>
      <w:bookmarkEnd w:id="40"/>
    </w:p>
    <w:p w:rsidR="00813C5D" w:rsidRDefault="00B74272" w:rsidP="00D37DDC">
      <w:pPr>
        <w:pStyle w:val="References"/>
        <w:spacing w:before="440"/>
      </w:pPr>
      <w:r>
        <w:t>Hugo, G 2007,</w:t>
      </w:r>
      <w:r w:rsidR="00C1174D">
        <w:t xml:space="preserve"> </w:t>
      </w:r>
      <w:r w:rsidR="0057574C">
        <w:t>‘</w:t>
      </w:r>
      <w:r w:rsidR="00C1174D" w:rsidRPr="0057574C">
        <w:t>Demographic change in East and South East Asia and the implications for the future</w:t>
      </w:r>
      <w:r w:rsidR="0057574C">
        <w:t>’</w:t>
      </w:r>
      <w:r w:rsidR="00C1174D" w:rsidRPr="0057574C">
        <w:t>,</w:t>
      </w:r>
      <w:r w:rsidR="00C1174D">
        <w:t xml:space="preserve"> presentation to the 17</w:t>
      </w:r>
      <w:r w:rsidR="00C1174D" w:rsidRPr="00A14272">
        <w:t>th</w:t>
      </w:r>
      <w:r w:rsidR="00C1174D">
        <w:t xml:space="preserve"> general meeting of the Pacifica Economic Cooperation C</w:t>
      </w:r>
      <w:r w:rsidR="00813C5D">
        <w:t>ouncil, Sydney</w:t>
      </w:r>
      <w:r>
        <w:t xml:space="preserve">, viewed 10 March 2011, </w:t>
      </w:r>
      <w:r w:rsidRPr="00A14272">
        <w:t>&lt;</w:t>
      </w:r>
      <w:hyperlink r:id="rId25" w:history="1">
        <w:r w:rsidR="00813C5D" w:rsidRPr="00A14272">
          <w:rPr>
            <w:rStyle w:val="Hyperlink"/>
            <w:u w:val="none"/>
          </w:rPr>
          <w:t>http://www.pecc.org/resources/doc_view/820-demographic-change-in-east-and-southeast-asia-and-the-implications-for-the-future</w:t>
        </w:r>
      </w:hyperlink>
      <w:r>
        <w:t>&gt;.</w:t>
      </w:r>
    </w:p>
    <w:p w:rsidR="00C1174D" w:rsidRDefault="00B74272" w:rsidP="00813C5D">
      <w:pPr>
        <w:pStyle w:val="References"/>
      </w:pPr>
      <w:r>
        <w:t>Karmel, T &amp; Woods, D 2004</w:t>
      </w:r>
      <w:r w:rsidR="00C1174D">
        <w:t xml:space="preserve">, </w:t>
      </w:r>
      <w:r w:rsidR="00C1174D" w:rsidRPr="00C1174D">
        <w:rPr>
          <w:i/>
        </w:rPr>
        <w:t>Lifelong learning and older workers</w:t>
      </w:r>
      <w:r w:rsidR="00C1174D">
        <w:t>, NCVER, Adelaide</w:t>
      </w:r>
      <w:r>
        <w:t>.</w:t>
      </w:r>
    </w:p>
    <w:p w:rsidR="00B74272" w:rsidRDefault="00B74272" w:rsidP="00B74272">
      <w:pPr>
        <w:pStyle w:val="References"/>
      </w:pPr>
      <w:r>
        <w:t>Karmel, T &amp; Maclean, R 2007,</w:t>
      </w:r>
      <w:r w:rsidR="00C1174D">
        <w:t xml:space="preserve"> </w:t>
      </w:r>
      <w:r>
        <w:t>‘</w:t>
      </w:r>
      <w:r w:rsidR="00C1174D" w:rsidRPr="00C1174D">
        <w:t>Technical and vocational education and training in an ageing society</w:t>
      </w:r>
      <w:r>
        <w:t>’,</w:t>
      </w:r>
      <w:r w:rsidR="00C1174D" w:rsidRPr="00C1174D">
        <w:t xml:space="preserve"> </w:t>
      </w:r>
      <w:r w:rsidRPr="00B74272">
        <w:rPr>
          <w:i/>
        </w:rPr>
        <w:t>Technical and vocational education and training in an ageing society,</w:t>
      </w:r>
      <w:r w:rsidRPr="00C1174D">
        <w:t xml:space="preserve"> experts meeting proceedings</w:t>
      </w:r>
      <w:r>
        <w:t>, eds T Karmel &amp; R</w:t>
      </w:r>
      <w:r w:rsidR="00A14272">
        <w:t> </w:t>
      </w:r>
      <w:r>
        <w:t>Maclean, NCVER, Adelaide.</w:t>
      </w:r>
    </w:p>
    <w:p w:rsidR="00B74272" w:rsidRDefault="00B74272" w:rsidP="00B74272">
      <w:pPr>
        <w:pStyle w:val="References"/>
      </w:pPr>
      <w:r>
        <w:t>Maclean,</w:t>
      </w:r>
      <w:r w:rsidR="00C1174D">
        <w:t xml:space="preserve"> R </w:t>
      </w:r>
      <w:r>
        <w:t>&amp; Pavlova, M 2007</w:t>
      </w:r>
      <w:r w:rsidR="00C1174D">
        <w:t xml:space="preserve">, </w:t>
      </w:r>
      <w:r>
        <w:t>‘</w:t>
      </w:r>
      <w:r w:rsidR="00C1174D" w:rsidRPr="00C1174D">
        <w:t>Re-skilling for all? The changing role of TVET in ageing societies of developing countries</w:t>
      </w:r>
      <w:r>
        <w:t>’</w:t>
      </w:r>
      <w:r w:rsidR="00C1174D">
        <w:t xml:space="preserve">, </w:t>
      </w:r>
      <w:r w:rsidRPr="00B74272">
        <w:rPr>
          <w:i/>
        </w:rPr>
        <w:t>Technical and vocational education and training in an ageing society,</w:t>
      </w:r>
      <w:r w:rsidRPr="00C1174D">
        <w:t xml:space="preserve"> experts meeting proceedings</w:t>
      </w:r>
      <w:r>
        <w:t>, eds T Karmel &amp; R Maclean, NCVER, Adelaide.</w:t>
      </w:r>
    </w:p>
    <w:p w:rsidR="00B74272" w:rsidRDefault="00B74272" w:rsidP="00B74272">
      <w:pPr>
        <w:pStyle w:val="References"/>
      </w:pPr>
      <w:r>
        <w:t>Rajput, JS 2007</w:t>
      </w:r>
      <w:r w:rsidR="00C1174D">
        <w:t xml:space="preserve">, </w:t>
      </w:r>
      <w:r w:rsidR="00A14272">
        <w:t>‘</w:t>
      </w:r>
      <w:r w:rsidR="00C1174D" w:rsidRPr="00C1174D">
        <w:t>The changing context of TVET for the workforce in India</w:t>
      </w:r>
      <w:r w:rsidR="00A14272">
        <w:t>’</w:t>
      </w:r>
      <w:r w:rsidR="00C1174D">
        <w:t xml:space="preserve">, </w:t>
      </w:r>
      <w:r w:rsidRPr="00B74272">
        <w:rPr>
          <w:i/>
        </w:rPr>
        <w:t>Technical and vocational education and training in an ageing society,</w:t>
      </w:r>
      <w:r w:rsidRPr="00C1174D">
        <w:t xml:space="preserve"> experts</w:t>
      </w:r>
      <w:r w:rsidR="0057574C">
        <w:t>’</w:t>
      </w:r>
      <w:r w:rsidRPr="00C1174D">
        <w:t xml:space="preserve"> meeting proceedings</w:t>
      </w:r>
      <w:r>
        <w:t>, eds T Karmel &amp; R Maclean, NCVER, Adelaide.</w:t>
      </w:r>
    </w:p>
    <w:p w:rsidR="00EB3DD7" w:rsidRPr="00296736" w:rsidRDefault="00EB3DD7" w:rsidP="00B74272">
      <w:pPr>
        <w:pStyle w:val="References"/>
      </w:pPr>
      <w:proofErr w:type="gramStart"/>
      <w:r w:rsidRPr="00EB3DD7">
        <w:t>US Ce</w:t>
      </w:r>
      <w:r w:rsidR="00E312C5">
        <w:t xml:space="preserve">nsus Bureau International database, viewed </w:t>
      </w:r>
      <w:r w:rsidR="00B74272">
        <w:t xml:space="preserve">10 March 2011, </w:t>
      </w:r>
      <w:r w:rsidR="00B74272" w:rsidRPr="00A14272">
        <w:t>&lt;</w:t>
      </w:r>
      <w:hyperlink r:id="rId26" w:history="1">
        <w:r w:rsidR="00A41E84" w:rsidRPr="00296736">
          <w:rPr>
            <w:rStyle w:val="Hyperlink"/>
            <w:u w:val="none"/>
          </w:rPr>
          <w:t>http://www.census.gov/ipc/www/idb/ groups.php</w:t>
        </w:r>
      </w:hyperlink>
      <w:r w:rsidR="00B74272" w:rsidRPr="00296736">
        <w:t>&gt;</w:t>
      </w:r>
      <w:r w:rsidR="00E312C5" w:rsidRPr="00296736">
        <w:t>.</w:t>
      </w:r>
      <w:proofErr w:type="gramEnd"/>
      <w:r w:rsidRPr="00296736">
        <w:t xml:space="preserve">  </w:t>
      </w:r>
    </w:p>
    <w:p w:rsidR="00C1174D" w:rsidRPr="00813C5D" w:rsidRDefault="00B74272" w:rsidP="00813C5D">
      <w:pPr>
        <w:pStyle w:val="References"/>
      </w:pPr>
      <w:proofErr w:type="gramStart"/>
      <w:r>
        <w:t>World Health Organisation 2</w:t>
      </w:r>
      <w:r w:rsidR="00C1174D">
        <w:t>0</w:t>
      </w:r>
      <w:r>
        <w:t>10</w:t>
      </w:r>
      <w:r w:rsidR="00C1174D">
        <w:t xml:space="preserve">, </w:t>
      </w:r>
      <w:r w:rsidR="00C1174D" w:rsidRPr="00C1174D">
        <w:t xml:space="preserve">Life tables for WHO </w:t>
      </w:r>
      <w:r w:rsidRPr="00C1174D">
        <w:t>member states</w:t>
      </w:r>
      <w:r>
        <w:t>, viewed 10 March 2011,</w:t>
      </w:r>
      <w:r w:rsidR="00C1174D">
        <w:t xml:space="preserve"> </w:t>
      </w:r>
      <w:r>
        <w:t>&lt;</w:t>
      </w:r>
      <w:hyperlink r:id="rId27" w:history="1">
        <w:r w:rsidR="00C1174D" w:rsidRPr="00813C5D">
          <w:t>http://www.who.int/healthinfo/statistics/mortality_life_tables/en/</w:t>
        </w:r>
      </w:hyperlink>
      <w:r>
        <w:t>&gt;.</w:t>
      </w:r>
      <w:proofErr w:type="gramEnd"/>
    </w:p>
    <w:sectPr w:rsidR="00C1174D" w:rsidRPr="00813C5D" w:rsidSect="00CA68D4">
      <w:footerReference w:type="even" r:id="rId28"/>
      <w:footerReference w:type="default" r:id="rId29"/>
      <w:pgSz w:w="11899" w:h="16838" w:code="9"/>
      <w:pgMar w:top="1418" w:right="1985" w:bottom="567"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AD3" w:rsidRDefault="00D74AD3">
      <w:r>
        <w:separator/>
      </w:r>
    </w:p>
  </w:endnote>
  <w:endnote w:type="continuationSeparator" w:id="0">
    <w:p w:rsidR="00D74AD3" w:rsidRDefault="00D74A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A6FD4421-1C22-49D2-91F4-8A0A28752EE4}"/>
    <w:embedBold r:id="rId2" w:fontKey="{4AD0AAFE-E3D7-4990-9C1F-34988B2C5F2F}"/>
    <w:embedItalic r:id="rId3" w:fontKey="{01994423-2505-43C2-8ACE-44A55D2ABFED}"/>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81BF0F45-E6BA-4749-81FE-3E1EBE55AC9F}"/>
  </w:font>
  <w:font w:name="Calibri">
    <w:panose1 w:val="020F0502020204030204"/>
    <w:charset w:val="00"/>
    <w:family w:val="swiss"/>
    <w:pitch w:val="variable"/>
    <w:sig w:usb0="A00002EF" w:usb1="4000207B" w:usb2="00000000" w:usb3="00000000" w:csb0="0000009F" w:csb1="00000000"/>
    <w:embedRegular r:id="rId5" w:fontKey="{9D148406-0F33-493C-A76B-F06793501B48}"/>
    <w:embedBold r:id="rId6" w:fontKey="{CF7B8EC5-4CCC-4B9E-BA88-E66A3B385383}"/>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091C954A-3F91-4D74-B13E-DCCFD17DBB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AD3" w:rsidRDefault="00D74AD3" w:rsidP="00CA68D4">
    <w:pPr>
      <w:pStyle w:val="Footer"/>
    </w:pPr>
  </w:p>
  <w:p w:rsidR="00D74AD3" w:rsidRPr="00CA68D4" w:rsidRDefault="00FA7D99" w:rsidP="00CA68D4">
    <w:pPr>
      <w:pStyle w:val="Footer"/>
      <w:pBdr>
        <w:top w:val="single" w:sz="4" w:space="1" w:color="auto"/>
      </w:pBdr>
    </w:pPr>
    <w:fldSimple w:instr=" PAGE   \* MERGEFORMAT ">
      <w:r w:rsidR="002E549B">
        <w:rPr>
          <w:noProof/>
        </w:rPr>
        <w:t>20</w:t>
      </w:r>
    </w:fldSimple>
    <w:r w:rsidR="00D74AD3">
      <w:tab/>
      <w:t>The shifting demographics and lifelong learning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AD3" w:rsidRDefault="00D74AD3" w:rsidP="006C45D3">
    <w:pPr>
      <w:pStyle w:val="Footer"/>
    </w:pPr>
  </w:p>
  <w:p w:rsidR="00D74AD3" w:rsidRPr="006C45D3" w:rsidRDefault="00D74AD3" w:rsidP="00CA68D4">
    <w:pPr>
      <w:pStyle w:val="Footer"/>
      <w:pBdr>
        <w:top w:val="single" w:sz="4" w:space="1" w:color="auto"/>
      </w:pBdr>
    </w:pPr>
    <w:r>
      <w:t>NCVER</w:t>
    </w:r>
    <w:r>
      <w:tab/>
    </w:r>
    <w:fldSimple w:instr=" PAGE   \* MERGEFORMAT ">
      <w:r w:rsidR="002E549B">
        <w:rPr>
          <w:noProof/>
        </w:rPr>
        <w:t>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AD3" w:rsidRDefault="00D74AD3">
      <w:r>
        <w:separator/>
      </w:r>
    </w:p>
  </w:footnote>
  <w:footnote w:type="continuationSeparator" w:id="0">
    <w:p w:rsidR="00D74AD3" w:rsidRDefault="00D74AD3">
      <w:r>
        <w:continuationSeparator/>
      </w:r>
    </w:p>
  </w:footnote>
  <w:footnote w:id="1">
    <w:p w:rsidR="00D74AD3" w:rsidRDefault="00D74AD3">
      <w:pPr>
        <w:pStyle w:val="FootnoteText"/>
      </w:pPr>
      <w:r w:rsidRPr="00CA68D4">
        <w:rPr>
          <w:rStyle w:val="FootnoteReference"/>
          <w:sz w:val="18"/>
          <w:szCs w:val="18"/>
        </w:rPr>
        <w:footnoteRef/>
      </w:r>
      <w:r>
        <w:tab/>
        <w:t>I would like to thank Josie Misko for her help in locating the international data for this paper.</w:t>
      </w:r>
    </w:p>
  </w:footnote>
  <w:footnote w:id="2">
    <w:p w:rsidR="00D74AD3" w:rsidRDefault="00D74AD3">
      <w:pPr>
        <w:pStyle w:val="FootnoteText"/>
      </w:pPr>
      <w:r w:rsidRPr="00FF498E">
        <w:rPr>
          <w:rStyle w:val="FootnoteReference"/>
          <w:sz w:val="18"/>
          <w:szCs w:val="18"/>
        </w:rPr>
        <w:footnoteRef/>
      </w:r>
      <w:r>
        <w:tab/>
        <w:t>Although not presented here there are also considerable differences between the wages of those who leave school early and those who complete secondary schooling.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A3A7F04"/>
    <w:lvl w:ilvl="0">
      <w:start w:val="1"/>
      <w:numFmt w:val="decimal"/>
      <w:lvlText w:val="%1."/>
      <w:lvlJc w:val="left"/>
      <w:pPr>
        <w:tabs>
          <w:tab w:val="num" w:pos="1492"/>
        </w:tabs>
        <w:ind w:left="1492" w:hanging="360"/>
      </w:pPr>
    </w:lvl>
  </w:abstractNum>
  <w:abstractNum w:abstractNumId="1">
    <w:nsid w:val="FFFFFF7D"/>
    <w:multiLevelType w:val="singleLevel"/>
    <w:tmpl w:val="AF3648B0"/>
    <w:lvl w:ilvl="0">
      <w:start w:val="1"/>
      <w:numFmt w:val="decimal"/>
      <w:lvlText w:val="%1."/>
      <w:lvlJc w:val="left"/>
      <w:pPr>
        <w:tabs>
          <w:tab w:val="num" w:pos="1209"/>
        </w:tabs>
        <w:ind w:left="1209" w:hanging="360"/>
      </w:pPr>
    </w:lvl>
  </w:abstractNum>
  <w:abstractNum w:abstractNumId="2">
    <w:nsid w:val="FFFFFF7E"/>
    <w:multiLevelType w:val="singleLevel"/>
    <w:tmpl w:val="5E2E91E6"/>
    <w:lvl w:ilvl="0">
      <w:start w:val="1"/>
      <w:numFmt w:val="decimal"/>
      <w:lvlText w:val="%1."/>
      <w:lvlJc w:val="left"/>
      <w:pPr>
        <w:tabs>
          <w:tab w:val="num" w:pos="926"/>
        </w:tabs>
        <w:ind w:left="926" w:hanging="360"/>
      </w:pPr>
    </w:lvl>
  </w:abstractNum>
  <w:abstractNum w:abstractNumId="3">
    <w:nsid w:val="FFFFFF7F"/>
    <w:multiLevelType w:val="singleLevel"/>
    <w:tmpl w:val="9D8EEF78"/>
    <w:lvl w:ilvl="0">
      <w:start w:val="1"/>
      <w:numFmt w:val="decimal"/>
      <w:lvlText w:val="%1."/>
      <w:lvlJc w:val="left"/>
      <w:pPr>
        <w:tabs>
          <w:tab w:val="num" w:pos="643"/>
        </w:tabs>
        <w:ind w:left="643" w:hanging="360"/>
      </w:pPr>
    </w:lvl>
  </w:abstractNum>
  <w:abstractNum w:abstractNumId="4">
    <w:nsid w:val="FFFFFF80"/>
    <w:multiLevelType w:val="singleLevel"/>
    <w:tmpl w:val="B358C76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D582BD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888B7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3027E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3F40F2C"/>
    <w:lvl w:ilvl="0">
      <w:start w:val="1"/>
      <w:numFmt w:val="decimal"/>
      <w:lvlText w:val="%1."/>
      <w:lvlJc w:val="left"/>
      <w:pPr>
        <w:tabs>
          <w:tab w:val="num" w:pos="360"/>
        </w:tabs>
        <w:ind w:left="360" w:hanging="360"/>
      </w:pPr>
    </w:lvl>
  </w:abstractNum>
  <w:abstractNum w:abstractNumId="9">
    <w:nsid w:val="FFFFFF89"/>
    <w:multiLevelType w:val="singleLevel"/>
    <w:tmpl w:val="88A48EB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B12F76"/>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12">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2385E0A"/>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4">
    <w:nsid w:val="06035F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FF05DF"/>
    <w:multiLevelType w:val="singleLevel"/>
    <w:tmpl w:val="00000000"/>
    <w:lvl w:ilvl="0">
      <w:numFmt w:val="bullet"/>
      <w:pStyle w:val="Dotpoint1"/>
      <w:lvlText w:val=""/>
      <w:lvlJc w:val="left"/>
      <w:pPr>
        <w:tabs>
          <w:tab w:val="num" w:pos="360"/>
        </w:tabs>
        <w:ind w:left="360" w:hanging="360"/>
      </w:pPr>
      <w:rPr>
        <w:rFonts w:ascii="Wingdings" w:hAnsi="Wingdings" w:hint="default"/>
      </w:rPr>
    </w:lvl>
  </w:abstractNum>
  <w:abstractNum w:abstractNumId="16">
    <w:nsid w:val="0C402A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CD8721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8">
    <w:nsid w:val="174A2C71"/>
    <w:multiLevelType w:val="singleLevel"/>
    <w:tmpl w:val="00000000"/>
    <w:lvl w:ilvl="0">
      <w:start w:val="1"/>
      <w:numFmt w:val="bullet"/>
      <w:pStyle w:val="Dotpoint2"/>
      <w:lvlText w:val=""/>
      <w:lvlJc w:val="left"/>
      <w:pPr>
        <w:tabs>
          <w:tab w:val="num" w:pos="0"/>
        </w:tabs>
        <w:ind w:left="360" w:hanging="360"/>
      </w:pPr>
      <w:rPr>
        <w:rFonts w:ascii="Wingdings" w:hAnsi="Wingdings" w:hint="default"/>
      </w:rPr>
    </w:lvl>
  </w:abstractNum>
  <w:abstractNum w:abstractNumId="19">
    <w:nsid w:val="18D85083"/>
    <w:multiLevelType w:val="singleLevel"/>
    <w:tmpl w:val="AB16F102"/>
    <w:lvl w:ilvl="0">
      <w:numFmt w:val="bullet"/>
      <w:lvlText w:val=""/>
      <w:lvlJc w:val="left"/>
      <w:pPr>
        <w:tabs>
          <w:tab w:val="num" w:pos="360"/>
        </w:tabs>
        <w:ind w:left="360" w:hanging="360"/>
      </w:pPr>
      <w:rPr>
        <w:rFonts w:ascii="Symbol" w:hAnsi="Symbol" w:hint="default"/>
      </w:rPr>
    </w:lvl>
  </w:abstractNum>
  <w:abstractNum w:abstractNumId="20">
    <w:nsid w:val="1F1D5D94"/>
    <w:multiLevelType w:val="singleLevel"/>
    <w:tmpl w:val="BD143BDC"/>
    <w:lvl w:ilvl="0">
      <w:numFmt w:val="bullet"/>
      <w:lvlText w:val=""/>
      <w:lvlJc w:val="left"/>
      <w:pPr>
        <w:tabs>
          <w:tab w:val="num" w:pos="360"/>
        </w:tabs>
        <w:ind w:left="360" w:hanging="360"/>
      </w:pPr>
      <w:rPr>
        <w:rFonts w:ascii="Wingdings" w:hAnsi="Wingdings" w:hint="default"/>
      </w:rPr>
    </w:lvl>
  </w:abstractNum>
  <w:abstractNum w:abstractNumId="21">
    <w:nsid w:val="30932698"/>
    <w:multiLevelType w:val="singleLevel"/>
    <w:tmpl w:val="77101FFA"/>
    <w:lvl w:ilvl="0">
      <w:start w:val="1"/>
      <w:numFmt w:val="bullet"/>
      <w:lvlText w:val=""/>
      <w:lvlJc w:val="left"/>
      <w:pPr>
        <w:tabs>
          <w:tab w:val="num" w:pos="0"/>
        </w:tabs>
        <w:ind w:left="360" w:hanging="360"/>
      </w:pPr>
      <w:rPr>
        <w:rFonts w:ascii="Wingdings" w:hAnsi="Wingdings" w:hint="default"/>
      </w:rPr>
    </w:lvl>
  </w:abstractNum>
  <w:abstractNum w:abstractNumId="22">
    <w:nsid w:val="30961F00"/>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3">
    <w:nsid w:val="33CE2798"/>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4">
    <w:nsid w:val="3E8C3432"/>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25">
    <w:nsid w:val="454E0E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87C0F01"/>
    <w:multiLevelType w:val="singleLevel"/>
    <w:tmpl w:val="297C02B0"/>
    <w:lvl w:ilvl="0">
      <w:start w:val="1"/>
      <w:numFmt w:val="bullet"/>
      <w:lvlText w:val=""/>
      <w:lvlJc w:val="left"/>
      <w:pPr>
        <w:tabs>
          <w:tab w:val="num" w:pos="0"/>
        </w:tabs>
        <w:ind w:left="360" w:hanging="360"/>
      </w:pPr>
      <w:rPr>
        <w:rFonts w:ascii="Wingdings" w:hAnsi="Wingdings" w:hint="default"/>
      </w:rPr>
    </w:lvl>
  </w:abstractNum>
  <w:abstractNum w:abstractNumId="27">
    <w:nsid w:val="490058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nsid w:val="49A3336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49FC1EEE"/>
    <w:multiLevelType w:val="singleLevel"/>
    <w:tmpl w:val="8B8ACFAC"/>
    <w:lvl w:ilvl="0">
      <w:numFmt w:val="decimal"/>
      <w:lvlText w:val="%1"/>
      <w:legacy w:legacy="1" w:legacySpace="0" w:legacyIndent="0"/>
      <w:lvlJc w:val="left"/>
    </w:lvl>
  </w:abstractNum>
  <w:abstractNum w:abstractNumId="30">
    <w:nsid w:val="4AA97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4D852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4F095AD2"/>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3">
    <w:nsid w:val="5162601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4">
    <w:nsid w:val="5261228E"/>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5">
    <w:nsid w:val="58655486"/>
    <w:multiLevelType w:val="singleLevel"/>
    <w:tmpl w:val="BB928762"/>
    <w:lvl w:ilvl="0">
      <w:numFmt w:val="bullet"/>
      <w:lvlText w:val=""/>
      <w:lvlJc w:val="left"/>
      <w:pPr>
        <w:tabs>
          <w:tab w:val="num" w:pos="360"/>
        </w:tabs>
        <w:ind w:left="360" w:hanging="360"/>
      </w:pPr>
      <w:rPr>
        <w:rFonts w:ascii="Wingdings" w:hAnsi="Wingdings" w:hint="default"/>
      </w:rPr>
    </w:lvl>
  </w:abstractNum>
  <w:abstractNum w:abstractNumId="36">
    <w:nsid w:val="5ACC0A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6CD447FC"/>
    <w:multiLevelType w:val="multilevel"/>
    <w:tmpl w:val="42146892"/>
    <w:lvl w:ilvl="0">
      <w:start w:val="1"/>
      <w:numFmt w:val="decimal"/>
      <w:lvlText w:val="%1"/>
      <w:lvlJc w:val="left"/>
      <w:pPr>
        <w:tabs>
          <w:tab w:val="num" w:pos="284"/>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EB269DA"/>
    <w:multiLevelType w:val="singleLevel"/>
    <w:tmpl w:val="FD1255FA"/>
    <w:lvl w:ilvl="0">
      <w:numFmt w:val="bullet"/>
      <w:lvlText w:val=""/>
      <w:lvlJc w:val="left"/>
      <w:pPr>
        <w:tabs>
          <w:tab w:val="num" w:pos="360"/>
        </w:tabs>
        <w:ind w:left="360" w:hanging="360"/>
      </w:pPr>
      <w:rPr>
        <w:rFonts w:ascii="Wingdings" w:hAnsi="Wingdings" w:hint="default"/>
      </w:rPr>
    </w:lvl>
  </w:abstractNum>
  <w:abstractNum w:abstractNumId="39">
    <w:nsid w:val="71603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3FD0B6F"/>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41">
    <w:nsid w:val="752B4923"/>
    <w:multiLevelType w:val="singleLevel"/>
    <w:tmpl w:val="FFFFFFFF"/>
    <w:lvl w:ilvl="0">
      <w:numFmt w:val="bullet"/>
      <w:lvlText w:val=""/>
      <w:legacy w:legacy="1" w:legacySpace="0" w:legacyIndent="360"/>
      <w:lvlJc w:val="left"/>
      <w:pPr>
        <w:ind w:left="360" w:hanging="360"/>
      </w:pPr>
      <w:rPr>
        <w:rFonts w:ascii="Symbol" w:hAnsi="Symbol" w:hint="default"/>
      </w:rPr>
    </w:lvl>
  </w:abstractNum>
  <w:abstractNum w:abstractNumId="42">
    <w:nsid w:val="7845326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num w:numId="1">
    <w:abstractNumId w:val="1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3">
    <w:abstractNumId w:val="23"/>
  </w:num>
  <w:num w:numId="4">
    <w:abstractNumId w:val="24"/>
  </w:num>
  <w:num w:numId="5">
    <w:abstractNumId w:val="22"/>
  </w:num>
  <w:num w:numId="6">
    <w:abstractNumId w:val="11"/>
  </w:num>
  <w:num w:numId="7">
    <w:abstractNumId w:val="40"/>
  </w:num>
  <w:num w:numId="8">
    <w:abstractNumId w:val="34"/>
  </w:num>
  <w:num w:numId="9">
    <w:abstractNumId w:val="32"/>
  </w:num>
  <w:num w:numId="10">
    <w:abstractNumId w:val="39"/>
  </w:num>
  <w:num w:numId="11">
    <w:abstractNumId w:val="30"/>
  </w:num>
  <w:num w:numId="12">
    <w:abstractNumId w:val="14"/>
  </w:num>
  <w:num w:numId="13">
    <w:abstractNumId w:val="36"/>
  </w:num>
  <w:num w:numId="14">
    <w:abstractNumId w:val="31"/>
  </w:num>
  <w:num w:numId="15">
    <w:abstractNumId w:val="16"/>
  </w:num>
  <w:num w:numId="16">
    <w:abstractNumId w:val="17"/>
  </w:num>
  <w:num w:numId="17">
    <w:abstractNumId w:val="13"/>
  </w:num>
  <w:num w:numId="18">
    <w:abstractNumId w:val="42"/>
  </w:num>
  <w:num w:numId="19">
    <w:abstractNumId w:val="25"/>
  </w:num>
  <w:num w:numId="20">
    <w:abstractNumId w:val="33"/>
  </w:num>
  <w:num w:numId="21">
    <w:abstractNumId w:val="41"/>
  </w:num>
  <w:num w:numId="22">
    <w:abstractNumId w:val="29"/>
  </w:num>
  <w:num w:numId="23">
    <w:abstractNumId w:val="27"/>
  </w:num>
  <w:num w:numId="24">
    <w:abstractNumId w:val="28"/>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8"/>
  </w:num>
  <w:num w:numId="36">
    <w:abstractNumId w:val="19"/>
  </w:num>
  <w:num w:numId="37">
    <w:abstractNumId w:val="20"/>
  </w:num>
  <w:num w:numId="38">
    <w:abstractNumId w:val="35"/>
  </w:num>
  <w:num w:numId="39">
    <w:abstractNumId w:val="15"/>
  </w:num>
  <w:num w:numId="40">
    <w:abstractNumId w:val="21"/>
  </w:num>
  <w:num w:numId="41">
    <w:abstractNumId w:val="26"/>
  </w:num>
  <w:num w:numId="42">
    <w:abstractNumId w:val="18"/>
  </w:num>
  <w:num w:numId="43">
    <w:abstractNumId w:val="12"/>
  </w:num>
  <w:num w:numId="44">
    <w:abstractNumId w:val="37"/>
  </w:num>
  <w:num w:numId="45">
    <w:abstractNumId w:val="15"/>
  </w:num>
  <w:num w:numId="4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4"/>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suppressTopSpacing/>
    <w:suppressSpBfAfterPgBrk/>
  </w:compat>
  <w:rsids>
    <w:rsidRoot w:val="00F751B2"/>
    <w:rsid w:val="000052EC"/>
    <w:rsid w:val="000064A9"/>
    <w:rsid w:val="00030C79"/>
    <w:rsid w:val="00036E38"/>
    <w:rsid w:val="00070380"/>
    <w:rsid w:val="00075035"/>
    <w:rsid w:val="000837BA"/>
    <w:rsid w:val="00084AF7"/>
    <w:rsid w:val="000B2752"/>
    <w:rsid w:val="000D5EB1"/>
    <w:rsid w:val="000F262E"/>
    <w:rsid w:val="001032D6"/>
    <w:rsid w:val="00115B07"/>
    <w:rsid w:val="00122490"/>
    <w:rsid w:val="00134669"/>
    <w:rsid w:val="001477C4"/>
    <w:rsid w:val="00176437"/>
    <w:rsid w:val="0018015F"/>
    <w:rsid w:val="00187C9E"/>
    <w:rsid w:val="001A4F30"/>
    <w:rsid w:val="001B307A"/>
    <w:rsid w:val="001B5218"/>
    <w:rsid w:val="001B7E20"/>
    <w:rsid w:val="001C2973"/>
    <w:rsid w:val="001E07C6"/>
    <w:rsid w:val="001F21D9"/>
    <w:rsid w:val="001F387E"/>
    <w:rsid w:val="001F5A10"/>
    <w:rsid w:val="00202B82"/>
    <w:rsid w:val="002218FF"/>
    <w:rsid w:val="00224683"/>
    <w:rsid w:val="0029118E"/>
    <w:rsid w:val="00291FCA"/>
    <w:rsid w:val="00296736"/>
    <w:rsid w:val="002B5D69"/>
    <w:rsid w:val="002B658F"/>
    <w:rsid w:val="002C1AC3"/>
    <w:rsid w:val="002C4909"/>
    <w:rsid w:val="002D2565"/>
    <w:rsid w:val="002E549B"/>
    <w:rsid w:val="00334D74"/>
    <w:rsid w:val="0036186C"/>
    <w:rsid w:val="00372B63"/>
    <w:rsid w:val="003904A0"/>
    <w:rsid w:val="003930C1"/>
    <w:rsid w:val="003C460E"/>
    <w:rsid w:val="003D4135"/>
    <w:rsid w:val="003D4B1A"/>
    <w:rsid w:val="00404F88"/>
    <w:rsid w:val="00410ACE"/>
    <w:rsid w:val="00416A45"/>
    <w:rsid w:val="00454C38"/>
    <w:rsid w:val="00470B46"/>
    <w:rsid w:val="0047211B"/>
    <w:rsid w:val="00484EBC"/>
    <w:rsid w:val="004A0A7D"/>
    <w:rsid w:val="004B24DA"/>
    <w:rsid w:val="004B79E5"/>
    <w:rsid w:val="004D27A8"/>
    <w:rsid w:val="004E2A45"/>
    <w:rsid w:val="004E62C7"/>
    <w:rsid w:val="004F0198"/>
    <w:rsid w:val="004F3632"/>
    <w:rsid w:val="00500066"/>
    <w:rsid w:val="00505145"/>
    <w:rsid w:val="0050762A"/>
    <w:rsid w:val="0052040C"/>
    <w:rsid w:val="00523C3F"/>
    <w:rsid w:val="00536CDE"/>
    <w:rsid w:val="00550FAD"/>
    <w:rsid w:val="0055171C"/>
    <w:rsid w:val="00551846"/>
    <w:rsid w:val="00560CA2"/>
    <w:rsid w:val="00561839"/>
    <w:rsid w:val="0057574C"/>
    <w:rsid w:val="005C74A9"/>
    <w:rsid w:val="005E456B"/>
    <w:rsid w:val="005E6714"/>
    <w:rsid w:val="005F4E04"/>
    <w:rsid w:val="005F58FD"/>
    <w:rsid w:val="00616722"/>
    <w:rsid w:val="006409DA"/>
    <w:rsid w:val="00685EC0"/>
    <w:rsid w:val="006C45D3"/>
    <w:rsid w:val="006E5097"/>
    <w:rsid w:val="006E55F0"/>
    <w:rsid w:val="00700504"/>
    <w:rsid w:val="007106BC"/>
    <w:rsid w:val="00721FCB"/>
    <w:rsid w:val="00725639"/>
    <w:rsid w:val="00727DD6"/>
    <w:rsid w:val="0073394B"/>
    <w:rsid w:val="00741BFB"/>
    <w:rsid w:val="0074230C"/>
    <w:rsid w:val="00747893"/>
    <w:rsid w:val="0076042D"/>
    <w:rsid w:val="007758A2"/>
    <w:rsid w:val="00795321"/>
    <w:rsid w:val="007A5680"/>
    <w:rsid w:val="007B6B23"/>
    <w:rsid w:val="007C70BF"/>
    <w:rsid w:val="007D390A"/>
    <w:rsid w:val="007E45E5"/>
    <w:rsid w:val="00813C5D"/>
    <w:rsid w:val="008258B5"/>
    <w:rsid w:val="00841A34"/>
    <w:rsid w:val="00850C84"/>
    <w:rsid w:val="00853B81"/>
    <w:rsid w:val="008B4A11"/>
    <w:rsid w:val="008E3933"/>
    <w:rsid w:val="00902444"/>
    <w:rsid w:val="009264AF"/>
    <w:rsid w:val="00950A11"/>
    <w:rsid w:val="00970502"/>
    <w:rsid w:val="009825F7"/>
    <w:rsid w:val="00984BF5"/>
    <w:rsid w:val="00990DA1"/>
    <w:rsid w:val="009C7598"/>
    <w:rsid w:val="00A04462"/>
    <w:rsid w:val="00A04F2D"/>
    <w:rsid w:val="00A1125C"/>
    <w:rsid w:val="00A14272"/>
    <w:rsid w:val="00A41E84"/>
    <w:rsid w:val="00A87B7E"/>
    <w:rsid w:val="00AC7B97"/>
    <w:rsid w:val="00AF58BC"/>
    <w:rsid w:val="00B100E3"/>
    <w:rsid w:val="00B27C65"/>
    <w:rsid w:val="00B4653E"/>
    <w:rsid w:val="00B55151"/>
    <w:rsid w:val="00B66609"/>
    <w:rsid w:val="00B74272"/>
    <w:rsid w:val="00B8223C"/>
    <w:rsid w:val="00BA1BA9"/>
    <w:rsid w:val="00BC0E49"/>
    <w:rsid w:val="00BD028F"/>
    <w:rsid w:val="00BE3881"/>
    <w:rsid w:val="00BE7364"/>
    <w:rsid w:val="00BF075A"/>
    <w:rsid w:val="00C0348A"/>
    <w:rsid w:val="00C051F1"/>
    <w:rsid w:val="00C1174D"/>
    <w:rsid w:val="00C1210B"/>
    <w:rsid w:val="00C13E9C"/>
    <w:rsid w:val="00C15EAF"/>
    <w:rsid w:val="00C2187C"/>
    <w:rsid w:val="00C25CF1"/>
    <w:rsid w:val="00C32249"/>
    <w:rsid w:val="00C330E3"/>
    <w:rsid w:val="00C4034C"/>
    <w:rsid w:val="00C70DCC"/>
    <w:rsid w:val="00C85B17"/>
    <w:rsid w:val="00CA107F"/>
    <w:rsid w:val="00CA2733"/>
    <w:rsid w:val="00CA68D4"/>
    <w:rsid w:val="00CB3943"/>
    <w:rsid w:val="00CC3857"/>
    <w:rsid w:val="00CC57E4"/>
    <w:rsid w:val="00CD393E"/>
    <w:rsid w:val="00CD5089"/>
    <w:rsid w:val="00CE00A2"/>
    <w:rsid w:val="00CF3AE5"/>
    <w:rsid w:val="00CF68EF"/>
    <w:rsid w:val="00D12007"/>
    <w:rsid w:val="00D13933"/>
    <w:rsid w:val="00D37DDC"/>
    <w:rsid w:val="00D74AD3"/>
    <w:rsid w:val="00DB66CD"/>
    <w:rsid w:val="00DE1A5F"/>
    <w:rsid w:val="00E06B6F"/>
    <w:rsid w:val="00E240D8"/>
    <w:rsid w:val="00E312C5"/>
    <w:rsid w:val="00E4457F"/>
    <w:rsid w:val="00E54D09"/>
    <w:rsid w:val="00E7024E"/>
    <w:rsid w:val="00E73324"/>
    <w:rsid w:val="00E7514B"/>
    <w:rsid w:val="00EA4B4D"/>
    <w:rsid w:val="00EB3DD7"/>
    <w:rsid w:val="00EC22F5"/>
    <w:rsid w:val="00F0197C"/>
    <w:rsid w:val="00F127AF"/>
    <w:rsid w:val="00F26DFA"/>
    <w:rsid w:val="00F347F9"/>
    <w:rsid w:val="00F36B4D"/>
    <w:rsid w:val="00F5743D"/>
    <w:rsid w:val="00F751B2"/>
    <w:rsid w:val="00F8674A"/>
    <w:rsid w:val="00F86A49"/>
    <w:rsid w:val="00F97705"/>
    <w:rsid w:val="00FA7D99"/>
    <w:rsid w:val="00FB4E00"/>
    <w:rsid w:val="00FC5C4C"/>
    <w:rsid w:val="00FD1559"/>
    <w:rsid w:val="00FD4D79"/>
    <w:rsid w:val="00FE4FA5"/>
    <w:rsid w:val="00FE7CF1"/>
    <w:rsid w:val="00FF1615"/>
    <w:rsid w:val="00FF498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iPriority="35" w:unhideWhenUsed="1" w:qFormat="1"/>
    <w:lsdException w:name="table of figures"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2973"/>
    <w:pPr>
      <w:spacing w:before="160" w:line="260" w:lineRule="exact"/>
    </w:pPr>
    <w:rPr>
      <w:rFonts w:ascii="Garamond" w:hAnsi="Garamond"/>
      <w:sz w:val="22"/>
      <w:szCs w:val="24"/>
      <w:lang w:eastAsia="en-US"/>
    </w:rPr>
  </w:style>
  <w:style w:type="paragraph" w:styleId="Heading1">
    <w:name w:val="heading 1"/>
    <w:next w:val="Text"/>
    <w:qFormat/>
    <w:rsid w:val="006C45D3"/>
    <w:pPr>
      <w:keepNext/>
      <w:pBdr>
        <w:bottom w:val="single" w:sz="4" w:space="1" w:color="auto"/>
      </w:pBdr>
      <w:spacing w:before="440" w:after="60"/>
      <w:jc w:val="right"/>
      <w:outlineLvl w:val="0"/>
    </w:pPr>
    <w:rPr>
      <w:rFonts w:ascii="Garamond" w:hAnsi="Garamond"/>
      <w:kern w:val="28"/>
      <w:sz w:val="60"/>
      <w:szCs w:val="24"/>
      <w:lang w:eastAsia="en-US"/>
    </w:rPr>
  </w:style>
  <w:style w:type="paragraph" w:styleId="Heading2">
    <w:name w:val="heading 2"/>
    <w:next w:val="Text"/>
    <w:qFormat/>
    <w:rsid w:val="006C45D3"/>
    <w:pPr>
      <w:keepNext/>
      <w:spacing w:before="440"/>
      <w:outlineLvl w:val="1"/>
    </w:pPr>
    <w:rPr>
      <w:rFonts w:ascii="Garamond" w:hAnsi="Garamond"/>
      <w:sz w:val="36"/>
      <w:szCs w:val="24"/>
      <w:lang w:eastAsia="en-US"/>
    </w:rPr>
  </w:style>
  <w:style w:type="paragraph" w:styleId="Heading3">
    <w:name w:val="heading 3"/>
    <w:next w:val="Text"/>
    <w:qFormat/>
    <w:rsid w:val="006C45D3"/>
    <w:pPr>
      <w:spacing w:before="280"/>
      <w:outlineLvl w:val="2"/>
    </w:pPr>
    <w:rPr>
      <w:rFonts w:ascii="Garamond" w:hAnsi="Garamond"/>
      <w:sz w:val="28"/>
      <w:szCs w:val="24"/>
      <w:lang w:eastAsia="en-US"/>
    </w:rPr>
  </w:style>
  <w:style w:type="paragraph" w:styleId="Heading4">
    <w:name w:val="heading 4"/>
    <w:next w:val="Text"/>
    <w:qFormat/>
    <w:rsid w:val="006C45D3"/>
    <w:pPr>
      <w:spacing w:before="240"/>
      <w:outlineLvl w:val="3"/>
    </w:pPr>
    <w:rPr>
      <w:rFonts w:ascii="Garamond" w:hAnsi="Garamond"/>
      <w:i/>
      <w:sz w:val="28"/>
      <w:szCs w:val="24"/>
      <w:lang w:eastAsia="en-US"/>
    </w:rPr>
  </w:style>
  <w:style w:type="paragraph" w:styleId="Heading5">
    <w:name w:val="heading 5"/>
    <w:basedOn w:val="Normal"/>
    <w:next w:val="Normal"/>
    <w:qFormat/>
    <w:rsid w:val="00E4457F"/>
    <w:pPr>
      <w:keepNext/>
      <w:outlineLvl w:val="4"/>
    </w:pPr>
    <w:rPr>
      <w:b/>
    </w:rPr>
  </w:style>
  <w:style w:type="paragraph" w:styleId="Heading6">
    <w:name w:val="heading 6"/>
    <w:basedOn w:val="Normal"/>
    <w:next w:val="Normal"/>
    <w:qFormat/>
    <w:rsid w:val="002B658F"/>
    <w:pPr>
      <w:keepNext/>
      <w:ind w:left="2977"/>
      <w:outlineLvl w:val="5"/>
    </w:pPr>
    <w:rPr>
      <w:sz w:val="36"/>
    </w:rPr>
  </w:style>
  <w:style w:type="paragraph" w:styleId="Heading7">
    <w:name w:val="heading 7"/>
    <w:basedOn w:val="Normal"/>
    <w:next w:val="Normal"/>
    <w:qFormat/>
    <w:rsid w:val="002B658F"/>
    <w:pPr>
      <w:keepNext/>
      <w:jc w:val="center"/>
      <w:outlineLvl w:val="6"/>
    </w:pPr>
    <w:rPr>
      <w:b/>
      <w:spacing w:val="20"/>
      <w:sz w:val="36"/>
    </w:rPr>
  </w:style>
  <w:style w:type="paragraph" w:styleId="Heading8">
    <w:name w:val="heading 8"/>
    <w:basedOn w:val="Normal"/>
    <w:next w:val="Normal"/>
    <w:qFormat/>
    <w:rsid w:val="002B658F"/>
    <w:pPr>
      <w:keepNext/>
      <w:jc w:val="center"/>
      <w:outlineLvl w:val="7"/>
    </w:pPr>
    <w:rPr>
      <w:b/>
      <w:color w:val="C0C0C0"/>
      <w:spacing w:val="60"/>
      <w:sz w:val="56"/>
    </w:rPr>
  </w:style>
  <w:style w:type="paragraph" w:styleId="Heading9">
    <w:name w:val="heading 9"/>
    <w:basedOn w:val="Normal"/>
    <w:next w:val="Normal"/>
    <w:qFormat/>
    <w:rsid w:val="002B658F"/>
    <w:pPr>
      <w:keepNext/>
      <w:spacing w:before="0"/>
      <w:ind w:firstLine="2977"/>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6C45D3"/>
    <w:pPr>
      <w:spacing w:before="200" w:line="260" w:lineRule="exact"/>
    </w:pPr>
    <w:rPr>
      <w:rFonts w:ascii="Garamond" w:hAnsi="Garamond"/>
      <w:sz w:val="22"/>
      <w:szCs w:val="24"/>
    </w:rPr>
  </w:style>
  <w:style w:type="character" w:styleId="PageNumber">
    <w:name w:val="page number"/>
    <w:basedOn w:val="DefaultParagraphFont"/>
    <w:rsid w:val="006C45D3"/>
    <w:rPr>
      <w:rFonts w:ascii="Garamond" w:hAnsi="Garamond"/>
      <w:sz w:val="18"/>
    </w:rPr>
  </w:style>
  <w:style w:type="paragraph" w:styleId="Footer">
    <w:name w:val="footer"/>
    <w:basedOn w:val="Normal"/>
    <w:rsid w:val="006C45D3"/>
    <w:pPr>
      <w:tabs>
        <w:tab w:val="right" w:pos="8505"/>
      </w:tabs>
      <w:spacing w:before="0"/>
    </w:pPr>
    <w:rPr>
      <w:sz w:val="18"/>
    </w:rPr>
  </w:style>
  <w:style w:type="paragraph" w:styleId="TOC1">
    <w:name w:val="toc 1"/>
    <w:uiPriority w:val="39"/>
    <w:rsid w:val="006C45D3"/>
    <w:pPr>
      <w:tabs>
        <w:tab w:val="left" w:pos="284"/>
        <w:tab w:val="right" w:pos="8505"/>
      </w:tabs>
      <w:spacing w:before="80"/>
      <w:ind w:left="2268"/>
    </w:pPr>
    <w:rPr>
      <w:rFonts w:ascii="Garamond" w:hAnsi="Garamond"/>
      <w:sz w:val="22"/>
      <w:szCs w:val="24"/>
      <w:lang w:eastAsia="en-US"/>
    </w:rPr>
  </w:style>
  <w:style w:type="paragraph" w:styleId="TOC2">
    <w:name w:val="toc 2"/>
    <w:basedOn w:val="Normal"/>
    <w:next w:val="Normal"/>
    <w:uiPriority w:val="39"/>
    <w:rsid w:val="006C45D3"/>
    <w:pPr>
      <w:tabs>
        <w:tab w:val="left" w:pos="709"/>
        <w:tab w:val="right" w:pos="8505"/>
      </w:tabs>
      <w:spacing w:before="20" w:after="20"/>
      <w:ind w:left="2552"/>
    </w:pPr>
    <w:rPr>
      <w:sz w:val="20"/>
    </w:rPr>
  </w:style>
  <w:style w:type="paragraph" w:styleId="TOC3">
    <w:name w:val="toc 3"/>
    <w:basedOn w:val="Normal"/>
    <w:next w:val="Normal"/>
    <w:autoRedefine/>
    <w:semiHidden/>
    <w:rsid w:val="002B658F"/>
    <w:pPr>
      <w:ind w:left="440"/>
    </w:pPr>
  </w:style>
  <w:style w:type="paragraph" w:customStyle="1" w:styleId="tabletitle">
    <w:name w:val="tabletitle"/>
    <w:next w:val="text0"/>
    <w:rsid w:val="006C45D3"/>
    <w:pPr>
      <w:spacing w:before="360" w:after="80"/>
      <w:ind w:left="851" w:hanging="851"/>
    </w:pPr>
    <w:rPr>
      <w:rFonts w:ascii="Arial" w:hAnsi="Arial"/>
      <w:b/>
      <w:sz w:val="17"/>
      <w:szCs w:val="24"/>
      <w:lang w:eastAsia="en-US"/>
    </w:rPr>
  </w:style>
  <w:style w:type="paragraph" w:customStyle="1" w:styleId="Tabletext">
    <w:name w:val="Table text"/>
    <w:next w:val="text0"/>
    <w:rsid w:val="006C45D3"/>
    <w:pPr>
      <w:spacing w:before="80"/>
    </w:pPr>
    <w:rPr>
      <w:rFonts w:ascii="Arial" w:hAnsi="Arial"/>
      <w:sz w:val="16"/>
      <w:szCs w:val="24"/>
      <w:lang w:eastAsia="en-US"/>
    </w:rPr>
  </w:style>
  <w:style w:type="paragraph" w:styleId="TOC4">
    <w:name w:val="toc 4"/>
    <w:basedOn w:val="Normal"/>
    <w:next w:val="Normal"/>
    <w:autoRedefine/>
    <w:semiHidden/>
    <w:rsid w:val="002B658F"/>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6C45D3"/>
    <w:pPr>
      <w:spacing w:before="80" w:after="80"/>
    </w:pPr>
    <w:rPr>
      <w:rFonts w:ascii="Arial" w:hAnsi="Arial"/>
      <w:b/>
      <w:sz w:val="17"/>
      <w:szCs w:val="24"/>
      <w:lang w:eastAsia="en-US"/>
    </w:rPr>
  </w:style>
  <w:style w:type="paragraph" w:styleId="Quote">
    <w:name w:val="Quote"/>
    <w:basedOn w:val="text0"/>
    <w:rsid w:val="006C45D3"/>
    <w:pPr>
      <w:tabs>
        <w:tab w:val="right" w:pos="7853"/>
      </w:tabs>
      <w:spacing w:before="80"/>
      <w:ind w:left="567" w:right="652"/>
    </w:pPr>
    <w:rPr>
      <w:sz w:val="20"/>
    </w:rPr>
  </w:style>
  <w:style w:type="paragraph" w:customStyle="1" w:styleId="References">
    <w:name w:val="References"/>
    <w:rsid w:val="006C45D3"/>
    <w:pPr>
      <w:ind w:left="284" w:hanging="284"/>
    </w:pPr>
    <w:rPr>
      <w:rFonts w:ascii="Garamond" w:hAnsi="Garamond"/>
      <w:szCs w:val="24"/>
      <w:lang w:eastAsia="en-US"/>
    </w:rPr>
  </w:style>
  <w:style w:type="paragraph" w:customStyle="1" w:styleId="Tablehead2">
    <w:name w:val="Tablehead2"/>
    <w:basedOn w:val="Tablehead1"/>
    <w:rsid w:val="006C45D3"/>
    <w:pPr>
      <w:tabs>
        <w:tab w:val="left" w:pos="992"/>
      </w:tabs>
      <w:spacing w:before="20" w:after="20"/>
    </w:pPr>
    <w:rPr>
      <w:b w:val="0"/>
    </w:rPr>
  </w:style>
  <w:style w:type="paragraph" w:customStyle="1" w:styleId="Tablehead3">
    <w:name w:val="Tablehead3"/>
    <w:basedOn w:val="Tablehead2"/>
    <w:rsid w:val="006C45D3"/>
    <w:rPr>
      <w:i/>
    </w:rPr>
  </w:style>
  <w:style w:type="paragraph" w:styleId="TableofFigures">
    <w:name w:val="table of figures"/>
    <w:basedOn w:val="Normal"/>
    <w:next w:val="Normal"/>
    <w:uiPriority w:val="99"/>
    <w:rsid w:val="006C45D3"/>
    <w:pPr>
      <w:tabs>
        <w:tab w:val="right" w:pos="8505"/>
      </w:tabs>
      <w:spacing w:before="80"/>
      <w:ind w:left="2693" w:hanging="425"/>
    </w:pPr>
  </w:style>
  <w:style w:type="paragraph" w:styleId="Header">
    <w:name w:val="header"/>
    <w:basedOn w:val="Normal"/>
    <w:rsid w:val="006C45D3"/>
    <w:pPr>
      <w:tabs>
        <w:tab w:val="left" w:pos="1418"/>
        <w:tab w:val="right" w:pos="8505"/>
      </w:tabs>
    </w:pPr>
    <w:rPr>
      <w:sz w:val="20"/>
    </w:rPr>
  </w:style>
  <w:style w:type="paragraph" w:styleId="BodyText">
    <w:name w:val="Body Text"/>
    <w:basedOn w:val="Normal"/>
    <w:link w:val="BodyTextChar"/>
    <w:rsid w:val="002B658F"/>
    <w:pPr>
      <w:spacing w:line="260" w:lineRule="atLeast"/>
      <w:ind w:right="1508"/>
    </w:pPr>
    <w:rPr>
      <w:sz w:val="16"/>
    </w:rPr>
  </w:style>
  <w:style w:type="paragraph" w:customStyle="1" w:styleId="Figuretitle">
    <w:name w:val="Figuretitle"/>
    <w:basedOn w:val="tabletitle"/>
    <w:rsid w:val="00CA68D4"/>
  </w:style>
  <w:style w:type="character" w:styleId="FollowedHyperlink">
    <w:name w:val="FollowedHyperlink"/>
    <w:basedOn w:val="DefaultParagraphFont"/>
    <w:uiPriority w:val="99"/>
    <w:rsid w:val="006C45D3"/>
    <w:rPr>
      <w:rFonts w:cs="Times New Roman"/>
      <w:color w:val="000000"/>
      <w:u w:val="single"/>
    </w:rPr>
  </w:style>
  <w:style w:type="character" w:styleId="Hyperlink">
    <w:name w:val="Hyperlink"/>
    <w:basedOn w:val="DefaultParagraphFont"/>
    <w:uiPriority w:val="99"/>
    <w:rsid w:val="006C45D3"/>
    <w:rPr>
      <w:rFonts w:cs="Times New Roman"/>
      <w:color w:val="000000"/>
      <w:u w:val="single"/>
    </w:rPr>
  </w:style>
  <w:style w:type="paragraph" w:customStyle="1" w:styleId="Dotpoint1">
    <w:name w:val="Dotpoint1"/>
    <w:rsid w:val="00A14272"/>
    <w:pPr>
      <w:numPr>
        <w:numId w:val="45"/>
      </w:numPr>
      <w:tabs>
        <w:tab w:val="clear" w:pos="360"/>
      </w:tabs>
      <w:spacing w:before="120"/>
      <w:ind w:left="284" w:hanging="284"/>
    </w:pPr>
    <w:rPr>
      <w:rFonts w:ascii="Garamond" w:hAnsi="Garamond"/>
      <w:sz w:val="22"/>
      <w:szCs w:val="24"/>
      <w:lang w:eastAsia="en-US"/>
    </w:rPr>
  </w:style>
  <w:style w:type="paragraph" w:customStyle="1" w:styleId="Dotpoint2">
    <w:name w:val="Dotpoint2"/>
    <w:rsid w:val="006C45D3"/>
    <w:pPr>
      <w:numPr>
        <w:numId w:val="46"/>
      </w:numPr>
    </w:pPr>
    <w:rPr>
      <w:rFonts w:ascii="Garamond" w:hAnsi="Garamond"/>
      <w:sz w:val="22"/>
      <w:szCs w:val="24"/>
      <w:lang w:eastAsia="en-US"/>
    </w:r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link w:val="BodyTextIndentChar"/>
    <w:rsid w:val="002B658F"/>
    <w:pPr>
      <w:ind w:left="2977"/>
    </w:pPr>
    <w:rPr>
      <w:sz w:val="36"/>
    </w:rPr>
  </w:style>
  <w:style w:type="paragraph" w:customStyle="1" w:styleId="Source">
    <w:name w:val="Source"/>
    <w:rsid w:val="00C15EAF"/>
    <w:pPr>
      <w:spacing w:before="40"/>
      <w:ind w:left="567" w:hanging="567"/>
    </w:pPr>
    <w:rPr>
      <w:rFonts w:ascii="Arial" w:hAnsi="Arial"/>
      <w:sz w:val="15"/>
      <w:szCs w:val="24"/>
      <w:lang w:eastAsia="en-US"/>
    </w:rPr>
  </w:style>
  <w:style w:type="paragraph" w:customStyle="1" w:styleId="NumberedListContinuing">
    <w:name w:val="NumberedListContinuing"/>
    <w:uiPriority w:val="99"/>
    <w:rsid w:val="006C45D3"/>
    <w:pPr>
      <w:spacing w:before="120"/>
    </w:pPr>
    <w:rPr>
      <w:rFonts w:ascii="Garamond" w:hAnsi="Garamond"/>
      <w:sz w:val="22"/>
      <w:szCs w:val="24"/>
    </w:rPr>
  </w:style>
  <w:style w:type="paragraph" w:customStyle="1" w:styleId="Imprint">
    <w:name w:val="Imprint"/>
    <w:basedOn w:val="Normal"/>
    <w:rsid w:val="006C45D3"/>
    <w:pPr>
      <w:spacing w:line="260" w:lineRule="atLeast"/>
    </w:pPr>
    <w:rPr>
      <w:sz w:val="16"/>
    </w:rPr>
  </w:style>
  <w:style w:type="paragraph" w:styleId="FootnoteText">
    <w:name w:val="footnote text"/>
    <w:basedOn w:val="Normal"/>
    <w:rsid w:val="006C45D3"/>
    <w:pPr>
      <w:tabs>
        <w:tab w:val="left" w:pos="1418"/>
      </w:tabs>
      <w:spacing w:before="0" w:line="220" w:lineRule="exact"/>
      <w:ind w:left="227" w:hanging="227"/>
    </w:pPr>
    <w:rPr>
      <w:sz w:val="18"/>
    </w:rPr>
  </w:style>
  <w:style w:type="paragraph" w:customStyle="1" w:styleId="Abstract">
    <w:name w:val="Abstract"/>
    <w:basedOn w:val="Text"/>
    <w:rsid w:val="00CF68EF"/>
    <w:pPr>
      <w:spacing w:before="120"/>
      <w:ind w:firstLine="2977"/>
    </w:pPr>
    <w:rPr>
      <w:smallCaps/>
      <w:sz w:val="20"/>
    </w:rPr>
  </w:style>
  <w:style w:type="table" w:styleId="TableGrid">
    <w:name w:val="Table Grid"/>
    <w:basedOn w:val="TableNormal"/>
    <w:rsid w:val="006C45D3"/>
    <w:pPr>
      <w:spacing w:before="200"/>
    </w:pPr>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outresearch">
    <w:name w:val="About research"/>
    <w:basedOn w:val="contents"/>
    <w:rsid w:val="007B6B23"/>
  </w:style>
  <w:style w:type="paragraph" w:customStyle="1" w:styleId="AboutTitle">
    <w:name w:val="AboutTitle"/>
    <w:rsid w:val="004E2A45"/>
    <w:pPr>
      <w:spacing w:before="440"/>
    </w:pPr>
    <w:rPr>
      <w:rFonts w:ascii="Garamond" w:hAnsi="Garamond"/>
      <w:i/>
      <w:sz w:val="32"/>
      <w:szCs w:val="32"/>
    </w:rPr>
  </w:style>
  <w:style w:type="paragraph" w:customStyle="1" w:styleId="Aboutauthor">
    <w:name w:val="Aboutauthor"/>
    <w:rsid w:val="00410ACE"/>
    <w:pPr>
      <w:spacing w:before="120"/>
    </w:pPr>
    <w:rPr>
      <w:rFonts w:ascii="Garamond" w:hAnsi="Garamond"/>
      <w:sz w:val="28"/>
      <w:szCs w:val="32"/>
    </w:rPr>
  </w:style>
  <w:style w:type="paragraph" w:styleId="BalloonText">
    <w:name w:val="Balloon Text"/>
    <w:basedOn w:val="Normal"/>
    <w:link w:val="BalloonTextChar"/>
    <w:rsid w:val="005E456B"/>
    <w:pPr>
      <w:spacing w:before="0"/>
    </w:pPr>
    <w:rPr>
      <w:rFonts w:ascii="Tahoma" w:hAnsi="Tahoma" w:cs="Tahoma"/>
      <w:sz w:val="16"/>
      <w:szCs w:val="16"/>
    </w:rPr>
  </w:style>
  <w:style w:type="character" w:customStyle="1" w:styleId="BalloonTextChar">
    <w:name w:val="Balloon Text Char"/>
    <w:basedOn w:val="DefaultParagraphFont"/>
    <w:link w:val="BalloonText"/>
    <w:rsid w:val="005E456B"/>
    <w:rPr>
      <w:rFonts w:ascii="Tahoma" w:hAnsi="Tahoma" w:cs="Tahoma"/>
      <w:sz w:val="16"/>
      <w:szCs w:val="16"/>
    </w:rPr>
  </w:style>
  <w:style w:type="character" w:styleId="FootnoteReference">
    <w:name w:val="footnote reference"/>
    <w:basedOn w:val="DefaultParagraphFont"/>
    <w:rsid w:val="006C45D3"/>
    <w:rPr>
      <w:rFonts w:ascii="Garamond" w:hAnsi="Garamond"/>
      <w:sz w:val="22"/>
      <w:vertAlign w:val="superscript"/>
    </w:rPr>
  </w:style>
  <w:style w:type="paragraph" w:styleId="Caption">
    <w:name w:val="caption"/>
    <w:basedOn w:val="Normal"/>
    <w:next w:val="Normal"/>
    <w:uiPriority w:val="35"/>
    <w:semiHidden/>
    <w:qFormat/>
    <w:rsid w:val="0052040C"/>
    <w:pPr>
      <w:spacing w:before="0" w:after="200"/>
    </w:pPr>
    <w:rPr>
      <w:rFonts w:asciiTheme="minorHAnsi" w:eastAsiaTheme="minorHAnsi" w:hAnsiTheme="minorHAnsi" w:cstheme="minorBidi"/>
      <w:b/>
      <w:bCs/>
      <w:color w:val="4F81BD" w:themeColor="accent1"/>
      <w:sz w:val="18"/>
      <w:szCs w:val="18"/>
    </w:rPr>
  </w:style>
  <w:style w:type="paragraph" w:customStyle="1" w:styleId="Default">
    <w:name w:val="Default"/>
    <w:rsid w:val="00030C79"/>
    <w:pPr>
      <w:widowControl w:val="0"/>
      <w:autoSpaceDE w:val="0"/>
      <w:autoSpaceDN w:val="0"/>
      <w:adjustRightInd w:val="0"/>
    </w:pPr>
    <w:rPr>
      <w:rFonts w:ascii="Arial" w:eastAsiaTheme="minorEastAsia" w:hAnsi="Arial" w:cs="Arial"/>
      <w:color w:val="000000"/>
      <w:sz w:val="24"/>
      <w:szCs w:val="24"/>
    </w:rPr>
  </w:style>
  <w:style w:type="character" w:styleId="CommentReference">
    <w:name w:val="annotation reference"/>
    <w:basedOn w:val="DefaultParagraphFont"/>
    <w:rsid w:val="007A5680"/>
    <w:rPr>
      <w:sz w:val="16"/>
      <w:szCs w:val="16"/>
    </w:rPr>
  </w:style>
  <w:style w:type="paragraph" w:styleId="CommentText">
    <w:name w:val="annotation text"/>
    <w:basedOn w:val="Normal"/>
    <w:link w:val="CommentTextChar"/>
    <w:rsid w:val="007A5680"/>
    <w:rPr>
      <w:sz w:val="20"/>
    </w:rPr>
  </w:style>
  <w:style w:type="character" w:customStyle="1" w:styleId="CommentTextChar">
    <w:name w:val="Comment Text Char"/>
    <w:basedOn w:val="DefaultParagraphFont"/>
    <w:link w:val="CommentText"/>
    <w:rsid w:val="007A5680"/>
  </w:style>
  <w:style w:type="paragraph" w:styleId="CommentSubject">
    <w:name w:val="annotation subject"/>
    <w:basedOn w:val="CommentText"/>
    <w:next w:val="CommentText"/>
    <w:link w:val="CommentSubjectChar"/>
    <w:rsid w:val="007A5680"/>
    <w:rPr>
      <w:b/>
      <w:bCs/>
    </w:rPr>
  </w:style>
  <w:style w:type="character" w:customStyle="1" w:styleId="CommentSubjectChar">
    <w:name w:val="Comment Subject Char"/>
    <w:basedOn w:val="CommentTextChar"/>
    <w:link w:val="CommentSubject"/>
    <w:rsid w:val="007A5680"/>
    <w:rPr>
      <w:b/>
      <w:bCs/>
    </w:rPr>
  </w:style>
  <w:style w:type="character" w:customStyle="1" w:styleId="TextChar">
    <w:name w:val="Text Char"/>
    <w:basedOn w:val="DefaultParagraphFont"/>
    <w:link w:val="Text"/>
    <w:locked/>
    <w:rsid w:val="001A4F30"/>
    <w:rPr>
      <w:rFonts w:ascii="Garamond" w:hAnsi="Garamond"/>
      <w:sz w:val="22"/>
      <w:szCs w:val="24"/>
    </w:rPr>
  </w:style>
  <w:style w:type="paragraph" w:customStyle="1" w:styleId="heading-frontpage">
    <w:name w:val="heading-front page"/>
    <w:qFormat/>
    <w:rsid w:val="006C45D3"/>
    <w:pPr>
      <w:spacing w:before="3200"/>
      <w:ind w:left="1559"/>
    </w:pPr>
    <w:rPr>
      <w:rFonts w:ascii="Garamond" w:hAnsi="Garamond"/>
      <w:sz w:val="40"/>
      <w:szCs w:val="24"/>
      <w:lang w:eastAsia="en-US"/>
    </w:rPr>
  </w:style>
  <w:style w:type="paragraph" w:customStyle="1" w:styleId="papertype">
    <w:name w:val="paper type"/>
    <w:qFormat/>
    <w:rsid w:val="006C45D3"/>
    <w:pPr>
      <w:spacing w:before="1200"/>
      <w:ind w:left="1559"/>
    </w:pPr>
    <w:rPr>
      <w:rFonts w:ascii="Garamond" w:hAnsi="Garamond"/>
      <w:smallCaps/>
      <w:sz w:val="28"/>
      <w:szCs w:val="24"/>
      <w:lang w:eastAsia="en-US"/>
    </w:rPr>
  </w:style>
  <w:style w:type="paragraph" w:customStyle="1" w:styleId="text0">
    <w:name w:val="text"/>
    <w:rsid w:val="006C45D3"/>
    <w:pPr>
      <w:spacing w:before="160" w:line="260" w:lineRule="exact"/>
    </w:pPr>
    <w:rPr>
      <w:rFonts w:ascii="Garamond" w:hAnsi="Garamond"/>
      <w:sz w:val="22"/>
      <w:szCs w:val="24"/>
      <w:lang w:eastAsia="en-US"/>
    </w:rPr>
  </w:style>
  <w:style w:type="paragraph" w:customStyle="1" w:styleId="TableTitle0">
    <w:name w:val="TableTitle"/>
    <w:basedOn w:val="Text"/>
    <w:next w:val="Normal"/>
    <w:uiPriority w:val="99"/>
    <w:rsid w:val="006C45D3"/>
    <w:pPr>
      <w:spacing w:after="240"/>
    </w:pPr>
    <w:rPr>
      <w:b/>
    </w:rPr>
  </w:style>
  <w:style w:type="paragraph" w:customStyle="1" w:styleId="text-lessbefore">
    <w:name w:val="text-less#before"/>
    <w:basedOn w:val="text0"/>
    <w:rsid w:val="006C45D3"/>
    <w:pPr>
      <w:spacing w:before="80"/>
    </w:pPr>
  </w:style>
  <w:style w:type="paragraph" w:customStyle="1" w:styleId="text-moreb4">
    <w:name w:val="text-more#b4"/>
    <w:basedOn w:val="text0"/>
    <w:rsid w:val="006C45D3"/>
    <w:pPr>
      <w:spacing w:before="360"/>
    </w:pPr>
  </w:style>
  <w:style w:type="character" w:customStyle="1" w:styleId="BodyTextChar">
    <w:name w:val="Body Text Char"/>
    <w:basedOn w:val="DefaultParagraphFont"/>
    <w:link w:val="BodyText"/>
    <w:rsid w:val="001C2973"/>
    <w:rPr>
      <w:rFonts w:ascii="Garamond" w:hAnsi="Garamond"/>
      <w:sz w:val="16"/>
      <w:szCs w:val="24"/>
      <w:lang w:eastAsia="en-US"/>
    </w:rPr>
  </w:style>
  <w:style w:type="character" w:customStyle="1" w:styleId="BodyTextIndentChar">
    <w:name w:val="Body Text Indent Char"/>
    <w:basedOn w:val="DefaultParagraphFont"/>
    <w:link w:val="BodyTextIndent"/>
    <w:rsid w:val="001C2973"/>
    <w:rPr>
      <w:rFonts w:ascii="Garamond" w:hAnsi="Garamond"/>
      <w:sz w:val="36"/>
      <w:szCs w:val="24"/>
      <w:lang w:eastAsia="en-US"/>
    </w:rPr>
  </w:style>
</w:styles>
</file>

<file path=word/webSettings.xml><?xml version="1.0" encoding="utf-8"?>
<w:webSettings xmlns:r="http://schemas.openxmlformats.org/officeDocument/2006/relationships" xmlns:w="http://schemas.openxmlformats.org/wordprocessingml/2006/main">
  <w:divs>
    <w:div w:id="24870523">
      <w:bodyDiv w:val="1"/>
      <w:marLeft w:val="0"/>
      <w:marRight w:val="0"/>
      <w:marTop w:val="0"/>
      <w:marBottom w:val="0"/>
      <w:divBdr>
        <w:top w:val="none" w:sz="0" w:space="0" w:color="auto"/>
        <w:left w:val="none" w:sz="0" w:space="0" w:color="auto"/>
        <w:bottom w:val="none" w:sz="0" w:space="0" w:color="auto"/>
        <w:right w:val="none" w:sz="0" w:space="0" w:color="auto"/>
      </w:divBdr>
    </w:div>
    <w:div w:id="656421481">
      <w:bodyDiv w:val="1"/>
      <w:marLeft w:val="0"/>
      <w:marRight w:val="0"/>
      <w:marTop w:val="0"/>
      <w:marBottom w:val="0"/>
      <w:divBdr>
        <w:top w:val="none" w:sz="0" w:space="0" w:color="auto"/>
        <w:left w:val="none" w:sz="0" w:space="0" w:color="auto"/>
        <w:bottom w:val="none" w:sz="0" w:space="0" w:color="auto"/>
        <w:right w:val="none" w:sz="0" w:space="0" w:color="auto"/>
      </w:divBdr>
    </w:div>
    <w:div w:id="1084229908">
      <w:bodyDiv w:val="1"/>
      <w:marLeft w:val="0"/>
      <w:marRight w:val="0"/>
      <w:marTop w:val="0"/>
      <w:marBottom w:val="0"/>
      <w:divBdr>
        <w:top w:val="none" w:sz="0" w:space="0" w:color="auto"/>
        <w:left w:val="none" w:sz="0" w:space="0" w:color="auto"/>
        <w:bottom w:val="none" w:sz="0" w:space="0" w:color="auto"/>
        <w:right w:val="none" w:sz="0" w:space="0" w:color="auto"/>
      </w:divBdr>
    </w:div>
    <w:div w:id="1345594783">
      <w:bodyDiv w:val="1"/>
      <w:marLeft w:val="0"/>
      <w:marRight w:val="0"/>
      <w:marTop w:val="0"/>
      <w:marBottom w:val="0"/>
      <w:divBdr>
        <w:top w:val="none" w:sz="0" w:space="0" w:color="auto"/>
        <w:left w:val="none" w:sz="0" w:space="0" w:color="auto"/>
        <w:bottom w:val="none" w:sz="0" w:space="0" w:color="auto"/>
        <w:right w:val="none" w:sz="0" w:space="0" w:color="auto"/>
      </w:divBdr>
    </w:div>
    <w:div w:id="2122022905">
      <w:bodyDiv w:val="1"/>
      <w:marLeft w:val="0"/>
      <w:marRight w:val="0"/>
      <w:marTop w:val="0"/>
      <w:marBottom w:val="0"/>
      <w:divBdr>
        <w:top w:val="none" w:sz="0" w:space="0" w:color="auto"/>
        <w:left w:val="none" w:sz="0" w:space="0" w:color="auto"/>
        <w:bottom w:val="none" w:sz="0" w:space="0" w:color="auto"/>
        <w:right w:val="none" w:sz="0" w:space="0" w:color="auto"/>
      </w:divBdr>
    </w:div>
    <w:div w:id="213281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package" Target="embeddings/Microsoft_Office_Excel_Worksheet1.xlsx"/><Relationship Id="rId26" Type="http://schemas.openxmlformats.org/officeDocument/2006/relationships/hyperlink" Target="http://www.census.gov/ipc/www/idb/%20groups.php" TargetMode="Externa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www.pecc.org/resources/doc_view/820-demographic-change-in-east-and-southeast-asia-and-the-implications-for-the-future" TargetMode="Externa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package" Target="embeddings/Microsoft_Office_Excel_Worksheet2.xls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www.who.int/healthinfo/statistics/mortality_life_tables/en/"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4" Type="http://schemas.openxmlformats.org/officeDocument/2006/relationships/image" Target="media/image6.wmf"/><Relationship Id="rId22" Type="http://schemas.openxmlformats.org/officeDocument/2006/relationships/package" Target="embeddings/Microsoft_Office_Excel_Worksheet3.xlsx"/><Relationship Id="rId27" Type="http://schemas.openxmlformats.org/officeDocument/2006/relationships/hyperlink" Target="http://www.who.int/healthinfo/statistics/mortality_life_tables/en/"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45CA2-1D61-4301-AE06-7B610A526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21</Pages>
  <Words>3937</Words>
  <Characters>22560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26445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tomkarmel</dc:creator>
  <cp:lastModifiedBy>kayemcadam</cp:lastModifiedBy>
  <cp:revision>18</cp:revision>
  <cp:lastPrinted>2011-04-04T23:31:00Z</cp:lastPrinted>
  <dcterms:created xsi:type="dcterms:W3CDTF">2011-03-28T02:15:00Z</dcterms:created>
  <dcterms:modified xsi:type="dcterms:W3CDTF">2011-04-18T23:58:00Z</dcterms:modified>
</cp:coreProperties>
</file>