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0D2" w:rsidRDefault="007B70D2" w:rsidP="007B70D2">
      <w:pPr>
        <w:pStyle w:val="PublicationTitle"/>
        <w:spacing w:before="0"/>
      </w:pPr>
      <w:bookmarkStart w:id="0" w:name="_Toc296423677"/>
      <w:bookmarkStart w:id="1" w:name="_Toc296497508"/>
      <w:r>
        <w:rPr>
          <w:noProof/>
          <w:lang w:eastAsia="en-AU"/>
        </w:rPr>
        <w:drawing>
          <wp:anchor distT="0" distB="0" distL="114300" distR="114300" simplePos="0" relativeHeight="25167462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7360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4"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7B70D2" w:rsidRDefault="007B70D2" w:rsidP="007B70D2">
      <w:pPr>
        <w:pStyle w:val="PublicationTitle"/>
        <w:spacing w:before="0" w:after="0"/>
      </w:pPr>
    </w:p>
    <w:p w:rsidR="007B70D2" w:rsidRDefault="007B70D2" w:rsidP="007B70D2">
      <w:pPr>
        <w:pStyle w:val="PublicationTitle"/>
        <w:spacing w:before="0" w:after="0"/>
        <w:rPr>
          <w:noProof/>
          <w:lang w:eastAsia="en-AU"/>
        </w:rPr>
      </w:pPr>
    </w:p>
    <w:p w:rsidR="007B70D2" w:rsidRDefault="007B70D2" w:rsidP="007B70D2">
      <w:pPr>
        <w:pStyle w:val="PublicationTitle"/>
        <w:spacing w:before="0"/>
      </w:pPr>
    </w:p>
    <w:p w:rsidR="009E231A" w:rsidRPr="005C2FCF" w:rsidRDefault="00725D5C" w:rsidP="00725D5C">
      <w:pPr>
        <w:pStyle w:val="PublicationTitle"/>
        <w:spacing w:before="0"/>
      </w:pPr>
      <w:r>
        <w:t>Does 1 = 1? Mapping measures of adult literacy and numeracy</w:t>
      </w:r>
      <w:bookmarkEnd w:id="0"/>
      <w:bookmarkEnd w:id="1"/>
    </w:p>
    <w:p w:rsidR="007B70D2" w:rsidRDefault="00725D5C" w:rsidP="00177827">
      <w:pPr>
        <w:pStyle w:val="Authors"/>
      </w:pPr>
      <w:bookmarkStart w:id="2" w:name="_Toc98394874"/>
      <w:bookmarkStart w:id="3" w:name="_Toc296423678"/>
      <w:bookmarkStart w:id="4" w:name="_Toc296497509"/>
      <w:r>
        <w:t>Michelle Circelli</w:t>
      </w:r>
      <w:bookmarkEnd w:id="2"/>
    </w:p>
    <w:p w:rsidR="007B70D2" w:rsidRDefault="002A4123" w:rsidP="007B70D2">
      <w:pPr>
        <w:pStyle w:val="Organisation"/>
        <w:spacing w:before="80"/>
      </w:pPr>
      <w:r>
        <w:t>NCVER</w:t>
      </w:r>
    </w:p>
    <w:p w:rsidR="007B70D2" w:rsidRDefault="00FD38AE" w:rsidP="007B70D2">
      <w:pPr>
        <w:pStyle w:val="Authors"/>
        <w:spacing w:before="120"/>
        <w:ind w:right="0"/>
      </w:pPr>
      <w:r>
        <w:t>Shelley Gillis</w:t>
      </w:r>
    </w:p>
    <w:p w:rsidR="007B70D2" w:rsidRDefault="002A4123" w:rsidP="007B70D2">
      <w:pPr>
        <w:pStyle w:val="Organisation"/>
        <w:spacing w:before="80"/>
      </w:pPr>
      <w:r>
        <w:t>Work-based Education Research Centre, Victoria University</w:t>
      </w:r>
    </w:p>
    <w:p w:rsidR="007B70D2" w:rsidRDefault="00751407" w:rsidP="007B70D2">
      <w:pPr>
        <w:pStyle w:val="Authors"/>
        <w:spacing w:before="120"/>
        <w:ind w:right="0"/>
      </w:pPr>
      <w:r>
        <w:t xml:space="preserve">Mark </w:t>
      </w:r>
      <w:proofErr w:type="spellStart"/>
      <w:r>
        <w:t>Dulhunty</w:t>
      </w:r>
      <w:proofErr w:type="spellEnd"/>
    </w:p>
    <w:p w:rsidR="007B70D2" w:rsidRDefault="00751407" w:rsidP="00177827">
      <w:pPr>
        <w:pStyle w:val="Authors"/>
      </w:pPr>
      <w:r>
        <w:t>Margaret Wu</w:t>
      </w:r>
    </w:p>
    <w:p w:rsidR="007B70D2" w:rsidRDefault="00751407" w:rsidP="00177827">
      <w:pPr>
        <w:pStyle w:val="Authors"/>
      </w:pPr>
      <w:r>
        <w:t xml:space="preserve">Leanne </w:t>
      </w:r>
      <w:proofErr w:type="spellStart"/>
      <w:r>
        <w:t>Calvitto</w:t>
      </w:r>
      <w:proofErr w:type="spellEnd"/>
    </w:p>
    <w:p w:rsidR="00177827" w:rsidRPr="00751407" w:rsidRDefault="002A4123" w:rsidP="007B70D2">
      <w:pPr>
        <w:pStyle w:val="Organisation"/>
        <w:spacing w:before="80"/>
      </w:pPr>
      <w:r>
        <w:t>Educational Measurement Solutions</w:t>
      </w:r>
      <w:r w:rsidR="00751407">
        <w:t xml:space="preserve"> </w:t>
      </w:r>
    </w:p>
    <w:bookmarkEnd w:id="3"/>
    <w:bookmarkEnd w:id="4"/>
    <w:p w:rsidR="00DB599C" w:rsidRDefault="005B496F" w:rsidP="0006125F">
      <w:pPr>
        <w:pStyle w:val="Heading3"/>
        <w:ind w:right="-1"/>
      </w:pPr>
      <w:r>
        <w:rPr>
          <w:noProof/>
          <w:lang w:eastAsia="en-AU"/>
        </w:rPr>
        <w:pict>
          <v:shapetype id="_x0000_t202" coordsize="21600,21600" o:spt="202" path="m,l,21600r21600,l21600,xe">
            <v:stroke joinstyle="miter"/>
            <v:path gradientshapeok="t" o:connecttype="rect"/>
          </v:shapetype>
          <v:shape id="Text Box 12" o:spid="_x0000_s1026" type="#_x0000_t202" style="position:absolute;margin-left:79.95pt;margin-top:555.35pt;width:264.8pt;height:83pt;z-index:251660288;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54EtgIAALw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" filled="f" stroked="f">
            <v:textbox style="mso-next-textbox:#Text Box 12">
              <w:txbxContent>
                <w:p w:rsidR="00E607CE" w:rsidRPr="00E7228F" w:rsidRDefault="00E607CE" w:rsidP="00E7228F">
                  <w:pPr>
                    <w:pStyle w:val="Heading3"/>
                    <w:rPr>
                      <w:rFonts w:ascii="Trebuchet MS" w:hAnsi="Trebuchet MS"/>
                      <w:szCs w:val="24"/>
                    </w:rPr>
                  </w:pPr>
                  <w:r w:rsidRPr="00E7228F">
                    <w:rPr>
                      <w:rFonts w:ascii="Trebuchet MS" w:hAnsi="Trebuchet MS"/>
                      <w:szCs w:val="24"/>
                    </w:rPr>
                    <w:t xml:space="preserve">NATIONAL CENTRE FOR VOCATIONAL EDUCATION RESEARCH </w:t>
                  </w:r>
                </w:p>
                <w:p w:rsidR="00E607CE" w:rsidRPr="00E7228F" w:rsidRDefault="00E607CE" w:rsidP="00E7228F">
                  <w:pPr>
                    <w:pStyle w:val="Heading3"/>
                    <w:spacing w:before="80"/>
                    <w:rPr>
                      <w:rFonts w:ascii="Trebuchet MS" w:hAnsi="Trebuchet MS"/>
                      <w:szCs w:val="24"/>
                    </w:rPr>
                  </w:pPr>
                  <w:r w:rsidRPr="00E7228F">
                    <w:rPr>
                      <w:rFonts w:ascii="Trebuchet MS" w:hAnsi="Trebuchet MS"/>
                      <w:b/>
                      <w:szCs w:val="24"/>
                    </w:rPr>
                    <w:t>RESEARCH REPORT</w:t>
                  </w:r>
                </w:p>
              </w:txbxContent>
            </v:textbox>
            <w10:wrap anchory="margin"/>
          </v:shape>
        </w:pict>
      </w:r>
      <w:r>
        <w:rPr>
          <w:noProof/>
          <w:lang w:eastAsia="en-AU"/>
        </w:rPr>
        <w:pict>
          <v:shape id="Text Box 10" o:spid="_x0000_s1027" type="#_x0000_t202" style="position:absolute;margin-left:73.1pt;margin-top:659.7pt;width:357pt;height:83pt;z-index:251658240;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Z9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" filled="f" stroked="f">
            <v:textbox style="mso-next-textbox:#Text Box 10">
              <w:txbxContent>
                <w:p w:rsidR="00E607CE" w:rsidRPr="00861CE5" w:rsidRDefault="00E607CE" w:rsidP="00E7228F">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t>
                  </w:r>
                  <w:r>
                    <w:rPr>
                      <w:color w:val="000000"/>
                    </w:rPr>
                    <w:t>ws of the Australian Government</w:t>
                  </w:r>
                  <w:r>
                    <w:rPr>
                      <w:color w:val="000000"/>
                    </w:rPr>
                    <w:br/>
                    <w:t>or</w:t>
                  </w:r>
                  <w:r w:rsidRPr="005C2FCF">
                    <w:rPr>
                      <w:color w:val="000000"/>
                    </w:rPr>
                    <w:t xml:space="preserve"> state and territory governments.</w:t>
                  </w:r>
                </w:p>
              </w:txbxContent>
            </v:textbox>
            <w10:wrap anchory="margin"/>
          </v:shape>
        </w:pict>
      </w:r>
    </w:p>
    <w:p w:rsidR="008B22E2" w:rsidRDefault="00FE4A2D" w:rsidP="00E57478">
      <w:pPr>
        <w:pStyle w:val="Heading3"/>
        <w:ind w:right="-1"/>
      </w:pPr>
      <w:r w:rsidRPr="005C2FCF">
        <w:br w:type="page"/>
      </w:r>
    </w:p>
    <w:p w:rsidR="009E231A" w:rsidRPr="005C2FCF" w:rsidRDefault="00FE4A2D" w:rsidP="00E57478">
      <w:pPr>
        <w:pStyle w:val="Heading3"/>
        <w:ind w:right="-1"/>
      </w:pPr>
      <w:r w:rsidRPr="005C2FCF">
        <w:lastRenderedPageBreak/>
        <w:t>Publisher’s note</w:t>
      </w:r>
    </w:p>
    <w:p w:rsidR="00233BFA" w:rsidRPr="00FA4E2D" w:rsidRDefault="00233BFA" w:rsidP="00B15D1A">
      <w:pPr>
        <w:pStyle w:val="Imprint"/>
        <w:ind w:right="850"/>
      </w:pPr>
      <w:r w:rsidRPr="00FA4E2D">
        <w:t xml:space="preserve">Additional information relating to this research is available in </w:t>
      </w:r>
      <w:proofErr w:type="gramStart"/>
      <w:r w:rsidR="00386E7F">
        <w:rPr>
          <w:i/>
        </w:rPr>
        <w:t>Mapping</w:t>
      </w:r>
      <w:proofErr w:type="gramEnd"/>
      <w:r w:rsidR="00386E7F">
        <w:rPr>
          <w:i/>
        </w:rPr>
        <w:t xml:space="preserve"> adult literacy performance: </w:t>
      </w:r>
      <w:r w:rsidR="009D1298">
        <w:rPr>
          <w:i/>
        </w:rPr>
        <w:t>support document</w:t>
      </w:r>
      <w:r>
        <w:t>.</w:t>
      </w:r>
      <w:r w:rsidRPr="00FA4E2D">
        <w:t xml:space="preserve"> It can be accessed from NCVER’s website &lt;http://www.ncver.edu.au</w:t>
      </w:r>
      <w:r>
        <w:t>/publications/</w:t>
      </w:r>
      <w:r w:rsidR="009D1298">
        <w:t>2581</w:t>
      </w:r>
      <w:r>
        <w:t>.html&gt;</w:t>
      </w:r>
      <w:r w:rsidRPr="00FA4E2D">
        <w:t>.</w:t>
      </w:r>
    </w:p>
    <w:p w:rsidR="00233BFA" w:rsidRDefault="00233BFA" w:rsidP="00B15D1A">
      <w:pPr>
        <w:pStyle w:val="Imprint"/>
        <w:ind w:right="850"/>
      </w:pPr>
      <w:r>
        <w:t>To find other material of interest, search VOCED (the UNESCO/NCVER international database &lt;</w:t>
      </w:r>
      <w:hyperlink r:id="rId10" w:history="1">
        <w:r>
          <w:t>http://www.voced.edu.au</w:t>
        </w:r>
      </w:hyperlink>
      <w:r>
        <w:t xml:space="preserve">&gt;) using the following keywords: </w:t>
      </w:r>
      <w:r w:rsidR="005D59ED">
        <w:t xml:space="preserve">adult education; assessment; labour market; language; literacy; measurement; numeracy; outcomes; participation. </w:t>
      </w:r>
    </w:p>
    <w:p w:rsidR="00FF5931" w:rsidRDefault="00FF5931" w:rsidP="00233BFA">
      <w:pPr>
        <w:pStyle w:val="Imprint"/>
        <w:rPr>
          <w:sz w:val="19"/>
          <w:szCs w:val="19"/>
        </w:rPr>
      </w:pPr>
    </w:p>
    <w:p w:rsidR="00730DEA" w:rsidRPr="005C2FCF" w:rsidRDefault="005B496F" w:rsidP="00730DEA">
      <w:pPr>
        <w:pStyle w:val="Abouttheresearch"/>
      </w:pPr>
      <w:r>
        <w:rPr>
          <w:noProof/>
          <w:lang w:eastAsia="en-AU"/>
        </w:rPr>
        <w:pict>
          <v:shape id="Text Box 14" o:spid="_x0000_s1029" type="#_x0000_t202" style="position:absolute;margin-left:0;margin-top:75.35pt;width:359.7pt;height:456pt;z-index:25166131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CUdEHZtQIAALoF&#10;AAAOAAAAAAAAAAAAAAAAAC4CAABkcnMvZTJvRG9jLnhtbFBLAQItABQABgAIAAAAIQC3YeMF3gAA&#10;AAkBAAAPAAAAAAAAAAAAAAAAAA8FAABkcnMvZG93bnJldi54bWxQSwUGAAAAAAQABADzAAAAGgYA&#10;AAAA&#10;" filled="f" stroked="f">
            <v:textbox inset="0,,0">
              <w:txbxContent>
                <w:p w:rsidR="00E607CE" w:rsidRPr="00E7228F" w:rsidRDefault="00E607CE" w:rsidP="00E7228F">
                  <w:pPr>
                    <w:pStyle w:val="Imprint"/>
                    <w:rPr>
                      <w:b/>
                    </w:rPr>
                  </w:pPr>
                  <w:r w:rsidRPr="00E7228F">
                    <w:rPr>
                      <w:b/>
                    </w:rPr>
                    <w:t>© National Centre for Vocational Education Research,</w:t>
                  </w:r>
                  <w:r>
                    <w:rPr>
                      <w:b/>
                    </w:rPr>
                    <w:t xml:space="preserve"> 2012</w:t>
                  </w:r>
                </w:p>
                <w:p w:rsidR="00E607CE" w:rsidRDefault="00E607CE" w:rsidP="00E7228F">
                  <w:pPr>
                    <w:widowControl w:val="0"/>
                    <w:tabs>
                      <w:tab w:val="left" w:pos="1417"/>
                    </w:tabs>
                    <w:suppressAutoHyphens/>
                    <w:autoSpaceDE w:val="0"/>
                    <w:autoSpaceDN w:val="0"/>
                    <w:adjustRightInd w:val="0"/>
                    <w:spacing w:before="170" w:line="260" w:lineRule="atLeast"/>
                    <w:textAlignment w:val="center"/>
                    <w:rPr>
                      <w:rFonts w:ascii="TrebuchetMS" w:hAnsi="TrebuchetMS" w:cs="TrebuchetMS"/>
                      <w:color w:val="000000"/>
                      <w:sz w:val="16"/>
                      <w:szCs w:val="16"/>
                      <w:lang w:val="en-GB"/>
                    </w:rPr>
                  </w:pPr>
                  <w:r>
                    <w:rPr>
                      <w:rFonts w:ascii="TrebuchetMS-Bold" w:hAnsi="TrebuchetMS-Bold" w:cs="TrebuchetMS-Bold"/>
                      <w:b/>
                      <w:bCs/>
                      <w:noProof/>
                      <w:color w:val="000000"/>
                      <w:sz w:val="16"/>
                      <w:szCs w:val="16"/>
                      <w:lang w:eastAsia="en-AU"/>
                    </w:rPr>
                    <w:drawing>
                      <wp:inline distT="0" distB="0" distL="0" distR="0">
                        <wp:extent cx="850265" cy="302895"/>
                        <wp:effectExtent l="19050" t="0" r="6985" b="0"/>
                        <wp:docPr id="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E607CE" w:rsidRPr="00E7228F" w:rsidRDefault="00E607CE" w:rsidP="00E7228F">
                  <w:pPr>
                    <w:pStyle w:val="Imprint"/>
                    <w:rPr>
                      <w:szCs w:val="16"/>
                      <w:lang w:val="en-GB"/>
                    </w:rPr>
                  </w:pPr>
                  <w:r w:rsidRPr="00E7228F">
                    <w:rPr>
                      <w:szCs w:val="16"/>
                      <w:lang w:val="en-GB"/>
                    </w:rPr>
                    <w:t xml:space="preserve">With the exception of cover design, artwork, photographs, all logos, and any other material where copyright is owned by a third party, all material presented in this document </w:t>
                  </w:r>
                  <w:proofErr w:type="gramStart"/>
                  <w:r w:rsidRPr="00E7228F">
                    <w:rPr>
                      <w:szCs w:val="16"/>
                      <w:lang w:val="en-GB"/>
                    </w:rPr>
                    <w:t>is</w:t>
                  </w:r>
                  <w:proofErr w:type="gramEnd"/>
                  <w:r w:rsidRPr="00E7228F">
                    <w:rPr>
                      <w:szCs w:val="16"/>
                      <w:lang w:val="en-GB"/>
                    </w:rPr>
                    <w:t xml:space="preserve"> provided under a Creative Commons Attribution 3.0 Australia &lt;http://creativecommons.org/licenses/by/3.0/au&gt;. </w:t>
                  </w:r>
                </w:p>
                <w:p w:rsidR="00E607CE" w:rsidRPr="00E7228F" w:rsidRDefault="00E607CE" w:rsidP="00E7228F">
                  <w:pPr>
                    <w:pStyle w:val="Imprint"/>
                    <w:spacing w:before="80"/>
                    <w:rPr>
                      <w:rFonts w:cs="TrebuchetMS-Italic"/>
                      <w:i/>
                      <w:iCs/>
                      <w:szCs w:val="16"/>
                      <w:lang w:val="en-GB"/>
                    </w:rPr>
                  </w:pPr>
                  <w:r w:rsidRPr="00E7228F">
                    <w:rPr>
                      <w:szCs w:val="16"/>
                      <w:lang w:val="en-GB"/>
                    </w:rPr>
                    <w:t xml:space="preserve">This document should be attributed as </w:t>
                  </w:r>
                  <w:r>
                    <w:rPr>
                      <w:szCs w:val="16"/>
                      <w:lang w:val="en-GB"/>
                    </w:rPr>
                    <w:t xml:space="preserve">Circelli, M, Gillis, S, </w:t>
                  </w:r>
                  <w:proofErr w:type="spellStart"/>
                  <w:r>
                    <w:rPr>
                      <w:szCs w:val="16"/>
                      <w:lang w:val="en-GB"/>
                    </w:rPr>
                    <w:t>Dulhunty</w:t>
                  </w:r>
                  <w:proofErr w:type="spellEnd"/>
                  <w:r>
                    <w:rPr>
                      <w:szCs w:val="16"/>
                      <w:lang w:val="en-GB"/>
                    </w:rPr>
                    <w:t xml:space="preserve">, M, Wu, M &amp; </w:t>
                  </w:r>
                  <w:proofErr w:type="spellStart"/>
                  <w:r>
                    <w:rPr>
                      <w:szCs w:val="16"/>
                      <w:lang w:val="en-GB"/>
                    </w:rPr>
                    <w:t>Calvitto</w:t>
                  </w:r>
                  <w:proofErr w:type="spellEnd"/>
                  <w:r>
                    <w:rPr>
                      <w:szCs w:val="16"/>
                      <w:lang w:val="en-GB"/>
                    </w:rPr>
                    <w:t xml:space="preserve">, L 2012, </w:t>
                  </w:r>
                  <w:r>
                    <w:rPr>
                      <w:i/>
                      <w:szCs w:val="16"/>
                      <w:lang w:val="en-GB"/>
                    </w:rPr>
                    <w:t>Does 1 = 1? Mapping measures of adult literacy and numeracy</w:t>
                  </w:r>
                  <w:r w:rsidRPr="00E7228F">
                    <w:rPr>
                      <w:rFonts w:cs="TrebuchetMS-Italic"/>
                      <w:i/>
                      <w:iCs/>
                      <w:szCs w:val="16"/>
                      <w:lang w:val="en-GB"/>
                    </w:rPr>
                    <w:t xml:space="preserve">, </w:t>
                  </w:r>
                  <w:r w:rsidRPr="00E7228F">
                    <w:rPr>
                      <w:rFonts w:cs="TrebuchetMS-Italic"/>
                      <w:iCs/>
                      <w:szCs w:val="16"/>
                      <w:lang w:val="en-GB"/>
                    </w:rPr>
                    <w:t>NCVER, Adelaide</w:t>
                  </w:r>
                  <w:r w:rsidRPr="00E7228F">
                    <w:rPr>
                      <w:rFonts w:cs="TrebuchetMS-Italic"/>
                      <w:i/>
                      <w:iCs/>
                      <w:szCs w:val="16"/>
                      <w:lang w:val="en-GB"/>
                    </w:rPr>
                    <w:t>.</w:t>
                  </w:r>
                </w:p>
                <w:p w:rsidR="00E607CE" w:rsidRPr="00E7228F" w:rsidRDefault="00E607CE" w:rsidP="00E7228F">
                  <w:pPr>
                    <w:pStyle w:val="Imprint"/>
                    <w:rPr>
                      <w:szCs w:val="16"/>
                      <w:lang w:val="en-GB"/>
                    </w:rPr>
                  </w:pPr>
                  <w:r w:rsidRPr="00E7228F">
                    <w:rPr>
                      <w:szCs w:val="16"/>
                      <w:lang w:val="en-GB"/>
                    </w:rPr>
                    <w:t>The National Centre for Vocational Education Research (NCVER) is an independent body responsible for collecting, managing and analysing, evaluating and communicating research and statistics about vocational education and training (VET).</w:t>
                  </w:r>
                </w:p>
                <w:p w:rsidR="00E607CE" w:rsidRPr="00E7228F" w:rsidRDefault="00E607CE" w:rsidP="00E7228F">
                  <w:pPr>
                    <w:pStyle w:val="Imprint"/>
                    <w:spacing w:before="80"/>
                    <w:rPr>
                      <w:szCs w:val="16"/>
                      <w:lang w:val="en-GB"/>
                    </w:rPr>
                  </w:pPr>
                  <w:r w:rsidRPr="00E7228F">
                    <w:rPr>
                      <w:szCs w:val="16"/>
                      <w:lang w:val="en-GB"/>
                    </w:rPr>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rsidR="00E607CE" w:rsidRPr="00E7228F" w:rsidRDefault="00E607CE" w:rsidP="00E7228F">
                  <w:pPr>
                    <w:pStyle w:val="Imprint"/>
                    <w:spacing w:before="80"/>
                    <w:rPr>
                      <w:szCs w:val="16"/>
                      <w:lang w:val="en-GB"/>
                    </w:rPr>
                  </w:pPr>
                  <w:r w:rsidRPr="00E7228F">
                    <w:rPr>
                      <w:szCs w:val="16"/>
                      <w:lang w:val="en-US"/>
                    </w:rPr>
                    <w:t>The views and opinions expressed in this document are those of NCVER and do not necessarily reflect the views of the Australian Government or state and territory governments.</w:t>
                  </w:r>
                </w:p>
                <w:p w:rsidR="00E607CE" w:rsidRPr="005C2FCF" w:rsidRDefault="00E607CE" w:rsidP="009D1298">
                  <w:pPr>
                    <w:pStyle w:val="Imprint"/>
                    <w:rPr>
                      <w:color w:val="000000"/>
                    </w:rPr>
                  </w:pPr>
                  <w:r w:rsidRPr="005C2FCF">
                    <w:rPr>
                      <w:color w:val="000000"/>
                    </w:rPr>
                    <w:t>ISBN</w:t>
                  </w:r>
                  <w:r w:rsidRPr="005C2FCF">
                    <w:rPr>
                      <w:color w:val="000000"/>
                    </w:rPr>
                    <w:tab/>
                  </w:r>
                  <w:r>
                    <w:rPr>
                      <w:color w:val="000000"/>
                    </w:rPr>
                    <w:t>978 1 922056 41 2</w:t>
                  </w:r>
                  <w:r w:rsidRPr="005C2FCF">
                    <w:rPr>
                      <w:color w:val="000000"/>
                    </w:rPr>
                    <w:br/>
                    <w:t>TD/TNC</w:t>
                  </w:r>
                  <w:r w:rsidRPr="005C2FCF">
                    <w:rPr>
                      <w:color w:val="000000"/>
                    </w:rPr>
                    <w:tab/>
                  </w:r>
                  <w:r>
                    <w:rPr>
                      <w:color w:val="000000"/>
                    </w:rPr>
                    <w:t>110.25</w:t>
                  </w:r>
                </w:p>
                <w:p w:rsidR="00E607CE" w:rsidRPr="005C2FCF" w:rsidRDefault="00E607CE" w:rsidP="00E7228F">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E607CE" w:rsidRPr="005C2FCF" w:rsidRDefault="00E607CE" w:rsidP="00E7228F">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E607CE" w:rsidRPr="00541B94" w:rsidRDefault="00E607CE" w:rsidP="00E7228F">
                  <w:pPr>
                    <w:pStyle w:val="Imprint"/>
                    <w:spacing w:before="80"/>
                    <w:rPr>
                      <w:color w:val="000000"/>
                    </w:rPr>
                  </w:pPr>
                  <w:r w:rsidRPr="00E7228F">
                    <w:rPr>
                      <w:b/>
                      <w:color w:val="000000"/>
                    </w:rPr>
                    <w:t>P</w:t>
                  </w:r>
                  <w:r w:rsidRPr="005C2FCF">
                    <w:rPr>
                      <w:color w:val="000000"/>
                    </w:rPr>
                    <w:t xml:space="preserve"> +61 8 8230 8400 </w:t>
                  </w:r>
                  <w:r>
                    <w:rPr>
                      <w:color w:val="000000"/>
                    </w:rPr>
                    <w:t xml:space="preserve">  </w:t>
                  </w:r>
                  <w:r w:rsidRPr="00E7228F">
                    <w:rPr>
                      <w:b/>
                      <w:color w:val="000000"/>
                    </w:rPr>
                    <w:t>F</w:t>
                  </w:r>
                  <w:r w:rsidRPr="005C2FCF">
                    <w:rPr>
                      <w:color w:val="000000"/>
                    </w:rPr>
                    <w:t xml:space="preserve"> +61 8 8212 3436</w:t>
                  </w:r>
                  <w:r>
                    <w:rPr>
                      <w:color w:val="000000"/>
                    </w:rPr>
                    <w:t xml:space="preserve">   </w:t>
                  </w:r>
                  <w:r w:rsidRPr="00E7228F">
                    <w:rPr>
                      <w:b/>
                      <w:color w:val="000000"/>
                    </w:rPr>
                    <w:t>E</w:t>
                  </w:r>
                  <w:r w:rsidRPr="005C2FCF">
                    <w:rPr>
                      <w:color w:val="000000"/>
                    </w:rPr>
                    <w:t xml:space="preserve"> </w:t>
                  </w:r>
                  <w:hyperlink r:id="rId12" w:history="1">
                    <w:r w:rsidRPr="00441898">
                      <w:rPr>
                        <w:rStyle w:val="Hyperlink"/>
                        <w:sz w:val="16"/>
                      </w:rPr>
                      <w:t>ncver@ncver.edu.au</w:t>
                    </w:r>
                  </w:hyperlink>
                  <w:r>
                    <w:rPr>
                      <w:color w:val="000000"/>
                    </w:rPr>
                    <w:t xml:space="preserve">   </w:t>
                  </w:r>
                  <w:r w:rsidRPr="00E7228F">
                    <w:rPr>
                      <w:b/>
                      <w:color w:val="000000"/>
                    </w:rPr>
                    <w:t>W</w:t>
                  </w:r>
                  <w:r>
                    <w:rPr>
                      <w:color w:val="000000"/>
                    </w:rPr>
                    <w:t xml:space="preserve"> </w:t>
                  </w:r>
                  <w:r w:rsidRPr="005C2FCF">
                    <w:rPr>
                      <w:color w:val="000000"/>
                    </w:rPr>
                    <w:t>&lt;http://www.ncver.edu.au&gt;</w:t>
                  </w:r>
                  <w:r>
                    <w:rPr>
                      <w:color w:val="000000"/>
                    </w:rPr>
                    <w:t xml:space="preserve"> </w:t>
                  </w:r>
                </w:p>
              </w:txbxContent>
            </v:textbox>
          </v:shape>
        </w:pict>
      </w:r>
      <w:r w:rsidR="00FE4A2D" w:rsidRPr="005C2FCF">
        <w:br w:type="page"/>
      </w:r>
      <w:bookmarkStart w:id="5" w:name="_Toc73766312"/>
      <w:bookmarkStart w:id="6" w:name="_Toc77937774"/>
      <w:bookmarkStart w:id="7" w:name="_Toc80174750"/>
      <w:bookmarkStart w:id="8" w:name="_Toc81560506"/>
      <w:bookmarkStart w:id="9" w:name="_Toc82071799"/>
      <w:bookmarkStart w:id="10" w:name="_Toc82151754"/>
      <w:bookmarkStart w:id="11" w:name="_Toc82498260"/>
      <w:bookmarkStart w:id="12" w:name="_Toc86829097"/>
      <w:bookmarkStart w:id="13" w:name="_Toc89226248"/>
      <w:bookmarkStart w:id="14" w:name="_Toc89240893"/>
      <w:bookmarkStart w:id="15" w:name="_Toc98394875"/>
      <w:bookmarkStart w:id="16" w:name="_Toc296423679"/>
      <w:bookmarkStart w:id="17" w:name="_Toc296497510"/>
    </w:p>
    <w:p w:rsidR="00730DEA" w:rsidRPr="00C77DC6" w:rsidRDefault="00730DEA" w:rsidP="00730DEA">
      <w:pPr>
        <w:pStyle w:val="Abouttheresearch"/>
      </w:pPr>
      <w:r w:rsidRPr="005C2FCF">
        <w:t>About the research</w:t>
      </w:r>
    </w:p>
    <w:p w:rsidR="00730DEA" w:rsidRDefault="00730DEA" w:rsidP="00730DEA">
      <w:pPr>
        <w:pStyle w:val="Abouttheresearchpubtitle"/>
      </w:pPr>
      <w:r>
        <w:t>Does 1 = 1? Mapping measures of adult literacy and numeracy</w:t>
      </w:r>
    </w:p>
    <w:p w:rsidR="00730DEA" w:rsidRPr="001B43CF" w:rsidRDefault="00730DEA" w:rsidP="00730DEA">
      <w:pPr>
        <w:pStyle w:val="Heading3"/>
      </w:pPr>
      <w:r>
        <w:t xml:space="preserve">Michelle Circelli, </w:t>
      </w:r>
      <w:r w:rsidR="00EE306A">
        <w:t>NCVER;</w:t>
      </w:r>
      <w:r w:rsidR="002A4123">
        <w:t xml:space="preserve"> </w:t>
      </w:r>
      <w:r>
        <w:t xml:space="preserve">Shelley Gillis, </w:t>
      </w:r>
      <w:r w:rsidR="002A4123">
        <w:t xml:space="preserve">Work-based Education </w:t>
      </w:r>
      <w:r w:rsidR="00EE306A">
        <w:t>Research Centre,</w:t>
      </w:r>
      <w:r w:rsidR="002A4123">
        <w:t xml:space="preserve"> Victoria Universi</w:t>
      </w:r>
      <w:r w:rsidR="00EE306A">
        <w:t>ty;</w:t>
      </w:r>
      <w:r w:rsidR="002A4123">
        <w:t xml:space="preserve"> </w:t>
      </w:r>
      <w:r>
        <w:t xml:space="preserve">Mark </w:t>
      </w:r>
      <w:proofErr w:type="spellStart"/>
      <w:r>
        <w:t>Dulhunty</w:t>
      </w:r>
      <w:proofErr w:type="spellEnd"/>
      <w:r>
        <w:t>, M</w:t>
      </w:r>
      <w:r w:rsidR="00E97359">
        <w:t xml:space="preserve">argaret Wu and Leanne </w:t>
      </w:r>
      <w:proofErr w:type="spellStart"/>
      <w:r w:rsidR="00E97359">
        <w:t>Calvitto</w:t>
      </w:r>
      <w:proofErr w:type="spellEnd"/>
      <w:r w:rsidR="002A4123">
        <w:t>, Educational Measurement Solutions</w:t>
      </w:r>
    </w:p>
    <w:p w:rsidR="002F336E" w:rsidRPr="0018697E" w:rsidRDefault="00730DEA" w:rsidP="0018697E">
      <w:pPr>
        <w:pStyle w:val="Text"/>
        <w:spacing w:line="290" w:lineRule="exact"/>
        <w:ind w:right="-143"/>
      </w:pPr>
      <w:r w:rsidRPr="00CA166D">
        <w:t xml:space="preserve">Being able to measure the level of proficiency in </w:t>
      </w:r>
      <w:r w:rsidR="00EE306A">
        <w:t>literacy and numeracy skills</w:t>
      </w:r>
      <w:r w:rsidRPr="00CA166D">
        <w:t>, and any changes in the level of skills, is important for getting a sense of how well language, literacy and numeracy programs are working.</w:t>
      </w:r>
      <w:r w:rsidR="004660C3">
        <w:t xml:space="preserve"> </w:t>
      </w:r>
      <w:r w:rsidR="00EE306A">
        <w:t>A</w:t>
      </w:r>
      <w:r w:rsidR="00D42D41">
        <w:t>mong the</w:t>
      </w:r>
      <w:r w:rsidRPr="004B0B11">
        <w:t xml:space="preserve"> tools used to </w:t>
      </w:r>
      <w:r w:rsidRPr="0018697E">
        <w:t xml:space="preserve">measure language, literacy and numeracy proficiency </w:t>
      </w:r>
      <w:r w:rsidR="001D5D32" w:rsidRPr="0018697E">
        <w:t>i</w:t>
      </w:r>
      <w:r w:rsidR="00EE306A" w:rsidRPr="0018697E">
        <w:t xml:space="preserve">n Australia </w:t>
      </w:r>
      <w:r w:rsidRPr="0018697E">
        <w:t>are the Adult Literacy and Life Skills</w:t>
      </w:r>
      <w:r w:rsidR="00600B2D" w:rsidRPr="0018697E">
        <w:t xml:space="preserve"> (ALLS)</w:t>
      </w:r>
      <w:r w:rsidRPr="0018697E">
        <w:t xml:space="preserve"> survey and the A</w:t>
      </w:r>
      <w:r w:rsidR="00FB32D7" w:rsidRPr="0018697E">
        <w:t>ustralian Core Skills Framework</w:t>
      </w:r>
      <w:r w:rsidR="00600B2D" w:rsidRPr="0018697E">
        <w:t xml:space="preserve"> (ACSF)</w:t>
      </w:r>
      <w:r w:rsidRPr="0018697E">
        <w:t xml:space="preserve">. </w:t>
      </w:r>
    </w:p>
    <w:p w:rsidR="008E07DD" w:rsidRPr="0018697E" w:rsidRDefault="00730DEA" w:rsidP="0018697E">
      <w:pPr>
        <w:pStyle w:val="Text"/>
        <w:spacing w:before="120" w:line="290" w:lineRule="exact"/>
        <w:ind w:right="0"/>
      </w:pPr>
      <w:r w:rsidRPr="0018697E">
        <w:t xml:space="preserve">The </w:t>
      </w:r>
      <w:r w:rsidR="00EE306A" w:rsidRPr="0018697E">
        <w:t>Adult Literacy and Life Skills</w:t>
      </w:r>
      <w:r w:rsidR="00FB32D7" w:rsidRPr="0018697E">
        <w:t xml:space="preserve"> survey</w:t>
      </w:r>
      <w:r w:rsidRPr="0018697E">
        <w:t xml:space="preserve"> measure</w:t>
      </w:r>
      <w:r w:rsidR="00B8471B" w:rsidRPr="0018697E">
        <w:t>s</w:t>
      </w:r>
      <w:r w:rsidRPr="0018697E">
        <w:t xml:space="preserve"> the skills of adult populations within and across a number of participating </w:t>
      </w:r>
      <w:r w:rsidR="00EE306A" w:rsidRPr="0018697E">
        <w:t>Organisation for Economic Co-operation and Development (</w:t>
      </w:r>
      <w:r w:rsidRPr="0018697E">
        <w:t>OECD</w:t>
      </w:r>
      <w:r w:rsidR="00EE306A" w:rsidRPr="0018697E">
        <w:t>)</w:t>
      </w:r>
      <w:r w:rsidRPr="0018697E">
        <w:t xml:space="preserve"> countries</w:t>
      </w:r>
      <w:r w:rsidR="008E07DD" w:rsidRPr="0018697E">
        <w:t>. It</w:t>
      </w:r>
      <w:r w:rsidR="004E5C08" w:rsidRPr="0018697E">
        <w:t xml:space="preserve"> is used by t</w:t>
      </w:r>
      <w:r w:rsidRPr="0018697E">
        <w:t xml:space="preserve">he </w:t>
      </w:r>
      <w:r w:rsidR="00F86A5D" w:rsidRPr="0018697E">
        <w:t xml:space="preserve">Australian </w:t>
      </w:r>
      <w:r w:rsidR="00EE306A" w:rsidRPr="0018697E">
        <w:t>G</w:t>
      </w:r>
      <w:r w:rsidRPr="0018697E">
        <w:t xml:space="preserve">overnment to </w:t>
      </w:r>
      <w:r w:rsidR="00D42D41" w:rsidRPr="0018697E">
        <w:t xml:space="preserve">monitor progress </w:t>
      </w:r>
      <w:r w:rsidR="00F86A5D" w:rsidRPr="0018697E">
        <w:t>against</w:t>
      </w:r>
      <w:r w:rsidR="00D42D41" w:rsidRPr="0018697E">
        <w:t xml:space="preserve"> </w:t>
      </w:r>
      <w:r w:rsidR="008E07DD" w:rsidRPr="0018697E">
        <w:t>the</w:t>
      </w:r>
      <w:r w:rsidR="00D42D41" w:rsidRPr="0018697E">
        <w:t xml:space="preserve"> </w:t>
      </w:r>
      <w:r w:rsidRPr="0018697E">
        <w:t xml:space="preserve">National </w:t>
      </w:r>
      <w:r w:rsidR="00AD434E" w:rsidRPr="0018697E">
        <w:t xml:space="preserve">Skills and Workforce Development </w:t>
      </w:r>
      <w:r w:rsidRPr="0018697E">
        <w:t>Agreement</w:t>
      </w:r>
      <w:r w:rsidR="00262627" w:rsidRPr="0018697E">
        <w:t xml:space="preserve">. Furthermore, the next iteration of </w:t>
      </w:r>
      <w:r w:rsidR="00EE306A" w:rsidRPr="0018697E">
        <w:t>this survey</w:t>
      </w:r>
      <w:r w:rsidR="00262627" w:rsidRPr="0018697E">
        <w:t xml:space="preserve"> will be used to measure the success of the 2</w:t>
      </w:r>
      <w:r w:rsidR="00EE306A" w:rsidRPr="0018697E">
        <w:t>012—</w:t>
      </w:r>
      <w:r w:rsidR="00262627" w:rsidRPr="0018697E">
        <w:t>22 National Foundation Skills Strategy for Adults</w:t>
      </w:r>
      <w:r w:rsidRPr="0018697E">
        <w:t xml:space="preserve">. </w:t>
      </w:r>
      <w:r w:rsidR="00EE306A" w:rsidRPr="0018697E">
        <w:t>However, the survey has</w:t>
      </w:r>
      <w:r w:rsidRPr="0018697E">
        <w:t xml:space="preserve"> two drawbacks</w:t>
      </w:r>
      <w:r w:rsidR="003630D7" w:rsidRPr="0018697E">
        <w:t>:</w:t>
      </w:r>
      <w:r w:rsidRPr="0018697E">
        <w:t xml:space="preserve"> it is </w:t>
      </w:r>
      <w:r w:rsidR="004E5C08" w:rsidRPr="0018697E">
        <w:t xml:space="preserve">a </w:t>
      </w:r>
      <w:r w:rsidRPr="0018697E">
        <w:t>relatively coarse</w:t>
      </w:r>
      <w:r w:rsidR="004E5C08" w:rsidRPr="0018697E">
        <w:t xml:space="preserve"> measure</w:t>
      </w:r>
      <w:r w:rsidR="009D1298">
        <w:t xml:space="preserve"> and is</w:t>
      </w:r>
      <w:r w:rsidR="003630D7" w:rsidRPr="0018697E">
        <w:t xml:space="preserve"> </w:t>
      </w:r>
      <w:r w:rsidRPr="0018697E">
        <w:t xml:space="preserve">designed to provide a summary of literacy and numeracy rather than </w:t>
      </w:r>
      <w:r w:rsidR="00EE306A" w:rsidRPr="0018697E">
        <w:t xml:space="preserve">to </w:t>
      </w:r>
      <w:r w:rsidRPr="0018697E">
        <w:t>act as an assessment tool</w:t>
      </w:r>
      <w:r w:rsidR="009D1298">
        <w:t>;</w:t>
      </w:r>
      <w:r w:rsidR="003630D7" w:rsidRPr="0018697E">
        <w:t xml:space="preserve"> and </w:t>
      </w:r>
      <w:r w:rsidRPr="0018697E">
        <w:t xml:space="preserve">it is only administered every </w:t>
      </w:r>
      <w:r w:rsidR="00B8471B" w:rsidRPr="0018697E">
        <w:t>ten</w:t>
      </w:r>
      <w:r w:rsidRPr="0018697E">
        <w:t xml:space="preserve"> years. </w:t>
      </w:r>
    </w:p>
    <w:p w:rsidR="00730DEA" w:rsidRPr="0018697E" w:rsidRDefault="004660C3" w:rsidP="0018697E">
      <w:pPr>
        <w:pStyle w:val="Text"/>
        <w:spacing w:before="120" w:line="290" w:lineRule="exact"/>
        <w:ind w:right="0"/>
      </w:pPr>
      <w:r w:rsidRPr="0018697E">
        <w:t xml:space="preserve">Contrasting with the </w:t>
      </w:r>
      <w:r w:rsidR="00EE306A" w:rsidRPr="0018697E">
        <w:t>Adult Literacy and Life Skills</w:t>
      </w:r>
      <w:r w:rsidRPr="0018697E">
        <w:t xml:space="preserve"> survey, </w:t>
      </w:r>
      <w:r w:rsidR="008E07DD" w:rsidRPr="0018697E">
        <w:t xml:space="preserve">the </w:t>
      </w:r>
      <w:r w:rsidR="00EE306A" w:rsidRPr="0018697E">
        <w:t xml:space="preserve">Australian Core Skills Framework </w:t>
      </w:r>
      <w:r w:rsidR="008E07DD" w:rsidRPr="0018697E">
        <w:t>—</w:t>
      </w:r>
      <w:r w:rsidR="00EE306A" w:rsidRPr="0018697E">
        <w:t xml:space="preserve"> </w:t>
      </w:r>
      <w:r w:rsidR="008E07DD" w:rsidRPr="0018697E">
        <w:t>used in two key federal government adult language, literacy and numeracy programs</w:t>
      </w:r>
      <w:r w:rsidR="001D5D32" w:rsidRPr="0018697E">
        <w:t>,</w:t>
      </w:r>
      <w:r w:rsidR="008E07DD" w:rsidRPr="0018697E">
        <w:t xml:space="preserve"> as well as in a variety of other settings</w:t>
      </w:r>
      <w:r w:rsidR="005B10C2" w:rsidRPr="0018697E">
        <w:t>,</w:t>
      </w:r>
      <w:r w:rsidR="008E07DD" w:rsidRPr="0018697E">
        <w:t xml:space="preserve"> including the South Australian Certificate of Education —</w:t>
      </w:r>
      <w:r w:rsidR="005B10C2" w:rsidRPr="0018697E">
        <w:t xml:space="preserve"> </w:t>
      </w:r>
      <w:r w:rsidR="00FB32D7" w:rsidRPr="0018697E">
        <w:t xml:space="preserve">can be </w:t>
      </w:r>
      <w:r w:rsidR="008E07DD" w:rsidRPr="0018697E">
        <w:t>applied</w:t>
      </w:r>
      <w:r w:rsidR="00730DEA" w:rsidRPr="0018697E">
        <w:t xml:space="preserve"> at the individual</w:t>
      </w:r>
      <w:r w:rsidR="00E874FD" w:rsidRPr="0018697E">
        <w:t xml:space="preserve"> level an</w:t>
      </w:r>
      <w:r w:rsidR="00730DEA" w:rsidRPr="0018697E">
        <w:t>d provides evidence of progress</w:t>
      </w:r>
      <w:r w:rsidR="005B10C2" w:rsidRPr="0018697E">
        <w:t>,</w:t>
      </w:r>
      <w:r w:rsidR="001D5D32" w:rsidRPr="0018697E">
        <w:t xml:space="preserve"> such</w:t>
      </w:r>
      <w:r w:rsidR="00730DEA" w:rsidRPr="0018697E">
        <w:t xml:space="preserve"> that a learner’s performance in a core skill can be assessed</w:t>
      </w:r>
      <w:r w:rsidR="009D1298">
        <w:t>,</w:t>
      </w:r>
      <w:r w:rsidR="00730DEA" w:rsidRPr="0018697E">
        <w:t xml:space="preserve"> and strengths and weaknesses identified. </w:t>
      </w:r>
      <w:r w:rsidR="00BD7C63" w:rsidRPr="0018697E">
        <w:t>Further, data about a learner’s performance can be g</w:t>
      </w:r>
      <w:r w:rsidR="00FB32D7" w:rsidRPr="0018697E">
        <w:t>a</w:t>
      </w:r>
      <w:r w:rsidR="00E874FD" w:rsidRPr="0018697E">
        <w:t>ther</w:t>
      </w:r>
      <w:r w:rsidR="00FB32D7" w:rsidRPr="0018697E">
        <w:t xml:space="preserve">ed </w:t>
      </w:r>
      <w:r w:rsidR="00E874FD" w:rsidRPr="0018697E">
        <w:t>at frequent intervals.</w:t>
      </w:r>
    </w:p>
    <w:p w:rsidR="00C82EF4" w:rsidRDefault="00730DEA" w:rsidP="0018697E">
      <w:pPr>
        <w:pStyle w:val="Text"/>
        <w:spacing w:before="120" w:line="290" w:lineRule="exact"/>
        <w:ind w:right="0"/>
      </w:pPr>
      <w:r w:rsidRPr="0018697E">
        <w:t xml:space="preserve">Both </w:t>
      </w:r>
      <w:r w:rsidR="00D42D41" w:rsidRPr="0018697E">
        <w:t>the</w:t>
      </w:r>
      <w:r w:rsidR="008E07DD" w:rsidRPr="0018697E">
        <w:t>se frameworks</w:t>
      </w:r>
      <w:r w:rsidRPr="0018697E">
        <w:t xml:space="preserve"> have five performance</w:t>
      </w:r>
      <w:r w:rsidRPr="00C074DC">
        <w:t xml:space="preserve"> levels and it is sometimes assumed that these levels are equivalent. But are they? </w:t>
      </w:r>
      <w:r>
        <w:t xml:space="preserve">This </w:t>
      </w:r>
      <w:r w:rsidR="004660C3">
        <w:t>paper</w:t>
      </w:r>
      <w:r>
        <w:t xml:space="preserve"> presents findings from a study </w:t>
      </w:r>
      <w:r w:rsidR="005B10C2">
        <w:t>that</w:t>
      </w:r>
      <w:r w:rsidR="004660C3">
        <w:t xml:space="preserve"> looked at</w:t>
      </w:r>
      <w:r>
        <w:t xml:space="preserve"> the issue of </w:t>
      </w:r>
      <w:r w:rsidR="001D5D32">
        <w:t xml:space="preserve">the </w:t>
      </w:r>
      <w:r>
        <w:t xml:space="preserve">equivalence </w:t>
      </w:r>
      <w:r w:rsidR="00EA1502">
        <w:t xml:space="preserve">of </w:t>
      </w:r>
      <w:r w:rsidR="00D42D41">
        <w:t>th</w:t>
      </w:r>
      <w:r w:rsidR="00EA1502">
        <w:t>e</w:t>
      </w:r>
      <w:r w:rsidR="00D42D41">
        <w:t xml:space="preserve"> frameworks</w:t>
      </w:r>
      <w:r w:rsidR="00C51C5A">
        <w:t xml:space="preserve">. </w:t>
      </w:r>
    </w:p>
    <w:p w:rsidR="00F12356" w:rsidRPr="005C2FCF" w:rsidRDefault="00F12356" w:rsidP="0018697E">
      <w:pPr>
        <w:pStyle w:val="Keymessages"/>
        <w:spacing w:before="280"/>
      </w:pPr>
      <w:bookmarkStart w:id="18" w:name="_Toc98394878"/>
      <w:bookmarkStart w:id="19" w:name="_Toc296423682"/>
      <w:bookmarkStart w:id="20" w:name="_Toc296497513"/>
      <w:r w:rsidRPr="005C2FCF">
        <w:t>Key messages</w:t>
      </w:r>
      <w:bookmarkEnd w:id="18"/>
      <w:bookmarkEnd w:id="19"/>
      <w:bookmarkEnd w:id="20"/>
    </w:p>
    <w:p w:rsidR="00BD7C63" w:rsidRDefault="00BD7C63" w:rsidP="0018697E">
      <w:pPr>
        <w:pStyle w:val="Dotpoint1"/>
        <w:spacing w:before="80" w:line="290" w:lineRule="exact"/>
        <w:ind w:left="284" w:hanging="284"/>
      </w:pPr>
      <w:r>
        <w:t>Equivalence between the two frameworks at the lowest skill level was found</w:t>
      </w:r>
      <w:r w:rsidR="005B10C2">
        <w:t xml:space="preserve"> </w:t>
      </w:r>
      <w:r w:rsidR="00C30BBD">
        <w:t>—</w:t>
      </w:r>
      <w:r w:rsidR="005B10C2">
        <w:t xml:space="preserve"> </w:t>
      </w:r>
      <w:r w:rsidR="00C30BBD">
        <w:t>one does equal one</w:t>
      </w:r>
      <w:r>
        <w:t xml:space="preserve">. </w:t>
      </w:r>
      <w:r w:rsidR="005B10C2">
        <w:t>However, t</w:t>
      </w:r>
      <w:r w:rsidR="00C30BBD">
        <w:t>he alignment was not as direct</w:t>
      </w:r>
      <w:r w:rsidR="00F12356">
        <w:t xml:space="preserve"> at</w:t>
      </w:r>
      <w:r w:rsidR="005B10C2">
        <w:t xml:space="preserve"> the higher skills levels</w:t>
      </w:r>
      <w:r w:rsidR="00736FCA">
        <w:t>,</w:t>
      </w:r>
      <w:r w:rsidR="00C30BBD">
        <w:t xml:space="preserve"> with the </w:t>
      </w:r>
      <w:r>
        <w:t xml:space="preserve">numeracy and reading constructs of the </w:t>
      </w:r>
      <w:r w:rsidR="005B10C2" w:rsidRPr="004B0B11">
        <w:t>Adult Literacy and Life Skills</w:t>
      </w:r>
      <w:r>
        <w:t xml:space="preserve"> survey </w:t>
      </w:r>
      <w:r w:rsidR="002D029A">
        <w:t xml:space="preserve">found to be </w:t>
      </w:r>
      <w:r>
        <w:t xml:space="preserve">generally more complex than those of the </w:t>
      </w:r>
      <w:r w:rsidR="005B10C2" w:rsidRPr="004B0B11">
        <w:t>A</w:t>
      </w:r>
      <w:r w:rsidR="005B10C2">
        <w:t>ustralian Core Skills Framework</w:t>
      </w:r>
      <w:r>
        <w:t>.</w:t>
      </w:r>
      <w:r w:rsidR="00EA1502">
        <w:t xml:space="preserve"> </w:t>
      </w:r>
      <w:r w:rsidR="00262627">
        <w:t xml:space="preserve">Indeed, </w:t>
      </w:r>
      <w:r w:rsidR="00EA1502">
        <w:t>Level 3 ALLS</w:t>
      </w:r>
      <w:r w:rsidR="005B10C2">
        <w:t xml:space="preserve"> </w:t>
      </w:r>
      <w:r w:rsidR="004F27D8">
        <w:t>—</w:t>
      </w:r>
      <w:r w:rsidR="005B10C2">
        <w:t xml:space="preserve"> </w:t>
      </w:r>
      <w:r w:rsidR="004F27D8">
        <w:t xml:space="preserve">the minimum </w:t>
      </w:r>
      <w:proofErr w:type="spellStart"/>
      <w:r w:rsidR="004F27D8">
        <w:t>aspirational</w:t>
      </w:r>
      <w:proofErr w:type="spellEnd"/>
      <w:r w:rsidR="004F27D8">
        <w:t xml:space="preserve"> target </w:t>
      </w:r>
      <w:r w:rsidR="00065E56">
        <w:t>of</w:t>
      </w:r>
      <w:r w:rsidR="004F27D8">
        <w:t xml:space="preserve"> the National Foundation Skills Strategy for Adults</w:t>
      </w:r>
      <w:r w:rsidR="005B10C2">
        <w:t xml:space="preserve"> </w:t>
      </w:r>
      <w:r w:rsidR="004F27D8">
        <w:t>—</w:t>
      </w:r>
      <w:r w:rsidR="005B10C2">
        <w:t xml:space="preserve"> </w:t>
      </w:r>
      <w:r w:rsidR="00262627">
        <w:t xml:space="preserve">was </w:t>
      </w:r>
      <w:r w:rsidR="004F27D8">
        <w:t>similar in complexity to exit L</w:t>
      </w:r>
      <w:r w:rsidR="00EA1502">
        <w:t>evel 4 of the ACSF.</w:t>
      </w:r>
      <w:r w:rsidR="00262627">
        <w:t xml:space="preserve"> </w:t>
      </w:r>
    </w:p>
    <w:p w:rsidR="00F12356" w:rsidRDefault="004E36A9" w:rsidP="0018697E">
      <w:pPr>
        <w:pStyle w:val="Dotpoint1"/>
        <w:spacing w:before="80" w:line="290" w:lineRule="exact"/>
        <w:ind w:left="284" w:hanging="284"/>
      </w:pPr>
      <w:r>
        <w:t>A</w:t>
      </w:r>
      <w:r w:rsidR="004D3AB2">
        <w:t xml:space="preserve"> definite</w:t>
      </w:r>
      <w:r w:rsidR="00F12356">
        <w:t xml:space="preserve"> hie</w:t>
      </w:r>
      <w:r w:rsidR="004D3AB2">
        <w:t xml:space="preserve">rarchical structure within the levels of the </w:t>
      </w:r>
      <w:r w:rsidR="005B10C2" w:rsidRPr="004B0B11">
        <w:t>A</w:t>
      </w:r>
      <w:r w:rsidR="005B10C2">
        <w:t>ustralian Core Skills Framework</w:t>
      </w:r>
      <w:r>
        <w:t xml:space="preserve"> was confirmed</w:t>
      </w:r>
      <w:r w:rsidR="005B10C2">
        <w:t>,</w:t>
      </w:r>
      <w:r w:rsidR="004D3AB2">
        <w:t xml:space="preserve"> offering the </w:t>
      </w:r>
      <w:r>
        <w:t>potential to</w:t>
      </w:r>
      <w:r w:rsidR="002F336E">
        <w:t xml:space="preserve"> c</w:t>
      </w:r>
      <w:r w:rsidR="004D3AB2">
        <w:t>learly demonstrate progress within a level.</w:t>
      </w:r>
    </w:p>
    <w:p w:rsidR="00730DEA" w:rsidRPr="00D80180" w:rsidRDefault="00EA1502" w:rsidP="0018697E">
      <w:pPr>
        <w:pStyle w:val="Text"/>
        <w:spacing w:before="120" w:line="290" w:lineRule="exact"/>
        <w:ind w:right="0"/>
        <w:rPr>
          <w:highlight w:val="yellow"/>
        </w:rPr>
      </w:pPr>
      <w:r>
        <w:t>T</w:t>
      </w:r>
      <w:r w:rsidR="008671F6">
        <w:t xml:space="preserve">his research has </w:t>
      </w:r>
      <w:r w:rsidR="001D5D32">
        <w:t>shown</w:t>
      </w:r>
      <w:r w:rsidR="008671F6">
        <w:t xml:space="preserve"> </w:t>
      </w:r>
      <w:r w:rsidR="007F42A6">
        <w:t xml:space="preserve">that </w:t>
      </w:r>
      <w:r w:rsidR="008671F6">
        <w:t>alignment between the two frameworks is achievable</w:t>
      </w:r>
      <w:r w:rsidR="00316005">
        <w:t xml:space="preserve"> and that this alignment offers the potential for measuring </w:t>
      </w:r>
      <w:r w:rsidR="008671F6">
        <w:t>progress against national objectives more regularly</w:t>
      </w:r>
      <w:r>
        <w:t>. Indeed</w:t>
      </w:r>
      <w:r w:rsidR="001D5D32">
        <w:t>,</w:t>
      </w:r>
      <w:r>
        <w:t xml:space="preserve"> the ACSF offers a way of monitoring any improvements in adult literacy and numeracy in a more nuanced </w:t>
      </w:r>
      <w:r w:rsidR="001D5D32">
        <w:t>manner</w:t>
      </w:r>
      <w:r>
        <w:t>.</w:t>
      </w:r>
    </w:p>
    <w:p w:rsidR="004E5824" w:rsidRDefault="004E5824" w:rsidP="0018697E">
      <w:pPr>
        <w:pStyle w:val="Text"/>
        <w:spacing w:before="120" w:line="290" w:lineRule="exact"/>
        <w:ind w:right="0"/>
      </w:pPr>
    </w:p>
    <w:p w:rsidR="00177827" w:rsidRDefault="00730DEA" w:rsidP="0018697E">
      <w:pPr>
        <w:pStyle w:val="Text"/>
        <w:spacing w:before="120" w:line="290" w:lineRule="exact"/>
        <w:ind w:right="0"/>
      </w:pPr>
      <w:r w:rsidRPr="005C2FCF">
        <w:t>Tom Karmel</w:t>
      </w:r>
      <w:r w:rsidRPr="005C2FCF">
        <w:br/>
        <w:t>Managing Director, NCVER</w:t>
      </w:r>
      <w:bookmarkEnd w:id="5"/>
      <w:bookmarkEnd w:id="6"/>
      <w:bookmarkEnd w:id="7"/>
      <w:bookmarkEnd w:id="8"/>
      <w:bookmarkEnd w:id="9"/>
      <w:bookmarkEnd w:id="10"/>
      <w:bookmarkEnd w:id="11"/>
      <w:bookmarkEnd w:id="12"/>
      <w:bookmarkEnd w:id="13"/>
      <w:bookmarkEnd w:id="14"/>
      <w:bookmarkEnd w:id="15"/>
      <w:bookmarkEnd w:id="16"/>
      <w:bookmarkEnd w:id="17"/>
      <w:r w:rsidR="00177827">
        <w:br w:type="page"/>
      </w:r>
    </w:p>
    <w:p w:rsidR="0018697E" w:rsidRDefault="0018697E">
      <w:pPr>
        <w:spacing w:before="0" w:line="240" w:lineRule="auto"/>
        <w:rPr>
          <w:rFonts w:ascii="Tahoma" w:hAnsi="Tahoma" w:cs="Tahoma"/>
          <w:color w:val="000000"/>
          <w:kern w:val="28"/>
          <w:sz w:val="56"/>
          <w:szCs w:val="56"/>
        </w:rPr>
      </w:pPr>
      <w:bookmarkStart w:id="21" w:name="_Toc98394880"/>
      <w:bookmarkStart w:id="22" w:name="_Toc296423683"/>
      <w:bookmarkStart w:id="23" w:name="_Toc296497514"/>
      <w:r>
        <w:br w:type="page"/>
      </w:r>
    </w:p>
    <w:p w:rsidR="0018697E" w:rsidRDefault="0018697E" w:rsidP="00874DA5">
      <w:pPr>
        <w:pStyle w:val="Contents"/>
        <w:sectPr w:rsidR="0018697E" w:rsidSect="0018697E">
          <w:footerReference w:type="even" r:id="rId13"/>
          <w:footerReference w:type="default" r:id="rId14"/>
          <w:pgSz w:w="11907" w:h="16840" w:code="9"/>
          <w:pgMar w:top="1276" w:right="1701" w:bottom="567" w:left="1418" w:header="709" w:footer="556" w:gutter="0"/>
          <w:cols w:space="708"/>
          <w:docGrid w:linePitch="360"/>
        </w:sectPr>
      </w:pPr>
    </w:p>
    <w:p w:rsidR="009E231A" w:rsidRPr="00DC5F5C" w:rsidRDefault="00FE4A2D" w:rsidP="00874DA5">
      <w:pPr>
        <w:pStyle w:val="Contents"/>
      </w:pPr>
      <w:r w:rsidRPr="00DC5F5C">
        <w:t>Contents</w:t>
      </w:r>
      <w:bookmarkEnd w:id="21"/>
      <w:bookmarkEnd w:id="22"/>
      <w:bookmarkEnd w:id="23"/>
    </w:p>
    <w:p w:rsidR="006317BB" w:rsidRDefault="005B496F">
      <w:pPr>
        <w:pStyle w:val="TOC1"/>
        <w:rPr>
          <w:rFonts w:asciiTheme="minorHAnsi" w:eastAsiaTheme="minorEastAsia" w:hAnsiTheme="minorHAnsi" w:cstheme="minorBidi"/>
          <w:color w:val="auto"/>
          <w:sz w:val="22"/>
          <w:szCs w:val="22"/>
          <w:lang w:eastAsia="en-AU"/>
        </w:rPr>
      </w:pPr>
      <w:r w:rsidRPr="005B496F">
        <w:rPr>
          <w:rFonts w:ascii="Avant Garde" w:hAnsi="Avant Garde"/>
        </w:rPr>
        <w:fldChar w:fldCharType="begin"/>
      </w:r>
      <w:r w:rsidR="00FE4A2D" w:rsidRPr="009775C7">
        <w:rPr>
          <w:rFonts w:ascii="Avant Garde" w:hAnsi="Avant Garde"/>
        </w:rPr>
        <w:instrText xml:space="preserve"> TOC \o "1-2" </w:instrText>
      </w:r>
      <w:r w:rsidRPr="005B496F">
        <w:rPr>
          <w:rFonts w:ascii="Avant Garde" w:hAnsi="Avant Garde"/>
        </w:rPr>
        <w:fldChar w:fldCharType="separate"/>
      </w:r>
      <w:r w:rsidR="006317BB">
        <w:t>Tables and figures</w:t>
      </w:r>
      <w:r w:rsidR="006317BB">
        <w:tab/>
      </w:r>
      <w:r>
        <w:fldChar w:fldCharType="begin"/>
      </w:r>
      <w:r w:rsidR="006317BB">
        <w:instrText xml:space="preserve"> PAGEREF _Toc340826503 \h </w:instrText>
      </w:r>
      <w:r>
        <w:fldChar w:fldCharType="separate"/>
      </w:r>
      <w:r w:rsidR="003B5D23">
        <w:t>6</w:t>
      </w:r>
      <w:r>
        <w:fldChar w:fldCharType="end"/>
      </w:r>
    </w:p>
    <w:p w:rsidR="006317BB" w:rsidRDefault="006317BB">
      <w:pPr>
        <w:pStyle w:val="TOC1"/>
        <w:rPr>
          <w:rFonts w:asciiTheme="minorHAnsi" w:eastAsiaTheme="minorEastAsia" w:hAnsiTheme="minorHAnsi" w:cstheme="minorBidi"/>
          <w:color w:val="auto"/>
          <w:sz w:val="22"/>
          <w:szCs w:val="22"/>
          <w:lang w:eastAsia="en-AU"/>
        </w:rPr>
      </w:pPr>
      <w:r>
        <w:t>Introduction</w:t>
      </w:r>
      <w:r>
        <w:tab/>
      </w:r>
      <w:r w:rsidR="005B496F">
        <w:fldChar w:fldCharType="begin"/>
      </w:r>
      <w:r>
        <w:instrText xml:space="preserve"> PAGEREF _Toc340826506 \h </w:instrText>
      </w:r>
      <w:r w:rsidR="005B496F">
        <w:fldChar w:fldCharType="separate"/>
      </w:r>
      <w:r w:rsidR="003B5D23">
        <w:t>7</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Why was this project undertaken?</w:t>
      </w:r>
      <w:r>
        <w:tab/>
      </w:r>
      <w:r w:rsidR="005B496F">
        <w:fldChar w:fldCharType="begin"/>
      </w:r>
      <w:r>
        <w:instrText xml:space="preserve"> PAGEREF _Toc340826507 \h </w:instrText>
      </w:r>
      <w:r w:rsidR="005B496F">
        <w:fldChar w:fldCharType="separate"/>
      </w:r>
      <w:r w:rsidR="003B5D23">
        <w:t>7</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Measuring adult literacy and numeracy using the ALLS and ACSF</w:t>
      </w:r>
      <w:r>
        <w:tab/>
      </w:r>
      <w:r w:rsidR="005B496F">
        <w:fldChar w:fldCharType="begin"/>
      </w:r>
      <w:r>
        <w:instrText xml:space="preserve"> PAGEREF _Toc340826508 \h </w:instrText>
      </w:r>
      <w:r w:rsidR="005B496F">
        <w:fldChar w:fldCharType="separate"/>
      </w:r>
      <w:r w:rsidR="003B5D23">
        <w:t>8</w:t>
      </w:r>
      <w:r w:rsidR="005B496F">
        <w:fldChar w:fldCharType="end"/>
      </w:r>
    </w:p>
    <w:p w:rsidR="006317BB" w:rsidRDefault="006317BB">
      <w:pPr>
        <w:pStyle w:val="TOC1"/>
        <w:rPr>
          <w:rFonts w:asciiTheme="minorHAnsi" w:eastAsiaTheme="minorEastAsia" w:hAnsiTheme="minorHAnsi" w:cstheme="minorBidi"/>
          <w:color w:val="auto"/>
          <w:sz w:val="22"/>
          <w:szCs w:val="22"/>
          <w:lang w:eastAsia="en-AU"/>
        </w:rPr>
      </w:pPr>
      <w:r>
        <w:t>Method</w:t>
      </w:r>
      <w:r>
        <w:tab/>
      </w:r>
      <w:r w:rsidR="005B496F">
        <w:fldChar w:fldCharType="begin"/>
      </w:r>
      <w:r>
        <w:instrText xml:space="preserve"> PAGEREF _Toc340826509 \h </w:instrText>
      </w:r>
      <w:r w:rsidR="005B496F">
        <w:fldChar w:fldCharType="separate"/>
      </w:r>
      <w:r w:rsidR="003B5D23">
        <w:t>10</w:t>
      </w:r>
      <w:r w:rsidR="005B496F">
        <w:fldChar w:fldCharType="end"/>
      </w:r>
    </w:p>
    <w:p w:rsidR="006317BB" w:rsidRDefault="006317BB">
      <w:pPr>
        <w:pStyle w:val="TOC1"/>
        <w:rPr>
          <w:rFonts w:asciiTheme="minorHAnsi" w:eastAsiaTheme="minorEastAsia" w:hAnsiTheme="minorHAnsi" w:cstheme="minorBidi"/>
          <w:color w:val="auto"/>
          <w:sz w:val="22"/>
          <w:szCs w:val="22"/>
          <w:lang w:eastAsia="en-AU"/>
        </w:rPr>
      </w:pPr>
      <w:r>
        <w:t>Results</w:t>
      </w:r>
      <w:r>
        <w:tab/>
      </w:r>
      <w:r w:rsidR="005B496F">
        <w:fldChar w:fldCharType="begin"/>
      </w:r>
      <w:r>
        <w:instrText xml:space="preserve"> PAGEREF _Toc340826510 \h </w:instrText>
      </w:r>
      <w:r w:rsidR="005B496F">
        <w:fldChar w:fldCharType="separate"/>
      </w:r>
      <w:r w:rsidR="003B5D23">
        <w:t>12</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 xml:space="preserve">Are there five distinct performance levels within the ALLS and </w:t>
      </w:r>
      <w:r>
        <w:br/>
        <w:t>ACSF frameworks?</w:t>
      </w:r>
      <w:r>
        <w:tab/>
      </w:r>
      <w:r w:rsidR="005B496F">
        <w:fldChar w:fldCharType="begin"/>
      </w:r>
      <w:r>
        <w:instrText xml:space="preserve"> PAGEREF _Toc340826511 \h </w:instrText>
      </w:r>
      <w:r w:rsidR="005B496F">
        <w:fldChar w:fldCharType="separate"/>
      </w:r>
      <w:r w:rsidR="003B5D23">
        <w:t>12</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What is the relationship between the ALLS and ACSF frameworks?</w:t>
      </w:r>
      <w:r>
        <w:tab/>
      </w:r>
      <w:r w:rsidR="005B496F">
        <w:fldChar w:fldCharType="begin"/>
      </w:r>
      <w:r>
        <w:instrText xml:space="preserve"> PAGEREF _Toc340826512 \h </w:instrText>
      </w:r>
      <w:r w:rsidR="005B496F">
        <w:fldChar w:fldCharType="separate"/>
      </w:r>
      <w:r w:rsidR="003B5D23">
        <w:t>13</w:t>
      </w:r>
      <w:r w:rsidR="005B496F">
        <w:fldChar w:fldCharType="end"/>
      </w:r>
    </w:p>
    <w:p w:rsidR="006317BB" w:rsidRDefault="006317BB">
      <w:pPr>
        <w:pStyle w:val="TOC1"/>
        <w:rPr>
          <w:rFonts w:asciiTheme="minorHAnsi" w:eastAsiaTheme="minorEastAsia" w:hAnsiTheme="minorHAnsi" w:cstheme="minorBidi"/>
          <w:color w:val="auto"/>
          <w:sz w:val="22"/>
          <w:szCs w:val="22"/>
          <w:lang w:eastAsia="en-AU"/>
        </w:rPr>
      </w:pPr>
      <w:r>
        <w:t>Discussion</w:t>
      </w:r>
      <w:r>
        <w:tab/>
      </w:r>
      <w:r w:rsidR="005B496F">
        <w:fldChar w:fldCharType="begin"/>
      </w:r>
      <w:r>
        <w:instrText xml:space="preserve"> PAGEREF _Toc340826513 \h </w:instrText>
      </w:r>
      <w:r w:rsidR="005B496F">
        <w:fldChar w:fldCharType="separate"/>
      </w:r>
      <w:r w:rsidR="003B5D23">
        <w:t>14</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Data capture</w:t>
      </w:r>
      <w:r>
        <w:tab/>
      </w:r>
      <w:r w:rsidR="005B496F">
        <w:fldChar w:fldCharType="begin"/>
      </w:r>
      <w:r>
        <w:instrText xml:space="preserve"> PAGEREF _Toc340826514 \h </w:instrText>
      </w:r>
      <w:r w:rsidR="005B496F">
        <w:fldChar w:fldCharType="separate"/>
      </w:r>
      <w:r w:rsidR="003B5D23">
        <w:t>14</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Empirical mapping of the ACSF and ALLS at levels 4 and 5</w:t>
      </w:r>
      <w:r>
        <w:tab/>
      </w:r>
      <w:r w:rsidR="005B496F">
        <w:fldChar w:fldCharType="begin"/>
      </w:r>
      <w:r>
        <w:instrText xml:space="preserve"> PAGEREF _Toc340826515 \h </w:instrText>
      </w:r>
      <w:r w:rsidR="005B496F">
        <w:fldChar w:fldCharType="separate"/>
      </w:r>
      <w:r w:rsidR="003B5D23">
        <w:t>15</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Improvements to the structure of the ACSF</w:t>
      </w:r>
      <w:r>
        <w:tab/>
      </w:r>
      <w:r w:rsidR="005B496F">
        <w:fldChar w:fldCharType="begin"/>
      </w:r>
      <w:r>
        <w:instrText xml:space="preserve"> PAGEREF _Toc340826516 \h </w:instrText>
      </w:r>
      <w:r w:rsidR="005B496F">
        <w:fldChar w:fldCharType="separate"/>
      </w:r>
      <w:r w:rsidR="003B5D23">
        <w:t>15</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Application to other frameworks</w:t>
      </w:r>
      <w:r>
        <w:tab/>
      </w:r>
      <w:r w:rsidR="005B496F">
        <w:fldChar w:fldCharType="begin"/>
      </w:r>
      <w:r>
        <w:instrText xml:space="preserve"> PAGEREF _Toc340826517 \h </w:instrText>
      </w:r>
      <w:r w:rsidR="005B496F">
        <w:fldChar w:fldCharType="separate"/>
      </w:r>
      <w:r w:rsidR="003B5D23">
        <w:t>16</w:t>
      </w:r>
      <w:r w:rsidR="005B496F">
        <w:fldChar w:fldCharType="end"/>
      </w:r>
    </w:p>
    <w:p w:rsidR="006317BB" w:rsidRDefault="006317BB">
      <w:pPr>
        <w:pStyle w:val="TOC2"/>
        <w:rPr>
          <w:rFonts w:asciiTheme="minorHAnsi" w:eastAsiaTheme="minorEastAsia" w:hAnsiTheme="minorHAnsi" w:cstheme="minorBidi"/>
          <w:color w:val="auto"/>
          <w:sz w:val="22"/>
          <w:szCs w:val="22"/>
          <w:lang w:eastAsia="en-AU"/>
        </w:rPr>
      </w:pPr>
      <w:r>
        <w:t>Conclusion</w:t>
      </w:r>
      <w:r>
        <w:tab/>
      </w:r>
      <w:r w:rsidR="005B496F">
        <w:fldChar w:fldCharType="begin"/>
      </w:r>
      <w:r>
        <w:instrText xml:space="preserve"> PAGEREF _Toc340826518 \h </w:instrText>
      </w:r>
      <w:r w:rsidR="005B496F">
        <w:fldChar w:fldCharType="separate"/>
      </w:r>
      <w:r w:rsidR="003B5D23">
        <w:t>16</w:t>
      </w:r>
      <w:r w:rsidR="005B496F">
        <w:fldChar w:fldCharType="end"/>
      </w:r>
    </w:p>
    <w:p w:rsidR="006317BB" w:rsidRDefault="006317BB">
      <w:pPr>
        <w:pStyle w:val="TOC1"/>
        <w:rPr>
          <w:rFonts w:asciiTheme="minorHAnsi" w:eastAsiaTheme="minorEastAsia" w:hAnsiTheme="minorHAnsi" w:cstheme="minorBidi"/>
          <w:color w:val="auto"/>
          <w:sz w:val="22"/>
          <w:szCs w:val="22"/>
          <w:lang w:eastAsia="en-AU"/>
        </w:rPr>
      </w:pPr>
      <w:r>
        <w:t>References</w:t>
      </w:r>
      <w:r>
        <w:tab/>
      </w:r>
      <w:r w:rsidR="005B496F">
        <w:fldChar w:fldCharType="begin"/>
      </w:r>
      <w:r>
        <w:instrText xml:space="preserve"> PAGEREF _Toc340826519 \h </w:instrText>
      </w:r>
      <w:r w:rsidR="005B496F">
        <w:fldChar w:fldCharType="separate"/>
      </w:r>
      <w:r w:rsidR="003B5D23">
        <w:t>18</w:t>
      </w:r>
      <w:r w:rsidR="005B496F">
        <w:fldChar w:fldCharType="end"/>
      </w:r>
    </w:p>
    <w:p w:rsidR="006317BB" w:rsidRDefault="006317BB">
      <w:pPr>
        <w:pStyle w:val="TOC1"/>
        <w:rPr>
          <w:rFonts w:asciiTheme="minorHAnsi" w:eastAsiaTheme="minorEastAsia" w:hAnsiTheme="minorHAnsi" w:cstheme="minorBidi"/>
          <w:color w:val="auto"/>
          <w:sz w:val="22"/>
          <w:szCs w:val="22"/>
          <w:lang w:eastAsia="en-AU"/>
        </w:rPr>
      </w:pPr>
      <w:r>
        <w:t>Appendix</w:t>
      </w:r>
      <w:r>
        <w:tab/>
      </w:r>
      <w:r w:rsidR="005B496F">
        <w:fldChar w:fldCharType="begin"/>
      </w:r>
      <w:r>
        <w:instrText xml:space="preserve"> PAGEREF _Toc340826520 \h </w:instrText>
      </w:r>
      <w:r w:rsidR="005B496F">
        <w:fldChar w:fldCharType="separate"/>
      </w:r>
      <w:r w:rsidR="003B5D23">
        <w:t>19</w:t>
      </w:r>
      <w:r w:rsidR="005B496F">
        <w:fldChar w:fldCharType="end"/>
      </w:r>
    </w:p>
    <w:p w:rsidR="006317BB" w:rsidRDefault="006317BB">
      <w:pPr>
        <w:pStyle w:val="TOC1"/>
        <w:rPr>
          <w:rFonts w:asciiTheme="minorHAnsi" w:eastAsiaTheme="minorEastAsia" w:hAnsiTheme="minorHAnsi" w:cstheme="minorBidi"/>
          <w:color w:val="auto"/>
          <w:sz w:val="22"/>
          <w:szCs w:val="22"/>
          <w:lang w:eastAsia="en-AU"/>
        </w:rPr>
      </w:pPr>
      <w:r>
        <w:t>Support document details</w:t>
      </w:r>
      <w:r>
        <w:tab/>
      </w:r>
      <w:r w:rsidR="005B496F">
        <w:fldChar w:fldCharType="begin"/>
      </w:r>
      <w:r>
        <w:instrText xml:space="preserve"> PAGEREF _Toc340826521 \h </w:instrText>
      </w:r>
      <w:r w:rsidR="005B496F">
        <w:fldChar w:fldCharType="separate"/>
      </w:r>
      <w:r w:rsidR="003B5D23">
        <w:t>21</w:t>
      </w:r>
      <w:r w:rsidR="005B496F">
        <w:fldChar w:fldCharType="end"/>
      </w:r>
    </w:p>
    <w:p w:rsidR="004E7227" w:rsidRDefault="005B496F" w:rsidP="0048643A">
      <w:pPr>
        <w:pStyle w:val="Text"/>
      </w:pPr>
      <w:r w:rsidRPr="009775C7">
        <w:fldChar w:fldCharType="end"/>
      </w:r>
    </w:p>
    <w:p w:rsidR="000108B2" w:rsidRPr="00A93867" w:rsidRDefault="000108B2" w:rsidP="0048643A">
      <w:pPr>
        <w:pStyle w:val="Text"/>
        <w:rPr>
          <w:b/>
        </w:rPr>
      </w:pPr>
    </w:p>
    <w:p w:rsidR="004E7227" w:rsidRDefault="004E7227" w:rsidP="0048643A">
      <w:pPr>
        <w:pStyle w:val="Text"/>
        <w:rPr>
          <w:rFonts w:ascii="Tahoma" w:hAnsi="Tahoma" w:cs="Tahoma"/>
          <w:color w:val="000000"/>
          <w:kern w:val="28"/>
          <w:sz w:val="56"/>
          <w:szCs w:val="56"/>
        </w:rPr>
      </w:pPr>
      <w:r>
        <w:br w:type="page"/>
      </w:r>
    </w:p>
    <w:p w:rsidR="004E7227" w:rsidRDefault="004E7227" w:rsidP="004E7227">
      <w:pPr>
        <w:pStyle w:val="Heading1"/>
      </w:pPr>
      <w:bookmarkStart w:id="24" w:name="_Toc340826503"/>
      <w:r>
        <w:t>Tables and figures</w:t>
      </w:r>
      <w:bookmarkEnd w:id="24"/>
    </w:p>
    <w:p w:rsidR="004E7227" w:rsidRDefault="004E7227" w:rsidP="004E7227">
      <w:pPr>
        <w:pStyle w:val="Heading2"/>
      </w:pPr>
      <w:bookmarkStart w:id="25" w:name="_Toc296497516"/>
      <w:bookmarkStart w:id="26" w:name="_Toc298162801"/>
      <w:bookmarkStart w:id="27" w:name="_Toc340826504"/>
      <w:r>
        <w:t>Tables</w:t>
      </w:r>
      <w:bookmarkEnd w:id="25"/>
      <w:bookmarkEnd w:id="26"/>
      <w:bookmarkEnd w:id="27"/>
    </w:p>
    <w:p w:rsidR="006317BB" w:rsidRDefault="005B496F">
      <w:pPr>
        <w:pStyle w:val="TableofFigures"/>
        <w:tabs>
          <w:tab w:val="left" w:pos="880"/>
        </w:tabs>
        <w:rPr>
          <w:rFonts w:asciiTheme="minorHAnsi" w:eastAsiaTheme="minorEastAsia" w:hAnsiTheme="minorHAnsi" w:cstheme="minorBidi"/>
          <w:color w:val="auto"/>
          <w:sz w:val="22"/>
          <w:szCs w:val="22"/>
          <w:lang w:eastAsia="en-AU"/>
        </w:rPr>
      </w:pPr>
      <w:r w:rsidRPr="005B496F">
        <w:fldChar w:fldCharType="begin"/>
      </w:r>
      <w:r w:rsidR="004E7227">
        <w:instrText xml:space="preserve"> TOC \f F \t "tabletitle" \c </w:instrText>
      </w:r>
      <w:r w:rsidRPr="005B496F">
        <w:fldChar w:fldCharType="separate"/>
      </w:r>
      <w:r w:rsidR="006317BB">
        <w:t>1</w:t>
      </w:r>
      <w:r w:rsidR="006317BB">
        <w:rPr>
          <w:rFonts w:asciiTheme="minorHAnsi" w:eastAsiaTheme="minorEastAsia" w:hAnsiTheme="minorHAnsi" w:cstheme="minorBidi"/>
          <w:color w:val="auto"/>
          <w:sz w:val="22"/>
          <w:szCs w:val="22"/>
          <w:lang w:eastAsia="en-AU"/>
        </w:rPr>
        <w:tab/>
      </w:r>
      <w:r w:rsidR="006317BB">
        <w:t>Empirical alignment of ACSF to ALLS by ACSF level</w:t>
      </w:r>
      <w:r w:rsidR="006317BB">
        <w:tab/>
      </w:r>
      <w:r>
        <w:fldChar w:fldCharType="begin"/>
      </w:r>
      <w:r w:rsidR="006317BB">
        <w:instrText xml:space="preserve"> PAGEREF _Toc340826537 \h </w:instrText>
      </w:r>
      <w:r>
        <w:fldChar w:fldCharType="separate"/>
      </w:r>
      <w:r w:rsidR="003B5D23">
        <w:t>13</w:t>
      </w:r>
      <w:r>
        <w:fldChar w:fldCharType="end"/>
      </w:r>
    </w:p>
    <w:p w:rsidR="006317BB" w:rsidRDefault="006317BB">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Number of respondents by workplace subcategory</w:t>
      </w:r>
      <w:r>
        <w:tab/>
      </w:r>
      <w:r w:rsidR="005B496F">
        <w:fldChar w:fldCharType="begin"/>
      </w:r>
      <w:r>
        <w:instrText xml:space="preserve"> PAGEREF _Toc340826538 \h </w:instrText>
      </w:r>
      <w:r w:rsidR="005B496F">
        <w:fldChar w:fldCharType="separate"/>
      </w:r>
      <w:r w:rsidR="003B5D23">
        <w:t>19</w:t>
      </w:r>
      <w:r w:rsidR="005B496F">
        <w:fldChar w:fldCharType="end"/>
      </w:r>
    </w:p>
    <w:p w:rsidR="006317BB" w:rsidRDefault="006317BB">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Complexity of estimate outliers</w:t>
      </w:r>
      <w:r>
        <w:tab/>
      </w:r>
      <w:r w:rsidR="005B496F">
        <w:fldChar w:fldCharType="begin"/>
      </w:r>
      <w:r>
        <w:instrText xml:space="preserve"> PAGEREF _Toc340826539 \h </w:instrText>
      </w:r>
      <w:r w:rsidR="005B496F">
        <w:fldChar w:fldCharType="separate"/>
      </w:r>
      <w:r w:rsidR="003B5D23">
        <w:t>20</w:t>
      </w:r>
      <w:r w:rsidR="005B496F">
        <w:fldChar w:fldCharType="end"/>
      </w:r>
    </w:p>
    <w:p w:rsidR="006317BB" w:rsidRDefault="005B496F" w:rsidP="004E7227">
      <w:pPr>
        <w:pStyle w:val="Heading2"/>
        <w:rPr>
          <w:noProof/>
        </w:rPr>
      </w:pPr>
      <w:r>
        <w:fldChar w:fldCharType="end"/>
      </w:r>
      <w:bookmarkStart w:id="28" w:name="_Toc296497517"/>
      <w:bookmarkStart w:id="29" w:name="_Toc298162802"/>
      <w:bookmarkStart w:id="30" w:name="_Toc340826505"/>
      <w:r w:rsidR="004E7227">
        <w:t>Figures</w:t>
      </w:r>
      <w:bookmarkEnd w:id="28"/>
      <w:bookmarkEnd w:id="29"/>
      <w:bookmarkEnd w:id="30"/>
      <w:r w:rsidRPr="005B496F">
        <w:rPr>
          <w:rFonts w:ascii="Garamond" w:hAnsi="Garamond"/>
          <w:sz w:val="22"/>
        </w:rPr>
        <w:fldChar w:fldCharType="begin"/>
      </w:r>
      <w:r w:rsidR="004E7227">
        <w:instrText xml:space="preserve"> TOC \t "Figuretitle" \c </w:instrText>
      </w:r>
      <w:r w:rsidRPr="005B496F">
        <w:rPr>
          <w:rFonts w:ascii="Garamond" w:hAnsi="Garamond"/>
          <w:sz w:val="22"/>
        </w:rPr>
        <w:fldChar w:fldCharType="separate"/>
      </w:r>
    </w:p>
    <w:p w:rsidR="006317BB" w:rsidRDefault="006317BB">
      <w:pPr>
        <w:pStyle w:val="TableofFigures"/>
        <w:tabs>
          <w:tab w:val="left" w:pos="110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State/territory of respondents</w:t>
      </w:r>
      <w:r>
        <w:tab/>
      </w:r>
      <w:r w:rsidR="005B496F">
        <w:fldChar w:fldCharType="begin"/>
      </w:r>
      <w:r>
        <w:instrText xml:space="preserve"> PAGEREF _Toc340826545 \h </w:instrText>
      </w:r>
      <w:r w:rsidR="005B496F">
        <w:fldChar w:fldCharType="separate"/>
      </w:r>
      <w:r w:rsidR="003B5D23">
        <w:t>19</w:t>
      </w:r>
      <w:r w:rsidR="005B496F">
        <w:fldChar w:fldCharType="end"/>
      </w:r>
    </w:p>
    <w:p w:rsidR="006317BB" w:rsidRDefault="006317BB">
      <w:pPr>
        <w:pStyle w:val="TableofFigures"/>
        <w:tabs>
          <w:tab w:val="left" w:pos="110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Description of respondents’ workplaces</w:t>
      </w:r>
      <w:r>
        <w:tab/>
      </w:r>
      <w:r w:rsidR="005B496F">
        <w:fldChar w:fldCharType="begin"/>
      </w:r>
      <w:r>
        <w:instrText xml:space="preserve"> PAGEREF _Toc340826546 \h </w:instrText>
      </w:r>
      <w:r w:rsidR="005B496F">
        <w:fldChar w:fldCharType="separate"/>
      </w:r>
      <w:r w:rsidR="003B5D23">
        <w:t>19</w:t>
      </w:r>
      <w:r w:rsidR="005B496F">
        <w:fldChar w:fldCharType="end"/>
      </w:r>
    </w:p>
    <w:p w:rsidR="006317BB" w:rsidRDefault="006317BB">
      <w:pPr>
        <w:pStyle w:val="TableofFigures"/>
        <w:tabs>
          <w:tab w:val="left" w:pos="110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 xml:space="preserve">Years of experience delivering adult language, literacy or </w:t>
      </w:r>
      <w:r>
        <w:br/>
        <w:t>numeracy training</w:t>
      </w:r>
      <w:r>
        <w:tab/>
      </w:r>
      <w:r w:rsidR="005B496F">
        <w:fldChar w:fldCharType="begin"/>
      </w:r>
      <w:r>
        <w:instrText xml:space="preserve"> PAGEREF _Toc340826547 \h </w:instrText>
      </w:r>
      <w:r w:rsidR="005B496F">
        <w:fldChar w:fldCharType="separate"/>
      </w:r>
      <w:r w:rsidR="003B5D23">
        <w:t>20</w:t>
      </w:r>
      <w:r w:rsidR="005B496F">
        <w:fldChar w:fldCharType="end"/>
      </w:r>
    </w:p>
    <w:p w:rsidR="004E7227" w:rsidRDefault="005B496F" w:rsidP="004E7227">
      <w:pPr>
        <w:pStyle w:val="TableofFigures"/>
      </w:pPr>
      <w:r>
        <w:fldChar w:fldCharType="end"/>
      </w:r>
    </w:p>
    <w:p w:rsidR="000108B2" w:rsidRPr="00A93867" w:rsidRDefault="000108B2" w:rsidP="0048643A">
      <w:pPr>
        <w:pStyle w:val="Text"/>
        <w:rPr>
          <w:b/>
        </w:rPr>
      </w:pP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Pr="005C2FCF" w:rsidRDefault="00FD38AE" w:rsidP="008C0A74">
      <w:pPr>
        <w:pStyle w:val="Heading1"/>
      </w:pPr>
      <w:bookmarkStart w:id="31" w:name="_Toc340826506"/>
      <w:r>
        <w:t>Introduction</w:t>
      </w:r>
      <w:bookmarkEnd w:id="31"/>
    </w:p>
    <w:p w:rsidR="002C2E45" w:rsidRPr="00A126BF" w:rsidRDefault="002C2E45" w:rsidP="00A126BF">
      <w:pPr>
        <w:pStyle w:val="Text"/>
      </w:pPr>
      <w:bookmarkStart w:id="32" w:name="_Toc188077642"/>
      <w:r w:rsidRPr="00096D18">
        <w:t>Around half of Australia’s adult population have low literacy and numeracy skills</w:t>
      </w:r>
      <w:r w:rsidR="007F42A6">
        <w:t>,</w:t>
      </w:r>
      <w:r w:rsidRPr="00096D18">
        <w:t xml:space="preserve"> as measured by the Adult Literacy and Life Skills </w:t>
      </w:r>
      <w:r w:rsidR="007F42A6">
        <w:t>s</w:t>
      </w:r>
      <w:r w:rsidR="000940A7" w:rsidRPr="00096D18">
        <w:t xml:space="preserve">urvey </w:t>
      </w:r>
      <w:r w:rsidRPr="00096D18">
        <w:t>(ALLS</w:t>
      </w:r>
      <w:r w:rsidR="007F42A6">
        <w:t>;</w:t>
      </w:r>
      <w:r w:rsidRPr="00096D18">
        <w:t xml:space="preserve"> ABS 2008). </w:t>
      </w:r>
      <w:proofErr w:type="gramStart"/>
      <w:r w:rsidRPr="00096D18">
        <w:t>‘Low’ skills refer</w:t>
      </w:r>
      <w:r w:rsidR="009D1298">
        <w:t>s</w:t>
      </w:r>
      <w:proofErr w:type="gramEnd"/>
      <w:r w:rsidRPr="00096D18">
        <w:t xml:space="preserve"> to those who fall into </w:t>
      </w:r>
      <w:r w:rsidR="000940A7" w:rsidRPr="00096D18">
        <w:t xml:space="preserve">Levels </w:t>
      </w:r>
      <w:r w:rsidRPr="00096D18">
        <w:t>1 and 2 of the five performance levels</w:t>
      </w:r>
      <w:r w:rsidR="007F42A6">
        <w:t xml:space="preserve"> of this survey</w:t>
      </w:r>
      <w:r w:rsidRPr="00096D18">
        <w:t xml:space="preserve">. Level 3 is considered to be the minimum </w:t>
      </w:r>
      <w:r w:rsidR="00B7147F">
        <w:t xml:space="preserve">needed by </w:t>
      </w:r>
      <w:r w:rsidRPr="00096D18">
        <w:t xml:space="preserve">individuals </w:t>
      </w:r>
      <w:r w:rsidR="00B7147F">
        <w:t xml:space="preserve">in order </w:t>
      </w:r>
      <w:r w:rsidRPr="00096D18">
        <w:t xml:space="preserve">to meet the complex demands of everyday life and work in </w:t>
      </w:r>
      <w:r w:rsidR="00B7147F">
        <w:t>a</w:t>
      </w:r>
      <w:r w:rsidRPr="00096D18">
        <w:t xml:space="preserve"> </w:t>
      </w:r>
      <w:r>
        <w:t>knowledge-based economy</w:t>
      </w:r>
      <w:r w:rsidRPr="00DB5D88">
        <w:t xml:space="preserve"> </w:t>
      </w:r>
      <w:r>
        <w:t xml:space="preserve">(Statistics Canada 2005). </w:t>
      </w:r>
      <w:r w:rsidRPr="00096D18">
        <w:t xml:space="preserve">This proportion is largely unchanged from the previous international literacy survey </w:t>
      </w:r>
      <w:r w:rsidR="007F42A6">
        <w:t>of</w:t>
      </w:r>
      <w:r w:rsidRPr="00096D18">
        <w:t xml:space="preserve"> the mid-</w:t>
      </w:r>
      <w:r>
        <w:t>19</w:t>
      </w:r>
      <w:r w:rsidRPr="00096D18">
        <w:t>90s</w:t>
      </w:r>
      <w:r>
        <w:t xml:space="preserve"> (ABS 1996)</w:t>
      </w:r>
      <w:r w:rsidRPr="00096D18">
        <w:t xml:space="preserve">. </w:t>
      </w:r>
      <w:r w:rsidR="00DE2B12" w:rsidRPr="00E91014">
        <w:t xml:space="preserve">Results from the next iteration of the international adult </w:t>
      </w:r>
      <w:r w:rsidR="00DE2B12" w:rsidRPr="00A126BF">
        <w:t>literacy and numeracy</w:t>
      </w:r>
      <w:r w:rsidR="001D5D32" w:rsidRPr="00A126BF">
        <w:t xml:space="preserve"> survey</w:t>
      </w:r>
      <w:r w:rsidR="007F42A6" w:rsidRPr="00A126BF">
        <w:t xml:space="preserve"> </w:t>
      </w:r>
      <w:r w:rsidR="00D63BCA" w:rsidRPr="00A126BF">
        <w:t>—</w:t>
      </w:r>
      <w:r w:rsidR="007F42A6" w:rsidRPr="00A126BF">
        <w:t xml:space="preserve"> </w:t>
      </w:r>
      <w:r w:rsidR="00D63BCA" w:rsidRPr="00A126BF">
        <w:t>the Programme for the International Assessment of Adult Competencies</w:t>
      </w:r>
      <w:r w:rsidR="001C74F1" w:rsidRPr="00A126BF">
        <w:t xml:space="preserve"> (PIAAC)</w:t>
      </w:r>
      <w:r w:rsidR="007F42A6" w:rsidRPr="00A126BF">
        <w:t xml:space="preserve"> </w:t>
      </w:r>
      <w:r w:rsidR="00D63BCA" w:rsidRPr="00A126BF">
        <w:t>—</w:t>
      </w:r>
      <w:r w:rsidR="007F42A6" w:rsidRPr="00A126BF">
        <w:t xml:space="preserve"> </w:t>
      </w:r>
      <w:r w:rsidR="00DE2B12" w:rsidRPr="00A126BF">
        <w:t xml:space="preserve">are due for release </w:t>
      </w:r>
      <w:r w:rsidR="009D1298">
        <w:t xml:space="preserve">in </w:t>
      </w:r>
      <w:r w:rsidR="00D63BCA" w:rsidRPr="00A126BF">
        <w:t>late</w:t>
      </w:r>
      <w:r w:rsidR="00DE2B12" w:rsidRPr="00A126BF">
        <w:t xml:space="preserve"> 2013 and it is with interest that we await these to see what, if any, changes have occurred.</w:t>
      </w:r>
    </w:p>
    <w:p w:rsidR="002C2E45" w:rsidRPr="00A126BF" w:rsidRDefault="002C2E45" w:rsidP="00A126BF">
      <w:pPr>
        <w:pStyle w:val="Text"/>
      </w:pPr>
      <w:r w:rsidRPr="00A126BF">
        <w:t>The magnitude of the low literacy skills problem among adults in Australia is similar to that in comparable</w:t>
      </w:r>
      <w:r w:rsidR="007F42A6" w:rsidRPr="00A126BF">
        <w:t>,</w:t>
      </w:r>
      <w:r w:rsidRPr="00A126BF">
        <w:t xml:space="preserve"> mainly English-speaking</w:t>
      </w:r>
      <w:r w:rsidR="007F42A6" w:rsidRPr="00A126BF">
        <w:t>,</w:t>
      </w:r>
      <w:r w:rsidRPr="00A126BF">
        <w:t xml:space="preserve"> countries</w:t>
      </w:r>
      <w:r w:rsidR="009D1298">
        <w:t>,</w:t>
      </w:r>
      <w:r w:rsidRPr="00A126BF">
        <w:t xml:space="preserve"> including New Zealand, Canada, the United States and the United Kingdom.</w:t>
      </w:r>
    </w:p>
    <w:p w:rsidR="002C2E45" w:rsidRPr="00096D18" w:rsidRDefault="002C2E45" w:rsidP="00A126BF">
      <w:pPr>
        <w:pStyle w:val="Text"/>
      </w:pPr>
      <w:r w:rsidRPr="00A126BF">
        <w:t xml:space="preserve">We know that those </w:t>
      </w:r>
      <w:r w:rsidRPr="00096D18">
        <w:t>with low literacy and numeracy skills are more likely to</w:t>
      </w:r>
      <w:r w:rsidR="000940A7">
        <w:t>:</w:t>
      </w:r>
      <w:r w:rsidRPr="00096D18">
        <w:t xml:space="preserve"> </w:t>
      </w:r>
    </w:p>
    <w:p w:rsidR="002C2E45" w:rsidRPr="00A126BF" w:rsidRDefault="002C2E45" w:rsidP="00A126BF">
      <w:pPr>
        <w:pStyle w:val="Dotpoint1"/>
      </w:pPr>
      <w:r w:rsidRPr="00096D18">
        <w:t xml:space="preserve">have </w:t>
      </w:r>
      <w:r w:rsidRPr="00A126BF">
        <w:t>lower educational attainment (</w:t>
      </w:r>
      <w:r w:rsidR="007F42A6" w:rsidRPr="00A126BF">
        <w:t>ten</w:t>
      </w:r>
      <w:r w:rsidRPr="00A126BF">
        <w:t xml:space="preserve"> years or </w:t>
      </w:r>
      <w:r w:rsidR="007F42A6" w:rsidRPr="00A126BF">
        <w:t>fewer</w:t>
      </w:r>
      <w:r w:rsidRPr="00A126BF">
        <w:t xml:space="preserve"> of formal education)</w:t>
      </w:r>
    </w:p>
    <w:p w:rsidR="002C2E45" w:rsidRPr="00A126BF" w:rsidRDefault="002C2E45" w:rsidP="00A126BF">
      <w:pPr>
        <w:pStyle w:val="Dotpoint1"/>
      </w:pPr>
      <w:r w:rsidRPr="00A126BF">
        <w:t>be unemployed or not looking for work (</w:t>
      </w:r>
      <w:r w:rsidR="007F42A6" w:rsidRPr="00A126BF">
        <w:t>that is,</w:t>
      </w:r>
      <w:r w:rsidRPr="00A126BF">
        <w:t xml:space="preserve"> out of the labour force)</w:t>
      </w:r>
    </w:p>
    <w:p w:rsidR="002C2E45" w:rsidRPr="00A126BF" w:rsidRDefault="002C2E45" w:rsidP="00A126BF">
      <w:pPr>
        <w:pStyle w:val="Dotpoint1"/>
      </w:pPr>
      <w:r w:rsidRPr="00A126BF">
        <w:t>be older (45 years and older)</w:t>
      </w:r>
    </w:p>
    <w:p w:rsidR="002C2E45" w:rsidRPr="00096D18" w:rsidRDefault="002C2E45" w:rsidP="00A126BF">
      <w:pPr>
        <w:pStyle w:val="Dotpoint1"/>
      </w:pPr>
      <w:proofErr w:type="gramStart"/>
      <w:r w:rsidRPr="00A126BF">
        <w:t>be</w:t>
      </w:r>
      <w:proofErr w:type="gramEnd"/>
      <w:r w:rsidRPr="00A126BF">
        <w:t xml:space="preserve"> from non</w:t>
      </w:r>
      <w:r w:rsidRPr="00096D18">
        <w:t>-English speaking backgrounds.</w:t>
      </w:r>
    </w:p>
    <w:p w:rsidR="00FD38AE" w:rsidRDefault="002F7F5D" w:rsidP="00A126BF">
      <w:pPr>
        <w:pStyle w:val="Text"/>
      </w:pPr>
      <w:r w:rsidRPr="005147E5">
        <w:t xml:space="preserve">In </w:t>
      </w:r>
      <w:r w:rsidR="00DE2B12" w:rsidRPr="005147E5">
        <w:t xml:space="preserve">addition to the </w:t>
      </w:r>
      <w:r w:rsidR="007F42A6" w:rsidRPr="00096D18">
        <w:t>Adult Literacy and Life Skills</w:t>
      </w:r>
      <w:r w:rsidR="000940A7">
        <w:t xml:space="preserve"> survey</w:t>
      </w:r>
      <w:r w:rsidR="00DE2B12" w:rsidRPr="005147E5">
        <w:t xml:space="preserve">, there are a number of other tools used to measure </w:t>
      </w:r>
      <w:r w:rsidRPr="005147E5">
        <w:t xml:space="preserve">language, literacy and numeracy proficiency. Among these </w:t>
      </w:r>
      <w:r w:rsidR="00D63BCA" w:rsidRPr="005147E5">
        <w:t xml:space="preserve">is the </w:t>
      </w:r>
      <w:r w:rsidRPr="005147E5">
        <w:t xml:space="preserve">Australian Core Skills Framework (ACSF). </w:t>
      </w:r>
      <w:r w:rsidR="00D63BCA" w:rsidRPr="005147E5">
        <w:t>Th</w:t>
      </w:r>
      <w:r w:rsidR="007F42A6">
        <w:t xml:space="preserve">is </w:t>
      </w:r>
      <w:r w:rsidR="007F5084" w:rsidRPr="005147E5">
        <w:t xml:space="preserve">is </w:t>
      </w:r>
      <w:r w:rsidR="005147E5" w:rsidRPr="005147E5">
        <w:t xml:space="preserve">routinely </w:t>
      </w:r>
      <w:r w:rsidR="007F5084" w:rsidRPr="005147E5">
        <w:t xml:space="preserve">used </w:t>
      </w:r>
      <w:r w:rsidR="005147E5" w:rsidRPr="005147E5">
        <w:t>in key federal government programs such as the Workplace English</w:t>
      </w:r>
      <w:r w:rsidR="005147E5">
        <w:t xml:space="preserve"> </w:t>
      </w:r>
      <w:r w:rsidR="005147E5" w:rsidRPr="00045485">
        <w:t>L</w:t>
      </w:r>
      <w:r w:rsidR="005147E5">
        <w:t xml:space="preserve">anguage and </w:t>
      </w:r>
      <w:r w:rsidR="005147E5" w:rsidRPr="00045485">
        <w:t>L</w:t>
      </w:r>
      <w:r w:rsidR="005147E5">
        <w:t>iteracy</w:t>
      </w:r>
      <w:r w:rsidR="000D11D7">
        <w:t xml:space="preserve"> </w:t>
      </w:r>
      <w:r w:rsidR="007F42A6">
        <w:t xml:space="preserve">(WELL) </w:t>
      </w:r>
      <w:r w:rsidR="005147E5" w:rsidRPr="00A126BF">
        <w:t>program</w:t>
      </w:r>
      <w:r w:rsidR="005147E5" w:rsidRPr="00045485">
        <w:t xml:space="preserve"> and the L</w:t>
      </w:r>
      <w:r w:rsidR="005147E5">
        <w:t>anguage</w:t>
      </w:r>
      <w:r w:rsidR="001D5D32">
        <w:t>,</w:t>
      </w:r>
      <w:r w:rsidR="005147E5">
        <w:t xml:space="preserve"> </w:t>
      </w:r>
      <w:r w:rsidR="005147E5" w:rsidRPr="00045485">
        <w:t>L</w:t>
      </w:r>
      <w:r w:rsidR="005147E5">
        <w:t xml:space="preserve">iteracy and </w:t>
      </w:r>
      <w:r w:rsidR="005147E5" w:rsidRPr="00045485">
        <w:t>N</w:t>
      </w:r>
      <w:r w:rsidR="005147E5">
        <w:t xml:space="preserve">umeracy </w:t>
      </w:r>
      <w:r w:rsidR="005147E5" w:rsidRPr="00045485">
        <w:t>P</w:t>
      </w:r>
      <w:r w:rsidR="005147E5">
        <w:t>rogram</w:t>
      </w:r>
      <w:r w:rsidR="000D11D7">
        <w:t xml:space="preserve"> </w:t>
      </w:r>
      <w:r w:rsidR="007F42A6">
        <w:t xml:space="preserve">(LLNP) </w:t>
      </w:r>
      <w:r w:rsidR="005147E5" w:rsidRPr="00045485">
        <w:t>to assess the state and progress of individual or group literacy and nume</w:t>
      </w:r>
      <w:r w:rsidR="005147E5">
        <w:t>r</w:t>
      </w:r>
      <w:r w:rsidR="005147E5" w:rsidRPr="00045485">
        <w:t>acy skills</w:t>
      </w:r>
      <w:r w:rsidR="005147E5">
        <w:t>.</w:t>
      </w:r>
      <w:r w:rsidR="00FD38AE">
        <w:t xml:space="preserve"> Both </w:t>
      </w:r>
      <w:r w:rsidR="000940A7">
        <w:t xml:space="preserve">the </w:t>
      </w:r>
      <w:r w:rsidR="00902933" w:rsidRPr="005147E5">
        <w:t>Australian Core Skills Framework</w:t>
      </w:r>
      <w:r w:rsidR="000940A7">
        <w:t xml:space="preserve"> and the </w:t>
      </w:r>
      <w:r w:rsidR="00902933" w:rsidRPr="00096D18">
        <w:t>Adult Literacy and Life Skills</w:t>
      </w:r>
      <w:r w:rsidR="000940A7">
        <w:t xml:space="preserve"> </w:t>
      </w:r>
      <w:r w:rsidR="00902933">
        <w:t>survey</w:t>
      </w:r>
      <w:r w:rsidR="00FD38AE">
        <w:t xml:space="preserve"> have five levels of performance</w:t>
      </w:r>
      <w:r w:rsidR="009D1298">
        <w:t>;</w:t>
      </w:r>
      <w:r w:rsidR="00FD38AE">
        <w:t xml:space="preserve"> it is sometimes assumed that these levels are equal. But are they?</w:t>
      </w:r>
    </w:p>
    <w:p w:rsidR="002F7F5D" w:rsidRDefault="002F7F5D" w:rsidP="00A126BF">
      <w:pPr>
        <w:pStyle w:val="Heading2"/>
      </w:pPr>
      <w:bookmarkStart w:id="33" w:name="_Toc290476045"/>
      <w:bookmarkStart w:id="34" w:name="_Toc307917351"/>
      <w:bookmarkStart w:id="35" w:name="_Toc340826507"/>
      <w:r>
        <w:t xml:space="preserve">Why was this project </w:t>
      </w:r>
      <w:r w:rsidRPr="00A126BF">
        <w:t>undertaken</w:t>
      </w:r>
      <w:r>
        <w:t>?</w:t>
      </w:r>
      <w:bookmarkEnd w:id="33"/>
      <w:bookmarkEnd w:id="34"/>
      <w:bookmarkEnd w:id="35"/>
    </w:p>
    <w:p w:rsidR="002F7F5D" w:rsidRPr="00A126BF" w:rsidRDefault="002F7F5D" w:rsidP="00A126BF">
      <w:pPr>
        <w:pStyle w:val="Text"/>
      </w:pPr>
      <w:r>
        <w:t xml:space="preserve">In late 2008, </w:t>
      </w:r>
      <w:r w:rsidRPr="00096D18">
        <w:t>as part of the National Skills and Workforce Development Agreement</w:t>
      </w:r>
      <w:r>
        <w:t xml:space="preserve">, a </w:t>
      </w:r>
      <w:r w:rsidRPr="00096D18">
        <w:t xml:space="preserve">Council of Australian Governments (COAG) </w:t>
      </w:r>
      <w:r>
        <w:t xml:space="preserve">directive </w:t>
      </w:r>
      <w:r w:rsidRPr="00096D18">
        <w:t>specified tha</w:t>
      </w:r>
      <w:r w:rsidR="00902933">
        <w:t>t the proportion of the working-</w:t>
      </w:r>
      <w:r w:rsidRPr="00096D18">
        <w:t xml:space="preserve">age population with low foundation skill levels </w:t>
      </w:r>
      <w:r>
        <w:t>be</w:t>
      </w:r>
      <w:r w:rsidRPr="00096D18">
        <w:t xml:space="preserve"> reduced to enable effective educational, labour market and social participation, and that the proportions at ALLS </w:t>
      </w:r>
      <w:r w:rsidR="000940A7" w:rsidRPr="00096D18">
        <w:t xml:space="preserve">Levels </w:t>
      </w:r>
      <w:r w:rsidRPr="00096D18">
        <w:t>1, 2 and 3 be monitored as a means of checking progress.</w:t>
      </w:r>
      <w:r>
        <w:t xml:space="preserve"> </w:t>
      </w:r>
      <w:r w:rsidRPr="00B270B8">
        <w:t xml:space="preserve">That is, </w:t>
      </w:r>
      <w:r>
        <w:t xml:space="preserve">the </w:t>
      </w:r>
      <w:r w:rsidRPr="00B270B8">
        <w:t xml:space="preserve">objectives </w:t>
      </w:r>
      <w:r w:rsidR="000940A7">
        <w:t>were</w:t>
      </w:r>
      <w:r w:rsidR="000940A7" w:rsidRPr="00B270B8">
        <w:t xml:space="preserve"> </w:t>
      </w:r>
      <w:r w:rsidRPr="00A126BF">
        <w:t xml:space="preserve">stated in terms of </w:t>
      </w:r>
      <w:r w:rsidR="001D5D32" w:rsidRPr="00A126BF">
        <w:t>ALLS</w:t>
      </w:r>
      <w:r w:rsidR="00902933" w:rsidRPr="00A126BF">
        <w:t xml:space="preserve"> survey</w:t>
      </w:r>
      <w:r w:rsidRPr="00A126BF">
        <w:t xml:space="preserve"> levels.</w:t>
      </w:r>
    </w:p>
    <w:p w:rsidR="004939A2" w:rsidRDefault="004939A2" w:rsidP="00A126BF">
      <w:pPr>
        <w:pStyle w:val="Text"/>
        <w:ind w:right="141"/>
      </w:pPr>
      <w:r w:rsidRPr="00A126BF">
        <w:t>Further, during the course of this resear</w:t>
      </w:r>
      <w:r>
        <w:t>ch the National Foundation Skills Strategy for Adults</w:t>
      </w:r>
      <w:r w:rsidR="000D762D">
        <w:rPr>
          <w:rStyle w:val="FootnoteReference"/>
        </w:rPr>
        <w:footnoteReference w:id="1"/>
      </w:r>
      <w:r>
        <w:t xml:space="preserve"> was released</w:t>
      </w:r>
      <w:r w:rsidR="00902933">
        <w:t xml:space="preserve"> </w:t>
      </w:r>
      <w:r>
        <w:t>— the first such strategy in 20 years</w:t>
      </w:r>
      <w:r w:rsidR="00902933">
        <w:t xml:space="preserve"> </w:t>
      </w:r>
      <w:r>
        <w:t>—</w:t>
      </w:r>
      <w:r w:rsidR="00902933">
        <w:t xml:space="preserve"> </w:t>
      </w:r>
      <w:r>
        <w:t>which is focused on improving outcomes fo</w:t>
      </w:r>
      <w:r w:rsidR="00385B59">
        <w:t xml:space="preserve">r working-age Australians. The performance measure for this strategy </w:t>
      </w:r>
      <w:r w:rsidR="00B7106B">
        <w:t>will be ‘b</w:t>
      </w:r>
      <w:r w:rsidR="00385B59">
        <w:t>y 2022, two thirds of working age Australians will have literacy and numeracy skills at Level 3 or above’ (S</w:t>
      </w:r>
      <w:r w:rsidR="00902933">
        <w:t>tanding Committee on Tertiary Education, Skills and Employment</w:t>
      </w:r>
      <w:r w:rsidR="00385B59">
        <w:t xml:space="preserve"> 2012, p.10). Level 3 here is in reference to the </w:t>
      </w:r>
      <w:r w:rsidR="00052B49">
        <w:t>levels</w:t>
      </w:r>
      <w:r w:rsidR="00052B49" w:rsidRPr="00096D18">
        <w:t xml:space="preserve"> </w:t>
      </w:r>
      <w:r w:rsidR="00052B49">
        <w:t xml:space="preserve">in the </w:t>
      </w:r>
      <w:r w:rsidR="00902933" w:rsidRPr="00096D18">
        <w:t>Adult Literacy and Life Skills</w:t>
      </w:r>
      <w:r w:rsidR="00052B49">
        <w:t xml:space="preserve"> survey and the</w:t>
      </w:r>
      <w:r w:rsidR="00902933" w:rsidRPr="00902933">
        <w:t xml:space="preserve"> </w:t>
      </w:r>
      <w:r w:rsidR="00902933" w:rsidRPr="00E91014">
        <w:t>Programme for the International Assessment of Adult Competencies</w:t>
      </w:r>
      <w:r w:rsidR="00385B59">
        <w:t>.</w:t>
      </w:r>
    </w:p>
    <w:p w:rsidR="002F7F5D" w:rsidRDefault="000D11D7" w:rsidP="002F7F5D">
      <w:pPr>
        <w:pStyle w:val="Text"/>
      </w:pPr>
      <w:bookmarkStart w:id="36" w:name="OLE_LINK1"/>
      <w:bookmarkStart w:id="37" w:name="OLE_LINK2"/>
      <w:r>
        <w:t>As noted above, two k</w:t>
      </w:r>
      <w:r w:rsidR="002F7F5D" w:rsidRPr="00045485">
        <w:t xml:space="preserve">ey </w:t>
      </w:r>
      <w:r w:rsidR="002F7F5D">
        <w:t>f</w:t>
      </w:r>
      <w:r w:rsidR="002F7F5D" w:rsidRPr="00045485">
        <w:t xml:space="preserve">ederal government programs </w:t>
      </w:r>
      <w:r>
        <w:t>which use the ACSF are t</w:t>
      </w:r>
      <w:r w:rsidR="002F7F5D" w:rsidRPr="00045485">
        <w:t xml:space="preserve">he </w:t>
      </w:r>
      <w:r w:rsidR="00882618" w:rsidRPr="005147E5">
        <w:t>Workplace English</w:t>
      </w:r>
      <w:r w:rsidR="00882618">
        <w:t xml:space="preserve"> </w:t>
      </w:r>
      <w:r w:rsidR="00882618" w:rsidRPr="00045485">
        <w:t>L</w:t>
      </w:r>
      <w:r w:rsidR="00882618">
        <w:t xml:space="preserve">anguage and </w:t>
      </w:r>
      <w:r w:rsidR="00882618" w:rsidRPr="00045485">
        <w:t>L</w:t>
      </w:r>
      <w:r w:rsidR="00882618">
        <w:t xml:space="preserve">iteracy </w:t>
      </w:r>
      <w:r w:rsidR="00882618" w:rsidRPr="00045485">
        <w:t>and the L</w:t>
      </w:r>
      <w:r w:rsidR="00882618">
        <w:t>anguage</w:t>
      </w:r>
      <w:r w:rsidR="001D5D32">
        <w:t>,</w:t>
      </w:r>
      <w:r w:rsidR="00882618">
        <w:t xml:space="preserve"> </w:t>
      </w:r>
      <w:r w:rsidR="00882618" w:rsidRPr="00045485">
        <w:t>L</w:t>
      </w:r>
      <w:r w:rsidR="00882618">
        <w:t xml:space="preserve">iteracy and </w:t>
      </w:r>
      <w:r w:rsidR="00882618" w:rsidRPr="00045485">
        <w:t>N</w:t>
      </w:r>
      <w:r w:rsidR="00882618">
        <w:t xml:space="preserve">umeracy </w:t>
      </w:r>
      <w:r w:rsidR="00882618" w:rsidRPr="00045485">
        <w:t>P</w:t>
      </w:r>
      <w:r w:rsidR="00882618">
        <w:t>rogram</w:t>
      </w:r>
      <w:r w:rsidR="009D1298">
        <w:t>s</w:t>
      </w:r>
      <w:r>
        <w:t xml:space="preserve">. </w:t>
      </w:r>
      <w:bookmarkEnd w:id="36"/>
      <w:bookmarkEnd w:id="37"/>
      <w:r>
        <w:t>T</w:t>
      </w:r>
      <w:r w:rsidR="002F7F5D" w:rsidRPr="00045485">
        <w:t>hese programs provide information on a very small propor</w:t>
      </w:r>
      <w:r w:rsidR="002F7F5D">
        <w:t>tion of the population</w:t>
      </w:r>
      <w:r w:rsidR="000940A7">
        <w:t xml:space="preserve"> (approximately</w:t>
      </w:r>
      <w:r w:rsidR="002F7F5D">
        <w:t xml:space="preserve"> 100 </w:t>
      </w:r>
      <w:r w:rsidR="002F7F5D" w:rsidRPr="00045485">
        <w:t>000 per year</w:t>
      </w:r>
      <w:r w:rsidR="000940A7">
        <w:t>)</w:t>
      </w:r>
      <w:r w:rsidR="007C7E0E">
        <w:t xml:space="preserve"> </w:t>
      </w:r>
      <w:r w:rsidR="002F7F5D" w:rsidRPr="00045485">
        <w:t>who fall within the COAG target area</w:t>
      </w:r>
      <w:r w:rsidR="007C7E0E">
        <w:t>. There</w:t>
      </w:r>
      <w:r w:rsidR="000940A7">
        <w:t xml:space="preserve"> are </w:t>
      </w:r>
      <w:r w:rsidR="0011213A">
        <w:t xml:space="preserve">many </w:t>
      </w:r>
      <w:r w:rsidR="007B73D2">
        <w:t xml:space="preserve">state-level </w:t>
      </w:r>
      <w:r w:rsidR="00FB4392">
        <w:t>program</w:t>
      </w:r>
      <w:r w:rsidR="002F7F5D" w:rsidRPr="00045485">
        <w:t xml:space="preserve">s that could </w:t>
      </w:r>
      <w:r w:rsidR="007C7E0E">
        <w:t xml:space="preserve">also </w:t>
      </w:r>
      <w:r w:rsidR="002F7F5D" w:rsidRPr="00045485">
        <w:t>be used to provide further information on the literacy and numeracy progress of various learner group</w:t>
      </w:r>
      <w:r w:rsidR="00311C70">
        <w:t>s</w:t>
      </w:r>
      <w:r w:rsidR="000940A7">
        <w:t>.</w:t>
      </w:r>
      <w:r w:rsidR="00FB4392">
        <w:t xml:space="preserve"> </w:t>
      </w:r>
      <w:r w:rsidR="007B73D2">
        <w:t xml:space="preserve">While these programs </w:t>
      </w:r>
      <w:r w:rsidR="002F7F5D">
        <w:t>can</w:t>
      </w:r>
      <w:r w:rsidR="007C7E0E">
        <w:t>not</w:t>
      </w:r>
      <w:r w:rsidR="002F7F5D">
        <w:t xml:space="preserve"> </w:t>
      </w:r>
      <w:r w:rsidR="002F7F5D" w:rsidRPr="00045485">
        <w:t>be measured and re</w:t>
      </w:r>
      <w:r w:rsidR="001C74F1">
        <w:t>ported using the ALLS or PIAA</w:t>
      </w:r>
      <w:r w:rsidR="002F7F5D" w:rsidRPr="00045485">
        <w:t>C tests</w:t>
      </w:r>
      <w:r w:rsidR="00052B49">
        <w:t>,</w:t>
      </w:r>
      <w:r w:rsidR="002F7F5D" w:rsidRPr="00045485">
        <w:t xml:space="preserve"> they could be monitored against the ACSF benchmarks.</w:t>
      </w:r>
      <w:r w:rsidR="002F7F5D">
        <w:t xml:space="preserve"> </w:t>
      </w:r>
    </w:p>
    <w:p w:rsidR="002F7F5D" w:rsidRDefault="002F7F5D" w:rsidP="002F7F5D">
      <w:pPr>
        <w:pStyle w:val="Text"/>
      </w:pPr>
      <w:r w:rsidRPr="00045485">
        <w:t>T</w:t>
      </w:r>
      <w:r>
        <w:t>he aim</w:t>
      </w:r>
      <w:r w:rsidR="004152A2">
        <w:t xml:space="preserve"> </w:t>
      </w:r>
      <w:r>
        <w:t>of t</w:t>
      </w:r>
      <w:r w:rsidRPr="00045485">
        <w:t xml:space="preserve">his project </w:t>
      </w:r>
      <w:r w:rsidR="004152A2">
        <w:t>is</w:t>
      </w:r>
      <w:r w:rsidRPr="00045485">
        <w:t xml:space="preserve"> to investigate whether </w:t>
      </w:r>
      <w:r w:rsidR="001C74F1">
        <w:t xml:space="preserve">the reading and numeracy </w:t>
      </w:r>
      <w:r w:rsidRPr="00045485">
        <w:t>performance levels o</w:t>
      </w:r>
      <w:r w:rsidR="001C74F1">
        <w:t>f</w:t>
      </w:r>
      <w:r w:rsidRPr="00045485">
        <w:t xml:space="preserve"> the </w:t>
      </w:r>
      <w:r w:rsidR="00052B49" w:rsidRPr="00096D18">
        <w:t>Adult Literacy and Life Skills</w:t>
      </w:r>
      <w:r w:rsidR="00052B49">
        <w:t xml:space="preserve"> survey</w:t>
      </w:r>
      <w:r w:rsidR="001C74F1">
        <w:t xml:space="preserve"> and the </w:t>
      </w:r>
      <w:r w:rsidR="00052B49" w:rsidRPr="005147E5">
        <w:t>Australian Core Skills Framework</w:t>
      </w:r>
      <w:r w:rsidR="00052B49">
        <w:t xml:space="preserve"> </w:t>
      </w:r>
      <w:r w:rsidR="0092312A">
        <w:t>c</w:t>
      </w:r>
      <w:r w:rsidR="004152A2">
        <w:t>an</w:t>
      </w:r>
      <w:r w:rsidR="0092312A" w:rsidRPr="00045485">
        <w:t xml:space="preserve"> </w:t>
      </w:r>
      <w:r w:rsidRPr="00045485">
        <w:t xml:space="preserve">be </w:t>
      </w:r>
      <w:r w:rsidR="001C74F1">
        <w:t>aligned</w:t>
      </w:r>
      <w:r w:rsidR="00052B49">
        <w:t>,</w:t>
      </w:r>
      <w:r w:rsidR="00570DC0">
        <w:rPr>
          <w:rStyle w:val="FootnoteReference"/>
        </w:rPr>
        <w:footnoteReference w:id="2"/>
      </w:r>
      <w:r w:rsidRPr="00045485">
        <w:t xml:space="preserve"> essentially </w:t>
      </w:r>
      <w:r w:rsidR="007147E7">
        <w:t>to determine</w:t>
      </w:r>
      <w:r w:rsidRPr="00045485">
        <w:t xml:space="preserve"> </w:t>
      </w:r>
      <w:r w:rsidR="0092312A">
        <w:t>whether or not the</w:t>
      </w:r>
      <w:r w:rsidR="0092312A" w:rsidRPr="00045485">
        <w:t xml:space="preserve"> </w:t>
      </w:r>
      <w:r w:rsidRPr="00045485">
        <w:t>ACSF performance levels could be used as a proxy for ALLS performance levels</w:t>
      </w:r>
      <w:r w:rsidR="00052B49">
        <w:t>.</w:t>
      </w:r>
      <w:r w:rsidRPr="002F7F5D">
        <w:rPr>
          <w:vertAlign w:val="superscript"/>
        </w:rPr>
        <w:footnoteReference w:id="3"/>
      </w:r>
      <w:r w:rsidRPr="00045485">
        <w:t xml:space="preserve"> This would make it possible to provide information on the literacy and numeracy development of identified target groups of the adult population </w:t>
      </w:r>
      <w:r w:rsidR="001C74F1">
        <w:t xml:space="preserve">on a more frequent basis </w:t>
      </w:r>
      <w:r w:rsidRPr="00045485">
        <w:t xml:space="preserve">than is </w:t>
      </w:r>
      <w:r w:rsidR="001C74F1">
        <w:t xml:space="preserve">currently </w:t>
      </w:r>
      <w:r w:rsidRPr="00045485">
        <w:t>available from the large-scale international testing programs.</w:t>
      </w:r>
    </w:p>
    <w:p w:rsidR="00110456" w:rsidRDefault="00126EC6" w:rsidP="002C2E45">
      <w:pPr>
        <w:pStyle w:val="Heading2"/>
      </w:pPr>
      <w:bookmarkStart w:id="38" w:name="_Toc307917350"/>
      <w:bookmarkStart w:id="39" w:name="_Toc340826508"/>
      <w:r>
        <w:t>Measuring adult literacy and numeracy using the ALLS and ACSF</w:t>
      </w:r>
      <w:bookmarkEnd w:id="38"/>
      <w:bookmarkEnd w:id="39"/>
    </w:p>
    <w:p w:rsidR="00110456" w:rsidRPr="0070385E" w:rsidRDefault="00110456" w:rsidP="00A126BF">
      <w:pPr>
        <w:pStyle w:val="Text"/>
        <w:ind w:right="-143"/>
      </w:pPr>
      <w:r w:rsidRPr="0070385E">
        <w:t xml:space="preserve">The </w:t>
      </w:r>
      <w:r w:rsidR="00052B49" w:rsidRPr="00096D18">
        <w:t>Adult Literacy and Life Skills</w:t>
      </w:r>
      <w:r w:rsidR="00052B49">
        <w:t xml:space="preserve"> survey</w:t>
      </w:r>
      <w:r w:rsidRPr="0070385E">
        <w:t xml:space="preserve"> and its predecessor, the International Adult Literacy Survey (IALS)</w:t>
      </w:r>
      <w:r w:rsidR="00052B49">
        <w:t>,</w:t>
      </w:r>
      <w:r w:rsidRPr="0070385E">
        <w:t xml:space="preserve"> were developed to enable the collection of comparable international data on literacy and numeracy proficiency. T</w:t>
      </w:r>
      <w:r w:rsidR="0070385E">
        <w:t>wenty years ago, t</w:t>
      </w:r>
      <w:r w:rsidRPr="0070385E">
        <w:t>he Organisation for Economic Co-operation and Development</w:t>
      </w:r>
      <w:r w:rsidR="0092312A">
        <w:t xml:space="preserve"> (OECD)</w:t>
      </w:r>
      <w:r w:rsidRPr="0070385E">
        <w:t xml:space="preserve"> </w:t>
      </w:r>
      <w:r w:rsidR="0070385E">
        <w:t>recognised</w:t>
      </w:r>
      <w:r w:rsidRPr="0070385E">
        <w:t xml:space="preserve"> that low literacy levels were having a significant impact on economic performance and social cohesion at an international level. But </w:t>
      </w:r>
      <w:r w:rsidR="0070385E">
        <w:t xml:space="preserve">a lack of data at that time meant attempts </w:t>
      </w:r>
      <w:r w:rsidR="009D1298">
        <w:t>to gain</w:t>
      </w:r>
      <w:r w:rsidRPr="0070385E">
        <w:t xml:space="preserve"> a better sense of the extent of literacy problems, and the policy implications that would arise from this, w</w:t>
      </w:r>
      <w:r w:rsidR="0070385E">
        <w:t>ere</w:t>
      </w:r>
      <w:r w:rsidRPr="0070385E">
        <w:t xml:space="preserve"> </w:t>
      </w:r>
      <w:r w:rsidR="001D5D32">
        <w:t>unsuccessful</w:t>
      </w:r>
      <w:r w:rsidRPr="0070385E">
        <w:t xml:space="preserve"> (cited in N</w:t>
      </w:r>
      <w:r w:rsidR="00052B49">
        <w:t xml:space="preserve">ational </w:t>
      </w:r>
      <w:proofErr w:type="spellStart"/>
      <w:r w:rsidR="00052B49">
        <w:t>Center</w:t>
      </w:r>
      <w:proofErr w:type="spellEnd"/>
      <w:r w:rsidR="00052B49">
        <w:t xml:space="preserve"> for Educational Statistics </w:t>
      </w:r>
      <w:r w:rsidRPr="0070385E">
        <w:t>1998, p.13).</w:t>
      </w:r>
    </w:p>
    <w:p w:rsidR="00110456" w:rsidRDefault="00110456" w:rsidP="00110456">
      <w:pPr>
        <w:pStyle w:val="Text"/>
      </w:pPr>
      <w:r w:rsidRPr="0070385E">
        <w:t xml:space="preserve">The focus of the </w:t>
      </w:r>
      <w:r w:rsidR="00052B49" w:rsidRPr="0070385E">
        <w:t>International Adult Literacy Survey</w:t>
      </w:r>
      <w:r w:rsidRPr="0070385E">
        <w:t xml:space="preserve">, </w:t>
      </w:r>
      <w:r w:rsidR="00052B49">
        <w:t xml:space="preserve">the </w:t>
      </w:r>
      <w:r w:rsidR="00052B49" w:rsidRPr="00096D18">
        <w:t>Adult Literacy and Life Skills</w:t>
      </w:r>
      <w:r w:rsidR="00052B49">
        <w:t xml:space="preserve"> survey</w:t>
      </w:r>
      <w:r w:rsidRPr="0070385E">
        <w:t xml:space="preserve">, and the current survey, the </w:t>
      </w:r>
      <w:r w:rsidR="00052B49" w:rsidRPr="00E91014">
        <w:t>Programme for the International Assessment of Adult Competencies</w:t>
      </w:r>
      <w:r w:rsidRPr="0070385E">
        <w:t xml:space="preserve">, is always on </w:t>
      </w:r>
      <w:r w:rsidR="001D5D32">
        <w:t xml:space="preserve">the </w:t>
      </w:r>
      <w:r w:rsidRPr="0070385E">
        <w:t xml:space="preserve">skills an individual needs to participate fully and successfully in a modern society. </w:t>
      </w:r>
      <w:r w:rsidR="006E5C85">
        <w:t>Such</w:t>
      </w:r>
      <w:r w:rsidRPr="0070385E">
        <w:t xml:space="preserve"> surveys are designed to provide performance information at aggregate levels such as the adult population and by important sub-groups (</w:t>
      </w:r>
      <w:r w:rsidR="00052B49">
        <w:t>for example,</w:t>
      </w:r>
      <w:r w:rsidRPr="0070385E">
        <w:t xml:space="preserve"> gender, location). </w:t>
      </w:r>
      <w:r w:rsidR="006E5C85">
        <w:t>G</w:t>
      </w:r>
      <w:r w:rsidRPr="0070385E">
        <w:t>iven the cost associated with the management and administration of such large-scale international surveys, the</w:t>
      </w:r>
      <w:r w:rsidR="0070385E" w:rsidRPr="0070385E">
        <w:t xml:space="preserve">re is generally a longer period of time </w:t>
      </w:r>
      <w:r w:rsidRPr="0070385E">
        <w:t>between surveys</w:t>
      </w:r>
      <w:r w:rsidR="0070385E" w:rsidRPr="0070385E">
        <w:t xml:space="preserve"> (</w:t>
      </w:r>
      <w:r w:rsidRPr="0070385E">
        <w:t>five to ten years</w:t>
      </w:r>
      <w:r w:rsidR="0070385E" w:rsidRPr="0070385E">
        <w:t>)</w:t>
      </w:r>
      <w:r w:rsidRPr="0070385E">
        <w:t xml:space="preserve">. In Australia, the IALS was administered in 1996, </w:t>
      </w:r>
      <w:r w:rsidR="009D1298">
        <w:t xml:space="preserve">the </w:t>
      </w:r>
      <w:r w:rsidRPr="0070385E">
        <w:t>ALLS</w:t>
      </w:r>
      <w:r w:rsidR="001D5D32">
        <w:t xml:space="preserve"> survey</w:t>
      </w:r>
      <w:r w:rsidRPr="0070385E">
        <w:t xml:space="preserve"> in 2006</w:t>
      </w:r>
      <w:r w:rsidR="00E60C30">
        <w:t>,</w:t>
      </w:r>
      <w:r w:rsidRPr="0070385E">
        <w:t xml:space="preserve"> and PIAAC </w:t>
      </w:r>
      <w:r w:rsidR="00D63BCA" w:rsidRPr="0070385E">
        <w:t xml:space="preserve">was undertaken in </w:t>
      </w:r>
      <w:r w:rsidRPr="0070385E">
        <w:t>late 2011</w:t>
      </w:r>
      <w:r w:rsidR="00052B49">
        <w:t>—</w:t>
      </w:r>
      <w:r w:rsidR="00D63BCA" w:rsidRPr="0070385E">
        <w:t>early 2012</w:t>
      </w:r>
      <w:r w:rsidRPr="0070385E">
        <w:t xml:space="preserve">. While </w:t>
      </w:r>
      <w:r w:rsidR="006E5C85">
        <w:t>these types of</w:t>
      </w:r>
      <w:r w:rsidRPr="0070385E">
        <w:t xml:space="preserve"> surveys provide important information about Australia’s skills position relativ</w:t>
      </w:r>
      <w:r w:rsidR="00052B49">
        <w:t>e to other countries, this time</w:t>
      </w:r>
      <w:r w:rsidRPr="0070385E">
        <w:t xml:space="preserve">frame does not </w:t>
      </w:r>
      <w:r w:rsidR="0070385E" w:rsidRPr="0070385E">
        <w:t xml:space="preserve">necessarily </w:t>
      </w:r>
      <w:r w:rsidRPr="0070385E">
        <w:t>permit the close monitoring of progress against national goals.</w:t>
      </w:r>
    </w:p>
    <w:p w:rsidR="00110456" w:rsidRPr="0061610C" w:rsidRDefault="00110456" w:rsidP="00110456">
      <w:pPr>
        <w:pStyle w:val="Text"/>
      </w:pPr>
      <w:r w:rsidRPr="0061610C">
        <w:t>The Australia</w:t>
      </w:r>
      <w:r w:rsidR="00D6773F">
        <w:t xml:space="preserve">n Core Skills Framework </w:t>
      </w:r>
      <w:r w:rsidRPr="00C25D58">
        <w:t>describes performance in the five core skills of reading, writing, oral communication, numeracy and learning</w:t>
      </w:r>
      <w:r w:rsidR="00A33CD3">
        <w:t>.</w:t>
      </w:r>
      <w:r w:rsidR="00670203">
        <w:rPr>
          <w:rStyle w:val="FootnoteReference"/>
        </w:rPr>
        <w:footnoteReference w:id="4"/>
      </w:r>
      <w:r>
        <w:t xml:space="preserve"> It is </w:t>
      </w:r>
      <w:r w:rsidRPr="0061610C">
        <w:t xml:space="preserve">intended </w:t>
      </w:r>
      <w:r>
        <w:t xml:space="preserve">to act as </w:t>
      </w:r>
      <w:r w:rsidRPr="0061610C">
        <w:t xml:space="preserve">a national framework for describing and discussing English language, literacy and numeracy performance </w:t>
      </w:r>
      <w:r w:rsidR="009D1298">
        <w:t>and contains</w:t>
      </w:r>
      <w:r w:rsidRPr="0061610C">
        <w:t xml:space="preserve"> benchmarks against which to assess and report on the progress of individuals or learner cohorts. </w:t>
      </w:r>
      <w:r w:rsidR="002434E9">
        <w:t xml:space="preserve">During the course of this project a revised version of the </w:t>
      </w:r>
      <w:r>
        <w:t xml:space="preserve">ACSF </w:t>
      </w:r>
      <w:r w:rsidR="002434E9">
        <w:t xml:space="preserve">was released which includes a </w:t>
      </w:r>
      <w:r w:rsidR="000C4960">
        <w:t>Pre-L</w:t>
      </w:r>
      <w:r w:rsidR="002434E9">
        <w:t xml:space="preserve">evel 1 </w:t>
      </w:r>
      <w:r w:rsidR="000C4960">
        <w:t>S</w:t>
      </w:r>
      <w:r w:rsidR="002434E9">
        <w:t>upplement</w:t>
      </w:r>
      <w:r w:rsidR="00A33CD3">
        <w:t>.</w:t>
      </w:r>
      <w:r w:rsidR="0063642E">
        <w:rPr>
          <w:rStyle w:val="FootnoteReference"/>
        </w:rPr>
        <w:footnoteReference w:id="5"/>
      </w:r>
      <w:r w:rsidR="002434E9">
        <w:t xml:space="preserve"> This supplement allows for the identification of core skill requirements for individuals with very low</w:t>
      </w:r>
      <w:r w:rsidR="009D1298">
        <w:t>-</w:t>
      </w:r>
      <w:r w:rsidR="002434E9">
        <w:t xml:space="preserve">level literacy and numeracy skills. </w:t>
      </w:r>
    </w:p>
    <w:p w:rsidR="00110456" w:rsidRDefault="008971B2" w:rsidP="00110456">
      <w:pPr>
        <w:pStyle w:val="Text"/>
      </w:pPr>
      <w:r>
        <w:t xml:space="preserve">In addition to being used in </w:t>
      </w:r>
      <w:r w:rsidR="00322769">
        <w:t xml:space="preserve">the </w:t>
      </w:r>
      <w:r w:rsidR="001D5D32" w:rsidRPr="00045485">
        <w:t>L</w:t>
      </w:r>
      <w:r w:rsidR="001D5D32">
        <w:t xml:space="preserve">anguage, </w:t>
      </w:r>
      <w:r w:rsidR="001D5D32" w:rsidRPr="00045485">
        <w:t>L</w:t>
      </w:r>
      <w:r w:rsidR="001D5D32">
        <w:t xml:space="preserve">iteracy and </w:t>
      </w:r>
      <w:r w:rsidR="001D5D32" w:rsidRPr="00045485">
        <w:t>N</w:t>
      </w:r>
      <w:r w:rsidR="001D5D32">
        <w:t xml:space="preserve">umeracy </w:t>
      </w:r>
      <w:r>
        <w:t xml:space="preserve">and </w:t>
      </w:r>
      <w:r w:rsidR="00611547">
        <w:t xml:space="preserve">the </w:t>
      </w:r>
      <w:r w:rsidR="001D5D32" w:rsidRPr="005147E5">
        <w:t>Workplace English</w:t>
      </w:r>
      <w:r w:rsidR="001D5D32">
        <w:t xml:space="preserve"> </w:t>
      </w:r>
      <w:r w:rsidR="001D5D32" w:rsidRPr="00045485">
        <w:t>L</w:t>
      </w:r>
      <w:r w:rsidR="001D5D32">
        <w:t xml:space="preserve">anguage and </w:t>
      </w:r>
      <w:r w:rsidR="001D5D32" w:rsidRPr="00045485">
        <w:t>L</w:t>
      </w:r>
      <w:r w:rsidR="001D5D32">
        <w:t>iteracy</w:t>
      </w:r>
      <w:r>
        <w:t xml:space="preserve"> programs, the ACSF is now </w:t>
      </w:r>
      <w:r w:rsidR="00110456" w:rsidRPr="00C25D58">
        <w:t xml:space="preserve">being adopted across a range of contexts and for a range of purposes. </w:t>
      </w:r>
      <w:r w:rsidR="007B73D2">
        <w:t xml:space="preserve">For example, </w:t>
      </w:r>
      <w:r w:rsidR="00315754">
        <w:t xml:space="preserve">the South Australian Certificate of Education (SACE) Board </w:t>
      </w:r>
      <w:r w:rsidR="00315754" w:rsidRPr="00315754">
        <w:t xml:space="preserve">endorsed the ACSF </w:t>
      </w:r>
      <w:r w:rsidR="009D1298" w:rsidRPr="00315754">
        <w:t xml:space="preserve">Level </w:t>
      </w:r>
      <w:r w:rsidR="00315754" w:rsidRPr="00315754">
        <w:t>3 descriptions in reading and writing as reference points for the SACE literacy benchmark</w:t>
      </w:r>
      <w:r w:rsidR="00611547">
        <w:t>, while</w:t>
      </w:r>
      <w:r w:rsidR="00110456" w:rsidRPr="00C25D58">
        <w:t xml:space="preserve"> Victoria University has adopte</w:t>
      </w:r>
      <w:r w:rsidR="00110456">
        <w:t>d the ACSF as part of its whole-of-</w:t>
      </w:r>
      <w:r w:rsidR="00110456" w:rsidRPr="00C25D58">
        <w:t>university strategy to support students’ literacy an</w:t>
      </w:r>
      <w:r w:rsidR="00110456">
        <w:t xml:space="preserve">d numeracy skills development. </w:t>
      </w:r>
      <w:r w:rsidR="00110456" w:rsidRPr="00C25D58">
        <w:t xml:space="preserve">In the vocational education and training (VET) sector, several </w:t>
      </w:r>
      <w:r w:rsidR="00322769" w:rsidRPr="00C25D58">
        <w:t xml:space="preserve">industry skills councils </w:t>
      </w:r>
      <w:r w:rsidR="00110456" w:rsidRPr="00C25D58">
        <w:t xml:space="preserve">are sponsoring national professional development around the ACSF for trainers in their fields and </w:t>
      </w:r>
      <w:r w:rsidR="00315754">
        <w:t xml:space="preserve">have mapped or are currently mapping </w:t>
      </w:r>
      <w:r w:rsidR="00322769">
        <w:t>t</w:t>
      </w:r>
      <w:r w:rsidR="00322769" w:rsidRPr="00C25D58">
        <w:t xml:space="preserve">raining package </w:t>
      </w:r>
      <w:r w:rsidR="00110456" w:rsidRPr="00C25D58">
        <w:t xml:space="preserve">units to the </w:t>
      </w:r>
      <w:r w:rsidR="00110456">
        <w:t>framework</w:t>
      </w:r>
      <w:r w:rsidR="00687312">
        <w:t>.</w:t>
      </w:r>
      <w:r w:rsidR="00315754">
        <w:t xml:space="preserve"> </w:t>
      </w:r>
    </w:p>
    <w:p w:rsidR="00110456" w:rsidRPr="005E71F7" w:rsidRDefault="00110456" w:rsidP="00110456">
      <w:pPr>
        <w:pStyle w:val="Text"/>
      </w:pPr>
      <w:r w:rsidRPr="005E71F7">
        <w:t xml:space="preserve">A </w:t>
      </w:r>
      <w:r w:rsidR="00687312">
        <w:t>key</w:t>
      </w:r>
      <w:r w:rsidRPr="005E71F7">
        <w:t xml:space="preserve"> difference between the </w:t>
      </w:r>
      <w:r w:rsidR="001D5D32" w:rsidRPr="00096D18">
        <w:t>Adult Literacy and Life Skills</w:t>
      </w:r>
      <w:r w:rsidR="001D5D32">
        <w:t xml:space="preserve"> survey</w:t>
      </w:r>
      <w:r>
        <w:t xml:space="preserve"> and A</w:t>
      </w:r>
      <w:r w:rsidR="00611547">
        <w:t>ustralian Core Skills Framework</w:t>
      </w:r>
      <w:r>
        <w:t xml:space="preserve"> </w:t>
      </w:r>
      <w:r w:rsidRPr="005E71F7">
        <w:t xml:space="preserve">is </w:t>
      </w:r>
      <w:r>
        <w:t>the</w:t>
      </w:r>
      <w:r w:rsidRPr="005E71F7">
        <w:t xml:space="preserve"> assessment purpose. The large-scale ALLS survey is a summative and evaluative tool. That is, it is used to give a summary of </w:t>
      </w:r>
      <w:r w:rsidR="008B1E8F">
        <w:t xml:space="preserve">the </w:t>
      </w:r>
      <w:r w:rsidR="008B1E8F" w:rsidRPr="005E71F7">
        <w:t>knowledge</w:t>
      </w:r>
      <w:r w:rsidRPr="005E71F7">
        <w:t xml:space="preserve"> and skill</w:t>
      </w:r>
      <w:r w:rsidR="008B1E8F">
        <w:t xml:space="preserve"> level</w:t>
      </w:r>
      <w:r w:rsidR="008E42B2">
        <w:t>s</w:t>
      </w:r>
      <w:r w:rsidR="008B1E8F">
        <w:t xml:space="preserve"> of a population, or sub-population,</w:t>
      </w:r>
      <w:r w:rsidRPr="005E71F7">
        <w:t xml:space="preserve"> at a point in time and does not provide feedback to inform future learning. </w:t>
      </w:r>
    </w:p>
    <w:p w:rsidR="00110456" w:rsidRDefault="00110456" w:rsidP="00110456">
      <w:pPr>
        <w:pStyle w:val="Text"/>
      </w:pPr>
      <w:r w:rsidRPr="00453BD0">
        <w:t xml:space="preserve">The ACSF can be used as either a summative or a formative tool. At any point in time, a learner’s performance in a core skill can be measured against the descriptors (called </w:t>
      </w:r>
      <w:r w:rsidR="00687312">
        <w:t>‘</w:t>
      </w:r>
      <w:r w:rsidRPr="00453BD0">
        <w:t>Indicators</w:t>
      </w:r>
      <w:r w:rsidR="00687312">
        <w:t>’</w:t>
      </w:r>
      <w:r w:rsidRPr="00453BD0">
        <w:t xml:space="preserve"> and </w:t>
      </w:r>
      <w:r w:rsidR="00687312">
        <w:t>‘</w:t>
      </w:r>
      <w:r w:rsidRPr="00453BD0">
        <w:t>Performance Features</w:t>
      </w:r>
      <w:r w:rsidR="00687312">
        <w:t>’</w:t>
      </w:r>
      <w:r w:rsidRPr="00453BD0">
        <w:t xml:space="preserve">) associated with each of the five levels, and a level of performance assigned. The ACSF can also be used as a formative or diagnostic tool. Any activity or test can become an assessment instrument if it </w:t>
      </w:r>
      <w:r w:rsidRPr="00BF5F04">
        <w:t>is mapped</w:t>
      </w:r>
      <w:r>
        <w:t xml:space="preserve"> </w:t>
      </w:r>
      <w:r w:rsidRPr="00453BD0">
        <w:t>to the ACSF and then used to identify an individual’s specific</w:t>
      </w:r>
      <w:r>
        <w:t xml:space="preserve"> strengths and weaknesses. The Performance F</w:t>
      </w:r>
      <w:r w:rsidRPr="00453BD0">
        <w:t xml:space="preserve">eatures offer a means of providing detailed performance feedback and </w:t>
      </w:r>
      <w:r>
        <w:t xml:space="preserve">of </w:t>
      </w:r>
      <w:r w:rsidRPr="00453BD0">
        <w:t>identify</w:t>
      </w:r>
      <w:r>
        <w:t>ing</w:t>
      </w:r>
      <w:r w:rsidRPr="00453BD0">
        <w:t xml:space="preserve"> where the focus of subsequent effort might yield useful results. Progress over time can be monitored against the levels </w:t>
      </w:r>
      <w:r>
        <w:t>and</w:t>
      </w:r>
      <w:r w:rsidRPr="00453BD0">
        <w:t xml:space="preserve"> also against specific </w:t>
      </w:r>
      <w:r w:rsidR="0092312A" w:rsidRPr="00453BD0">
        <w:t xml:space="preserve">Indicators </w:t>
      </w:r>
      <w:r w:rsidRPr="00453BD0">
        <w:t xml:space="preserve">and </w:t>
      </w:r>
      <w:r w:rsidR="0092312A" w:rsidRPr="00453BD0">
        <w:t>Performance Features</w:t>
      </w:r>
      <w:r w:rsidRPr="00453BD0">
        <w:t>.</w:t>
      </w:r>
      <w:r>
        <w:t xml:space="preserve"> </w:t>
      </w:r>
    </w:p>
    <w:p w:rsidR="00687312" w:rsidRPr="00453BD0" w:rsidRDefault="00687312" w:rsidP="00687312">
      <w:pPr>
        <w:pStyle w:val="Text"/>
      </w:pPr>
      <w:r>
        <w:t xml:space="preserve">There is increasing interest in the summative capacity of the </w:t>
      </w:r>
      <w:r w:rsidR="00611547">
        <w:t>Australian Core Skills Framework</w:t>
      </w:r>
      <w:r w:rsidR="00110456" w:rsidRPr="00453BD0">
        <w:t xml:space="preserve">. For example, </w:t>
      </w:r>
      <w:r>
        <w:t xml:space="preserve">the </w:t>
      </w:r>
      <w:r w:rsidRPr="00453BD0">
        <w:t>Australian C</w:t>
      </w:r>
      <w:r>
        <w:t>ouncil</w:t>
      </w:r>
      <w:r w:rsidRPr="00453BD0">
        <w:t xml:space="preserve"> for Education</w:t>
      </w:r>
      <w:r>
        <w:t>al</w:t>
      </w:r>
      <w:r w:rsidRPr="00453BD0">
        <w:t xml:space="preserve"> Research </w:t>
      </w:r>
      <w:r w:rsidR="0092312A">
        <w:t xml:space="preserve">(ACER) </w:t>
      </w:r>
      <w:r w:rsidRPr="00453BD0">
        <w:t xml:space="preserve">has </w:t>
      </w:r>
      <w:r w:rsidR="0011213A">
        <w:t>aligned</w:t>
      </w:r>
      <w:r w:rsidRPr="00453BD0">
        <w:t xml:space="preserve"> its </w:t>
      </w:r>
      <w:r>
        <w:t>Core Skills Profile for adults to</w:t>
      </w:r>
      <w:r w:rsidRPr="00453BD0">
        <w:t xml:space="preserve"> the ACSF</w:t>
      </w:r>
      <w:r w:rsidR="00F05F80">
        <w:t>, while</w:t>
      </w:r>
      <w:r w:rsidR="00611547">
        <w:t>, as noted above,</w:t>
      </w:r>
      <w:r w:rsidR="00F05F80">
        <w:t xml:space="preserve"> </w:t>
      </w:r>
      <w:r w:rsidRPr="00453BD0">
        <w:t xml:space="preserve">Victoria University </w:t>
      </w:r>
      <w:r>
        <w:t>uses</w:t>
      </w:r>
      <w:r w:rsidRPr="00453BD0">
        <w:t xml:space="preserve"> activities </w:t>
      </w:r>
      <w:r w:rsidR="00D61A23">
        <w:t xml:space="preserve">based on the ASCF </w:t>
      </w:r>
      <w:r w:rsidRPr="00453BD0">
        <w:t xml:space="preserve">to establish </w:t>
      </w:r>
      <w:r>
        <w:t>language, literacy and numeracy</w:t>
      </w:r>
      <w:r w:rsidRPr="00453BD0">
        <w:t xml:space="preserve"> performance benchmarks f</w:t>
      </w:r>
      <w:r w:rsidR="00D61A23">
        <w:t>or commencing students as a pre</w:t>
      </w:r>
      <w:r w:rsidRPr="00453BD0">
        <w:t>cursor to tracking, monitoring and measuring performance improvement over time</w:t>
      </w:r>
      <w:r w:rsidR="00E91014">
        <w:t xml:space="preserve">. </w:t>
      </w:r>
    </w:p>
    <w:p w:rsidR="00110456" w:rsidRPr="00096D18" w:rsidRDefault="00110456" w:rsidP="002F7F5D">
      <w:pPr>
        <w:pStyle w:val="Text"/>
      </w:pPr>
    </w:p>
    <w:p w:rsidR="00110456" w:rsidRDefault="00110456">
      <w:pPr>
        <w:spacing w:before="0" w:line="240" w:lineRule="auto"/>
      </w:pPr>
      <w:r>
        <w:br w:type="page"/>
      </w:r>
    </w:p>
    <w:p w:rsidR="00110456" w:rsidRDefault="00110456" w:rsidP="00110456">
      <w:pPr>
        <w:pStyle w:val="Heading1"/>
      </w:pPr>
      <w:bookmarkStart w:id="40" w:name="_Toc340826509"/>
      <w:r>
        <w:t>Method</w:t>
      </w:r>
      <w:bookmarkEnd w:id="40"/>
    </w:p>
    <w:p w:rsidR="007F4DAA" w:rsidRPr="00096D18" w:rsidRDefault="007F4DAA" w:rsidP="007F4DAA">
      <w:pPr>
        <w:pStyle w:val="Text"/>
      </w:pPr>
      <w:r>
        <w:t xml:space="preserve">There </w:t>
      </w:r>
      <w:r w:rsidR="00115B61">
        <w:t>we</w:t>
      </w:r>
      <w:r>
        <w:t xml:space="preserve">re two stages to this project. </w:t>
      </w:r>
      <w:r w:rsidRPr="00096D18">
        <w:t xml:space="preserve">The </w:t>
      </w:r>
      <w:r>
        <w:t xml:space="preserve">first was a study undertaken in 2010 </w:t>
      </w:r>
      <w:r w:rsidR="008E42B2">
        <w:t xml:space="preserve">(Circelli, Curtis &amp; Perkins 2011) </w:t>
      </w:r>
      <w:r>
        <w:t xml:space="preserve">to determine whether a potential mapping between the two frameworks </w:t>
      </w:r>
      <w:r w:rsidR="0092312A">
        <w:t xml:space="preserve">was </w:t>
      </w:r>
      <w:r>
        <w:t>feasible. This involved</w:t>
      </w:r>
      <w:r w:rsidRPr="00096D18">
        <w:t xml:space="preserve"> an expert group</w:t>
      </w:r>
      <w:r w:rsidR="00611547">
        <w:t>, which</w:t>
      </w:r>
      <w:r w:rsidR="00D61A23">
        <w:t xml:space="preserve"> </w:t>
      </w:r>
      <w:r w:rsidR="00611547">
        <w:t>included</w:t>
      </w:r>
      <w:r>
        <w:t xml:space="preserve"> developers of the A</w:t>
      </w:r>
      <w:r w:rsidR="00D61A23">
        <w:t>ustralian Core Skills Framework</w:t>
      </w:r>
      <w:r w:rsidR="008E42B2">
        <w:t>,</w:t>
      </w:r>
      <w:r w:rsidRPr="00096D18">
        <w:t xml:space="preserve"> </w:t>
      </w:r>
      <w:r w:rsidR="00D61A23">
        <w:t>along</w:t>
      </w:r>
      <w:r w:rsidRPr="00096D18">
        <w:t xml:space="preserve"> with an experienced item developer and a literacy practit</w:t>
      </w:r>
      <w:r w:rsidR="00611547">
        <w:t xml:space="preserve">ioner, </w:t>
      </w:r>
      <w:r w:rsidRPr="00096D18">
        <w:t>assess</w:t>
      </w:r>
      <w:r w:rsidR="005F1084">
        <w:t>ing</w:t>
      </w:r>
      <w:r w:rsidRPr="00096D18">
        <w:t xml:space="preserve"> </w:t>
      </w:r>
      <w:r w:rsidR="008E42B2">
        <w:t>the position of</w:t>
      </w:r>
      <w:r w:rsidRPr="00096D18">
        <w:t xml:space="preserve"> a number of </w:t>
      </w:r>
      <w:r>
        <w:t xml:space="preserve">prose and document literacy and numeracy </w:t>
      </w:r>
      <w:r w:rsidR="008E42B2">
        <w:t xml:space="preserve">ALLS items </w:t>
      </w:r>
      <w:r w:rsidRPr="00096D18">
        <w:t xml:space="preserve">in the ACSF </w:t>
      </w:r>
      <w:r w:rsidR="00611547">
        <w:t>structure,</w:t>
      </w:r>
      <w:r w:rsidRPr="00115B61">
        <w:rPr>
          <w:vertAlign w:val="superscript"/>
        </w:rPr>
        <w:footnoteReference w:id="6"/>
      </w:r>
      <w:r w:rsidRPr="00096D18">
        <w:t xml:space="preserve"> </w:t>
      </w:r>
      <w:r>
        <w:t xml:space="preserve">based on the assumption that a learner would attempt to perform the tasks independently. </w:t>
      </w:r>
      <w:r w:rsidRPr="008E42B2">
        <w:t>Since ALLS items have known locations on the relevant ALLS scale</w:t>
      </w:r>
      <w:r w:rsidRPr="00611547">
        <w:t>,</w:t>
      </w:r>
      <w:r w:rsidRPr="00B270B8">
        <w:t xml:space="preserve"> the consensus judgment of panel members provide</w:t>
      </w:r>
      <w:r>
        <w:t>d</w:t>
      </w:r>
      <w:r w:rsidRPr="00B270B8">
        <w:t xml:space="preserve"> a </w:t>
      </w:r>
      <w:r>
        <w:t>qualitative link between the two scales.</w:t>
      </w:r>
      <w:r w:rsidRPr="00115B61">
        <w:rPr>
          <w:vertAlign w:val="superscript"/>
        </w:rPr>
        <w:footnoteReference w:id="7"/>
      </w:r>
    </w:p>
    <w:p w:rsidR="00115B61" w:rsidRPr="00FB522E" w:rsidRDefault="007F4DAA" w:rsidP="00115B61">
      <w:pPr>
        <w:pStyle w:val="Text"/>
      </w:pPr>
      <w:r>
        <w:t xml:space="preserve">For this phase, items that represented </w:t>
      </w:r>
      <w:r w:rsidR="0092312A">
        <w:t xml:space="preserve">Levels </w:t>
      </w:r>
      <w:r>
        <w:t xml:space="preserve">1 and 2 and the lower part of </w:t>
      </w:r>
      <w:r w:rsidR="0092312A">
        <w:t xml:space="preserve">Level </w:t>
      </w:r>
      <w:r>
        <w:t>3 of the ALLS prose and document literacy and numeracy scales were used</w:t>
      </w:r>
      <w:r w:rsidR="0092312A">
        <w:t>,</w:t>
      </w:r>
      <w:r>
        <w:t xml:space="preserve"> </w:t>
      </w:r>
      <w:r w:rsidR="008E42B2">
        <w:t>since</w:t>
      </w:r>
      <w:r>
        <w:t xml:space="preserve"> individuals whose literacy performance lies within this range have tended to be of most interest in programs that use the ACSF as a tool </w:t>
      </w:r>
      <w:r w:rsidR="00611547">
        <w:t>for</w:t>
      </w:r>
      <w:r>
        <w:t xml:space="preserve"> literacy improvement</w:t>
      </w:r>
      <w:r w:rsidR="00D61A23">
        <w:t>.</w:t>
      </w:r>
      <w:r w:rsidRPr="00115B61">
        <w:rPr>
          <w:vertAlign w:val="superscript"/>
        </w:rPr>
        <w:footnoteReference w:id="8"/>
      </w:r>
      <w:r>
        <w:t xml:space="preserve"> </w:t>
      </w:r>
      <w:r w:rsidR="00115B61" w:rsidRPr="00110456">
        <w:t>At the completion of the study, there was general consens</w:t>
      </w:r>
      <w:r w:rsidR="00115B61">
        <w:t>us among the participants that t</w:t>
      </w:r>
      <w:r w:rsidR="00115B61" w:rsidRPr="00FB522E">
        <w:t>he mappi</w:t>
      </w:r>
      <w:r w:rsidR="00115B61">
        <w:t xml:space="preserve">ng process was feasible for the </w:t>
      </w:r>
      <w:r w:rsidR="00115B61" w:rsidRPr="00FB522E">
        <w:t>reading domain of the ACSF to the ALLS pros</w:t>
      </w:r>
      <w:r w:rsidR="00036E76">
        <w:t>e and document literacy</w:t>
      </w:r>
      <w:r w:rsidR="00115B61">
        <w:t xml:space="preserve"> domains</w:t>
      </w:r>
      <w:r w:rsidR="00D61A23">
        <w:t xml:space="preserve"> </w:t>
      </w:r>
      <w:r w:rsidR="00036E76">
        <w:t>—</w:t>
      </w:r>
      <w:r w:rsidR="00D61A23">
        <w:t xml:space="preserve"> </w:t>
      </w:r>
      <w:r w:rsidR="00036E76">
        <w:t xml:space="preserve">hereafter collectively referred to as the reading </w:t>
      </w:r>
      <w:r w:rsidR="00614605">
        <w:t>construct</w:t>
      </w:r>
      <w:r w:rsidR="00D61A23">
        <w:t xml:space="preserve"> </w:t>
      </w:r>
      <w:r w:rsidR="00036E76">
        <w:t>—</w:t>
      </w:r>
      <w:r w:rsidR="00D61A23">
        <w:t xml:space="preserve"> </w:t>
      </w:r>
      <w:r w:rsidR="00115B61" w:rsidRPr="00FB522E">
        <w:t>as well as the</w:t>
      </w:r>
      <w:r w:rsidR="00115B61">
        <w:t xml:space="preserve"> </w:t>
      </w:r>
      <w:r w:rsidR="00115B61" w:rsidRPr="00FB522E">
        <w:t xml:space="preserve">numeracy domains of the two frameworks. </w:t>
      </w:r>
    </w:p>
    <w:p w:rsidR="005F5E7A" w:rsidRDefault="007F4DAA" w:rsidP="007F4DAA">
      <w:pPr>
        <w:pStyle w:val="Text"/>
      </w:pPr>
      <w:r>
        <w:t>The second stage of the project</w:t>
      </w:r>
      <w:r w:rsidR="00CC4B20">
        <w:t>, the focus of this report,</w:t>
      </w:r>
      <w:r>
        <w:t xml:space="preserve"> involve</w:t>
      </w:r>
      <w:r w:rsidR="00CC4B20">
        <w:t>d</w:t>
      </w:r>
      <w:r>
        <w:t xml:space="preserve"> a larger-scale research study to empirically align the two frameworks to a single scale for reading and numeracy</w:t>
      </w:r>
      <w:r w:rsidR="00CC4B20">
        <w:t xml:space="preserve"> using Item Response Theory (</w:t>
      </w:r>
      <w:proofErr w:type="spellStart"/>
      <w:r w:rsidR="00CC4B20">
        <w:t>Rasch</w:t>
      </w:r>
      <w:proofErr w:type="spellEnd"/>
      <w:r w:rsidR="00CC4B20">
        <w:t xml:space="preserve"> 1960)</w:t>
      </w:r>
      <w:r w:rsidR="00D61A23">
        <w:t>.</w:t>
      </w:r>
      <w:r w:rsidR="002C7CCA" w:rsidRPr="00115B61">
        <w:rPr>
          <w:vertAlign w:val="superscript"/>
        </w:rPr>
        <w:footnoteReference w:id="9"/>
      </w:r>
      <w:r>
        <w:t xml:space="preserve"> </w:t>
      </w:r>
    </w:p>
    <w:p w:rsidR="003A1095" w:rsidRDefault="00611547" w:rsidP="007F4DAA">
      <w:pPr>
        <w:pStyle w:val="Text"/>
      </w:pPr>
      <w:r>
        <w:t>During</w:t>
      </w:r>
      <w:r w:rsidR="002C7CCA">
        <w:t xml:space="preserve"> a</w:t>
      </w:r>
      <w:r w:rsidR="00D61A23">
        <w:t xml:space="preserve"> 15-</w:t>
      </w:r>
      <w:r w:rsidR="00B82142">
        <w:t>minute</w:t>
      </w:r>
      <w:r w:rsidR="007F4DAA">
        <w:t xml:space="preserve"> online survey</w:t>
      </w:r>
      <w:r w:rsidR="0063642E">
        <w:t>,</w:t>
      </w:r>
      <w:r w:rsidR="007F4DAA">
        <w:t xml:space="preserve"> teachers/tutors familiar with adult literacy and numeracy concepts anonymously rate</w:t>
      </w:r>
      <w:r w:rsidR="002C7CCA">
        <w:t>d</w:t>
      </w:r>
      <w:r w:rsidR="007F4DAA">
        <w:t xml:space="preserve"> a </w:t>
      </w:r>
      <w:r w:rsidR="00FC17D0">
        <w:t>learner</w:t>
      </w:r>
      <w:r w:rsidR="007F4DAA">
        <w:t xml:space="preserve"> whose l</w:t>
      </w:r>
      <w:r w:rsidR="002C7CCA">
        <w:t>iteracy and/or numeracy levels we</w:t>
      </w:r>
      <w:r w:rsidR="005974B2">
        <w:t>re most familiar to them</w:t>
      </w:r>
      <w:r w:rsidR="007F4DAA">
        <w:t xml:space="preserve"> against statements and sample tasks</w:t>
      </w:r>
      <w:r w:rsidR="00D61A23">
        <w:t xml:space="preserve"> </w:t>
      </w:r>
      <w:r w:rsidR="003A1095">
        <w:t>—</w:t>
      </w:r>
      <w:r w:rsidR="00D61A23">
        <w:t xml:space="preserve"> </w:t>
      </w:r>
      <w:r w:rsidR="003A1095">
        <w:t>collectively referred to as ‘items’</w:t>
      </w:r>
      <w:r w:rsidR="00D61A23">
        <w:t xml:space="preserve"> </w:t>
      </w:r>
      <w:r w:rsidR="003A1095">
        <w:t>—</w:t>
      </w:r>
      <w:r w:rsidR="007F4DAA">
        <w:t xml:space="preserve"> drawn directly from both the ACSF and ALLS frameworks. </w:t>
      </w:r>
      <w:r w:rsidR="003A1095">
        <w:t xml:space="preserve">The ALLS items comprised each of the </w:t>
      </w:r>
      <w:r w:rsidR="007E446E">
        <w:t xml:space="preserve">reading and numeracy </w:t>
      </w:r>
      <w:r w:rsidR="003A1095">
        <w:t>Level Descriptors</w:t>
      </w:r>
      <w:r w:rsidR="00D61A23">
        <w:t>,</w:t>
      </w:r>
      <w:r w:rsidR="0063642E">
        <w:rPr>
          <w:rStyle w:val="FootnoteReference"/>
        </w:rPr>
        <w:footnoteReference w:id="10"/>
      </w:r>
      <w:r w:rsidR="003A1095">
        <w:t xml:space="preserve"> as well as a sample of publicly available retired scaled items and a random </w:t>
      </w:r>
      <w:r w:rsidR="003A1095" w:rsidRPr="008E42B2">
        <w:t>sample</w:t>
      </w:r>
      <w:r w:rsidR="003A1095">
        <w:t xml:space="preserve"> of Numeracy Complexity Statements</w:t>
      </w:r>
      <w:r w:rsidR="00F05F80">
        <w:t>.</w:t>
      </w:r>
      <w:r w:rsidR="00036E76">
        <w:rPr>
          <w:rStyle w:val="FootnoteReference"/>
        </w:rPr>
        <w:footnoteReference w:id="11"/>
      </w:r>
      <w:r w:rsidR="003A1095">
        <w:t xml:space="preserve"> In relation to the ACSF, a random sample of Performance Features and the total pool of </w:t>
      </w:r>
      <w:r w:rsidR="009E37EB">
        <w:t>l</w:t>
      </w:r>
      <w:r w:rsidR="003A1095">
        <w:t>evel Indic</w:t>
      </w:r>
      <w:r w:rsidR="009E37EB">
        <w:t>a</w:t>
      </w:r>
      <w:r w:rsidR="003A1095">
        <w:t>tors were selected</w:t>
      </w:r>
      <w:r w:rsidR="00F708C3">
        <w:t>.</w:t>
      </w:r>
      <w:r w:rsidR="00036E76">
        <w:rPr>
          <w:rStyle w:val="FootnoteReference"/>
        </w:rPr>
        <w:footnoteReference w:id="12"/>
      </w:r>
      <w:r w:rsidR="003A1095">
        <w:t xml:space="preserve"> The survey item pool comprised a total of 79 items for </w:t>
      </w:r>
      <w:r w:rsidR="00B730DD">
        <w:t>r</w:t>
      </w:r>
      <w:r w:rsidR="003A1095">
        <w:t xml:space="preserve">eading (34 items representing the ALLS and 45 representing the ACSF) and 86 items for </w:t>
      </w:r>
      <w:r w:rsidR="00B730DD">
        <w:t>n</w:t>
      </w:r>
      <w:r w:rsidR="003A1095">
        <w:t>umeracy (50 items representing the ACSF and 36 representing the ALLS)</w:t>
      </w:r>
      <w:r w:rsidR="007E446E">
        <w:t>.</w:t>
      </w:r>
    </w:p>
    <w:p w:rsidR="007F4DAA" w:rsidRDefault="00CA0CE1" w:rsidP="00BA4E95">
      <w:pPr>
        <w:pStyle w:val="Text"/>
        <w:ind w:right="-284"/>
      </w:pPr>
      <w:r>
        <w:t>There were six forms of the survey (three forms each for reading and numeracy) with link items (</w:t>
      </w:r>
      <w:r w:rsidR="00F708C3">
        <w:t>that is,</w:t>
      </w:r>
      <w:r w:rsidR="00BA4E95">
        <w:t> </w:t>
      </w:r>
      <w:r>
        <w:t xml:space="preserve">common items across forms to enable the forms to be equated onto a single scale) </w:t>
      </w:r>
      <w:r w:rsidR="005974B2">
        <w:t>to minimise respondent workload</w:t>
      </w:r>
      <w:r>
        <w:t xml:space="preserve"> an</w:t>
      </w:r>
      <w:r w:rsidR="005974B2">
        <w:t>d at the same time</w:t>
      </w:r>
      <w:r>
        <w:t xml:space="preserve"> </w:t>
      </w:r>
      <w:r w:rsidR="005974B2">
        <w:t xml:space="preserve">enable the </w:t>
      </w:r>
      <w:r>
        <w:t>collect</w:t>
      </w:r>
      <w:r w:rsidR="005974B2">
        <w:t>ion of</w:t>
      </w:r>
      <w:r>
        <w:t xml:space="preserve"> sufficient data on all 79 items for </w:t>
      </w:r>
      <w:r w:rsidR="00BA797A">
        <w:t>r</w:t>
      </w:r>
      <w:r>
        <w:t xml:space="preserve">eading and 86 items for </w:t>
      </w:r>
      <w:r w:rsidR="00BA797A">
        <w:t>n</w:t>
      </w:r>
      <w:r>
        <w:t>umeracy</w:t>
      </w:r>
      <w:r w:rsidR="008E42B2">
        <w:t>,</w:t>
      </w:r>
      <w:r>
        <w:t xml:space="preserve"> based on the expected sample size of respondents. Each form contained approximately 50 items</w:t>
      </w:r>
      <w:r w:rsidR="005974B2">
        <w:t>,</w:t>
      </w:r>
      <w:r>
        <w:t xml:space="preserve"> with content drawn from both frameworks across three adjacent levels on each framework. Items were presented in random order so the respondents were not able </w:t>
      </w:r>
      <w:r w:rsidRPr="001D6C2E">
        <w:t xml:space="preserve">to obtain external cues </w:t>
      </w:r>
      <w:r>
        <w:t>about the level of an item (other than the wording of the item itself), and also to avoid any item positioning effect</w:t>
      </w:r>
      <w:r w:rsidR="00F708C3">
        <w:t>.</w:t>
      </w:r>
      <w:r w:rsidR="009E37EB">
        <w:rPr>
          <w:rStyle w:val="FootnoteReference"/>
        </w:rPr>
        <w:footnoteReference w:id="13"/>
      </w:r>
      <w:r>
        <w:t xml:space="preserve"> This meant </w:t>
      </w:r>
      <w:r w:rsidR="00F708C3">
        <w:t xml:space="preserve">that </w:t>
      </w:r>
      <w:r>
        <w:t xml:space="preserve">the complexity of an item could be determined solely </w:t>
      </w:r>
      <w:r w:rsidR="008E42B2">
        <w:t>by</w:t>
      </w:r>
      <w:r>
        <w:t xml:space="preserve"> the language contained within each item, as opposed to making an </w:t>
      </w:r>
      <w:r w:rsidRPr="00936E80">
        <w:rPr>
          <w:i/>
        </w:rPr>
        <w:t>a priori</w:t>
      </w:r>
      <w:r>
        <w:t xml:space="preserve"> assumption about the relative complexity of the item content according to its original positioning within the framework. </w:t>
      </w:r>
    </w:p>
    <w:p w:rsidR="006C16D0" w:rsidRDefault="006C16D0" w:rsidP="007F4DAA">
      <w:pPr>
        <w:pStyle w:val="Text"/>
      </w:pPr>
      <w:r>
        <w:t>At the start of the survey, each respondent was asked to provide background information as well as to select an anonymous learner to form the basis of the ratings. The respondent was first asked to make a holistic judgment of the learner’s ACSF level in either the reading and/or</w:t>
      </w:r>
      <w:r w:rsidR="00D473E4">
        <w:t xml:space="preserve"> numeracy skill area. This judg</w:t>
      </w:r>
      <w:r>
        <w:t>ment was used to assign an appropriate form for the respondent to complete. Each respondent was then required to use a</w:t>
      </w:r>
      <w:r w:rsidR="00D473E4">
        <w:t xml:space="preserve"> three-point rating scale (</w:t>
      </w:r>
      <w:r>
        <w:t>‘not very likely’, ‘somewhat likely’ or ‘very likely’) to rate the likelihood that the learner would be able to independently perform the task described by each item.</w:t>
      </w:r>
    </w:p>
    <w:p w:rsidR="000554F8" w:rsidRPr="00600137" w:rsidRDefault="000554F8" w:rsidP="000554F8">
      <w:pPr>
        <w:pStyle w:val="Text"/>
      </w:pPr>
      <w:r>
        <w:t xml:space="preserve">Data for the </w:t>
      </w:r>
      <w:r w:rsidR="00BA797A">
        <w:t>n</w:t>
      </w:r>
      <w:r>
        <w:t xml:space="preserve">umeracy and </w:t>
      </w:r>
      <w:r w:rsidR="00BA797A">
        <w:t>r</w:t>
      </w:r>
      <w:r>
        <w:t xml:space="preserve">eading </w:t>
      </w:r>
      <w:r w:rsidR="004803EA">
        <w:t>constructs</w:t>
      </w:r>
      <w:r w:rsidR="00BA797A">
        <w:t xml:space="preserve"> </w:t>
      </w:r>
      <w:r w:rsidR="00D473E4">
        <w:t>were</w:t>
      </w:r>
      <w:r>
        <w:t xml:space="preserve"> analysed separately</w:t>
      </w:r>
      <w:r w:rsidRPr="001056D4">
        <w:t xml:space="preserve"> and placed onto the same scale of measurement using Item Response Theory</w:t>
      </w:r>
      <w:r>
        <w:t xml:space="preserve"> (</w:t>
      </w:r>
      <w:proofErr w:type="spellStart"/>
      <w:r>
        <w:t>Rasch</w:t>
      </w:r>
      <w:proofErr w:type="spellEnd"/>
      <w:r>
        <w:t xml:space="preserve"> 1960)</w:t>
      </w:r>
      <w:r w:rsidR="00D473E4">
        <w:t>,</w:t>
      </w:r>
      <w:r>
        <w:t xml:space="preserve"> which enabled the relative complexities of </w:t>
      </w:r>
      <w:r w:rsidRPr="00BD430B">
        <w:t xml:space="preserve">the five levels on the </w:t>
      </w:r>
      <w:r w:rsidR="00611547">
        <w:t>Australian Core Skills Framework</w:t>
      </w:r>
      <w:r w:rsidRPr="00BD430B">
        <w:t xml:space="preserve"> and the five levels o</w:t>
      </w:r>
      <w:r>
        <w:t xml:space="preserve">f the </w:t>
      </w:r>
      <w:r w:rsidR="001D5D32" w:rsidRPr="00096D18">
        <w:t>Adult Literacy and Life Skills</w:t>
      </w:r>
      <w:r w:rsidR="001D5D32">
        <w:t xml:space="preserve"> survey</w:t>
      </w:r>
      <w:r>
        <w:t xml:space="preserve"> to be determined. As t</w:t>
      </w:r>
      <w:r w:rsidRPr="00237F85">
        <w:t>he survey design contained items common to multiple survey forms</w:t>
      </w:r>
      <w:r>
        <w:t xml:space="preserve">, </w:t>
      </w:r>
      <w:r w:rsidRPr="00831DB9">
        <w:t xml:space="preserve">all items across all three forms per </w:t>
      </w:r>
      <w:r w:rsidR="00BA797A">
        <w:t>concept</w:t>
      </w:r>
      <w:r w:rsidRPr="00831DB9">
        <w:t xml:space="preserve"> </w:t>
      </w:r>
      <w:r>
        <w:t>could</w:t>
      </w:r>
      <w:r w:rsidRPr="00831DB9">
        <w:t xml:space="preserve"> be mapped onto the same scale using common item equating. The outcome of the analyses was that the complexity of each item and </w:t>
      </w:r>
      <w:r w:rsidR="00D473E4">
        <w:t xml:space="preserve">the </w:t>
      </w:r>
      <w:r>
        <w:t xml:space="preserve">ability of </w:t>
      </w:r>
      <w:r w:rsidR="005974B2">
        <w:t>each learner were</w:t>
      </w:r>
      <w:r w:rsidRPr="00831DB9">
        <w:t xml:space="preserve"> estimated on a scale measured in </w:t>
      </w:r>
      <w:proofErr w:type="spellStart"/>
      <w:r w:rsidRPr="00831DB9">
        <w:t>logit</w:t>
      </w:r>
      <w:proofErr w:type="spellEnd"/>
      <w:r w:rsidRPr="00831DB9">
        <w:t xml:space="preserve"> units. A transformation was then applied to these estimates to make t</w:t>
      </w:r>
      <w:r w:rsidR="00D473E4">
        <w:t>hem more interpretable for end-</w:t>
      </w:r>
      <w:r w:rsidRPr="00831DB9">
        <w:t>users of this report (</w:t>
      </w:r>
      <w:r>
        <w:t>analogous</w:t>
      </w:r>
      <w:r w:rsidRPr="00831DB9">
        <w:t xml:space="preserve"> to converting inches i</w:t>
      </w:r>
      <w:r>
        <w:t>nto centimetres)</w:t>
      </w:r>
      <w:r w:rsidR="0035716F">
        <w:t xml:space="preserve"> with i</w:t>
      </w:r>
      <w:r w:rsidRPr="00831DB9">
        <w:t>tems assigned a complexity estimate ranging from 100 (low complex</w:t>
      </w:r>
      <w:r>
        <w:t xml:space="preserve">ity) to 200 (high complexity). </w:t>
      </w:r>
    </w:p>
    <w:p w:rsidR="00600137" w:rsidRDefault="00CC4B20" w:rsidP="00CC4B20">
      <w:pPr>
        <w:pStyle w:val="Text"/>
      </w:pPr>
      <w:r>
        <w:t>To increase</w:t>
      </w:r>
      <w:r w:rsidRPr="00CA7D37">
        <w:t xml:space="preserve"> the response rate, participants who complete</w:t>
      </w:r>
      <w:r w:rsidR="00936E80">
        <w:t>d</w:t>
      </w:r>
      <w:r w:rsidRPr="00CA7D37">
        <w:t xml:space="preserve"> the survey </w:t>
      </w:r>
      <w:r>
        <w:t>w</w:t>
      </w:r>
      <w:r w:rsidR="00B07BDB">
        <w:t>ere</w:t>
      </w:r>
      <w:r>
        <w:t xml:space="preserve"> given</w:t>
      </w:r>
      <w:r w:rsidRPr="00CA7D37">
        <w:t xml:space="preserve"> the opportunity to voluntarily enter into a draw to win one of six </w:t>
      </w:r>
      <w:proofErr w:type="spellStart"/>
      <w:r>
        <w:t>iPad</w:t>
      </w:r>
      <w:r w:rsidR="005974B2">
        <w:t>s</w:t>
      </w:r>
      <w:proofErr w:type="spellEnd"/>
      <w:r>
        <w:t xml:space="preserve"> </w:t>
      </w:r>
      <w:r w:rsidR="00137DE0">
        <w:t>(3</w:t>
      </w:r>
      <w:r w:rsidR="00710315" w:rsidRPr="00D473E4">
        <w:t>rd</w:t>
      </w:r>
      <w:r w:rsidR="00137DE0" w:rsidRPr="00D473E4">
        <w:t xml:space="preserve"> </w:t>
      </w:r>
      <w:r w:rsidR="00137DE0">
        <w:t>generation)</w:t>
      </w:r>
      <w:r>
        <w:t>.</w:t>
      </w:r>
      <w:r w:rsidRPr="00110456">
        <w:t xml:space="preserve"> Participants </w:t>
      </w:r>
      <w:r w:rsidR="00B07BDB">
        <w:t>were</w:t>
      </w:r>
      <w:r w:rsidRPr="00110456">
        <w:t xml:space="preserve"> also encouraged to complete more than one survey and</w:t>
      </w:r>
      <w:r w:rsidR="005974B2">
        <w:t>,</w:t>
      </w:r>
      <w:r w:rsidRPr="00110456">
        <w:t xml:space="preserve"> as such, </w:t>
      </w:r>
      <w:r w:rsidR="00B07BDB">
        <w:t>had</w:t>
      </w:r>
      <w:r w:rsidRPr="00110456">
        <w:t xml:space="preserve"> the opportunity to enter the draw each time they complete</w:t>
      </w:r>
      <w:r w:rsidR="00B07BDB">
        <w:t>d</w:t>
      </w:r>
      <w:r w:rsidRPr="00110456">
        <w:t xml:space="preserve"> a survey.</w:t>
      </w:r>
    </w:p>
    <w:p w:rsidR="005974B2" w:rsidRDefault="00B82142" w:rsidP="00BA4E95">
      <w:pPr>
        <w:pStyle w:val="Text"/>
        <w:rPr>
          <w:i/>
        </w:rPr>
      </w:pPr>
      <w:r>
        <w:t>A more detailed description of the m</w:t>
      </w:r>
      <w:r w:rsidR="00A41AEB">
        <w:t xml:space="preserve">ethodology can be found in the </w:t>
      </w:r>
      <w:r w:rsidR="00D473E4">
        <w:t xml:space="preserve">support document, </w:t>
      </w:r>
      <w:proofErr w:type="gramStart"/>
      <w:r w:rsidRPr="00A41AEB">
        <w:rPr>
          <w:i/>
        </w:rPr>
        <w:t>Mapping</w:t>
      </w:r>
      <w:proofErr w:type="gramEnd"/>
      <w:r w:rsidRPr="00A41AEB">
        <w:rPr>
          <w:i/>
        </w:rPr>
        <w:t xml:space="preserve"> adult literacy performance</w:t>
      </w:r>
      <w:r w:rsidR="008E42B2">
        <w:rPr>
          <w:i/>
        </w:rPr>
        <w:t>:</w:t>
      </w:r>
      <w:r w:rsidRPr="00A41AEB">
        <w:rPr>
          <w:i/>
        </w:rPr>
        <w:t xml:space="preserve"> </w:t>
      </w:r>
      <w:r w:rsidR="008E42B2">
        <w:rPr>
          <w:i/>
        </w:rPr>
        <w:t>support document</w:t>
      </w:r>
      <w:r w:rsidR="00A41AEB">
        <w:rPr>
          <w:i/>
        </w:rPr>
        <w:t>.</w:t>
      </w:r>
      <w:r w:rsidR="005974B2">
        <w:rPr>
          <w:i/>
        </w:rPr>
        <w:br w:type="page"/>
      </w:r>
    </w:p>
    <w:p w:rsidR="0026760A" w:rsidRDefault="0026760A" w:rsidP="0026760A">
      <w:pPr>
        <w:pStyle w:val="Heading1"/>
      </w:pPr>
      <w:bookmarkStart w:id="41" w:name="_Toc340826510"/>
      <w:r>
        <w:t>Results</w:t>
      </w:r>
      <w:bookmarkEnd w:id="41"/>
    </w:p>
    <w:p w:rsidR="00600137" w:rsidRDefault="005974B2" w:rsidP="00600137">
      <w:pPr>
        <w:pStyle w:val="Text"/>
      </w:pPr>
      <w:r>
        <w:t>Four hundred and eleven</w:t>
      </w:r>
      <w:r w:rsidR="00600137">
        <w:t xml:space="preserve"> surveys </w:t>
      </w:r>
      <w:r>
        <w:t xml:space="preserve">were </w:t>
      </w:r>
      <w:r w:rsidR="00600137">
        <w:t xml:space="preserve">completed, with </w:t>
      </w:r>
      <w:r w:rsidR="00C837AF">
        <w:t>most</w:t>
      </w:r>
      <w:r w:rsidR="00600137">
        <w:t xml:space="preserve"> r</w:t>
      </w:r>
      <w:r w:rsidR="00936E80">
        <w:t>espondents r</w:t>
      </w:r>
      <w:r w:rsidR="00600137">
        <w:t>ating</w:t>
      </w:r>
      <w:r w:rsidR="00936E80">
        <w:t xml:space="preserve"> </w:t>
      </w:r>
      <w:r w:rsidR="00600137">
        <w:t xml:space="preserve">against the </w:t>
      </w:r>
      <w:r w:rsidR="00BA797A">
        <w:t>r</w:t>
      </w:r>
      <w:r w:rsidR="00600137">
        <w:t xml:space="preserve">eading </w:t>
      </w:r>
      <w:r w:rsidR="00BA797A">
        <w:t>concept</w:t>
      </w:r>
      <w:r w:rsidR="00600137">
        <w:t xml:space="preserve"> (72%). Although all states and terri</w:t>
      </w:r>
      <w:r w:rsidR="00A96B71">
        <w:t>tories were represented</w:t>
      </w:r>
      <w:r w:rsidR="00600137">
        <w:t xml:space="preserve">, the majority </w:t>
      </w:r>
      <w:r w:rsidR="00A96B71">
        <w:t>of respondents w</w:t>
      </w:r>
      <w:r w:rsidR="00600137">
        <w:t xml:space="preserve">ere located in Victoria </w:t>
      </w:r>
      <w:r w:rsidR="006C6AD1">
        <w:t>and New South Wales</w:t>
      </w:r>
      <w:r w:rsidR="00D473E4">
        <w:t>,</w:t>
      </w:r>
      <w:r w:rsidR="00600137">
        <w:t xml:space="preserve"> with very few </w:t>
      </w:r>
      <w:r w:rsidR="00A96B71">
        <w:t>from</w:t>
      </w:r>
      <w:r w:rsidR="00600137">
        <w:t xml:space="preserve"> the Australian Capital Territory (</w:t>
      </w:r>
      <w:r w:rsidR="006C6AD1">
        <w:t xml:space="preserve">see </w:t>
      </w:r>
      <w:r w:rsidR="00D473E4">
        <w:t>f</w:t>
      </w:r>
      <w:r w:rsidR="00137DE0">
        <w:t xml:space="preserve">igure </w:t>
      </w:r>
      <w:r w:rsidR="006C6AD1">
        <w:t>A1</w:t>
      </w:r>
      <w:r w:rsidR="00D473E4">
        <w:t xml:space="preserve"> in the appendix</w:t>
      </w:r>
      <w:r w:rsidR="00600137">
        <w:t xml:space="preserve">). </w:t>
      </w:r>
      <w:r w:rsidR="00A96B71">
        <w:t>Respondents</w:t>
      </w:r>
      <w:r w:rsidR="00600137">
        <w:t xml:space="preserve"> tended to be employed in an </w:t>
      </w:r>
      <w:r w:rsidR="006C6AD1">
        <w:t>e</w:t>
      </w:r>
      <w:r w:rsidR="00600137">
        <w:t xml:space="preserve">ducation and/or </w:t>
      </w:r>
      <w:r w:rsidR="00A96B71">
        <w:t>training i</w:t>
      </w:r>
      <w:r w:rsidR="006C6AD1">
        <w:t xml:space="preserve">nstitute (see </w:t>
      </w:r>
      <w:r w:rsidR="00D473E4">
        <w:t>f</w:t>
      </w:r>
      <w:r w:rsidR="00137DE0">
        <w:t xml:space="preserve">igure </w:t>
      </w:r>
      <w:r w:rsidR="006C6AD1">
        <w:t>A2</w:t>
      </w:r>
      <w:r w:rsidR="00EE758C">
        <w:t xml:space="preserve"> and </w:t>
      </w:r>
      <w:r w:rsidR="00D473E4">
        <w:t>t</w:t>
      </w:r>
      <w:r w:rsidR="00137DE0">
        <w:t xml:space="preserve">able </w:t>
      </w:r>
      <w:r w:rsidR="00EE758C">
        <w:t>A1</w:t>
      </w:r>
      <w:r w:rsidR="00D473E4">
        <w:t xml:space="preserve"> in the appendix</w:t>
      </w:r>
      <w:r w:rsidR="00600137">
        <w:t xml:space="preserve">) and had more than </w:t>
      </w:r>
      <w:r w:rsidR="006C6AD1">
        <w:t>five</w:t>
      </w:r>
      <w:r w:rsidR="00D473E4">
        <w:t xml:space="preserve"> years</w:t>
      </w:r>
      <w:r w:rsidR="00600137">
        <w:t xml:space="preserve"> experience in </w:t>
      </w:r>
      <w:r w:rsidR="006C6AD1">
        <w:t>delivering adult language, literacy or n</w:t>
      </w:r>
      <w:r w:rsidR="00600137">
        <w:t xml:space="preserve">umeracy </w:t>
      </w:r>
      <w:r w:rsidR="006C6AD1">
        <w:t>training</w:t>
      </w:r>
      <w:r w:rsidR="00600137">
        <w:t xml:space="preserve">. Only 7% of the </w:t>
      </w:r>
      <w:r w:rsidR="00A96B71">
        <w:t>respondents</w:t>
      </w:r>
      <w:r w:rsidR="00600137">
        <w:t xml:space="preserve"> had less than one year</w:t>
      </w:r>
      <w:r w:rsidR="00E018CF">
        <w:t>’s</w:t>
      </w:r>
      <w:r w:rsidR="00600137">
        <w:t xml:space="preserve"> experience, indicating that </w:t>
      </w:r>
      <w:r w:rsidR="0079158C">
        <w:t xml:space="preserve">the </w:t>
      </w:r>
      <w:r w:rsidR="00600137">
        <w:t>majority wer</w:t>
      </w:r>
      <w:r>
        <w:t xml:space="preserve">e very experienced </w:t>
      </w:r>
      <w:r w:rsidR="00600137">
        <w:t xml:space="preserve">in this field </w:t>
      </w:r>
      <w:r w:rsidR="0079158C">
        <w:t xml:space="preserve">(see </w:t>
      </w:r>
      <w:r w:rsidR="00E018CF">
        <w:t>f</w:t>
      </w:r>
      <w:r w:rsidR="00137DE0">
        <w:t xml:space="preserve">igure </w:t>
      </w:r>
      <w:r w:rsidR="00EE758C">
        <w:t>A3</w:t>
      </w:r>
      <w:r w:rsidR="00E018CF">
        <w:t xml:space="preserve"> in the appendix</w:t>
      </w:r>
      <w:r w:rsidR="0079158C">
        <w:t>).</w:t>
      </w:r>
    </w:p>
    <w:p w:rsidR="00600137" w:rsidRDefault="00600137" w:rsidP="00600137">
      <w:pPr>
        <w:pStyle w:val="Text"/>
      </w:pPr>
      <w:r>
        <w:t>W</w:t>
      </w:r>
      <w:r w:rsidR="00A96B71">
        <w:t xml:space="preserve">hen rating the </w:t>
      </w:r>
      <w:r w:rsidR="00BA797A">
        <w:t>r</w:t>
      </w:r>
      <w:r w:rsidR="00A96B71">
        <w:t xml:space="preserve">eading </w:t>
      </w:r>
      <w:r w:rsidR="00BA797A">
        <w:t>concept</w:t>
      </w:r>
      <w:r w:rsidR="00A96B71">
        <w:t>, respondents</w:t>
      </w:r>
      <w:r>
        <w:t xml:space="preserve"> tended to select learners who were taking (or had previously undertaken) an E</w:t>
      </w:r>
      <w:r w:rsidR="00A96B71">
        <w:t xml:space="preserve">nglish as a </w:t>
      </w:r>
      <w:r w:rsidR="00137DE0">
        <w:t xml:space="preserve">Second Language </w:t>
      </w:r>
      <w:r w:rsidR="00A96B71">
        <w:t>(E</w:t>
      </w:r>
      <w:r>
        <w:t>SL</w:t>
      </w:r>
      <w:r w:rsidR="00A96B71">
        <w:t>)</w:t>
      </w:r>
      <w:r>
        <w:t xml:space="preserve"> program (26%) or </w:t>
      </w:r>
      <w:r w:rsidR="008E42B2">
        <w:t xml:space="preserve">were </w:t>
      </w:r>
      <w:r w:rsidR="00A96B71">
        <w:t xml:space="preserve">participating in </w:t>
      </w:r>
      <w:r>
        <w:t>a L</w:t>
      </w:r>
      <w:r w:rsidR="00A96B71">
        <w:t xml:space="preserve">anguage, </w:t>
      </w:r>
      <w:r>
        <w:t>L</w:t>
      </w:r>
      <w:r w:rsidR="00A96B71">
        <w:t xml:space="preserve">iteracy or </w:t>
      </w:r>
      <w:r>
        <w:t>N</w:t>
      </w:r>
      <w:r w:rsidR="00A96B71">
        <w:t>umeracy</w:t>
      </w:r>
      <w:r>
        <w:t xml:space="preserve"> Program (</w:t>
      </w:r>
      <w:r w:rsidR="00E018CF">
        <w:t>22%),</w:t>
      </w:r>
      <w:r>
        <w:t xml:space="preserve"> whereas with</w:t>
      </w:r>
      <w:r w:rsidR="00BA797A">
        <w:t xml:space="preserve"> the n</w:t>
      </w:r>
      <w:r>
        <w:t>umeracy</w:t>
      </w:r>
      <w:r w:rsidR="00BA797A">
        <w:t xml:space="preserve"> concept</w:t>
      </w:r>
      <w:r>
        <w:t>, r</w:t>
      </w:r>
      <w:r w:rsidR="00A96B71">
        <w:t>espondents</w:t>
      </w:r>
      <w:r>
        <w:t xml:space="preserve"> tended to select learners from an adult literacy</w:t>
      </w:r>
      <w:r w:rsidR="00E018CF">
        <w:t xml:space="preserve"> and numeracy course (32%) or a</w:t>
      </w:r>
      <w:r>
        <w:t xml:space="preserve"> </w:t>
      </w:r>
      <w:r w:rsidR="00E018CF">
        <w:t>Language, Literacy or Numeracy Program</w:t>
      </w:r>
      <w:r>
        <w:t xml:space="preserve"> (22%). In both instances, r</w:t>
      </w:r>
      <w:r w:rsidR="00A96B71">
        <w:t>espondents</w:t>
      </w:r>
      <w:r>
        <w:t xml:space="preserve"> tended to select learners who were at Levels 1 to 3 on </w:t>
      </w:r>
      <w:r w:rsidR="00A96B71">
        <w:t>the ACSF (as determined by the their</w:t>
      </w:r>
      <w:r>
        <w:t xml:space="preserve"> initial holistic judgment), with </w:t>
      </w:r>
      <w:r w:rsidR="00E018CF">
        <w:t>fewer</w:t>
      </w:r>
      <w:r>
        <w:t xml:space="preserve"> than 10% of r</w:t>
      </w:r>
      <w:r w:rsidR="00A96B71">
        <w:t>espondents</w:t>
      </w:r>
      <w:r>
        <w:t xml:space="preserve"> selecting learners thought to be at Levels 4 and 5 </w:t>
      </w:r>
      <w:r w:rsidR="00A96B71">
        <w:t xml:space="preserve">in either </w:t>
      </w:r>
      <w:r w:rsidR="00BA797A">
        <w:t>r</w:t>
      </w:r>
      <w:r w:rsidR="00A96B71">
        <w:t xml:space="preserve">eading or </w:t>
      </w:r>
      <w:r w:rsidR="00BA797A">
        <w:t>n</w:t>
      </w:r>
      <w:r w:rsidR="00A96B71">
        <w:t xml:space="preserve">umeracy. </w:t>
      </w:r>
    </w:p>
    <w:p w:rsidR="00600137" w:rsidRDefault="00600137" w:rsidP="00600137">
      <w:pPr>
        <w:pStyle w:val="Text"/>
      </w:pPr>
      <w:r>
        <w:t xml:space="preserve">Subsequently, </w:t>
      </w:r>
      <w:r w:rsidR="00C837AF">
        <w:t>most</w:t>
      </w:r>
      <w:r>
        <w:t xml:space="preserve"> ratings were made against items that were aligned to Levels 2 and 3 for both </w:t>
      </w:r>
      <w:r w:rsidR="00BA797A">
        <w:t>r</w:t>
      </w:r>
      <w:r>
        <w:t xml:space="preserve">eading and </w:t>
      </w:r>
      <w:r w:rsidR="00BA797A">
        <w:t>n</w:t>
      </w:r>
      <w:r>
        <w:t>umeracy (ranging from 102 to 294 ratings made), with very few ratings made against the items that were at Level 5 on both frameworks</w:t>
      </w:r>
      <w:r w:rsidR="006B3330">
        <w:t xml:space="preserve">: 15 ratings per item for </w:t>
      </w:r>
      <w:r w:rsidR="00BA797A">
        <w:t>n</w:t>
      </w:r>
      <w:r w:rsidR="006B3330">
        <w:t xml:space="preserve">umeracy, 39 ratings per item for </w:t>
      </w:r>
      <w:r w:rsidR="00BA797A">
        <w:t>r</w:t>
      </w:r>
      <w:r w:rsidR="006B3330">
        <w:t>eading.</w:t>
      </w:r>
      <w:r>
        <w:t xml:space="preserve"> Given the large </w:t>
      </w:r>
      <w:r w:rsidR="00C837AF">
        <w:t xml:space="preserve">standard errors of measurement </w:t>
      </w:r>
      <w:r>
        <w:t>f</w:t>
      </w:r>
      <w:r w:rsidR="00C837AF">
        <w:t xml:space="preserve">ound for the Level 5 items, </w:t>
      </w:r>
      <w:r>
        <w:t xml:space="preserve">caution </w:t>
      </w:r>
      <w:r w:rsidR="006B3330">
        <w:t xml:space="preserve">should </w:t>
      </w:r>
      <w:r>
        <w:t xml:space="preserve">be exercised when comparing the highest complexity levels on both frameworks, particularly for the </w:t>
      </w:r>
      <w:r w:rsidR="00BA797A">
        <w:t>n</w:t>
      </w:r>
      <w:r>
        <w:t xml:space="preserve">umeracy domain. </w:t>
      </w:r>
    </w:p>
    <w:p w:rsidR="00600137" w:rsidRDefault="00600137" w:rsidP="00600137">
      <w:pPr>
        <w:pStyle w:val="Text"/>
      </w:pPr>
      <w:r>
        <w:t>Estimates of learners’ ability</w:t>
      </w:r>
      <w:r w:rsidRPr="00600137">
        <w:t xml:space="preserve"> </w:t>
      </w:r>
      <w:r w:rsidRPr="001D6C2E">
        <w:t>were highly reliable in</w:t>
      </w:r>
      <w:r>
        <w:t xml:space="preserve"> both </w:t>
      </w:r>
      <w:r w:rsidR="00BA797A">
        <w:t>r</w:t>
      </w:r>
      <w:r>
        <w:t xml:space="preserve">eading and </w:t>
      </w:r>
      <w:r w:rsidR="00BA797A">
        <w:t>n</w:t>
      </w:r>
      <w:r>
        <w:t>umeracy, with reliability estimates of ≥0.</w:t>
      </w:r>
      <w:r w:rsidR="006B3330">
        <w:t xml:space="preserve">971 produced for both </w:t>
      </w:r>
      <w:r w:rsidR="004803EA">
        <w:t>constructs</w:t>
      </w:r>
      <w:r w:rsidR="006B3330">
        <w:t>.</w:t>
      </w:r>
      <w:r w:rsidRPr="00376451">
        <w:t xml:space="preserve"> </w:t>
      </w:r>
    </w:p>
    <w:p w:rsidR="004B79B0" w:rsidRDefault="00100141" w:rsidP="00BA4E95">
      <w:pPr>
        <w:pStyle w:val="Heading2"/>
      </w:pPr>
      <w:bookmarkStart w:id="42" w:name="_Toc340826511"/>
      <w:r>
        <w:t xml:space="preserve">Are there five </w:t>
      </w:r>
      <w:r w:rsidR="008A17FA">
        <w:t xml:space="preserve">distinct </w:t>
      </w:r>
      <w:r>
        <w:t xml:space="preserve">performance levels within the </w:t>
      </w:r>
      <w:r w:rsidR="004B79B0">
        <w:t>ALLS and ACSF</w:t>
      </w:r>
      <w:r w:rsidR="00BA4E95">
        <w:t> </w:t>
      </w:r>
      <w:r w:rsidR="004B79B0">
        <w:t>frameworks?</w:t>
      </w:r>
      <w:bookmarkEnd w:id="42"/>
    </w:p>
    <w:p w:rsidR="00F10FF4" w:rsidRDefault="004B79B0" w:rsidP="005D4256">
      <w:pPr>
        <w:pStyle w:val="Text"/>
      </w:pPr>
      <w:r>
        <w:t xml:space="preserve">Before </w:t>
      </w:r>
      <w:r w:rsidR="00F10FF4">
        <w:t xml:space="preserve">looking at how the performance levels of the </w:t>
      </w:r>
      <w:r w:rsidR="005974B2">
        <w:t xml:space="preserve">reading and numeracy domains of the </w:t>
      </w:r>
      <w:r w:rsidR="00E018CF" w:rsidRPr="00096D18">
        <w:t>Adult Literacy and Life Skills</w:t>
      </w:r>
      <w:r w:rsidR="00E018CF">
        <w:t xml:space="preserve"> survey</w:t>
      </w:r>
      <w:r w:rsidR="00F10FF4">
        <w:t xml:space="preserve"> related to </w:t>
      </w:r>
      <w:r w:rsidR="005974B2">
        <w:t>those</w:t>
      </w:r>
      <w:r w:rsidR="00F10FF4">
        <w:t xml:space="preserve"> of the A</w:t>
      </w:r>
      <w:r w:rsidR="00E018CF">
        <w:t>ustralian Core Skills Framework</w:t>
      </w:r>
      <w:r w:rsidR="00F10FF4">
        <w:t xml:space="preserve">, this study examined the validity of the items used within each framework. That is, the study looked at the extent to which items that </w:t>
      </w:r>
      <w:r w:rsidR="005D4256">
        <w:t xml:space="preserve">were considered to </w:t>
      </w:r>
      <w:r w:rsidR="00F23260">
        <w:t>require a lower skill level</w:t>
      </w:r>
      <w:r w:rsidR="00F5136C">
        <w:t xml:space="preserve"> or were less complex</w:t>
      </w:r>
      <w:r w:rsidR="00F23260">
        <w:t xml:space="preserve"> </w:t>
      </w:r>
      <w:r w:rsidR="005D4256">
        <w:t xml:space="preserve">in either the reading or numeracy </w:t>
      </w:r>
      <w:r w:rsidR="004803EA">
        <w:t>constructs</w:t>
      </w:r>
      <w:r w:rsidR="005D4256">
        <w:t xml:space="preserve"> actually were,</w:t>
      </w:r>
      <w:r w:rsidR="00F23260">
        <w:t xml:space="preserve"> or the extent to which items considered to </w:t>
      </w:r>
      <w:r w:rsidR="00C04A6B">
        <w:t>be more complex</w:t>
      </w:r>
      <w:r w:rsidR="00E018CF">
        <w:t xml:space="preserve"> </w:t>
      </w:r>
      <w:r w:rsidR="00C04A6B">
        <w:t>—</w:t>
      </w:r>
      <w:r w:rsidR="00E018CF">
        <w:t xml:space="preserve"> </w:t>
      </w:r>
      <w:r w:rsidR="00F23260">
        <w:t>a</w:t>
      </w:r>
      <w:r w:rsidR="00C04A6B">
        <w:t>t a</w:t>
      </w:r>
      <w:r w:rsidR="00F23260">
        <w:t xml:space="preserve"> higher level of skill</w:t>
      </w:r>
      <w:r w:rsidR="00E018CF">
        <w:t xml:space="preserve"> </w:t>
      </w:r>
      <w:r w:rsidR="00C04A6B">
        <w:t>—</w:t>
      </w:r>
      <w:r w:rsidR="00E018CF">
        <w:t xml:space="preserve"> </w:t>
      </w:r>
      <w:r w:rsidR="00F23260">
        <w:t xml:space="preserve">actually </w:t>
      </w:r>
      <w:r w:rsidR="00C04A6B">
        <w:t>were</w:t>
      </w:r>
      <w:r w:rsidR="00D81E14">
        <w:t xml:space="preserve"> (</w:t>
      </w:r>
      <w:r w:rsidR="00E018CF">
        <w:t>for example,</w:t>
      </w:r>
      <w:r w:rsidR="00D81E14">
        <w:t xml:space="preserve"> did items co</w:t>
      </w:r>
      <w:r w:rsidR="00F10FF4">
        <w:t>nsidered to measur</w:t>
      </w:r>
      <w:r w:rsidR="00D81E14">
        <w:t>e</w:t>
      </w:r>
      <w:r w:rsidR="00F10FF4">
        <w:t xml:space="preserve"> ACSF </w:t>
      </w:r>
      <w:r w:rsidR="008E42B2">
        <w:t xml:space="preserve">Level </w:t>
      </w:r>
      <w:r w:rsidR="00F10FF4">
        <w:t xml:space="preserve">1 in the reading </w:t>
      </w:r>
      <w:r w:rsidR="00AC22DD">
        <w:t>construct</w:t>
      </w:r>
      <w:r w:rsidR="00F10FF4">
        <w:t xml:space="preserve"> ha</w:t>
      </w:r>
      <w:r w:rsidR="00D81E14">
        <w:t>ve</w:t>
      </w:r>
      <w:r w:rsidR="00F10FF4">
        <w:t xml:space="preserve"> lower complexity estimates than those thought to be at Level 2</w:t>
      </w:r>
      <w:r w:rsidR="00D81E14">
        <w:t xml:space="preserve">? </w:t>
      </w:r>
      <w:r w:rsidR="00917597">
        <w:t>Or were</w:t>
      </w:r>
      <w:r w:rsidR="00D81E14">
        <w:t xml:space="preserve"> </w:t>
      </w:r>
      <w:r w:rsidR="00917597">
        <w:t>items considered to measure ACSF</w:t>
      </w:r>
      <w:r w:rsidR="00F10FF4">
        <w:t xml:space="preserve"> Level 2 items less complex than those at Level 3</w:t>
      </w:r>
      <w:r w:rsidR="00917597">
        <w:t>,</w:t>
      </w:r>
      <w:r w:rsidR="00F10FF4">
        <w:t xml:space="preserve"> and so on</w:t>
      </w:r>
      <w:r w:rsidR="00917597">
        <w:t>)</w:t>
      </w:r>
      <w:r w:rsidR="00F10FF4">
        <w:t>.</w:t>
      </w:r>
      <w:r w:rsidR="005D4256">
        <w:t xml:space="preserve"> </w:t>
      </w:r>
      <w:r w:rsidR="00F23260">
        <w:t>By undertaking this m</w:t>
      </w:r>
      <w:r w:rsidR="00F10FF4">
        <w:t xml:space="preserve">atching </w:t>
      </w:r>
      <w:r w:rsidR="00F23260">
        <w:t xml:space="preserve">exercise between </w:t>
      </w:r>
      <w:r w:rsidR="00F10FF4">
        <w:t xml:space="preserve">the expected sequencing of the items </w:t>
      </w:r>
      <w:r w:rsidR="00317E01">
        <w:t>and</w:t>
      </w:r>
      <w:r w:rsidR="00F10FF4">
        <w:t xml:space="preserve"> the empirically calibrated complexity measures within each level for each framework</w:t>
      </w:r>
      <w:r w:rsidR="00317E01">
        <w:t>,</w:t>
      </w:r>
      <w:r w:rsidR="00F10FF4">
        <w:t xml:space="preserve"> evidence of the validity</w:t>
      </w:r>
      <w:r w:rsidR="00917597">
        <w:t xml:space="preserve"> of the measures used in this study could be garnered.</w:t>
      </w:r>
    </w:p>
    <w:p w:rsidR="00C7229E" w:rsidRDefault="00C7229E" w:rsidP="00C7229E">
      <w:pPr>
        <w:pStyle w:val="Text"/>
      </w:pPr>
      <w:r>
        <w:t>The study found a general pattern of association between an item’s complexity estimate and its expected level (as determined by the level it was originally assigned within each framework)</w:t>
      </w:r>
      <w:r w:rsidR="00317E01">
        <w:t>.</w:t>
      </w:r>
      <w:r w:rsidR="006062B3">
        <w:rPr>
          <w:rStyle w:val="FootnoteReference"/>
        </w:rPr>
        <w:footnoteReference w:id="14"/>
      </w:r>
      <w:r>
        <w:t xml:space="preserve"> </w:t>
      </w:r>
      <w:r w:rsidRPr="004D5E70">
        <w:t>That is, in general, items thought to be at higher levels were associated with higher empirically cali</w:t>
      </w:r>
      <w:r>
        <w:t>brated complexity</w:t>
      </w:r>
      <w:r w:rsidR="00317E01">
        <w:t>,</w:t>
      </w:r>
      <w:r>
        <w:t xml:space="preserve"> while those </w:t>
      </w:r>
      <w:r w:rsidRPr="004D5E70">
        <w:t xml:space="preserve">items thought to be at lower </w:t>
      </w:r>
      <w:r>
        <w:t xml:space="preserve">skill </w:t>
      </w:r>
      <w:r w:rsidRPr="004D5E70">
        <w:t>levels were associated with lower calibrated complexity</w:t>
      </w:r>
      <w:r>
        <w:t xml:space="preserve">. This </w:t>
      </w:r>
      <w:r w:rsidRPr="004D5E70">
        <w:t>indicat</w:t>
      </w:r>
      <w:r>
        <w:t>es</w:t>
      </w:r>
      <w:r w:rsidRPr="004D5E70">
        <w:t xml:space="preserve"> that</w:t>
      </w:r>
      <w:r>
        <w:t xml:space="preserve"> both </w:t>
      </w:r>
      <w:r w:rsidRPr="004D5E70">
        <w:t xml:space="preserve">the </w:t>
      </w:r>
      <w:r>
        <w:t xml:space="preserve">ALLS and ACSF </w:t>
      </w:r>
      <w:r w:rsidRPr="004D5E70">
        <w:t xml:space="preserve">frameworks were developmental and </w:t>
      </w:r>
      <w:r>
        <w:t>hierarchical within themselves</w:t>
      </w:r>
      <w:r w:rsidR="00317E01">
        <w:t>,</w:t>
      </w:r>
      <w:r>
        <w:t xml:space="preserve"> </w:t>
      </w:r>
      <w:r w:rsidRPr="004D5E70">
        <w:t xml:space="preserve">as </w:t>
      </w:r>
      <w:proofErr w:type="gramStart"/>
      <w:r w:rsidRPr="004D5E70">
        <w:t>intended</w:t>
      </w:r>
      <w:r w:rsidR="00317E01">
        <w:t>.</w:t>
      </w:r>
      <w:r>
        <w:rPr>
          <w:rStyle w:val="FootnoteReference"/>
        </w:rPr>
        <w:footnoteReference w:id="15"/>
      </w:r>
      <w:r w:rsidR="00317E01" w:rsidRPr="00317E01">
        <w:rPr>
          <w:vertAlign w:val="superscript"/>
        </w:rPr>
        <w:t>,</w:t>
      </w:r>
      <w:proofErr w:type="gramEnd"/>
      <w:r w:rsidR="007F6A23">
        <w:rPr>
          <w:rStyle w:val="FootnoteReference"/>
        </w:rPr>
        <w:footnoteReference w:id="16"/>
      </w:r>
      <w:r>
        <w:t xml:space="preserve"> There was some overlap between levels, which should be expected</w:t>
      </w:r>
      <w:r w:rsidR="00317E01">
        <w:t>,</w:t>
      </w:r>
      <w:r>
        <w:t xml:space="preserve"> especially for frameworks designed to provide measurements against a continuous developmental scale. </w:t>
      </w:r>
    </w:p>
    <w:p w:rsidR="00704398" w:rsidRDefault="00704398" w:rsidP="00BA4E95">
      <w:pPr>
        <w:pStyle w:val="Heading2"/>
      </w:pPr>
      <w:bookmarkStart w:id="43" w:name="_Toc340826512"/>
      <w:r>
        <w:t xml:space="preserve">What is the relationship </w:t>
      </w:r>
      <w:r w:rsidR="004B79B0">
        <w:t xml:space="preserve">between </w:t>
      </w:r>
      <w:r>
        <w:t>the ALLS and ACS</w:t>
      </w:r>
      <w:r w:rsidR="004B79B0">
        <w:t>F frameworks?</w:t>
      </w:r>
      <w:bookmarkEnd w:id="43"/>
    </w:p>
    <w:p w:rsidR="00D279E5" w:rsidRDefault="00600137" w:rsidP="00600137">
      <w:pPr>
        <w:pStyle w:val="Text"/>
      </w:pPr>
      <w:r>
        <w:t xml:space="preserve">When comparing the levels across frameworks, a similar pattern was </w:t>
      </w:r>
      <w:r w:rsidR="00F36230">
        <w:t>seen</w:t>
      </w:r>
      <w:r>
        <w:t xml:space="preserve"> for both </w:t>
      </w:r>
      <w:r w:rsidR="00F36230">
        <w:t xml:space="preserve">the </w:t>
      </w:r>
      <w:r w:rsidR="004803EA">
        <w:t>r</w:t>
      </w:r>
      <w:r>
        <w:t xml:space="preserve">eading and </w:t>
      </w:r>
      <w:r w:rsidR="004803EA">
        <w:t>n</w:t>
      </w:r>
      <w:r>
        <w:t>umeracy</w:t>
      </w:r>
      <w:r w:rsidR="00F36230">
        <w:t xml:space="preserve"> </w:t>
      </w:r>
      <w:r w:rsidR="004803EA">
        <w:t>constructs</w:t>
      </w:r>
      <w:r>
        <w:t xml:space="preserve">. </w:t>
      </w:r>
      <w:r w:rsidR="00D93AC5">
        <w:t>That is,</w:t>
      </w:r>
      <w:r>
        <w:t xml:space="preserve"> Level 1 on both frameworks appeared to be similar in their complexity, whereas Levels 2 </w:t>
      </w:r>
      <w:r w:rsidR="00580A81">
        <w:t>and</w:t>
      </w:r>
      <w:r>
        <w:t xml:space="preserve"> 3 on the ALLS were found to be more complex </w:t>
      </w:r>
      <w:r w:rsidRPr="00376451">
        <w:t xml:space="preserve">than ACSF </w:t>
      </w:r>
      <w:r w:rsidR="00A62F93">
        <w:t xml:space="preserve">exit </w:t>
      </w:r>
      <w:r w:rsidRPr="00376451">
        <w:t>Level 2 and</w:t>
      </w:r>
      <w:r w:rsidR="00A62F93">
        <w:t xml:space="preserve"> exit</w:t>
      </w:r>
      <w:r w:rsidRPr="00376451">
        <w:t xml:space="preserve"> Level 3 respectively</w:t>
      </w:r>
      <w:r>
        <w:t xml:space="preserve"> </w:t>
      </w:r>
      <w:r w:rsidR="00D279E5">
        <w:t>i</w:t>
      </w:r>
      <w:r>
        <w:t xml:space="preserve">n both </w:t>
      </w:r>
      <w:r w:rsidR="00AC22DD">
        <w:t>construct</w:t>
      </w:r>
      <w:r>
        <w:t>s</w:t>
      </w:r>
      <w:r w:rsidR="00317E01">
        <w:t>,</w:t>
      </w:r>
      <w:r w:rsidRPr="00376451">
        <w:t xml:space="preserve"> with the difference more </w:t>
      </w:r>
      <w:r>
        <w:t xml:space="preserve">pronounced for </w:t>
      </w:r>
      <w:r w:rsidR="00AC22DD">
        <w:t>r</w:t>
      </w:r>
      <w:r>
        <w:t xml:space="preserve">eading. That is, ACSF </w:t>
      </w:r>
      <w:r w:rsidR="00AC22DD">
        <w:t>r</w:t>
      </w:r>
      <w:r>
        <w:t xml:space="preserve">eading </w:t>
      </w:r>
      <w:r w:rsidR="00A62F93">
        <w:t xml:space="preserve">exit </w:t>
      </w:r>
      <w:r>
        <w:t xml:space="preserve">Level 3 </w:t>
      </w:r>
      <w:r w:rsidR="00D279E5">
        <w:t xml:space="preserve">appeared to be more similar to </w:t>
      </w:r>
      <w:r>
        <w:t xml:space="preserve">ALLS </w:t>
      </w:r>
      <w:r w:rsidR="00AC22DD">
        <w:t>r</w:t>
      </w:r>
      <w:r>
        <w:t>eading Level 2</w:t>
      </w:r>
      <w:r w:rsidR="00D279E5">
        <w:t xml:space="preserve"> than ALLS Level 3</w:t>
      </w:r>
      <w:r w:rsidR="00317E01">
        <w:t>,</w:t>
      </w:r>
      <w:r>
        <w:t xml:space="preserve"> and ACSF </w:t>
      </w:r>
      <w:r w:rsidR="00AC22DD">
        <w:t>r</w:t>
      </w:r>
      <w:r>
        <w:t xml:space="preserve">eading </w:t>
      </w:r>
      <w:r w:rsidR="00A62F93">
        <w:t xml:space="preserve">exit </w:t>
      </w:r>
      <w:r>
        <w:t xml:space="preserve">Level 4 was closely aligned to ALLS </w:t>
      </w:r>
      <w:r w:rsidR="00AC22DD">
        <w:t>r</w:t>
      </w:r>
      <w:r>
        <w:t xml:space="preserve">eading Level 3. For </w:t>
      </w:r>
      <w:r w:rsidR="00AC22DD">
        <w:t>n</w:t>
      </w:r>
      <w:r w:rsidRPr="00EC6CA9">
        <w:t>umeracy</w:t>
      </w:r>
      <w:r>
        <w:t>,</w:t>
      </w:r>
      <w:r w:rsidRPr="00EC6CA9">
        <w:t xml:space="preserve"> </w:t>
      </w:r>
      <w:r>
        <w:t xml:space="preserve">the difference between frameworks at Levels 2 and 3 was still evident, but not as pronounced as seen in the </w:t>
      </w:r>
      <w:r w:rsidR="00AC22DD">
        <w:t>r</w:t>
      </w:r>
      <w:r>
        <w:t xml:space="preserve">eading </w:t>
      </w:r>
      <w:r w:rsidR="00AC22DD">
        <w:t>construct</w:t>
      </w:r>
      <w:r>
        <w:t xml:space="preserve">. </w:t>
      </w:r>
      <w:r w:rsidR="00D279E5">
        <w:t xml:space="preserve">The </w:t>
      </w:r>
      <w:r w:rsidR="00D279E5" w:rsidRPr="00834EE8">
        <w:t xml:space="preserve">indicative empirical relationship between the levels </w:t>
      </w:r>
      <w:r w:rsidR="00D279E5">
        <w:t xml:space="preserve">is summarised in </w:t>
      </w:r>
      <w:r w:rsidR="00317E01">
        <w:t>t</w:t>
      </w:r>
      <w:r w:rsidR="007073BE">
        <w:t xml:space="preserve">able </w:t>
      </w:r>
      <w:r w:rsidR="00D279E5">
        <w:t>1.</w:t>
      </w:r>
    </w:p>
    <w:p w:rsidR="00580A81" w:rsidRDefault="00580A81" w:rsidP="00BA4E95">
      <w:pPr>
        <w:pStyle w:val="tabletitle"/>
      </w:pPr>
      <w:bookmarkStart w:id="44" w:name="_Toc340826537"/>
      <w:r>
        <w:t>Table 1</w:t>
      </w:r>
      <w:r>
        <w:tab/>
        <w:t xml:space="preserve">Empirical </w:t>
      </w:r>
      <w:r w:rsidRPr="00BA4E95">
        <w:t>alignment</w:t>
      </w:r>
      <w:r>
        <w:t xml:space="preserve"> of ACSF to ALLS by ACSF level</w:t>
      </w:r>
      <w:bookmarkEnd w:id="44"/>
    </w:p>
    <w:tbl>
      <w:tblPr>
        <w:tblW w:w="8080" w:type="dxa"/>
        <w:tblInd w:w="108" w:type="dxa"/>
        <w:tblBorders>
          <w:top w:val="single" w:sz="4" w:space="0" w:color="auto"/>
          <w:bottom w:val="single" w:sz="4" w:space="0" w:color="auto"/>
        </w:tblBorders>
        <w:tblLayout w:type="fixed"/>
        <w:tblLook w:val="0000"/>
      </w:tblPr>
      <w:tblGrid>
        <w:gridCol w:w="2020"/>
        <w:gridCol w:w="2020"/>
        <w:gridCol w:w="2020"/>
        <w:gridCol w:w="2020"/>
      </w:tblGrid>
      <w:tr w:rsidR="00580A81" w:rsidTr="00BA4E95">
        <w:tc>
          <w:tcPr>
            <w:tcW w:w="4040" w:type="dxa"/>
            <w:gridSpan w:val="2"/>
            <w:tcBorders>
              <w:top w:val="single" w:sz="4" w:space="0" w:color="000000" w:themeColor="text1"/>
              <w:left w:val="nil"/>
              <w:bottom w:val="nil"/>
              <w:right w:val="nil"/>
            </w:tcBorders>
          </w:tcPr>
          <w:p w:rsidR="00580A81" w:rsidRPr="00580A81" w:rsidRDefault="00580A81" w:rsidP="00BA4E95">
            <w:pPr>
              <w:pStyle w:val="Tablehead1"/>
              <w:jc w:val="center"/>
            </w:pPr>
            <w:r w:rsidRPr="00580A81">
              <w:t>Reading</w:t>
            </w:r>
          </w:p>
        </w:tc>
        <w:tc>
          <w:tcPr>
            <w:tcW w:w="4040" w:type="dxa"/>
            <w:gridSpan w:val="2"/>
            <w:tcBorders>
              <w:top w:val="single" w:sz="4" w:space="0" w:color="000000" w:themeColor="text1"/>
              <w:left w:val="nil"/>
              <w:bottom w:val="nil"/>
            </w:tcBorders>
          </w:tcPr>
          <w:p w:rsidR="00580A81" w:rsidRPr="00580A81" w:rsidRDefault="00580A81" w:rsidP="00BA4E95">
            <w:pPr>
              <w:pStyle w:val="Tablehead1"/>
              <w:jc w:val="center"/>
            </w:pPr>
            <w:r w:rsidRPr="00580A81">
              <w:t>Numeracy</w:t>
            </w:r>
          </w:p>
        </w:tc>
      </w:tr>
      <w:tr w:rsidR="00580A81" w:rsidTr="00BA4E95">
        <w:tc>
          <w:tcPr>
            <w:tcW w:w="2020" w:type="dxa"/>
            <w:tcBorders>
              <w:top w:val="nil"/>
              <w:left w:val="nil"/>
              <w:bottom w:val="single" w:sz="4" w:space="0" w:color="auto"/>
              <w:right w:val="nil"/>
            </w:tcBorders>
          </w:tcPr>
          <w:p w:rsidR="00580A81" w:rsidRDefault="00580A81" w:rsidP="00BA4E95">
            <w:pPr>
              <w:pStyle w:val="Tablehead2"/>
              <w:jc w:val="center"/>
            </w:pPr>
            <w:r>
              <w:t xml:space="preserve">ACSF </w:t>
            </w:r>
            <w:r w:rsidR="00BA4E95">
              <w:t>l</w:t>
            </w:r>
            <w:r>
              <w:t>evel</w:t>
            </w:r>
          </w:p>
        </w:tc>
        <w:tc>
          <w:tcPr>
            <w:tcW w:w="2020" w:type="dxa"/>
            <w:tcBorders>
              <w:top w:val="nil"/>
              <w:left w:val="nil"/>
              <w:bottom w:val="single" w:sz="4" w:space="0" w:color="auto"/>
              <w:right w:val="nil"/>
            </w:tcBorders>
          </w:tcPr>
          <w:p w:rsidR="00580A81" w:rsidRDefault="00580A81" w:rsidP="00BA4E95">
            <w:pPr>
              <w:pStyle w:val="Tablehead2"/>
              <w:jc w:val="center"/>
            </w:pPr>
            <w:r>
              <w:t xml:space="preserve">ALLS </w:t>
            </w:r>
            <w:r w:rsidR="00BA4E95">
              <w:t>l</w:t>
            </w:r>
            <w:r>
              <w:t>evel</w:t>
            </w:r>
          </w:p>
        </w:tc>
        <w:tc>
          <w:tcPr>
            <w:tcW w:w="2020" w:type="dxa"/>
            <w:tcBorders>
              <w:top w:val="nil"/>
              <w:left w:val="nil"/>
              <w:bottom w:val="single" w:sz="4" w:space="0" w:color="auto"/>
              <w:right w:val="nil"/>
            </w:tcBorders>
          </w:tcPr>
          <w:p w:rsidR="00580A81" w:rsidRDefault="00580A81" w:rsidP="00BA4E95">
            <w:pPr>
              <w:pStyle w:val="Tablehead2"/>
              <w:jc w:val="center"/>
            </w:pPr>
            <w:r>
              <w:t xml:space="preserve">ACSF </w:t>
            </w:r>
            <w:r w:rsidR="00BA4E95">
              <w:t>l</w:t>
            </w:r>
            <w:r>
              <w:t>evel</w:t>
            </w:r>
          </w:p>
        </w:tc>
        <w:tc>
          <w:tcPr>
            <w:tcW w:w="2020" w:type="dxa"/>
            <w:tcBorders>
              <w:top w:val="nil"/>
              <w:left w:val="nil"/>
              <w:bottom w:val="single" w:sz="4" w:space="0" w:color="auto"/>
            </w:tcBorders>
          </w:tcPr>
          <w:p w:rsidR="00580A81" w:rsidRDefault="00580A81" w:rsidP="00BA4E95">
            <w:pPr>
              <w:pStyle w:val="Tablehead2"/>
              <w:jc w:val="center"/>
            </w:pPr>
            <w:r>
              <w:t xml:space="preserve">ALLS </w:t>
            </w:r>
            <w:r w:rsidR="00BA4E95">
              <w:t>l</w:t>
            </w:r>
            <w:r>
              <w:t>evel</w:t>
            </w:r>
          </w:p>
        </w:tc>
      </w:tr>
      <w:tr w:rsidR="00580A81" w:rsidRPr="00BA4E95" w:rsidTr="00BA4E95">
        <w:tc>
          <w:tcPr>
            <w:tcW w:w="2020" w:type="dxa"/>
            <w:tcBorders>
              <w:top w:val="nil"/>
              <w:left w:val="nil"/>
              <w:bottom w:val="nil"/>
              <w:right w:val="nil"/>
            </w:tcBorders>
          </w:tcPr>
          <w:p w:rsidR="00580A81" w:rsidRPr="00BA4E95" w:rsidRDefault="00580A81" w:rsidP="00BA4E95">
            <w:pPr>
              <w:pStyle w:val="Tabletext"/>
              <w:jc w:val="center"/>
            </w:pPr>
            <w:r w:rsidRPr="00BA4E95">
              <w:t>1</w:t>
            </w:r>
          </w:p>
        </w:tc>
        <w:tc>
          <w:tcPr>
            <w:tcW w:w="2020" w:type="dxa"/>
            <w:tcBorders>
              <w:top w:val="nil"/>
              <w:left w:val="nil"/>
              <w:bottom w:val="nil"/>
              <w:right w:val="nil"/>
            </w:tcBorders>
          </w:tcPr>
          <w:p w:rsidR="00580A81" w:rsidRPr="00BA4E95" w:rsidRDefault="00580A81" w:rsidP="00BA4E95">
            <w:pPr>
              <w:pStyle w:val="Tabletext"/>
              <w:jc w:val="center"/>
            </w:pPr>
            <w:r w:rsidRPr="00BA4E95">
              <w:t>1</w:t>
            </w:r>
          </w:p>
        </w:tc>
        <w:tc>
          <w:tcPr>
            <w:tcW w:w="2020" w:type="dxa"/>
            <w:tcBorders>
              <w:top w:val="nil"/>
              <w:left w:val="nil"/>
              <w:bottom w:val="nil"/>
              <w:right w:val="nil"/>
            </w:tcBorders>
          </w:tcPr>
          <w:p w:rsidR="00580A81" w:rsidRPr="00BA4E95" w:rsidRDefault="00580A81" w:rsidP="00BA4E95">
            <w:pPr>
              <w:pStyle w:val="Tabletext"/>
              <w:jc w:val="center"/>
            </w:pPr>
            <w:r w:rsidRPr="00BA4E95">
              <w:t>1</w:t>
            </w:r>
          </w:p>
        </w:tc>
        <w:tc>
          <w:tcPr>
            <w:tcW w:w="2020" w:type="dxa"/>
            <w:tcBorders>
              <w:top w:val="nil"/>
              <w:left w:val="nil"/>
              <w:bottom w:val="nil"/>
            </w:tcBorders>
          </w:tcPr>
          <w:p w:rsidR="00580A81" w:rsidRPr="00BA4E95" w:rsidRDefault="00580A81" w:rsidP="00BA4E95">
            <w:pPr>
              <w:pStyle w:val="Tabletext"/>
              <w:jc w:val="center"/>
            </w:pPr>
            <w:r w:rsidRPr="00BA4E95">
              <w:t>1</w:t>
            </w:r>
          </w:p>
        </w:tc>
      </w:tr>
      <w:tr w:rsidR="00580A81" w:rsidRPr="00BA4E95" w:rsidTr="00BA4E95">
        <w:tc>
          <w:tcPr>
            <w:tcW w:w="2020" w:type="dxa"/>
            <w:tcBorders>
              <w:top w:val="nil"/>
              <w:left w:val="nil"/>
              <w:bottom w:val="nil"/>
              <w:right w:val="nil"/>
            </w:tcBorders>
          </w:tcPr>
          <w:p w:rsidR="00580A81" w:rsidRPr="00BA4E95" w:rsidRDefault="00580A81" w:rsidP="00BA4E95">
            <w:pPr>
              <w:pStyle w:val="Tabletext"/>
              <w:jc w:val="center"/>
            </w:pPr>
            <w:r w:rsidRPr="00BA4E95">
              <w:t>2</w:t>
            </w:r>
          </w:p>
        </w:tc>
        <w:tc>
          <w:tcPr>
            <w:tcW w:w="2020" w:type="dxa"/>
            <w:tcBorders>
              <w:top w:val="nil"/>
              <w:left w:val="nil"/>
              <w:bottom w:val="nil"/>
              <w:right w:val="nil"/>
            </w:tcBorders>
          </w:tcPr>
          <w:p w:rsidR="00580A81" w:rsidRPr="00BA4E95" w:rsidRDefault="00317E01" w:rsidP="00BA4E95">
            <w:pPr>
              <w:pStyle w:val="Tabletext"/>
              <w:jc w:val="center"/>
            </w:pPr>
            <w:r w:rsidRPr="00BA4E95">
              <w:t>1–</w:t>
            </w:r>
            <w:r w:rsidR="00580A81" w:rsidRPr="00BA4E95">
              <w:t>2</w:t>
            </w:r>
          </w:p>
        </w:tc>
        <w:tc>
          <w:tcPr>
            <w:tcW w:w="2020" w:type="dxa"/>
            <w:tcBorders>
              <w:top w:val="nil"/>
              <w:left w:val="nil"/>
              <w:bottom w:val="nil"/>
              <w:right w:val="nil"/>
            </w:tcBorders>
          </w:tcPr>
          <w:p w:rsidR="00580A81" w:rsidRPr="00BA4E95" w:rsidRDefault="00580A81" w:rsidP="00BA4E95">
            <w:pPr>
              <w:pStyle w:val="Tabletext"/>
              <w:jc w:val="center"/>
            </w:pPr>
            <w:r w:rsidRPr="00BA4E95">
              <w:t>2</w:t>
            </w:r>
          </w:p>
        </w:tc>
        <w:tc>
          <w:tcPr>
            <w:tcW w:w="2020" w:type="dxa"/>
            <w:tcBorders>
              <w:top w:val="nil"/>
              <w:left w:val="nil"/>
              <w:bottom w:val="nil"/>
            </w:tcBorders>
          </w:tcPr>
          <w:p w:rsidR="00580A81" w:rsidRPr="00BA4E95" w:rsidRDefault="00317E01" w:rsidP="00BA4E95">
            <w:pPr>
              <w:pStyle w:val="Tabletext"/>
              <w:jc w:val="center"/>
            </w:pPr>
            <w:r w:rsidRPr="00BA4E95">
              <w:t>1–</w:t>
            </w:r>
            <w:r w:rsidR="00580A81" w:rsidRPr="00BA4E95">
              <w:t>2</w:t>
            </w:r>
          </w:p>
        </w:tc>
      </w:tr>
      <w:tr w:rsidR="00580A81" w:rsidRPr="00BA4E95" w:rsidTr="00BA4E95">
        <w:tc>
          <w:tcPr>
            <w:tcW w:w="2020" w:type="dxa"/>
            <w:tcBorders>
              <w:top w:val="nil"/>
              <w:left w:val="nil"/>
              <w:bottom w:val="nil"/>
              <w:right w:val="nil"/>
            </w:tcBorders>
          </w:tcPr>
          <w:p w:rsidR="00580A81" w:rsidRPr="00BA4E95" w:rsidRDefault="00580A81" w:rsidP="00BA4E95">
            <w:pPr>
              <w:pStyle w:val="Tabletext"/>
              <w:jc w:val="center"/>
            </w:pPr>
            <w:r w:rsidRPr="00BA4E95">
              <w:t>3</w:t>
            </w:r>
          </w:p>
        </w:tc>
        <w:tc>
          <w:tcPr>
            <w:tcW w:w="2020" w:type="dxa"/>
            <w:tcBorders>
              <w:top w:val="nil"/>
              <w:left w:val="nil"/>
              <w:bottom w:val="nil"/>
              <w:right w:val="nil"/>
            </w:tcBorders>
          </w:tcPr>
          <w:p w:rsidR="00580A81" w:rsidRPr="00BA4E95" w:rsidRDefault="00580A81" w:rsidP="00BA4E95">
            <w:pPr>
              <w:pStyle w:val="Tabletext"/>
              <w:jc w:val="center"/>
            </w:pPr>
            <w:r w:rsidRPr="00BA4E95">
              <w:t>2</w:t>
            </w:r>
          </w:p>
        </w:tc>
        <w:tc>
          <w:tcPr>
            <w:tcW w:w="2020" w:type="dxa"/>
            <w:tcBorders>
              <w:top w:val="nil"/>
              <w:left w:val="nil"/>
              <w:bottom w:val="nil"/>
              <w:right w:val="nil"/>
            </w:tcBorders>
          </w:tcPr>
          <w:p w:rsidR="00580A81" w:rsidRPr="00BA4E95" w:rsidRDefault="00580A81" w:rsidP="00BA4E95">
            <w:pPr>
              <w:pStyle w:val="Tabletext"/>
              <w:jc w:val="center"/>
            </w:pPr>
            <w:r w:rsidRPr="00BA4E95">
              <w:t>3</w:t>
            </w:r>
          </w:p>
        </w:tc>
        <w:tc>
          <w:tcPr>
            <w:tcW w:w="2020" w:type="dxa"/>
            <w:tcBorders>
              <w:top w:val="nil"/>
              <w:left w:val="nil"/>
              <w:bottom w:val="nil"/>
            </w:tcBorders>
          </w:tcPr>
          <w:p w:rsidR="00580A81" w:rsidRPr="00BA4E95" w:rsidRDefault="00317E01" w:rsidP="00BA4E95">
            <w:pPr>
              <w:pStyle w:val="Tabletext"/>
              <w:jc w:val="center"/>
            </w:pPr>
            <w:r w:rsidRPr="00BA4E95">
              <w:t>2–</w:t>
            </w:r>
            <w:r w:rsidR="00580A81" w:rsidRPr="00BA4E95">
              <w:t>3</w:t>
            </w:r>
          </w:p>
        </w:tc>
      </w:tr>
      <w:tr w:rsidR="00580A81" w:rsidRPr="00BA4E95" w:rsidTr="00BA4E95">
        <w:tc>
          <w:tcPr>
            <w:tcW w:w="2020" w:type="dxa"/>
            <w:tcBorders>
              <w:top w:val="nil"/>
              <w:left w:val="nil"/>
              <w:bottom w:val="nil"/>
              <w:right w:val="nil"/>
            </w:tcBorders>
          </w:tcPr>
          <w:p w:rsidR="00580A81" w:rsidRPr="00BA4E95" w:rsidRDefault="00580A81" w:rsidP="00BA4E95">
            <w:pPr>
              <w:pStyle w:val="Tabletext"/>
              <w:jc w:val="center"/>
            </w:pPr>
            <w:r w:rsidRPr="00BA4E95">
              <w:t>4</w:t>
            </w:r>
          </w:p>
        </w:tc>
        <w:tc>
          <w:tcPr>
            <w:tcW w:w="2020" w:type="dxa"/>
            <w:tcBorders>
              <w:top w:val="nil"/>
              <w:left w:val="nil"/>
              <w:bottom w:val="nil"/>
              <w:right w:val="nil"/>
            </w:tcBorders>
          </w:tcPr>
          <w:p w:rsidR="00580A81" w:rsidRPr="00BA4E95" w:rsidRDefault="00580A81" w:rsidP="00BA4E95">
            <w:pPr>
              <w:pStyle w:val="Tabletext"/>
              <w:jc w:val="center"/>
            </w:pPr>
            <w:r w:rsidRPr="00BA4E95">
              <w:t>3</w:t>
            </w:r>
          </w:p>
        </w:tc>
        <w:tc>
          <w:tcPr>
            <w:tcW w:w="2020" w:type="dxa"/>
            <w:tcBorders>
              <w:top w:val="nil"/>
              <w:left w:val="nil"/>
              <w:bottom w:val="nil"/>
              <w:right w:val="nil"/>
            </w:tcBorders>
          </w:tcPr>
          <w:p w:rsidR="00580A81" w:rsidRPr="00BA4E95" w:rsidRDefault="00580A81" w:rsidP="00BA4E95">
            <w:pPr>
              <w:pStyle w:val="Tabletext"/>
              <w:jc w:val="center"/>
            </w:pPr>
            <w:r w:rsidRPr="00BA4E95">
              <w:t>4</w:t>
            </w:r>
          </w:p>
        </w:tc>
        <w:tc>
          <w:tcPr>
            <w:tcW w:w="2020" w:type="dxa"/>
            <w:tcBorders>
              <w:top w:val="nil"/>
              <w:left w:val="nil"/>
              <w:bottom w:val="nil"/>
            </w:tcBorders>
          </w:tcPr>
          <w:p w:rsidR="00580A81" w:rsidRPr="00BA4E95" w:rsidRDefault="00317E01" w:rsidP="00BA4E95">
            <w:pPr>
              <w:pStyle w:val="Tabletext"/>
              <w:jc w:val="center"/>
            </w:pPr>
            <w:r w:rsidRPr="00BA4E95">
              <w:t>3–</w:t>
            </w:r>
            <w:r w:rsidR="00580A81" w:rsidRPr="00BA4E95">
              <w:t>4</w:t>
            </w:r>
          </w:p>
        </w:tc>
      </w:tr>
      <w:tr w:rsidR="00580A81" w:rsidRPr="00BA4E95" w:rsidTr="00BA4E95">
        <w:tc>
          <w:tcPr>
            <w:tcW w:w="2020" w:type="dxa"/>
            <w:tcBorders>
              <w:top w:val="nil"/>
              <w:left w:val="nil"/>
              <w:bottom w:val="single" w:sz="4" w:space="0" w:color="000000" w:themeColor="text1"/>
              <w:right w:val="nil"/>
            </w:tcBorders>
          </w:tcPr>
          <w:p w:rsidR="00580A81" w:rsidRPr="00BA4E95" w:rsidRDefault="00580A81" w:rsidP="00BA4E95">
            <w:pPr>
              <w:pStyle w:val="Tabletext"/>
              <w:jc w:val="center"/>
            </w:pPr>
            <w:r w:rsidRPr="00BA4E95">
              <w:t>5</w:t>
            </w:r>
          </w:p>
        </w:tc>
        <w:tc>
          <w:tcPr>
            <w:tcW w:w="2020" w:type="dxa"/>
            <w:tcBorders>
              <w:top w:val="nil"/>
              <w:left w:val="nil"/>
              <w:bottom w:val="single" w:sz="4" w:space="0" w:color="000000" w:themeColor="text1"/>
              <w:right w:val="nil"/>
            </w:tcBorders>
          </w:tcPr>
          <w:p w:rsidR="00580A81" w:rsidRPr="00BA4E95" w:rsidRDefault="00317E01" w:rsidP="00BA4E95">
            <w:pPr>
              <w:pStyle w:val="Tabletext"/>
              <w:jc w:val="center"/>
            </w:pPr>
            <w:r w:rsidRPr="00BA4E95">
              <w:t>4–</w:t>
            </w:r>
            <w:r w:rsidR="00580A81" w:rsidRPr="00BA4E95">
              <w:t>5</w:t>
            </w:r>
          </w:p>
        </w:tc>
        <w:tc>
          <w:tcPr>
            <w:tcW w:w="2020" w:type="dxa"/>
            <w:tcBorders>
              <w:top w:val="nil"/>
              <w:left w:val="nil"/>
              <w:bottom w:val="single" w:sz="4" w:space="0" w:color="000000" w:themeColor="text1"/>
              <w:right w:val="nil"/>
            </w:tcBorders>
          </w:tcPr>
          <w:p w:rsidR="00580A81" w:rsidRPr="00BA4E95" w:rsidRDefault="00580A81" w:rsidP="00BA4E95">
            <w:pPr>
              <w:pStyle w:val="Tabletext"/>
              <w:jc w:val="center"/>
            </w:pPr>
            <w:r w:rsidRPr="00BA4E95">
              <w:t>5</w:t>
            </w:r>
          </w:p>
        </w:tc>
        <w:tc>
          <w:tcPr>
            <w:tcW w:w="2020" w:type="dxa"/>
            <w:tcBorders>
              <w:top w:val="nil"/>
              <w:left w:val="nil"/>
              <w:bottom w:val="single" w:sz="4" w:space="0" w:color="000000" w:themeColor="text1"/>
            </w:tcBorders>
          </w:tcPr>
          <w:p w:rsidR="00580A81" w:rsidRPr="00BA4E95" w:rsidRDefault="00580A81" w:rsidP="00BA4E95">
            <w:pPr>
              <w:pStyle w:val="Tabletext"/>
              <w:jc w:val="center"/>
            </w:pPr>
            <w:r w:rsidRPr="00BA4E95">
              <w:t>Uncertain</w:t>
            </w:r>
          </w:p>
        </w:tc>
      </w:tr>
    </w:tbl>
    <w:p w:rsidR="00D279E5" w:rsidRDefault="00D279E5" w:rsidP="00BA4E95">
      <w:pPr>
        <w:pStyle w:val="Textmorebefore"/>
      </w:pPr>
      <w:r>
        <w:t>The small number o</w:t>
      </w:r>
      <w:r w:rsidR="00317E01">
        <w:t>f ratings made against Level 5 n</w:t>
      </w:r>
      <w:r>
        <w:t xml:space="preserve">umeracy items meant </w:t>
      </w:r>
      <w:r w:rsidR="00317E01">
        <w:t xml:space="preserve">that </w:t>
      </w:r>
      <w:r>
        <w:t>the relationship between the ALLS and ACSF frameworks at this level could not be determined reliably</w:t>
      </w:r>
      <w:r w:rsidR="00317E01">
        <w:t>;</w:t>
      </w:r>
      <w:r>
        <w:t xml:space="preserve"> hence</w:t>
      </w:r>
      <w:r w:rsidR="00317E01">
        <w:t>,</w:t>
      </w:r>
      <w:r>
        <w:t xml:space="preserve"> the inclusion of ‘uncertain’ in the table. </w:t>
      </w:r>
    </w:p>
    <w:p w:rsidR="00580A81" w:rsidRDefault="00580A81" w:rsidP="00600137">
      <w:pPr>
        <w:pStyle w:val="Text"/>
      </w:pPr>
    </w:p>
    <w:p w:rsidR="007F4DAA" w:rsidRDefault="0026760A" w:rsidP="00491FA9">
      <w:pPr>
        <w:pStyle w:val="Heading1"/>
      </w:pPr>
      <w:r>
        <w:br w:type="page"/>
      </w:r>
      <w:bookmarkStart w:id="45" w:name="_Toc340826513"/>
      <w:r w:rsidR="00333676">
        <w:t>Discussion</w:t>
      </w:r>
      <w:bookmarkEnd w:id="45"/>
    </w:p>
    <w:p w:rsidR="005215FC" w:rsidRDefault="005215FC" w:rsidP="00333676">
      <w:pPr>
        <w:pStyle w:val="Text"/>
      </w:pPr>
      <w:r>
        <w:t xml:space="preserve">So, does 1 = 1? This study has shown there to be a close alignment in the complexity of Level 1 </w:t>
      </w:r>
      <w:r w:rsidR="00AC22DD">
        <w:t>r</w:t>
      </w:r>
      <w:r>
        <w:t xml:space="preserve">eading and </w:t>
      </w:r>
      <w:r w:rsidR="00AC22DD">
        <w:t>n</w:t>
      </w:r>
      <w:r>
        <w:t>umeracy</w:t>
      </w:r>
      <w:r w:rsidR="00AC22DD">
        <w:t xml:space="preserve"> constructs</w:t>
      </w:r>
      <w:r>
        <w:t xml:space="preserve"> between the </w:t>
      </w:r>
      <w:r w:rsidR="001D5D32" w:rsidRPr="00096D18">
        <w:t>Adult Literacy and Life Skills</w:t>
      </w:r>
      <w:r w:rsidR="001D5D32">
        <w:t xml:space="preserve"> survey</w:t>
      </w:r>
      <w:r>
        <w:t xml:space="preserve"> and </w:t>
      </w:r>
      <w:r w:rsidR="00F2169A">
        <w:t>the Australian Core Skills Framework</w:t>
      </w:r>
      <w:r>
        <w:t xml:space="preserve">. </w:t>
      </w:r>
      <w:r w:rsidR="00015D1A">
        <w:t>However, t</w:t>
      </w:r>
      <w:r w:rsidR="00D67D59">
        <w:t xml:space="preserve">he alignment between </w:t>
      </w:r>
      <w:r w:rsidR="00015D1A">
        <w:t xml:space="preserve">each performance level across </w:t>
      </w:r>
      <w:r w:rsidR="00D67D59">
        <w:t xml:space="preserve">the two frameworks was not as </w:t>
      </w:r>
      <w:r w:rsidR="00015D1A">
        <w:t>direct f</w:t>
      </w:r>
      <w:r w:rsidR="00D67D59">
        <w:t xml:space="preserve">or higher skill levels. For example, </w:t>
      </w:r>
      <w:r w:rsidR="00FE0372">
        <w:t xml:space="preserve">as we have seen, </w:t>
      </w:r>
      <w:r w:rsidR="00D67D59">
        <w:t xml:space="preserve">for the </w:t>
      </w:r>
      <w:r w:rsidR="00AC22DD">
        <w:t>r</w:t>
      </w:r>
      <w:r w:rsidR="00D67D59">
        <w:t xml:space="preserve">eading </w:t>
      </w:r>
      <w:r w:rsidR="00AC22DD">
        <w:t>construct</w:t>
      </w:r>
      <w:r w:rsidR="00D67D59">
        <w:t xml:space="preserve">, </w:t>
      </w:r>
      <w:r w:rsidR="00015D1A">
        <w:t xml:space="preserve">ACSF </w:t>
      </w:r>
      <w:r w:rsidR="002C6D6B">
        <w:t xml:space="preserve">exit </w:t>
      </w:r>
      <w:r w:rsidR="00015D1A">
        <w:t>Level 3 appeared to be more similar to</w:t>
      </w:r>
      <w:r w:rsidR="00FE0372">
        <w:t xml:space="preserve"> ALLS Level 2 than ALLS Level 3,</w:t>
      </w:r>
      <w:r w:rsidR="00015D1A">
        <w:t xml:space="preserve"> and ACSF </w:t>
      </w:r>
      <w:r w:rsidR="002C6D6B">
        <w:t xml:space="preserve">exit </w:t>
      </w:r>
      <w:r w:rsidR="00015D1A">
        <w:t xml:space="preserve">Level 4 was more closely aligned to ALLS </w:t>
      </w:r>
      <w:r w:rsidR="00AC22DD">
        <w:t>r</w:t>
      </w:r>
      <w:r w:rsidR="00015D1A">
        <w:t xml:space="preserve">eading Level 3. A similar outcome was found for the </w:t>
      </w:r>
      <w:r w:rsidR="00AC22DD">
        <w:t>n</w:t>
      </w:r>
      <w:r w:rsidR="00015D1A">
        <w:t xml:space="preserve">umeracy domain, although not as pronounced. </w:t>
      </w:r>
    </w:p>
    <w:p w:rsidR="00D67D59" w:rsidRPr="00015D1A" w:rsidRDefault="00C312B5" w:rsidP="00D67D59">
      <w:pPr>
        <w:pStyle w:val="Text"/>
      </w:pPr>
      <w:r>
        <w:t>T</w:t>
      </w:r>
      <w:r w:rsidR="00015D1A" w:rsidRPr="00015D1A">
        <w:t>he impetus for this project</w:t>
      </w:r>
      <w:r>
        <w:t xml:space="preserve"> </w:t>
      </w:r>
      <w:r w:rsidR="00A006A0">
        <w:t>came from two directions</w:t>
      </w:r>
      <w:r w:rsidR="00E607CE">
        <w:t>. The first was</w:t>
      </w:r>
      <w:r w:rsidR="00A006A0">
        <w:t xml:space="preserve"> </w:t>
      </w:r>
      <w:r w:rsidR="00015D1A">
        <w:t>the National Skills and Workforce Development Agreement (C</w:t>
      </w:r>
      <w:r>
        <w:t>ouncil of Australian Governments</w:t>
      </w:r>
      <w:r w:rsidR="00A006A0">
        <w:t xml:space="preserve"> 2008), wh</w:t>
      </w:r>
      <w:r w:rsidR="00FE0372">
        <w:t>ich specified that</w:t>
      </w:r>
      <w:r w:rsidR="00015D1A" w:rsidRPr="00096D18">
        <w:t xml:space="preserve"> the </w:t>
      </w:r>
      <w:r>
        <w:t>proportion of the working-</w:t>
      </w:r>
      <w:r w:rsidR="00015D1A" w:rsidRPr="00096D18">
        <w:t xml:space="preserve">age population with low foundation skill levels </w:t>
      </w:r>
      <w:r w:rsidR="00015D1A">
        <w:t>be</w:t>
      </w:r>
      <w:r w:rsidR="00015D1A" w:rsidRPr="00096D18">
        <w:t xml:space="preserve"> reduced to enable effective educational, labour market and social participation, and that the proportions at ALLS </w:t>
      </w:r>
      <w:r w:rsidR="007073BE" w:rsidRPr="00096D18">
        <w:t xml:space="preserve">Levels </w:t>
      </w:r>
      <w:r w:rsidR="00015D1A" w:rsidRPr="00096D18">
        <w:t>1, 2 and 3 be monitored as a means of checking progress</w:t>
      </w:r>
      <w:r w:rsidR="00E607CE">
        <w:t>. The second was</w:t>
      </w:r>
      <w:r w:rsidR="0011373C">
        <w:t xml:space="preserve"> the </w:t>
      </w:r>
      <w:proofErr w:type="spellStart"/>
      <w:r w:rsidR="00A006A0">
        <w:t>aspirational</w:t>
      </w:r>
      <w:proofErr w:type="spellEnd"/>
      <w:r w:rsidR="00A006A0">
        <w:t xml:space="preserve"> target of the 2012—</w:t>
      </w:r>
      <w:r w:rsidR="0011373C">
        <w:t>22 National Foundation Skills Strategy for Adults</w:t>
      </w:r>
      <w:r w:rsidR="00A006A0">
        <w:t>.</w:t>
      </w:r>
      <w:r w:rsidR="0011373C">
        <w:rPr>
          <w:rStyle w:val="FootnoteReference"/>
        </w:rPr>
        <w:footnoteReference w:id="17"/>
      </w:r>
      <w:r w:rsidR="00A006A0">
        <w:t xml:space="preserve"> In this context, what</w:t>
      </w:r>
      <w:r w:rsidR="00015D1A" w:rsidRPr="00015D1A">
        <w:t xml:space="preserve"> </w:t>
      </w:r>
      <w:r w:rsidR="00FE0372">
        <w:t xml:space="preserve">do </w:t>
      </w:r>
      <w:r w:rsidR="00015D1A" w:rsidRPr="00015D1A">
        <w:t xml:space="preserve">these findings mean? If, as the results are suggesting, ALLS Level 3 in </w:t>
      </w:r>
      <w:r w:rsidR="00AC22DD">
        <w:t>r</w:t>
      </w:r>
      <w:r w:rsidR="00015D1A" w:rsidRPr="00015D1A">
        <w:t xml:space="preserve">eading and </w:t>
      </w:r>
      <w:r w:rsidR="00AC22DD">
        <w:t>n</w:t>
      </w:r>
      <w:r w:rsidR="00015D1A" w:rsidRPr="00015D1A">
        <w:t xml:space="preserve">umeracy is approximately equivalent to ACSF </w:t>
      </w:r>
      <w:r w:rsidR="002C6D6B">
        <w:t xml:space="preserve">exit </w:t>
      </w:r>
      <w:r w:rsidR="00015D1A" w:rsidRPr="00015D1A">
        <w:t>Level 4</w:t>
      </w:r>
      <w:r w:rsidR="00A006A0">
        <w:t>,</w:t>
      </w:r>
      <w:r w:rsidR="00015D1A" w:rsidRPr="00015D1A">
        <w:t xml:space="preserve"> then adult literacy </w:t>
      </w:r>
      <w:r w:rsidR="00FE7D85">
        <w:t xml:space="preserve">and numeracy </w:t>
      </w:r>
      <w:r w:rsidR="00015D1A" w:rsidRPr="00015D1A">
        <w:t>programs that are delivered and reported against the</w:t>
      </w:r>
      <w:r w:rsidR="00FE7D85">
        <w:t xml:space="preserve"> ACSF may need to specify ACSF </w:t>
      </w:r>
      <w:r w:rsidR="002C6D6B">
        <w:t xml:space="preserve">exit </w:t>
      </w:r>
      <w:r w:rsidR="00FE7D85">
        <w:t>L</w:t>
      </w:r>
      <w:r w:rsidR="00015D1A" w:rsidRPr="00015D1A">
        <w:t>evel 4 as the desired outcome i</w:t>
      </w:r>
      <w:r w:rsidR="00D67D59" w:rsidRPr="00015D1A">
        <w:t>f the implied workforce skills dev</w:t>
      </w:r>
      <w:r w:rsidR="00015D1A" w:rsidRPr="00015D1A">
        <w:t>elopment objective is to be met</w:t>
      </w:r>
      <w:r w:rsidR="00D67D59" w:rsidRPr="00015D1A">
        <w:t xml:space="preserve">. This may have consequences for </w:t>
      </w:r>
      <w:r w:rsidR="00764319">
        <w:t xml:space="preserve">current </w:t>
      </w:r>
      <w:r w:rsidR="00D67D59" w:rsidRPr="00015D1A">
        <w:t>programs and the extent and ways in which they are resourced.</w:t>
      </w:r>
    </w:p>
    <w:p w:rsidR="00A62F93" w:rsidRDefault="00D67D59" w:rsidP="00D67D59">
      <w:pPr>
        <w:pStyle w:val="Text"/>
      </w:pPr>
      <w:r w:rsidRPr="00015D1A">
        <w:t xml:space="preserve">Providing adults with the opportunity to achieve a prescribed benchmark adult literacy </w:t>
      </w:r>
      <w:r w:rsidR="00A94E7E">
        <w:t xml:space="preserve">and numeracy </w:t>
      </w:r>
      <w:r w:rsidRPr="00015D1A">
        <w:t>p</w:t>
      </w:r>
      <w:r w:rsidR="00A94E7E">
        <w:t xml:space="preserve">erformance level, perhaps ACSF </w:t>
      </w:r>
      <w:r w:rsidR="002C6D6B">
        <w:t xml:space="preserve">exit </w:t>
      </w:r>
      <w:r w:rsidR="00A94E7E">
        <w:t>L</w:t>
      </w:r>
      <w:r w:rsidRPr="00015D1A">
        <w:t xml:space="preserve">evel 4, may require a greater investment in literacy </w:t>
      </w:r>
      <w:r w:rsidR="00A94E7E">
        <w:t xml:space="preserve">and numeracy </w:t>
      </w:r>
      <w:r w:rsidRPr="00015D1A">
        <w:t xml:space="preserve">support per individual than is </w:t>
      </w:r>
      <w:r w:rsidR="00A006A0">
        <w:t>currently being committed</w:t>
      </w:r>
      <w:r w:rsidRPr="00015D1A">
        <w:t xml:space="preserve">. It may </w:t>
      </w:r>
      <w:r w:rsidR="00E607CE">
        <w:t xml:space="preserve">also </w:t>
      </w:r>
      <w:r w:rsidRPr="00015D1A">
        <w:t>require additional hours of instruction and a larger adult literacy workforce than</w:t>
      </w:r>
      <w:r w:rsidR="00135131">
        <w:t xml:space="preserve"> currently</w:t>
      </w:r>
      <w:r w:rsidRPr="00015D1A">
        <w:t xml:space="preserve"> exists.</w:t>
      </w:r>
      <w:r w:rsidR="00A44447">
        <w:t xml:space="preserve"> </w:t>
      </w:r>
      <w:r w:rsidR="001376C2">
        <w:t xml:space="preserve">This being said, with finite resources, priorities will need to be established to ensure </w:t>
      </w:r>
      <w:r w:rsidR="00F2169A">
        <w:t xml:space="preserve">that the </w:t>
      </w:r>
      <w:r w:rsidR="00F35395">
        <w:t xml:space="preserve">individuals </w:t>
      </w:r>
      <w:r w:rsidR="001376C2">
        <w:t xml:space="preserve">who are likely to benefit the most </w:t>
      </w:r>
      <w:r w:rsidR="00E53BCA">
        <w:t>are targeted</w:t>
      </w:r>
      <w:r w:rsidR="00A44447">
        <w:t xml:space="preserve">. </w:t>
      </w:r>
    </w:p>
    <w:p w:rsidR="00150973" w:rsidRPr="00B90C27" w:rsidRDefault="00150973" w:rsidP="00BA4E95">
      <w:pPr>
        <w:pStyle w:val="Heading2"/>
      </w:pPr>
      <w:bookmarkStart w:id="46" w:name="_Toc340826514"/>
      <w:r>
        <w:t>Data capture</w:t>
      </w:r>
      <w:bookmarkEnd w:id="46"/>
      <w:r w:rsidRPr="00B90C27">
        <w:t xml:space="preserve"> </w:t>
      </w:r>
    </w:p>
    <w:p w:rsidR="00150973" w:rsidRDefault="00150973" w:rsidP="00150973">
      <w:pPr>
        <w:pStyle w:val="Text"/>
      </w:pPr>
      <w:bookmarkStart w:id="47" w:name="OLE_LINK3"/>
      <w:bookmarkStart w:id="48" w:name="OLE_LINK4"/>
      <w:r>
        <w:t xml:space="preserve">With the broadening application of the </w:t>
      </w:r>
      <w:r w:rsidR="00611547">
        <w:t>Australian Core Skills Framework</w:t>
      </w:r>
      <w:r>
        <w:t xml:space="preserve">, its </w:t>
      </w:r>
      <w:r w:rsidRPr="00EA5BD5">
        <w:t xml:space="preserve">alignment to the </w:t>
      </w:r>
      <w:r w:rsidR="001D5D32" w:rsidRPr="00096D18">
        <w:t>Adult Literacy and Life Skills</w:t>
      </w:r>
      <w:r w:rsidR="001D5D32">
        <w:t xml:space="preserve"> survey</w:t>
      </w:r>
      <w:r w:rsidRPr="00EA5BD5">
        <w:t xml:space="preserve"> provide</w:t>
      </w:r>
      <w:r>
        <w:t>s</w:t>
      </w:r>
      <w:r w:rsidRPr="00EA5BD5">
        <w:t xml:space="preserve"> </w:t>
      </w:r>
      <w:r>
        <w:t>an</w:t>
      </w:r>
      <w:r w:rsidRPr="00EA5BD5">
        <w:t xml:space="preserve"> opportunity for policy</w:t>
      </w:r>
      <w:r w:rsidR="00F2169A">
        <w:t>-</w:t>
      </w:r>
      <w:r w:rsidRPr="00EA5BD5">
        <w:t xml:space="preserve">makers to monitor the skill level of particular cohorts on a more </w:t>
      </w:r>
      <w:r w:rsidR="00F2169A">
        <w:t>regular basis and</w:t>
      </w:r>
      <w:r w:rsidRPr="00EA5BD5">
        <w:t xml:space="preserve"> to examine which programs work better for different groups of learners and why. However, this does pose questions about how we might best capture ACSF data to use as evidence of literacy and numeracy progress against the </w:t>
      </w:r>
      <w:r w:rsidR="001D5D32" w:rsidRPr="00096D18">
        <w:t>Adult Literacy and Life Skills</w:t>
      </w:r>
      <w:r w:rsidR="001D5D32">
        <w:t xml:space="preserve"> survey</w:t>
      </w:r>
      <w:r w:rsidRPr="00EA5BD5">
        <w:t xml:space="preserve"> and its successors. </w:t>
      </w:r>
      <w:r w:rsidR="0035716F">
        <w:t xml:space="preserve">As a starting point, existing data collection tools, </w:t>
      </w:r>
      <w:r>
        <w:t xml:space="preserve">such as the Language, Literacy and Numeracy Program </w:t>
      </w:r>
      <w:r w:rsidR="007C0C1F">
        <w:t xml:space="preserve">Information </w:t>
      </w:r>
      <w:r>
        <w:t xml:space="preserve">System, </w:t>
      </w:r>
      <w:r w:rsidR="0035716F">
        <w:t>may require</w:t>
      </w:r>
      <w:r>
        <w:t xml:space="preserve"> modifications</w:t>
      </w:r>
      <w:r w:rsidRPr="00EA5BD5">
        <w:t xml:space="preserve">. </w:t>
      </w:r>
    </w:p>
    <w:bookmarkEnd w:id="47"/>
    <w:bookmarkEnd w:id="48"/>
    <w:p w:rsidR="00333676" w:rsidRDefault="00333676" w:rsidP="00333676">
      <w:pPr>
        <w:pStyle w:val="Text"/>
      </w:pPr>
      <w:r>
        <w:t xml:space="preserve">The findings of the current study </w:t>
      </w:r>
      <w:r w:rsidR="005215FC">
        <w:t xml:space="preserve">also </w:t>
      </w:r>
      <w:r>
        <w:t>ha</w:t>
      </w:r>
      <w:r w:rsidR="00D06E86">
        <w:t>ve</w:t>
      </w:r>
      <w:r>
        <w:t xml:space="preserve"> implications for </w:t>
      </w:r>
      <w:r w:rsidR="00D06E86">
        <w:t xml:space="preserve">the </w:t>
      </w:r>
      <w:r>
        <w:t>future use and refinement of the ACSF, as well as future mapping to other similar programs (</w:t>
      </w:r>
      <w:r w:rsidR="00F2169A">
        <w:t xml:space="preserve">for example, </w:t>
      </w:r>
      <w:r>
        <w:t>A</w:t>
      </w:r>
      <w:r w:rsidR="00F2169A">
        <w:t>dult Migrant Education Program</w:t>
      </w:r>
      <w:r>
        <w:t>) and frameworks (</w:t>
      </w:r>
      <w:r w:rsidR="00F2169A">
        <w:t>for example,</w:t>
      </w:r>
      <w:r>
        <w:t xml:space="preserve"> the Core Ski</w:t>
      </w:r>
      <w:r w:rsidR="00490EDE">
        <w:t xml:space="preserve">lls for </w:t>
      </w:r>
      <w:r w:rsidR="00DD357F">
        <w:t xml:space="preserve">Work </w:t>
      </w:r>
      <w:r w:rsidR="00490EDE">
        <w:t>Framework). These are discussed in more detail below.</w:t>
      </w:r>
    </w:p>
    <w:p w:rsidR="00333676" w:rsidRDefault="00333676" w:rsidP="00BA4E95">
      <w:pPr>
        <w:pStyle w:val="Heading2"/>
      </w:pPr>
      <w:bookmarkStart w:id="49" w:name="_Toc328417965"/>
      <w:bookmarkStart w:id="50" w:name="_Toc340826515"/>
      <w:r>
        <w:t xml:space="preserve">Empirical mapping of the ACSF and ALLS at </w:t>
      </w:r>
      <w:r w:rsidR="00E607CE">
        <w:t xml:space="preserve">Levels </w:t>
      </w:r>
      <w:r>
        <w:t>4 and 5</w:t>
      </w:r>
      <w:bookmarkEnd w:id="49"/>
      <w:bookmarkEnd w:id="50"/>
    </w:p>
    <w:p w:rsidR="007A6020" w:rsidRDefault="007A6020" w:rsidP="00333676">
      <w:pPr>
        <w:pStyle w:val="Text"/>
      </w:pPr>
      <w:r>
        <w:t xml:space="preserve">With </w:t>
      </w:r>
      <w:r w:rsidR="00333676">
        <w:t xml:space="preserve">very few ratings of learners at </w:t>
      </w:r>
      <w:r w:rsidR="00E607CE">
        <w:t xml:space="preserve">Levels </w:t>
      </w:r>
      <w:r w:rsidR="00333676">
        <w:t xml:space="preserve">4 and 5 in both </w:t>
      </w:r>
      <w:r w:rsidR="00AC22DD">
        <w:t>r</w:t>
      </w:r>
      <w:r w:rsidR="00333676">
        <w:t xml:space="preserve">eading and </w:t>
      </w:r>
      <w:r w:rsidR="00AC22DD">
        <w:t>n</w:t>
      </w:r>
      <w:r w:rsidR="00333676">
        <w:t xml:space="preserve">umeracy, there was less certainty about the true complexity estimates of statements drawn from the higher levels of both the </w:t>
      </w:r>
      <w:r w:rsidR="00F2169A">
        <w:t>Australian Core Skills Framework</w:t>
      </w:r>
      <w:r w:rsidR="00333676">
        <w:t xml:space="preserve"> a</w:t>
      </w:r>
      <w:r w:rsidR="00F2169A">
        <w:t xml:space="preserve">nd the </w:t>
      </w:r>
      <w:r w:rsidR="00F2169A" w:rsidRPr="00096D18">
        <w:t>Adult Literacy and Life Skills</w:t>
      </w:r>
      <w:r w:rsidR="00F2169A">
        <w:t xml:space="preserve"> survey</w:t>
      </w:r>
      <w:r w:rsidR="00333676">
        <w:t xml:space="preserve">. The low number of ratings may have been due to </w:t>
      </w:r>
      <w:r>
        <w:t>respondents</w:t>
      </w:r>
      <w:r w:rsidR="00333676">
        <w:t xml:space="preserve"> being less familiar with the reading/numeracy skills of learners at the higher levels</w:t>
      </w:r>
      <w:r>
        <w:t>. This is not necessarily unexpected</w:t>
      </w:r>
      <w:r w:rsidR="00F2169A">
        <w:t>,</w:t>
      </w:r>
      <w:r w:rsidR="00333676">
        <w:t xml:space="preserve"> as it is less likely that </w:t>
      </w:r>
      <w:r w:rsidR="00F2169A">
        <w:t xml:space="preserve">learners with </w:t>
      </w:r>
      <w:r w:rsidR="00333676">
        <w:t xml:space="preserve">higher </w:t>
      </w:r>
      <w:r w:rsidR="007C0C1F">
        <w:t xml:space="preserve">ability </w:t>
      </w:r>
      <w:r w:rsidR="00333676">
        <w:t>(in terms of reading and/or numeracy) would undertake specific adult lit</w:t>
      </w:r>
      <w:r>
        <w:t>eracy and/or numeracy programs</w:t>
      </w:r>
      <w:r w:rsidR="00D06E86">
        <w:t xml:space="preserve"> such as the Language, Literacy and Numeracy Program</w:t>
      </w:r>
      <w:r>
        <w:t>.</w:t>
      </w:r>
    </w:p>
    <w:p w:rsidR="00333676" w:rsidRDefault="005215FC" w:rsidP="00333676">
      <w:pPr>
        <w:pStyle w:val="Text"/>
      </w:pPr>
      <w:r>
        <w:t xml:space="preserve">In order to </w:t>
      </w:r>
      <w:r w:rsidR="00333676">
        <w:t xml:space="preserve">obtain more accurate measures at the higher levels on the </w:t>
      </w:r>
      <w:r w:rsidR="00611547">
        <w:t>Australian Core Skills Framework</w:t>
      </w:r>
      <w:r w:rsidR="00333676">
        <w:t xml:space="preserve"> and to compare these </w:t>
      </w:r>
      <w:r w:rsidR="00F2169A">
        <w:t>with</w:t>
      </w:r>
      <w:r w:rsidR="00333676">
        <w:t xml:space="preserve"> the </w:t>
      </w:r>
      <w:r w:rsidR="001D5D32" w:rsidRPr="00096D18">
        <w:t>Adult Literacy and Life Skills</w:t>
      </w:r>
      <w:r w:rsidR="001D5D32">
        <w:t xml:space="preserve"> survey</w:t>
      </w:r>
      <w:r w:rsidR="00333676">
        <w:t xml:space="preserve">, a future study could be undertaken in which </w:t>
      </w:r>
      <w:r w:rsidR="007A6020">
        <w:t>individuals</w:t>
      </w:r>
      <w:r w:rsidR="00333676">
        <w:t xml:space="preserve"> judge their own level of ability directly against the statements</w:t>
      </w:r>
      <w:r w:rsidR="00FE0372">
        <w:t>. (H</w:t>
      </w:r>
      <w:r w:rsidR="00333676">
        <w:t>ence, the survey would be designed to resemble a self-assessment</w:t>
      </w:r>
      <w:r w:rsidR="00FE0372">
        <w:t xml:space="preserve"> as opposed to </w:t>
      </w:r>
      <w:r w:rsidR="00E607CE">
        <w:t xml:space="preserve">a </w:t>
      </w:r>
      <w:r w:rsidR="00FE0372">
        <w:t>performance judg</w:t>
      </w:r>
      <w:r w:rsidR="00333676">
        <w:t>ment of a learner</w:t>
      </w:r>
      <w:r w:rsidR="00FE0372">
        <w:t>.)</w:t>
      </w:r>
      <w:r w:rsidR="00333676">
        <w:t xml:space="preserve"> A similar methodology was employed to empirically validate the Developmental Learning Framework for School Leaders</w:t>
      </w:r>
      <w:r w:rsidR="00333676" w:rsidRPr="007A6020">
        <w:rPr>
          <w:vertAlign w:val="superscript"/>
        </w:rPr>
        <w:footnoteReference w:id="18"/>
      </w:r>
      <w:r w:rsidR="00333676">
        <w:t xml:space="preserve"> in Victoria</w:t>
      </w:r>
      <w:r w:rsidR="00FE0372">
        <w:t>,</w:t>
      </w:r>
      <w:r w:rsidR="00333676">
        <w:t xml:space="preserve"> in which aspiring </w:t>
      </w:r>
      <w:r w:rsidR="00F2169A">
        <w:t xml:space="preserve">school principals </w:t>
      </w:r>
      <w:r w:rsidR="00333676">
        <w:t>were surveyed using a self-assessment tool. If the survey instruction</w:t>
      </w:r>
      <w:r w:rsidR="00F2169A">
        <w:t>s for the current study were re</w:t>
      </w:r>
      <w:r w:rsidR="00333676">
        <w:t>designed to reflect a self-assessment, the target population for calibrating the ACSF and ALLS</w:t>
      </w:r>
      <w:r w:rsidR="00F2169A">
        <w:t xml:space="preserve"> at Levels 4 and 5</w:t>
      </w:r>
      <w:r w:rsidR="00333676">
        <w:t xml:space="preserve"> could include the </w:t>
      </w:r>
      <w:r w:rsidR="007A6020">
        <w:t>respondents from</w:t>
      </w:r>
      <w:r w:rsidR="00333676">
        <w:t xml:space="preserve"> this study (adult literacy and numeracy educators and specialists), as well as students und</w:t>
      </w:r>
      <w:r w:rsidR="008B44A3">
        <w:t>ertaking undergraduate and post</w:t>
      </w:r>
      <w:r w:rsidR="00333676">
        <w:t>graduate studies, majoring in English and/or mathematics.</w:t>
      </w:r>
    </w:p>
    <w:p w:rsidR="00E43165" w:rsidRDefault="00E43165" w:rsidP="00333676">
      <w:pPr>
        <w:pStyle w:val="Text"/>
      </w:pPr>
      <w:r>
        <w:t xml:space="preserve">An assessment </w:t>
      </w:r>
      <w:r w:rsidR="00FE0372">
        <w:t>tool</w:t>
      </w:r>
      <w:r>
        <w:t xml:space="preserve"> based on the foundation skills frameworks (the ACSF and the Core Skills for Work Framework) will be developed by the Australian Government in 2012 and may provide a basis, or have implications, for such work.</w:t>
      </w:r>
    </w:p>
    <w:p w:rsidR="00333676" w:rsidRDefault="00333676" w:rsidP="00BA4E95">
      <w:pPr>
        <w:pStyle w:val="Heading2"/>
      </w:pPr>
      <w:bookmarkStart w:id="51" w:name="_Toc328417966"/>
      <w:bookmarkStart w:id="52" w:name="_Toc340826516"/>
      <w:r>
        <w:t>Improvements to the structure of the ACSF</w:t>
      </w:r>
      <w:bookmarkEnd w:id="51"/>
      <w:bookmarkEnd w:id="52"/>
    </w:p>
    <w:p w:rsidR="00333676" w:rsidRDefault="00333676" w:rsidP="00333676">
      <w:pPr>
        <w:pStyle w:val="Text"/>
      </w:pPr>
      <w:r>
        <w:t xml:space="preserve">This study has demonstrated that the Performance Features within the ACSF have varying levels of complexity, even within each level of the framework. The implications of such findings </w:t>
      </w:r>
      <w:r w:rsidR="008B44A3">
        <w:t>suggest the</w:t>
      </w:r>
      <w:r>
        <w:t xml:space="preserve"> potential for further improvements to the current structure of the ACSF. For example, three statements drawn from the ACSF were found to have unexpected complexity estimates</w:t>
      </w:r>
      <w:r w:rsidR="008B44A3">
        <w:t>,</w:t>
      </w:r>
      <w:r>
        <w:t xml:space="preserve"> which should be reviewed when future revisions are made to the </w:t>
      </w:r>
      <w:r w:rsidR="00FE0372">
        <w:t>framework</w:t>
      </w:r>
      <w:r>
        <w:t xml:space="preserve">. The study has also shown that it is possible to recognise sub-levels within each of the five levels. That is, the empirical positioning of Performance Features in the current study illustrates that the results can be used to assist in describing the typical developmental pathway of learners </w:t>
      </w:r>
      <w:r w:rsidRPr="007378B0">
        <w:t>within</w:t>
      </w:r>
      <w:r>
        <w:t xml:space="preserve"> an </w:t>
      </w:r>
      <w:r w:rsidR="007A6020">
        <w:t>ACSF level. If a similar follow-</w:t>
      </w:r>
      <w:r>
        <w:t xml:space="preserve">up study was </w:t>
      </w:r>
      <w:r w:rsidR="007A6020">
        <w:t>undertaken</w:t>
      </w:r>
      <w:r>
        <w:t xml:space="preserve"> with a larger pool of Performance Features sampled, then it would be possible to describe what it means to be at a higher or lower level within each of the existing five levels of the ACSF</w:t>
      </w:r>
      <w:r w:rsidR="008B44A3">
        <w:t>.</w:t>
      </w:r>
      <w:r>
        <w:t xml:space="preserve"> (</w:t>
      </w:r>
      <w:r w:rsidR="008B44A3">
        <w:t>For example,</w:t>
      </w:r>
      <w:r>
        <w:t xml:space="preserve"> a profile description could be developed to describe a </w:t>
      </w:r>
      <w:r w:rsidRPr="007378B0">
        <w:t>typical</w:t>
      </w:r>
      <w:r w:rsidR="00FE0372">
        <w:t xml:space="preserve"> high-</w:t>
      </w:r>
      <w:r>
        <w:t xml:space="preserve">level ACSF 2 learner as opposed to a </w:t>
      </w:r>
      <w:r w:rsidRPr="007378B0">
        <w:t>typical</w:t>
      </w:r>
      <w:r w:rsidR="00FE0372">
        <w:t xml:space="preserve"> lower-</w:t>
      </w:r>
      <w:r>
        <w:t>level ACSF 2 learner</w:t>
      </w:r>
      <w:r w:rsidR="008B44A3">
        <w:t>.)</w:t>
      </w:r>
      <w:r>
        <w:t xml:space="preserve"> Hence, it is possible that the ACSF could be </w:t>
      </w:r>
      <w:r w:rsidR="007A6020">
        <w:t>extended</w:t>
      </w:r>
      <w:r>
        <w:t xml:space="preserve"> to have profile descriptions within each level (two sub-level profiles per level).</w:t>
      </w:r>
    </w:p>
    <w:p w:rsidR="005215FC" w:rsidRDefault="005215FC" w:rsidP="00333676">
      <w:pPr>
        <w:pStyle w:val="Text"/>
      </w:pPr>
      <w:r>
        <w:t xml:space="preserve">The confirmation of the hierarchical structure within ACSF levels </w:t>
      </w:r>
      <w:r w:rsidR="00B52D11">
        <w:t xml:space="preserve">is </w:t>
      </w:r>
      <w:r w:rsidR="00445DBA">
        <w:t>in itself an important finding</w:t>
      </w:r>
      <w:r w:rsidR="008B44A3">
        <w:t>,</w:t>
      </w:r>
      <w:r w:rsidR="00445DBA">
        <w:t xml:space="preserve"> a</w:t>
      </w:r>
      <w:r w:rsidR="00B52D11">
        <w:t xml:space="preserve">s it offers the possibility of being able to clearly demonstrate progress within a level. This may be particularly important for </w:t>
      </w:r>
      <w:r w:rsidR="006057E5">
        <w:t xml:space="preserve">both providers and </w:t>
      </w:r>
      <w:r w:rsidR="00B52D11">
        <w:t>learners</w:t>
      </w:r>
      <w:r w:rsidR="006057E5">
        <w:t xml:space="preserve">, </w:t>
      </w:r>
      <w:r w:rsidR="00385E2A">
        <w:t>especially</w:t>
      </w:r>
      <w:r w:rsidR="006057E5">
        <w:t xml:space="preserve"> </w:t>
      </w:r>
      <w:r w:rsidR="00385E2A">
        <w:t>learners with lower skill levels</w:t>
      </w:r>
      <w:r w:rsidR="006057E5">
        <w:t>,</w:t>
      </w:r>
      <w:r w:rsidR="00B52D11">
        <w:t xml:space="preserve"> as demonstrable progress within a level may be a more realistic goal than progress between levels</w:t>
      </w:r>
      <w:r w:rsidR="006057E5">
        <w:t>.</w:t>
      </w:r>
    </w:p>
    <w:p w:rsidR="00333676" w:rsidRDefault="00333676" w:rsidP="00BA4E95">
      <w:pPr>
        <w:pStyle w:val="Heading2"/>
      </w:pPr>
      <w:bookmarkStart w:id="53" w:name="_Toc328417967"/>
      <w:bookmarkStart w:id="54" w:name="_Toc340826517"/>
      <w:r>
        <w:t>Application to other frameworks</w:t>
      </w:r>
      <w:bookmarkEnd w:id="53"/>
      <w:bookmarkEnd w:id="54"/>
    </w:p>
    <w:p w:rsidR="00333676" w:rsidRDefault="00333676" w:rsidP="00333676">
      <w:pPr>
        <w:pStyle w:val="Text"/>
      </w:pPr>
      <w:r>
        <w:t>This study has demonstrated that developmental learning frameworks</w:t>
      </w:r>
      <w:r w:rsidR="00E607CE">
        <w:t xml:space="preserve"> that are</w:t>
      </w:r>
      <w:r>
        <w:t xml:space="preserve"> </w:t>
      </w:r>
      <w:r w:rsidR="00FE0372">
        <w:t>considered</w:t>
      </w:r>
      <w:r>
        <w:t xml:space="preserve"> to be measuring the same overarching constructs can be empirically positioned onto the same measurement scale using a combination of complex survey design methodology and Item Response Theory analyses. </w:t>
      </w:r>
      <w:r w:rsidR="008B44A3">
        <w:t>Moreover, the</w:t>
      </w:r>
      <w:r>
        <w:t xml:space="preserve"> study has </w:t>
      </w:r>
      <w:r w:rsidR="008B44A3">
        <w:t>shown</w:t>
      </w:r>
      <w:r>
        <w:t xml:space="preserve"> that such a methodology can also be used to empirically validate developmental frameworks (such as the ACSF) to ensure that they are hierarchical, developmental and cumulative, as intended. Prior to conducting the current study, it was assumed the ACSF had five levels of increasing complexity in </w:t>
      </w:r>
      <w:r w:rsidR="009D5C38">
        <w:t>r</w:t>
      </w:r>
      <w:r>
        <w:t xml:space="preserve">eading and </w:t>
      </w:r>
      <w:r w:rsidR="009D5C38">
        <w:t>n</w:t>
      </w:r>
      <w:r>
        <w:t>umeracy</w:t>
      </w:r>
      <w:r w:rsidR="008C362A">
        <w:t>; this study now confirms this assumption</w:t>
      </w:r>
      <w:r>
        <w:t>.</w:t>
      </w:r>
    </w:p>
    <w:p w:rsidR="00333676" w:rsidRDefault="00603529" w:rsidP="00333676">
      <w:pPr>
        <w:pStyle w:val="Text"/>
      </w:pPr>
      <w:r>
        <w:t>T</w:t>
      </w:r>
      <w:r w:rsidR="00333676">
        <w:t>he results from this study could be used to map other similar frameworks or programs onto the A</w:t>
      </w:r>
      <w:r w:rsidR="008B44A3">
        <w:t>ustralian Core Skills Framework</w:t>
      </w:r>
      <w:r w:rsidR="00333676">
        <w:t xml:space="preserve"> and/or the </w:t>
      </w:r>
      <w:r w:rsidR="008B44A3" w:rsidRPr="00096D18">
        <w:t>Adult Literacy and Life Skills</w:t>
      </w:r>
      <w:r w:rsidR="008B44A3">
        <w:t xml:space="preserve"> survey</w:t>
      </w:r>
      <w:r w:rsidR="00333676">
        <w:t xml:space="preserve">. For example, the Adult Migrant English Program (AMEP), if </w:t>
      </w:r>
      <w:r w:rsidR="008B44A3">
        <w:t>considered</w:t>
      </w:r>
      <w:r w:rsidR="00333676">
        <w:t xml:space="preserve"> to have similar constructs in terms of reading/numeracy, could also be mapped onto the Reading and/or Numeracy complexity scales developed in this particular study. Under such circumstances, only a sample of the calibrated statements us</w:t>
      </w:r>
      <w:r w:rsidR="008B44A3">
        <w:t xml:space="preserve">ed </w:t>
      </w:r>
      <w:r w:rsidR="00333676">
        <w:t xml:space="preserve">in this study would need to be included in the follow-up study, </w:t>
      </w:r>
      <w:r w:rsidR="00E607CE">
        <w:t>as well as</w:t>
      </w:r>
      <w:r w:rsidR="00333676">
        <w:t xml:space="preserve"> a sample of</w:t>
      </w:r>
      <w:r w:rsidR="00E607CE">
        <w:t> </w:t>
      </w:r>
      <w:r w:rsidR="00333676">
        <w:t>additional statements (</w:t>
      </w:r>
      <w:r w:rsidR="008B44A3">
        <w:t>for example,</w:t>
      </w:r>
      <w:r w:rsidR="00333676">
        <w:t xml:space="preserve"> learning outcomes) drawn directly from the </w:t>
      </w:r>
      <w:r w:rsidR="008B44A3">
        <w:t>Adult Migrant English Program</w:t>
      </w:r>
      <w:r w:rsidR="00333676">
        <w:t xml:space="preserve">.  </w:t>
      </w:r>
    </w:p>
    <w:p w:rsidR="00333676" w:rsidRDefault="00333676" w:rsidP="00333676">
      <w:pPr>
        <w:pStyle w:val="Text"/>
      </w:pPr>
      <w:r>
        <w:t xml:space="preserve">Similarly, the new, yet to be released Core Skills for </w:t>
      </w:r>
      <w:r w:rsidR="00DD357F">
        <w:t xml:space="preserve">Work </w:t>
      </w:r>
      <w:r>
        <w:t>Framework</w:t>
      </w:r>
      <w:r w:rsidR="00FE0372">
        <w:t xml:space="preserve"> (CSFW; ITHACA Group 2012)</w:t>
      </w:r>
      <w:r w:rsidR="003C49B0">
        <w:t>,</w:t>
      </w:r>
      <w:r>
        <w:t xml:space="preserve"> which has been designed to have fi</w:t>
      </w:r>
      <w:r w:rsidR="00603529">
        <w:t>ve developmental levels across ten</w:t>
      </w:r>
      <w:r>
        <w:t xml:space="preserve"> skill areas (to complement the ACSF), could also be empirically validated using a similar methodology to that employed in the current study. The empirical validation of </w:t>
      </w:r>
      <w:r w:rsidR="003C49B0">
        <w:t>this framework</w:t>
      </w:r>
      <w:r>
        <w:t xml:space="preserve"> would enable the developmental, hierarchical and cumulative nature of the five levels within the framework to be tested per skill area, as well as minimise any redundancies and/or ambiguity in the Performance Features </w:t>
      </w:r>
      <w:r w:rsidR="003C49B0">
        <w:t>that</w:t>
      </w:r>
      <w:r>
        <w:t xml:space="preserve"> may exist within and across the ten skills sets. In addition to empirically validating the </w:t>
      </w:r>
      <w:r w:rsidR="003C49B0">
        <w:t>framework</w:t>
      </w:r>
      <w:r>
        <w:t xml:space="preserve"> in terms of its architectural structure etc</w:t>
      </w:r>
      <w:r w:rsidR="003C49B0">
        <w:t>.</w:t>
      </w:r>
      <w:r>
        <w:t xml:space="preserve">, it may also be desirable to map certain skills sets within its framework to the ACSF.  </w:t>
      </w:r>
    </w:p>
    <w:p w:rsidR="00333676" w:rsidRDefault="00147244" w:rsidP="00BA4E95">
      <w:pPr>
        <w:pStyle w:val="Heading2"/>
      </w:pPr>
      <w:bookmarkStart w:id="55" w:name="_Toc340826518"/>
      <w:r>
        <w:t>Conclusion</w:t>
      </w:r>
      <w:bookmarkEnd w:id="55"/>
    </w:p>
    <w:p w:rsidR="00631CF2" w:rsidRDefault="00683721" w:rsidP="00631CF2">
      <w:pPr>
        <w:pStyle w:val="Text"/>
      </w:pPr>
      <w:r>
        <w:t xml:space="preserve">This study has demonstrated the empirical alignment between the </w:t>
      </w:r>
      <w:r w:rsidR="00611547">
        <w:t>Australian Core Skills Framework</w:t>
      </w:r>
      <w:r>
        <w:t xml:space="preserve"> and </w:t>
      </w:r>
      <w:r w:rsidR="00E607CE">
        <w:t xml:space="preserve">the </w:t>
      </w:r>
      <w:r w:rsidR="001D5D32" w:rsidRPr="00096D18">
        <w:t>Adult Literacy and Life Skills</w:t>
      </w:r>
      <w:r w:rsidR="001D5D32">
        <w:t xml:space="preserve"> survey</w:t>
      </w:r>
      <w:r>
        <w:t xml:space="preserve">. </w:t>
      </w:r>
      <w:r w:rsidR="00631CF2" w:rsidRPr="00631CF2">
        <w:t xml:space="preserve">But if, for a moment, we take a step away from the focus on the degree of equivalence between the two frameworks, </w:t>
      </w:r>
      <w:r w:rsidR="00675E6E">
        <w:t xml:space="preserve">there is </w:t>
      </w:r>
      <w:r w:rsidR="00631CF2" w:rsidRPr="00631CF2">
        <w:t xml:space="preserve">a more fundamental issue </w:t>
      </w:r>
      <w:r w:rsidR="00A44F2B">
        <w:t>that needs consider</w:t>
      </w:r>
      <w:r w:rsidR="00675E6E">
        <w:t>ing</w:t>
      </w:r>
      <w:r w:rsidR="00A44F2B">
        <w:t>. I</w:t>
      </w:r>
      <w:r w:rsidR="00631CF2" w:rsidRPr="00631CF2">
        <w:t>s the stipulation of skill levels</w:t>
      </w:r>
      <w:r w:rsidR="00FE0372">
        <w:t>,</w:t>
      </w:r>
      <w:r w:rsidR="00631CF2" w:rsidRPr="00631CF2">
        <w:t xml:space="preserve"> as measured by </w:t>
      </w:r>
      <w:r w:rsidR="003C49B0">
        <w:t xml:space="preserve">the </w:t>
      </w:r>
      <w:r w:rsidR="003C49B0" w:rsidRPr="00096D18">
        <w:t>Adult Literacy and Life Skills</w:t>
      </w:r>
      <w:r w:rsidR="003C49B0">
        <w:t xml:space="preserve"> survey</w:t>
      </w:r>
      <w:r w:rsidR="00631CF2" w:rsidRPr="00631CF2">
        <w:t xml:space="preserve"> </w:t>
      </w:r>
      <w:r w:rsidR="000B28B1">
        <w:t>(</w:t>
      </w:r>
      <w:r w:rsidR="00631CF2" w:rsidRPr="00631CF2">
        <w:t>or</w:t>
      </w:r>
      <w:r w:rsidR="00302094">
        <w:t xml:space="preserve"> the </w:t>
      </w:r>
      <w:r w:rsidR="00302094" w:rsidRPr="00E91014">
        <w:t>Programme for the International Assessment of Adult Competencies</w:t>
      </w:r>
      <w:r w:rsidR="000B28B1">
        <w:t>)</w:t>
      </w:r>
      <w:r w:rsidR="00E607CE">
        <w:t>,</w:t>
      </w:r>
      <w:r w:rsidR="00302094">
        <w:t xml:space="preserve"> </w:t>
      </w:r>
      <w:r w:rsidR="00A44F2B">
        <w:t xml:space="preserve">as a means of monitoring progress against the </w:t>
      </w:r>
      <w:r w:rsidR="00A44F2B" w:rsidRPr="00BE080E">
        <w:t xml:space="preserve">National </w:t>
      </w:r>
      <w:r w:rsidR="00A44F2B">
        <w:t xml:space="preserve">Skills and Workforce Development </w:t>
      </w:r>
      <w:r w:rsidR="00A44F2B" w:rsidRPr="00BE080E">
        <w:t>Agreement</w:t>
      </w:r>
      <w:r w:rsidR="00A44F2B" w:rsidRPr="00631CF2">
        <w:t xml:space="preserve"> </w:t>
      </w:r>
      <w:r w:rsidR="00A44F2B">
        <w:t xml:space="preserve">and, indeed, </w:t>
      </w:r>
      <w:r w:rsidR="00631CF2" w:rsidRPr="00631CF2">
        <w:t>the key performance indicator for the new National Foundation Skills Strategy for Adults</w:t>
      </w:r>
      <w:r w:rsidR="00675E6E">
        <w:t>,</w:t>
      </w:r>
      <w:r w:rsidR="00631CF2" w:rsidRPr="00631CF2">
        <w:t xml:space="preserve"> </w:t>
      </w:r>
      <w:r w:rsidR="009150D1">
        <w:t xml:space="preserve">the most appropriate </w:t>
      </w:r>
      <w:r w:rsidR="00631CF2">
        <w:t xml:space="preserve">indicator of </w:t>
      </w:r>
      <w:r w:rsidR="00A44F2B">
        <w:t xml:space="preserve">the </w:t>
      </w:r>
      <w:r w:rsidR="00631CF2">
        <w:t>work being done within Australia to help people develop their literacy and numeracy skills?</w:t>
      </w:r>
    </w:p>
    <w:p w:rsidR="00631CF2" w:rsidRDefault="00631CF2" w:rsidP="00631CF2">
      <w:pPr>
        <w:pStyle w:val="Text"/>
      </w:pPr>
      <w:r>
        <w:t>Do we need a paradigm shift? Instead of nominating a fixed benchmark to aspire to, could measures of success be shown by progression in literacy and numeracy skills, for example, either within or between levels of the Australian Core Skills Framework? This may be a more suitable or</w:t>
      </w:r>
      <w:r w:rsidR="003C49B0">
        <w:t xml:space="preserve"> appropriate position to take, since</w:t>
      </w:r>
      <w:r>
        <w:t xml:space="preserve"> progressing between ACSF pre-Level 1, Level 1 and Level </w:t>
      </w:r>
      <w:r w:rsidR="009150D1">
        <w:t>2 (and therefore, the ALLS equivalent of Level</w:t>
      </w:r>
      <w:r w:rsidR="00E607CE">
        <w:t>s</w:t>
      </w:r>
      <w:r w:rsidR="009150D1">
        <w:t xml:space="preserve"> </w:t>
      </w:r>
      <w:r w:rsidR="00393333">
        <w:t>1 and 2</w:t>
      </w:r>
      <w:r w:rsidR="009150D1">
        <w:t>)</w:t>
      </w:r>
      <w:r>
        <w:t xml:space="preserve"> may take relatively longer than would progress</w:t>
      </w:r>
      <w:r w:rsidR="00E607CE">
        <w:t>ing</w:t>
      </w:r>
      <w:r>
        <w:t xml:space="preserve"> between </w:t>
      </w:r>
      <w:r w:rsidR="009150D1">
        <w:t xml:space="preserve">ACSF </w:t>
      </w:r>
      <w:r>
        <w:t>Levels 2 and 3 and higher, given the initial skill levels of the learners.</w:t>
      </w:r>
    </w:p>
    <w:p w:rsidR="000804D2" w:rsidRDefault="00631CF2" w:rsidP="000804D2">
      <w:pPr>
        <w:pStyle w:val="Text"/>
      </w:pPr>
      <w:r>
        <w:t>This is not to suggest t</w:t>
      </w:r>
      <w:r w:rsidR="003C49B0">
        <w:t xml:space="preserve">hat indicators such as the </w:t>
      </w:r>
      <w:r w:rsidR="001D5D32" w:rsidRPr="00096D18">
        <w:t>Adult Literacy and Life Skills</w:t>
      </w:r>
      <w:r w:rsidR="001D5D32">
        <w:t xml:space="preserve"> survey</w:t>
      </w:r>
      <w:r>
        <w:t xml:space="preserve"> or </w:t>
      </w:r>
      <w:r w:rsidR="00302094">
        <w:t xml:space="preserve">the </w:t>
      </w:r>
      <w:r w:rsidR="00302094" w:rsidRPr="00E91014">
        <w:t>Programme for the International Assessment of Adult Competencies</w:t>
      </w:r>
      <w:r w:rsidR="004F1727">
        <w:t xml:space="preserve"> are irrelevant</w:t>
      </w:r>
      <w:r>
        <w:t xml:space="preserve">. These </w:t>
      </w:r>
      <w:r w:rsidR="00A061BA">
        <w:t xml:space="preserve">indicators </w:t>
      </w:r>
      <w:r>
        <w:t>are important in the international context</w:t>
      </w:r>
      <w:r w:rsidR="00A061BA">
        <w:t xml:space="preserve"> </w:t>
      </w:r>
      <w:r w:rsidR="003C49B0">
        <w:t xml:space="preserve">in </w:t>
      </w:r>
      <w:r w:rsidR="00A061BA">
        <w:t>providing a comparable measure</w:t>
      </w:r>
      <w:r w:rsidR="004F1727">
        <w:t xml:space="preserve"> of Australia’s position against other OECD countries. </w:t>
      </w:r>
      <w:r w:rsidR="00B25B1D">
        <w:t xml:space="preserve">But the use of these </w:t>
      </w:r>
      <w:r w:rsidR="00276EF6">
        <w:t xml:space="preserve">international </w:t>
      </w:r>
      <w:r w:rsidR="00B25B1D">
        <w:t xml:space="preserve">indicators should not preclude the use of indicators that hold greater contextual meaning </w:t>
      </w:r>
      <w:r w:rsidR="00276EF6">
        <w:t xml:space="preserve">for measuring the literacy and numeracy skills of Australian adults. </w:t>
      </w:r>
      <w:r w:rsidR="000804D2">
        <w:t xml:space="preserve">A current example of where both national and international indicators are used to gauge progress </w:t>
      </w:r>
      <w:r w:rsidR="006B4C58">
        <w:t xml:space="preserve">in meeting educational outcomes </w:t>
      </w:r>
      <w:r w:rsidR="000804D2">
        <w:t xml:space="preserve">occurs in the Australian </w:t>
      </w:r>
      <w:r w:rsidR="00264EFF">
        <w:t>school sector</w:t>
      </w:r>
      <w:r w:rsidR="000804D2">
        <w:t xml:space="preserve">. </w:t>
      </w:r>
      <w:r w:rsidR="003A6D1F">
        <w:t>T</w:t>
      </w:r>
      <w:r w:rsidR="000804D2">
        <w:t>he</w:t>
      </w:r>
      <w:r w:rsidR="000804D2" w:rsidRPr="000804D2">
        <w:rPr>
          <w:b/>
          <w:bCs/>
        </w:rPr>
        <w:t xml:space="preserve"> </w:t>
      </w:r>
      <w:r w:rsidR="000804D2">
        <w:t>National Assessment Program includes the Nat</w:t>
      </w:r>
      <w:r w:rsidR="003C49B0">
        <w:t>ional Assessment Program —</w:t>
      </w:r>
      <w:r w:rsidR="000804D2">
        <w:t xml:space="preserve"> L</w:t>
      </w:r>
      <w:r w:rsidR="003C49B0">
        <w:t>iteracy and Numeracy (NAPLAN);</w:t>
      </w:r>
      <w:r w:rsidR="000804D2">
        <w:t xml:space="preserve"> sample assessments in Science Literacy, Civics and Citizenship, and Information and Communication Technology (ICT) Literacy</w:t>
      </w:r>
      <w:r w:rsidR="003A6D1F">
        <w:t xml:space="preserve"> conducted </w:t>
      </w:r>
      <w:r w:rsidR="006B4C58">
        <w:t>on a three-year rotation</w:t>
      </w:r>
      <w:r w:rsidR="003C49B0">
        <w:t>;</w:t>
      </w:r>
      <w:r w:rsidR="000804D2">
        <w:t xml:space="preserve"> and participation in international sample assessments, namely</w:t>
      </w:r>
      <w:r w:rsidR="00C54475">
        <w:t>,</w:t>
      </w:r>
      <w:r w:rsidR="000804D2">
        <w:t xml:space="preserve"> the Programme for International </w:t>
      </w:r>
      <w:r w:rsidR="00186F6E">
        <w:t>Student Assessment</w:t>
      </w:r>
      <w:r w:rsidR="003C49B0">
        <w:t xml:space="preserve"> (PISA)</w:t>
      </w:r>
      <w:r w:rsidR="000804D2">
        <w:t>, the Trends in International Mathematics and Science Study</w:t>
      </w:r>
      <w:r w:rsidR="00C54475">
        <w:t>,</w:t>
      </w:r>
      <w:r w:rsidR="000804D2">
        <w:t xml:space="preserve"> and the </w:t>
      </w:r>
      <w:r w:rsidR="000804D2" w:rsidRPr="000804D2">
        <w:t>Progress in Inter</w:t>
      </w:r>
      <w:r w:rsidR="00186F6E">
        <w:t>national Reading Literacy Study</w:t>
      </w:r>
      <w:r w:rsidR="000804D2">
        <w:t>.</w:t>
      </w:r>
    </w:p>
    <w:p w:rsidR="000804D2" w:rsidRDefault="00322B70" w:rsidP="000804D2">
      <w:pPr>
        <w:pStyle w:val="Text"/>
      </w:pPr>
      <w:r>
        <w:t xml:space="preserve">With the </w:t>
      </w:r>
      <w:r w:rsidR="00611547">
        <w:t>Australian Core Skills Framework</w:t>
      </w:r>
      <w:r>
        <w:t xml:space="preserve"> increasingly being used in a variety of settings beyond the Language, Literacy and Numeracy </w:t>
      </w:r>
      <w:r w:rsidR="002F6859">
        <w:t xml:space="preserve">Program </w:t>
      </w:r>
      <w:r>
        <w:t xml:space="preserve">and the Workplace English Language and Literacy </w:t>
      </w:r>
      <w:r w:rsidR="002F6859">
        <w:t>p</w:t>
      </w:r>
      <w:r>
        <w:t>rogram, the alignment demonstrated by this research offers the potential for more detailed and regular monitoring of progress against national objectives.</w:t>
      </w:r>
    </w:p>
    <w:p w:rsidR="000804D2" w:rsidRDefault="000804D2" w:rsidP="00631CF2">
      <w:pPr>
        <w:pStyle w:val="Text"/>
      </w:pPr>
    </w:p>
    <w:p w:rsidR="002C2E45" w:rsidRDefault="002C2E45" w:rsidP="007F4DAA">
      <w:pPr>
        <w:pStyle w:val="Text"/>
      </w:pPr>
    </w:p>
    <w:p w:rsidR="00D43B5F" w:rsidRDefault="00D43B5F">
      <w:pPr>
        <w:spacing w:before="0" w:line="240" w:lineRule="auto"/>
        <w:rPr>
          <w:rFonts w:ascii="Tahoma" w:hAnsi="Tahoma"/>
          <w:b/>
          <w:sz w:val="17"/>
        </w:rPr>
      </w:pPr>
      <w:bookmarkStart w:id="56" w:name="_Toc296497273"/>
      <w:bookmarkEnd w:id="32"/>
      <w:r>
        <w:br w:type="page"/>
      </w:r>
    </w:p>
    <w:p w:rsidR="00A50895" w:rsidRDefault="00A50895" w:rsidP="00A50895">
      <w:pPr>
        <w:pStyle w:val="Heading1"/>
      </w:pPr>
      <w:bookmarkStart w:id="57" w:name="_Toc456000800"/>
      <w:bookmarkStart w:id="58" w:name="_Toc457122465"/>
      <w:bookmarkStart w:id="59" w:name="_Toc188077643"/>
      <w:bookmarkStart w:id="60" w:name="_Toc340826519"/>
      <w:bookmarkEnd w:id="56"/>
      <w:r>
        <w:t>References</w:t>
      </w:r>
      <w:bookmarkEnd w:id="57"/>
      <w:bookmarkEnd w:id="58"/>
      <w:bookmarkEnd w:id="59"/>
      <w:bookmarkEnd w:id="60"/>
    </w:p>
    <w:p w:rsidR="00110456" w:rsidRPr="00CC2B8C" w:rsidRDefault="00E607CE" w:rsidP="00110456">
      <w:pPr>
        <w:pStyle w:val="References"/>
        <w:spacing w:before="440"/>
      </w:pPr>
      <w:r>
        <w:t>ABS (</w:t>
      </w:r>
      <w:r w:rsidR="00110456" w:rsidRPr="00CC2B8C">
        <w:t>A</w:t>
      </w:r>
      <w:r w:rsidR="00110456">
        <w:t xml:space="preserve">ustralian </w:t>
      </w:r>
      <w:r w:rsidR="00110456" w:rsidRPr="00CC2B8C">
        <w:t>B</w:t>
      </w:r>
      <w:r w:rsidR="00110456">
        <w:t xml:space="preserve">ureau of </w:t>
      </w:r>
      <w:r w:rsidR="00110456" w:rsidRPr="00CC2B8C">
        <w:t>S</w:t>
      </w:r>
      <w:r w:rsidR="00110456">
        <w:t>tatistics</w:t>
      </w:r>
      <w:r>
        <w:t>)</w:t>
      </w:r>
      <w:r w:rsidR="00110456">
        <w:t xml:space="preserve"> </w:t>
      </w:r>
      <w:r w:rsidR="00110456" w:rsidRPr="00CC2B8C">
        <w:t xml:space="preserve">1996, </w:t>
      </w:r>
      <w:r w:rsidR="003C49B0">
        <w:rPr>
          <w:i/>
        </w:rPr>
        <w:t>Aspects of literacy: a</w:t>
      </w:r>
      <w:r w:rsidR="00110456" w:rsidRPr="007A70DB">
        <w:rPr>
          <w:i/>
        </w:rPr>
        <w:t>ssessed skills levels, Australia 1996</w:t>
      </w:r>
      <w:r w:rsidR="00110456" w:rsidRPr="00CC2B8C">
        <w:t xml:space="preserve">, ABS, </w:t>
      </w:r>
      <w:proofErr w:type="gramStart"/>
      <w:r w:rsidR="00110456" w:rsidRPr="00CC2B8C">
        <w:t>Canberra</w:t>
      </w:r>
      <w:proofErr w:type="gramEnd"/>
      <w:r w:rsidR="00110456" w:rsidRPr="00CC2B8C">
        <w:t>.</w:t>
      </w:r>
    </w:p>
    <w:p w:rsidR="00110456" w:rsidRPr="00CC2B8C" w:rsidRDefault="00110456" w:rsidP="00110456">
      <w:pPr>
        <w:pStyle w:val="References"/>
      </w:pPr>
      <w:r>
        <w:t>—</w:t>
      </w:r>
      <w:r w:rsidR="003C49B0">
        <w:t>—</w:t>
      </w:r>
      <w:r w:rsidRPr="002C1CED">
        <w:t xml:space="preserve">2007, </w:t>
      </w:r>
      <w:r w:rsidRPr="007A70DB">
        <w:rPr>
          <w:i/>
        </w:rPr>
        <w:t>Adult Li</w:t>
      </w:r>
      <w:r w:rsidR="003C49B0">
        <w:rPr>
          <w:i/>
        </w:rPr>
        <w:t>teracy and Life Skills survey: u</w:t>
      </w:r>
      <w:r w:rsidRPr="007A70DB">
        <w:rPr>
          <w:i/>
        </w:rPr>
        <w:t>ser guide</w:t>
      </w:r>
      <w:r w:rsidRPr="00110456">
        <w:t>,</w:t>
      </w:r>
      <w:r w:rsidRPr="002C1CED">
        <w:t xml:space="preserve"> ABS, Canberra.</w:t>
      </w:r>
    </w:p>
    <w:p w:rsidR="00110456" w:rsidRPr="002C1CED" w:rsidRDefault="00110456" w:rsidP="00110456">
      <w:pPr>
        <w:pStyle w:val="References"/>
      </w:pPr>
      <w:r>
        <w:t>—</w:t>
      </w:r>
      <w:r w:rsidR="00912696">
        <w:t>—</w:t>
      </w:r>
      <w:r w:rsidRPr="002C1CED">
        <w:t xml:space="preserve">2008, </w:t>
      </w:r>
      <w:r w:rsidRPr="007A70DB">
        <w:rPr>
          <w:i/>
        </w:rPr>
        <w:t>Adult Li</w:t>
      </w:r>
      <w:r w:rsidR="000F62E8">
        <w:rPr>
          <w:i/>
        </w:rPr>
        <w:t>teracy and Life Skills survey: s</w:t>
      </w:r>
      <w:r w:rsidRPr="007A70DB">
        <w:rPr>
          <w:i/>
        </w:rPr>
        <w:t>ummary results</w:t>
      </w:r>
      <w:r>
        <w:t>,</w:t>
      </w:r>
      <w:r w:rsidRPr="002C1CED">
        <w:t xml:space="preserve"> ABS, Canberra.</w:t>
      </w:r>
    </w:p>
    <w:p w:rsidR="00E607CE" w:rsidRPr="00E607CE" w:rsidRDefault="00E607CE" w:rsidP="00110456">
      <w:pPr>
        <w:pStyle w:val="References"/>
      </w:pPr>
      <w:r>
        <w:t xml:space="preserve">Circelli, M, Curtis, D &amp; Perkins, K 2011, </w:t>
      </w:r>
      <w:proofErr w:type="gramStart"/>
      <w:r>
        <w:rPr>
          <w:i/>
        </w:rPr>
        <w:t>Mapping</w:t>
      </w:r>
      <w:proofErr w:type="gramEnd"/>
      <w:r>
        <w:rPr>
          <w:i/>
        </w:rPr>
        <w:t xml:space="preserve"> adult literacy performance</w:t>
      </w:r>
      <w:r>
        <w:t>, NCVER, Adelaide.</w:t>
      </w:r>
    </w:p>
    <w:p w:rsidR="00110456" w:rsidRPr="002C1CED" w:rsidRDefault="00110456" w:rsidP="00110456">
      <w:pPr>
        <w:pStyle w:val="References"/>
      </w:pPr>
      <w:proofErr w:type="gramStart"/>
      <w:r w:rsidRPr="002C1CED">
        <w:t>C</w:t>
      </w:r>
      <w:r>
        <w:t xml:space="preserve">ouncil of </w:t>
      </w:r>
      <w:r w:rsidRPr="002C1CED">
        <w:t>A</w:t>
      </w:r>
      <w:r>
        <w:t xml:space="preserve">ustralian </w:t>
      </w:r>
      <w:r w:rsidRPr="002C1CED">
        <w:t>G</w:t>
      </w:r>
      <w:r>
        <w:t>overnments</w:t>
      </w:r>
      <w:r w:rsidRPr="002C1CED">
        <w:t xml:space="preserve"> 2008, </w:t>
      </w:r>
      <w:r w:rsidRPr="007A70DB">
        <w:rPr>
          <w:i/>
        </w:rPr>
        <w:t>National Agreement for Skills and Workforce Development</w:t>
      </w:r>
      <w:r w:rsidRPr="00110456">
        <w:t>,</w:t>
      </w:r>
      <w:r w:rsidRPr="002C1CED">
        <w:t xml:space="preserve"> COAG, Canberra.</w:t>
      </w:r>
      <w:proofErr w:type="gramEnd"/>
    </w:p>
    <w:p w:rsidR="00393333" w:rsidRDefault="00393333" w:rsidP="00393333">
      <w:pPr>
        <w:pStyle w:val="References"/>
      </w:pPr>
      <w:proofErr w:type="gramStart"/>
      <w:r w:rsidRPr="002C1CED">
        <w:t>D</w:t>
      </w:r>
      <w:r>
        <w:t xml:space="preserve">epartment of Industry, Innovation, Science, Research and Tertiary </w:t>
      </w:r>
      <w:r w:rsidRPr="002C1CED">
        <w:t>E</w:t>
      </w:r>
      <w:r>
        <w:t>ducation</w:t>
      </w:r>
      <w:r w:rsidRPr="002C1CED">
        <w:t xml:space="preserve"> 20</w:t>
      </w:r>
      <w:r>
        <w:t>12</w:t>
      </w:r>
      <w:r w:rsidRPr="002C1CED">
        <w:t xml:space="preserve">, </w:t>
      </w:r>
      <w:r w:rsidRPr="007A70DB">
        <w:rPr>
          <w:i/>
        </w:rPr>
        <w:t>Australian Core Skills Framework</w:t>
      </w:r>
      <w:r w:rsidRPr="002C1CED">
        <w:t xml:space="preserve">, </w:t>
      </w:r>
      <w:r>
        <w:t>DIISRTE</w:t>
      </w:r>
      <w:r w:rsidRPr="002C1CED">
        <w:t>, Canberra.</w:t>
      </w:r>
      <w:proofErr w:type="gramEnd"/>
    </w:p>
    <w:p w:rsidR="00110456" w:rsidRDefault="00110456" w:rsidP="00110456">
      <w:pPr>
        <w:pStyle w:val="References"/>
      </w:pPr>
      <w:proofErr w:type="spellStart"/>
      <w:r w:rsidRPr="00EC0ED1">
        <w:t>Hagston</w:t>
      </w:r>
      <w:proofErr w:type="spellEnd"/>
      <w:r w:rsidRPr="00EC0ED1">
        <w:t xml:space="preserve">, J 2002, </w:t>
      </w:r>
      <w:proofErr w:type="gramStart"/>
      <w:r w:rsidRPr="007A70DB">
        <w:rPr>
          <w:i/>
        </w:rPr>
        <w:t>Exploring</w:t>
      </w:r>
      <w:proofErr w:type="gramEnd"/>
      <w:r w:rsidRPr="007A70DB">
        <w:rPr>
          <w:i/>
        </w:rPr>
        <w:t xml:space="preserve"> the International Adult Literacy Survey data: implications for Australian research and policy</w:t>
      </w:r>
      <w:r w:rsidRPr="00EC0ED1">
        <w:t>, Language Australia, Melbourne.</w:t>
      </w:r>
    </w:p>
    <w:p w:rsidR="00FE0372" w:rsidRDefault="00FE0372" w:rsidP="00110456">
      <w:pPr>
        <w:pStyle w:val="References"/>
      </w:pPr>
      <w:r w:rsidRPr="00981BEF">
        <w:rPr>
          <w:szCs w:val="16"/>
        </w:rPr>
        <w:t xml:space="preserve">ITHACA Group 2012, </w:t>
      </w:r>
      <w:r>
        <w:rPr>
          <w:i/>
          <w:szCs w:val="16"/>
        </w:rPr>
        <w:t>Core S</w:t>
      </w:r>
      <w:r w:rsidRPr="00981BEF">
        <w:rPr>
          <w:i/>
          <w:szCs w:val="16"/>
        </w:rPr>
        <w:t xml:space="preserve">kills for </w:t>
      </w:r>
      <w:r>
        <w:rPr>
          <w:i/>
          <w:szCs w:val="16"/>
        </w:rPr>
        <w:t>Work Framework</w:t>
      </w:r>
      <w:r w:rsidRPr="00981BEF">
        <w:rPr>
          <w:i/>
          <w:szCs w:val="16"/>
        </w:rPr>
        <w:t xml:space="preserve">, </w:t>
      </w:r>
      <w:r w:rsidRPr="00FE0372">
        <w:rPr>
          <w:szCs w:val="16"/>
        </w:rPr>
        <w:t>draft version 4,</w:t>
      </w:r>
      <w:r w:rsidRPr="00981BEF">
        <w:rPr>
          <w:szCs w:val="16"/>
        </w:rPr>
        <w:t xml:space="preserve"> DIISRTE &amp; DEEWR, Canberra.</w:t>
      </w:r>
    </w:p>
    <w:p w:rsidR="00110456" w:rsidRDefault="00110456" w:rsidP="00110456">
      <w:pPr>
        <w:pStyle w:val="References"/>
      </w:pPr>
      <w:proofErr w:type="spellStart"/>
      <w:r>
        <w:t>Linstone</w:t>
      </w:r>
      <w:proofErr w:type="spellEnd"/>
      <w:r>
        <w:t xml:space="preserve">, HA &amp; </w:t>
      </w:r>
      <w:proofErr w:type="spellStart"/>
      <w:r>
        <w:t>Turoff</w:t>
      </w:r>
      <w:proofErr w:type="spellEnd"/>
      <w:r>
        <w:t xml:space="preserve">, M 2002, </w:t>
      </w:r>
      <w:r w:rsidRPr="00110456">
        <w:rPr>
          <w:i/>
        </w:rPr>
        <w:t>The Delphi method: techniques and applications</w:t>
      </w:r>
      <w:r>
        <w:t>, New Jersey Institute of Technology, Newark, NJ.</w:t>
      </w:r>
    </w:p>
    <w:p w:rsidR="00110456" w:rsidRDefault="00110456" w:rsidP="00110456">
      <w:pPr>
        <w:pStyle w:val="References"/>
      </w:pPr>
      <w:r>
        <w:t xml:space="preserve">National </w:t>
      </w:r>
      <w:proofErr w:type="spellStart"/>
      <w:r>
        <w:t>Center</w:t>
      </w:r>
      <w:proofErr w:type="spellEnd"/>
      <w:r>
        <w:t xml:space="preserve"> for Education Statistics 1998, </w:t>
      </w:r>
      <w:r w:rsidRPr="007A70DB">
        <w:rPr>
          <w:i/>
        </w:rPr>
        <w:t xml:space="preserve">Adult literacy in OECD countries: </w:t>
      </w:r>
      <w:r w:rsidR="000F62E8">
        <w:rPr>
          <w:i/>
        </w:rPr>
        <w:t>t</w:t>
      </w:r>
      <w:r w:rsidRPr="007A70DB">
        <w:rPr>
          <w:i/>
        </w:rPr>
        <w:t>echnical report on the first international adult literacy survey</w:t>
      </w:r>
      <w:r w:rsidRPr="00110456">
        <w:t>,</w:t>
      </w:r>
      <w:r>
        <w:t xml:space="preserve"> US Department of Education, Office of Educational Research and Improvement, viewed 13 August 2010, </w:t>
      </w:r>
      <w:r w:rsidR="000F62E8">
        <w:t>&lt;</w:t>
      </w:r>
      <w:hyperlink r:id="rId15" w:history="1">
        <w:r w:rsidRPr="00D92E36">
          <w:rPr>
            <w:rStyle w:val="Hyperlink"/>
            <w:sz w:val="18"/>
          </w:rPr>
          <w:t>http://nces.ed.gov/pubs98/98053.pdf</w:t>
        </w:r>
      </w:hyperlink>
      <w:r w:rsidR="000F62E8">
        <w:t>&gt;.</w:t>
      </w:r>
    </w:p>
    <w:p w:rsidR="00110456" w:rsidRDefault="00110456" w:rsidP="00110456">
      <w:pPr>
        <w:pStyle w:val="References"/>
      </w:pPr>
      <w:proofErr w:type="spellStart"/>
      <w:r>
        <w:t>Rasch</w:t>
      </w:r>
      <w:proofErr w:type="spellEnd"/>
      <w:r>
        <w:t>, G</w:t>
      </w:r>
      <w:r w:rsidRPr="00110456">
        <w:t xml:space="preserve"> 1960</w:t>
      </w:r>
      <w:r>
        <w:t>,</w:t>
      </w:r>
      <w:r w:rsidRPr="00110456">
        <w:t xml:space="preserve"> </w:t>
      </w:r>
      <w:r>
        <w:rPr>
          <w:i/>
        </w:rPr>
        <w:t>Probabilistic models for some i</w:t>
      </w:r>
      <w:r w:rsidRPr="00110456">
        <w:rPr>
          <w:i/>
        </w:rPr>
        <w:t xml:space="preserve">ntelligence and </w:t>
      </w:r>
      <w:r>
        <w:rPr>
          <w:i/>
        </w:rPr>
        <w:t>a</w:t>
      </w:r>
      <w:r w:rsidRPr="00110456">
        <w:rPr>
          <w:i/>
        </w:rPr>
        <w:t xml:space="preserve">ttainment </w:t>
      </w:r>
      <w:r>
        <w:rPr>
          <w:i/>
        </w:rPr>
        <w:t>t</w:t>
      </w:r>
      <w:r w:rsidRPr="00110456">
        <w:rPr>
          <w:i/>
        </w:rPr>
        <w:t>ests</w:t>
      </w:r>
      <w:r>
        <w:rPr>
          <w:i/>
        </w:rPr>
        <w:t>,</w:t>
      </w:r>
      <w:r w:rsidRPr="00110456">
        <w:t xml:space="preserve"> University o</w:t>
      </w:r>
      <w:r w:rsidR="000F62E8">
        <w:t>f Chicago Press, Chicago, ILL</w:t>
      </w:r>
      <w:r w:rsidRPr="00110456">
        <w:t>.</w:t>
      </w:r>
    </w:p>
    <w:p w:rsidR="00A40F2A" w:rsidRDefault="00A40F2A" w:rsidP="00110456">
      <w:pPr>
        <w:pStyle w:val="References"/>
      </w:pPr>
      <w:r>
        <w:t>S</w:t>
      </w:r>
      <w:r w:rsidR="00783D10">
        <w:t xml:space="preserve">tanding </w:t>
      </w:r>
      <w:r>
        <w:t>C</w:t>
      </w:r>
      <w:r w:rsidR="00783D10">
        <w:t xml:space="preserve">ouncil on </w:t>
      </w:r>
      <w:r>
        <w:t>T</w:t>
      </w:r>
      <w:r w:rsidR="00783D10">
        <w:t xml:space="preserve">ertiary </w:t>
      </w:r>
      <w:r>
        <w:t>E</w:t>
      </w:r>
      <w:r w:rsidR="00783D10">
        <w:t xml:space="preserve">ducation, </w:t>
      </w:r>
      <w:r>
        <w:t>S</w:t>
      </w:r>
      <w:r w:rsidR="00783D10">
        <w:t xml:space="preserve">kills and </w:t>
      </w:r>
      <w:r>
        <w:t>E</w:t>
      </w:r>
      <w:r w:rsidR="00783D10">
        <w:t>mployment (SCOTESE)</w:t>
      </w:r>
      <w:r>
        <w:t xml:space="preserve"> 2012, </w:t>
      </w:r>
      <w:r w:rsidRPr="00783D10">
        <w:rPr>
          <w:i/>
        </w:rPr>
        <w:t>National Foundation Skills Strategy for Adults</w:t>
      </w:r>
      <w:r>
        <w:t xml:space="preserve">, </w:t>
      </w:r>
      <w:r w:rsidR="000F62E8">
        <w:t>viewed 28 September 2012, &lt;</w:t>
      </w:r>
      <w:r w:rsidR="00783D10" w:rsidRPr="00783D10">
        <w:t>http://www.scotese.natese.gov.au/__data/assets/</w:t>
      </w:r>
      <w:r w:rsidR="00912696">
        <w:t xml:space="preserve"> </w:t>
      </w:r>
      <w:r w:rsidR="00783D10" w:rsidRPr="00783D10">
        <w:t>pdf_file/0007/71755/National_Foundation_Skills_Strategy_for_Adults.pdf</w:t>
      </w:r>
      <w:r w:rsidR="000F62E8">
        <w:t>&gt;</w:t>
      </w:r>
      <w:r w:rsidR="00783D10">
        <w:t>.</w:t>
      </w:r>
    </w:p>
    <w:p w:rsidR="007215C8" w:rsidRPr="00110456" w:rsidRDefault="007215C8" w:rsidP="007215C8">
      <w:pPr>
        <w:pStyle w:val="References"/>
      </w:pPr>
      <w:r>
        <w:t xml:space="preserve">Statistics Canada 2005, </w:t>
      </w:r>
      <w:proofErr w:type="gramStart"/>
      <w:r w:rsidR="000F62E8">
        <w:rPr>
          <w:i/>
        </w:rPr>
        <w:t>Learning</w:t>
      </w:r>
      <w:proofErr w:type="gramEnd"/>
      <w:r w:rsidR="000F62E8">
        <w:rPr>
          <w:i/>
        </w:rPr>
        <w:t xml:space="preserve"> a living: f</w:t>
      </w:r>
      <w:r w:rsidRPr="00F72EF9">
        <w:rPr>
          <w:i/>
        </w:rPr>
        <w:t xml:space="preserve">irst results from the Adult </w:t>
      </w:r>
      <w:r>
        <w:rPr>
          <w:i/>
        </w:rPr>
        <w:t>Literacy and Life Skills Survey</w:t>
      </w:r>
      <w:r w:rsidRPr="00CC2B8C">
        <w:t xml:space="preserve">, </w:t>
      </w:r>
      <w:r>
        <w:t>Statistics Canada, Ottawa.</w:t>
      </w:r>
    </w:p>
    <w:p w:rsidR="00006249" w:rsidRPr="00006249" w:rsidRDefault="00006249" w:rsidP="00006249">
      <w:pPr>
        <w:pStyle w:val="References"/>
      </w:pPr>
      <w:r>
        <w:t>Wu, ML</w:t>
      </w:r>
      <w:r w:rsidRPr="00006249">
        <w:t xml:space="preserve">, Adams, RJ, Wilson, </w:t>
      </w:r>
      <w:proofErr w:type="gramStart"/>
      <w:r w:rsidRPr="00006249">
        <w:t>MR &amp;</w:t>
      </w:r>
      <w:proofErr w:type="gramEnd"/>
      <w:r w:rsidRPr="00006249">
        <w:t xml:space="preserve"> Haldane, S 2007</w:t>
      </w:r>
      <w:r>
        <w:t>,</w:t>
      </w:r>
      <w:r w:rsidRPr="00006249">
        <w:t xml:space="preserve"> </w:t>
      </w:r>
      <w:proofErr w:type="spellStart"/>
      <w:r w:rsidR="000F62E8">
        <w:rPr>
          <w:i/>
        </w:rPr>
        <w:t>ConQuest</w:t>
      </w:r>
      <w:proofErr w:type="spellEnd"/>
      <w:r w:rsidR="000F62E8">
        <w:rPr>
          <w:i/>
        </w:rPr>
        <w:t xml:space="preserve"> (v</w:t>
      </w:r>
      <w:r w:rsidRPr="00006249">
        <w:rPr>
          <w:i/>
        </w:rPr>
        <w:t xml:space="preserve">ersion 2.0) </w:t>
      </w:r>
      <w:r>
        <w:t>[Computer Software],</w:t>
      </w:r>
      <w:r w:rsidRPr="00006249">
        <w:t xml:space="preserve"> </w:t>
      </w:r>
      <w:r>
        <w:t xml:space="preserve">Australian Council for Educational Research, </w:t>
      </w:r>
      <w:r w:rsidRPr="00006249">
        <w:t xml:space="preserve">Camberwell, </w:t>
      </w:r>
      <w:r w:rsidR="000F62E8">
        <w:t>Vic</w:t>
      </w:r>
      <w:r w:rsidRPr="00006249">
        <w:t>.</w:t>
      </w:r>
    </w:p>
    <w:p w:rsidR="007215C8" w:rsidRDefault="007215C8" w:rsidP="00110456">
      <w:pPr>
        <w:pStyle w:val="References"/>
      </w:pPr>
    </w:p>
    <w:p w:rsidR="009B3B7D" w:rsidRDefault="00A50895" w:rsidP="009B3B7D">
      <w:pPr>
        <w:pStyle w:val="Heading1"/>
      </w:pPr>
      <w:r>
        <w:br w:type="page"/>
      </w:r>
      <w:bookmarkStart w:id="61" w:name="_Toc340826520"/>
      <w:bookmarkStart w:id="62" w:name="_Toc188077644"/>
      <w:r w:rsidR="009B3B7D">
        <w:t>Appendix</w:t>
      </w:r>
      <w:bookmarkEnd w:id="61"/>
    </w:p>
    <w:p w:rsidR="00294DBC" w:rsidRPr="005D59ED" w:rsidRDefault="005D59ED" w:rsidP="005D59ED">
      <w:pPr>
        <w:pStyle w:val="Figuretitle"/>
      </w:pPr>
      <w:bookmarkStart w:id="63" w:name="_Toc340826545"/>
      <w:r w:rsidRPr="005D59ED">
        <w:t>Fig</w:t>
      </w:r>
      <w:r w:rsidR="00EE758C">
        <w:t>ure A1</w:t>
      </w:r>
      <w:r w:rsidR="00EE758C">
        <w:tab/>
        <w:t>State/territory of respondents</w:t>
      </w:r>
      <w:bookmarkEnd w:id="63"/>
    </w:p>
    <w:p w:rsidR="009B3B7D" w:rsidRDefault="009B3B7D">
      <w:pPr>
        <w:spacing w:before="0" w:line="240" w:lineRule="auto"/>
      </w:pPr>
      <w:r w:rsidRPr="009B3B7D">
        <w:rPr>
          <w:noProof/>
          <w:lang w:eastAsia="en-AU"/>
        </w:rPr>
        <w:drawing>
          <wp:inline distT="0" distB="0" distL="0" distR="0">
            <wp:extent cx="3743325" cy="1743075"/>
            <wp:effectExtent l="0" t="0" r="0" b="0"/>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4DBC" w:rsidRDefault="00EE758C" w:rsidP="005D59ED">
      <w:pPr>
        <w:pStyle w:val="Figuretitle"/>
      </w:pPr>
      <w:bookmarkStart w:id="64" w:name="_Toc340826546"/>
      <w:r>
        <w:t>Figure A2</w:t>
      </w:r>
      <w:r>
        <w:tab/>
        <w:t>Description of respondents’</w:t>
      </w:r>
      <w:r w:rsidR="00294DBC">
        <w:t xml:space="preserve"> workplace</w:t>
      </w:r>
      <w:r>
        <w:t>s</w:t>
      </w:r>
      <w:bookmarkEnd w:id="64"/>
    </w:p>
    <w:p w:rsidR="00294DBC" w:rsidRDefault="00294DBC">
      <w:pPr>
        <w:spacing w:before="0" w:line="240" w:lineRule="auto"/>
      </w:pPr>
      <w:r w:rsidRPr="00294DBC">
        <w:rPr>
          <w:noProof/>
          <w:lang w:eastAsia="en-AU"/>
        </w:rPr>
        <w:drawing>
          <wp:inline distT="0" distB="0" distL="0" distR="0">
            <wp:extent cx="3790950" cy="1514475"/>
            <wp:effectExtent l="0" t="0" r="0" b="0"/>
            <wp:docPr id="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6D59" w:rsidRPr="00EE758C" w:rsidRDefault="00EE758C" w:rsidP="00EE758C">
      <w:pPr>
        <w:pStyle w:val="tabletitle"/>
      </w:pPr>
      <w:bookmarkStart w:id="65" w:name="_Toc340826538"/>
      <w:r>
        <w:t>Table A1</w:t>
      </w:r>
      <w:r>
        <w:tab/>
        <w:t>Number of respondents by workplace subcategory</w:t>
      </w:r>
      <w:bookmarkEnd w:id="65"/>
    </w:p>
    <w:tbl>
      <w:tblPr>
        <w:tblStyle w:val="LightList-Accent11"/>
        <w:tblW w:w="8789" w:type="dxa"/>
        <w:tblInd w:w="108" w:type="dxa"/>
        <w:tblBorders>
          <w:top w:val="single" w:sz="2" w:space="0" w:color="auto"/>
          <w:left w:val="none" w:sz="0" w:space="0" w:color="auto"/>
          <w:bottom w:val="single" w:sz="2" w:space="0" w:color="auto"/>
          <w:right w:val="none" w:sz="0" w:space="0" w:color="auto"/>
        </w:tblBorders>
        <w:tblLayout w:type="fixed"/>
        <w:tblLook w:val="04A0"/>
      </w:tblPr>
      <w:tblGrid>
        <w:gridCol w:w="2268"/>
        <w:gridCol w:w="2173"/>
        <w:gridCol w:w="2174"/>
        <w:gridCol w:w="2174"/>
      </w:tblGrid>
      <w:tr w:rsidR="00EE758C" w:rsidRPr="00250DED" w:rsidTr="00250DED">
        <w:trPr>
          <w:cnfStyle w:val="100000000000"/>
        </w:trPr>
        <w:tc>
          <w:tcPr>
            <w:cnfStyle w:val="001000000000"/>
            <w:tcW w:w="2268" w:type="dxa"/>
            <w:tcBorders>
              <w:top w:val="single" w:sz="2" w:space="0" w:color="auto"/>
              <w:bottom w:val="single" w:sz="2" w:space="0" w:color="auto"/>
            </w:tcBorders>
            <w:shd w:val="clear" w:color="auto" w:fill="auto"/>
            <w:noWrap/>
            <w:hideMark/>
          </w:tcPr>
          <w:p w:rsidR="00EE758C" w:rsidRPr="00250DED" w:rsidRDefault="00EE758C" w:rsidP="00250DED">
            <w:pPr>
              <w:pStyle w:val="Tablehead1"/>
              <w:rPr>
                <w:color w:val="auto"/>
                <w:szCs w:val="16"/>
              </w:rPr>
            </w:pPr>
            <w:r w:rsidRPr="00250DED">
              <w:rPr>
                <w:color w:val="auto"/>
                <w:szCs w:val="16"/>
              </w:rPr>
              <w:t>Workplace</w:t>
            </w:r>
          </w:p>
        </w:tc>
        <w:tc>
          <w:tcPr>
            <w:tcW w:w="2173" w:type="dxa"/>
            <w:tcBorders>
              <w:top w:val="single" w:sz="2" w:space="0" w:color="auto"/>
              <w:bottom w:val="single" w:sz="2" w:space="0" w:color="auto"/>
            </w:tcBorders>
            <w:shd w:val="clear" w:color="auto" w:fill="auto"/>
            <w:noWrap/>
            <w:hideMark/>
          </w:tcPr>
          <w:p w:rsidR="00EE758C" w:rsidRPr="00250DED" w:rsidRDefault="00EE758C" w:rsidP="00250DED">
            <w:pPr>
              <w:pStyle w:val="Tablehead1"/>
              <w:jc w:val="center"/>
              <w:cnfStyle w:val="100000000000"/>
              <w:rPr>
                <w:color w:val="auto"/>
                <w:szCs w:val="16"/>
              </w:rPr>
            </w:pPr>
            <w:r w:rsidRPr="00250DED">
              <w:rPr>
                <w:color w:val="auto"/>
                <w:szCs w:val="16"/>
              </w:rPr>
              <w:t>Total number of respondents</w:t>
            </w:r>
          </w:p>
        </w:tc>
        <w:tc>
          <w:tcPr>
            <w:tcW w:w="2174" w:type="dxa"/>
            <w:tcBorders>
              <w:top w:val="single" w:sz="2" w:space="0" w:color="auto"/>
              <w:bottom w:val="single" w:sz="2" w:space="0" w:color="auto"/>
            </w:tcBorders>
            <w:shd w:val="clear" w:color="auto" w:fill="auto"/>
            <w:noWrap/>
            <w:hideMark/>
          </w:tcPr>
          <w:p w:rsidR="00EE758C" w:rsidRPr="00250DED" w:rsidRDefault="00EE758C" w:rsidP="00250DED">
            <w:pPr>
              <w:pStyle w:val="Tablehead1"/>
              <w:jc w:val="center"/>
              <w:cnfStyle w:val="100000000000"/>
              <w:rPr>
                <w:color w:val="auto"/>
                <w:szCs w:val="16"/>
              </w:rPr>
            </w:pPr>
            <w:r w:rsidRPr="00250DED">
              <w:rPr>
                <w:color w:val="auto"/>
                <w:szCs w:val="16"/>
              </w:rPr>
              <w:t xml:space="preserve">Workplace </w:t>
            </w:r>
            <w:r w:rsidR="00250DED">
              <w:rPr>
                <w:color w:val="auto"/>
                <w:szCs w:val="16"/>
              </w:rPr>
              <w:br/>
            </w:r>
            <w:r w:rsidRPr="00250DED">
              <w:rPr>
                <w:color w:val="auto"/>
                <w:szCs w:val="16"/>
              </w:rPr>
              <w:t>category</w:t>
            </w:r>
          </w:p>
        </w:tc>
        <w:tc>
          <w:tcPr>
            <w:tcW w:w="2174" w:type="dxa"/>
            <w:tcBorders>
              <w:top w:val="single" w:sz="2" w:space="0" w:color="auto"/>
              <w:bottom w:val="single" w:sz="2" w:space="0" w:color="auto"/>
            </w:tcBorders>
            <w:shd w:val="clear" w:color="auto" w:fill="auto"/>
            <w:noWrap/>
            <w:hideMark/>
          </w:tcPr>
          <w:p w:rsidR="00EE758C" w:rsidRPr="00250DED" w:rsidRDefault="00EE758C" w:rsidP="00250DED">
            <w:pPr>
              <w:pStyle w:val="Tablehead1"/>
              <w:jc w:val="center"/>
              <w:cnfStyle w:val="100000000000"/>
              <w:rPr>
                <w:color w:val="auto"/>
                <w:szCs w:val="16"/>
              </w:rPr>
            </w:pPr>
            <w:r w:rsidRPr="00250DED">
              <w:rPr>
                <w:color w:val="auto"/>
                <w:szCs w:val="16"/>
              </w:rPr>
              <w:t>Number of respondents for each category</w:t>
            </w:r>
          </w:p>
        </w:tc>
      </w:tr>
      <w:tr w:rsidR="00EE758C" w:rsidRPr="00EE758C" w:rsidTr="00250DED">
        <w:trPr>
          <w:cnfStyle w:val="000000100000"/>
        </w:trPr>
        <w:tc>
          <w:tcPr>
            <w:cnfStyle w:val="001000000000"/>
            <w:tcW w:w="2268" w:type="dxa"/>
            <w:vMerge w:val="restart"/>
            <w:tcBorders>
              <w:top w:val="single" w:sz="2" w:space="0" w:color="auto"/>
              <w:left w:val="none" w:sz="0" w:space="0" w:color="auto"/>
              <w:bottom w:val="none" w:sz="0" w:space="0" w:color="auto"/>
            </w:tcBorders>
            <w:noWrap/>
            <w:hideMark/>
          </w:tcPr>
          <w:p w:rsidR="00EE758C" w:rsidRPr="007E0D8D" w:rsidRDefault="000F62E8" w:rsidP="00250DED">
            <w:pPr>
              <w:pStyle w:val="Tabletext"/>
            </w:pPr>
            <w:r>
              <w:t>Education &amp;/or training i</w:t>
            </w:r>
            <w:r w:rsidR="00EE758C" w:rsidRPr="007E0D8D">
              <w:t>nstitution </w:t>
            </w:r>
          </w:p>
        </w:tc>
        <w:tc>
          <w:tcPr>
            <w:tcW w:w="2173" w:type="dxa"/>
            <w:tcBorders>
              <w:top w:val="single" w:sz="2" w:space="0" w:color="auto"/>
              <w:bottom w:val="none" w:sz="0" w:space="0" w:color="auto"/>
            </w:tcBorders>
            <w:noWrap/>
            <w:hideMark/>
          </w:tcPr>
          <w:p w:rsidR="00EE758C" w:rsidRPr="00EE758C" w:rsidRDefault="00EE758C" w:rsidP="00250DED">
            <w:pPr>
              <w:pStyle w:val="Tabletext"/>
              <w:tabs>
                <w:tab w:val="decimal" w:pos="1134"/>
              </w:tabs>
              <w:cnfStyle w:val="000000100000"/>
            </w:pPr>
            <w:r w:rsidRPr="00EE758C">
              <w:t>330</w:t>
            </w:r>
          </w:p>
        </w:tc>
        <w:tc>
          <w:tcPr>
            <w:tcW w:w="2174" w:type="dxa"/>
            <w:tcBorders>
              <w:top w:val="single" w:sz="2" w:space="0" w:color="auto"/>
              <w:bottom w:val="none" w:sz="0" w:space="0" w:color="auto"/>
            </w:tcBorders>
            <w:noWrap/>
            <w:hideMark/>
          </w:tcPr>
          <w:p w:rsidR="00EE758C" w:rsidRPr="00EE758C" w:rsidRDefault="00EE758C" w:rsidP="00250DED">
            <w:pPr>
              <w:pStyle w:val="Tabletext"/>
              <w:ind w:left="284"/>
              <w:cnfStyle w:val="000000100000"/>
            </w:pPr>
            <w:r w:rsidRPr="00EE758C">
              <w:t>TAFE</w:t>
            </w:r>
          </w:p>
        </w:tc>
        <w:tc>
          <w:tcPr>
            <w:tcW w:w="2174" w:type="dxa"/>
            <w:tcBorders>
              <w:top w:val="single" w:sz="2" w:space="0" w:color="auto"/>
              <w:bottom w:val="none" w:sz="0" w:space="0" w:color="auto"/>
              <w:right w:val="none" w:sz="0" w:space="0" w:color="auto"/>
            </w:tcBorders>
            <w:noWrap/>
            <w:hideMark/>
          </w:tcPr>
          <w:p w:rsidR="00EE758C" w:rsidRPr="00EE758C" w:rsidRDefault="00EE758C" w:rsidP="00250DED">
            <w:pPr>
              <w:pStyle w:val="Tabletext"/>
              <w:tabs>
                <w:tab w:val="decimal" w:pos="1134"/>
              </w:tabs>
              <w:cnfStyle w:val="000000100000"/>
            </w:pPr>
            <w:r w:rsidRPr="00EE758C">
              <w:t>185</w:t>
            </w:r>
          </w:p>
        </w:tc>
      </w:tr>
      <w:tr w:rsidR="00EE758C" w:rsidRPr="00EE758C" w:rsidTr="00250DED">
        <w:tc>
          <w:tcPr>
            <w:cnfStyle w:val="001000000000"/>
            <w:tcW w:w="2268" w:type="dxa"/>
            <w:vMerge/>
            <w:noWrap/>
            <w:hideMark/>
          </w:tcPr>
          <w:p w:rsidR="00EE758C" w:rsidRPr="007E0D8D" w:rsidRDefault="00EE758C" w:rsidP="00250DED">
            <w:pPr>
              <w:pStyle w:val="Tabletext"/>
            </w:pPr>
          </w:p>
        </w:tc>
        <w:tc>
          <w:tcPr>
            <w:tcW w:w="2173" w:type="dxa"/>
            <w:noWrap/>
            <w:hideMark/>
          </w:tcPr>
          <w:p w:rsidR="00EE758C" w:rsidRPr="00EE758C" w:rsidRDefault="00EE758C" w:rsidP="00250DED">
            <w:pPr>
              <w:pStyle w:val="Tabletext"/>
              <w:tabs>
                <w:tab w:val="decimal" w:pos="1134"/>
              </w:tabs>
              <w:cnfStyle w:val="000000000000"/>
            </w:pPr>
          </w:p>
        </w:tc>
        <w:tc>
          <w:tcPr>
            <w:tcW w:w="2174" w:type="dxa"/>
            <w:noWrap/>
            <w:tcMar>
              <w:right w:w="57" w:type="dxa"/>
            </w:tcMar>
            <w:hideMark/>
          </w:tcPr>
          <w:p w:rsidR="00EE758C" w:rsidRPr="00EE758C" w:rsidRDefault="00250DED" w:rsidP="00250DED">
            <w:pPr>
              <w:pStyle w:val="Tabletext"/>
              <w:ind w:left="284"/>
              <w:cnfStyle w:val="000000000000"/>
            </w:pPr>
            <w:r>
              <w:t>Community-b</w:t>
            </w:r>
            <w:r w:rsidR="00EE758C" w:rsidRPr="00EE758C">
              <w:t>ased RTO</w:t>
            </w:r>
          </w:p>
        </w:tc>
        <w:tc>
          <w:tcPr>
            <w:tcW w:w="2174" w:type="dxa"/>
            <w:noWrap/>
            <w:hideMark/>
          </w:tcPr>
          <w:p w:rsidR="00EE758C" w:rsidRPr="00EE758C" w:rsidRDefault="00EE758C" w:rsidP="00250DED">
            <w:pPr>
              <w:pStyle w:val="Tabletext"/>
              <w:tabs>
                <w:tab w:val="decimal" w:pos="1134"/>
              </w:tabs>
              <w:cnfStyle w:val="000000000000"/>
            </w:pPr>
            <w:r w:rsidRPr="00EE758C">
              <w:t>21</w:t>
            </w:r>
          </w:p>
        </w:tc>
      </w:tr>
      <w:tr w:rsidR="00EE758C" w:rsidRPr="00EE758C" w:rsidTr="00250DED">
        <w:trPr>
          <w:cnfStyle w:val="000000100000"/>
        </w:trPr>
        <w:tc>
          <w:tcPr>
            <w:cnfStyle w:val="001000000000"/>
            <w:tcW w:w="2268" w:type="dxa"/>
            <w:vMerge/>
            <w:tcBorders>
              <w:top w:val="none" w:sz="0" w:space="0" w:color="auto"/>
              <w:left w:val="none" w:sz="0" w:space="0" w:color="auto"/>
              <w:bottom w:val="none" w:sz="0" w:space="0" w:color="auto"/>
            </w:tcBorders>
            <w:noWrap/>
            <w:hideMark/>
          </w:tcPr>
          <w:p w:rsidR="00EE758C" w:rsidRPr="007E0D8D" w:rsidRDefault="00EE758C" w:rsidP="00250DED">
            <w:pPr>
              <w:pStyle w:val="Tabletext"/>
            </w:pPr>
          </w:p>
        </w:tc>
        <w:tc>
          <w:tcPr>
            <w:tcW w:w="2173" w:type="dxa"/>
            <w:tcBorders>
              <w:top w:val="none" w:sz="0" w:space="0" w:color="auto"/>
              <w:bottom w:val="none" w:sz="0" w:space="0" w:color="auto"/>
            </w:tcBorders>
            <w:noWrap/>
            <w:hideMark/>
          </w:tcPr>
          <w:p w:rsidR="00EE758C" w:rsidRPr="00EE758C" w:rsidRDefault="00EE758C" w:rsidP="00250DED">
            <w:pPr>
              <w:pStyle w:val="Tabletext"/>
              <w:tabs>
                <w:tab w:val="decimal" w:pos="1134"/>
              </w:tabs>
              <w:cnfStyle w:val="000000100000"/>
            </w:pPr>
          </w:p>
        </w:tc>
        <w:tc>
          <w:tcPr>
            <w:tcW w:w="2174" w:type="dxa"/>
            <w:tcBorders>
              <w:top w:val="none" w:sz="0" w:space="0" w:color="auto"/>
              <w:bottom w:val="none" w:sz="0" w:space="0" w:color="auto"/>
            </w:tcBorders>
            <w:noWrap/>
            <w:hideMark/>
          </w:tcPr>
          <w:p w:rsidR="00EE758C" w:rsidRPr="00EE758C" w:rsidRDefault="00EE758C" w:rsidP="00250DED">
            <w:pPr>
              <w:pStyle w:val="Tabletext"/>
              <w:ind w:left="284"/>
              <w:cnfStyle w:val="000000100000"/>
            </w:pPr>
            <w:r w:rsidRPr="00EE758C">
              <w:t>Dual</w:t>
            </w:r>
            <w:r w:rsidR="000F62E8">
              <w:t>/multi-</w:t>
            </w:r>
            <w:r w:rsidRPr="00EE758C">
              <w:t>sector</w:t>
            </w:r>
          </w:p>
        </w:tc>
        <w:tc>
          <w:tcPr>
            <w:tcW w:w="2174" w:type="dxa"/>
            <w:tcBorders>
              <w:top w:val="none" w:sz="0" w:space="0" w:color="auto"/>
              <w:bottom w:val="none" w:sz="0" w:space="0" w:color="auto"/>
              <w:right w:val="none" w:sz="0" w:space="0" w:color="auto"/>
            </w:tcBorders>
            <w:noWrap/>
            <w:hideMark/>
          </w:tcPr>
          <w:p w:rsidR="00EE758C" w:rsidRPr="00EE758C" w:rsidRDefault="00EE758C" w:rsidP="00250DED">
            <w:pPr>
              <w:pStyle w:val="Tabletext"/>
              <w:tabs>
                <w:tab w:val="decimal" w:pos="1134"/>
              </w:tabs>
              <w:cnfStyle w:val="000000100000"/>
            </w:pPr>
            <w:r w:rsidRPr="00EE758C">
              <w:t>28</w:t>
            </w:r>
          </w:p>
        </w:tc>
      </w:tr>
      <w:tr w:rsidR="00EE758C" w:rsidRPr="00EE758C" w:rsidTr="00250DED">
        <w:tc>
          <w:tcPr>
            <w:cnfStyle w:val="001000000000"/>
            <w:tcW w:w="2268" w:type="dxa"/>
            <w:vMerge/>
            <w:noWrap/>
            <w:hideMark/>
          </w:tcPr>
          <w:p w:rsidR="00EE758C" w:rsidRPr="007E0D8D" w:rsidRDefault="00EE758C" w:rsidP="00250DED">
            <w:pPr>
              <w:pStyle w:val="Tabletext"/>
            </w:pPr>
          </w:p>
        </w:tc>
        <w:tc>
          <w:tcPr>
            <w:tcW w:w="2173" w:type="dxa"/>
            <w:noWrap/>
            <w:hideMark/>
          </w:tcPr>
          <w:p w:rsidR="00EE758C" w:rsidRPr="00EE758C" w:rsidRDefault="00EE758C" w:rsidP="00250DED">
            <w:pPr>
              <w:pStyle w:val="Tabletext"/>
              <w:tabs>
                <w:tab w:val="decimal" w:pos="1134"/>
              </w:tabs>
              <w:cnfStyle w:val="000000000000"/>
            </w:pPr>
          </w:p>
        </w:tc>
        <w:tc>
          <w:tcPr>
            <w:tcW w:w="2174" w:type="dxa"/>
            <w:noWrap/>
            <w:hideMark/>
          </w:tcPr>
          <w:p w:rsidR="00EE758C" w:rsidRPr="00EE758C" w:rsidRDefault="00EE758C" w:rsidP="00250DED">
            <w:pPr>
              <w:pStyle w:val="Tabletext"/>
              <w:ind w:left="284"/>
              <w:cnfStyle w:val="000000000000"/>
            </w:pPr>
            <w:r w:rsidRPr="00EE758C">
              <w:t>Private RTO</w:t>
            </w:r>
          </w:p>
        </w:tc>
        <w:tc>
          <w:tcPr>
            <w:tcW w:w="2174" w:type="dxa"/>
            <w:noWrap/>
            <w:hideMark/>
          </w:tcPr>
          <w:p w:rsidR="00EE758C" w:rsidRPr="00EE758C" w:rsidRDefault="00EE758C" w:rsidP="00250DED">
            <w:pPr>
              <w:pStyle w:val="Tabletext"/>
              <w:tabs>
                <w:tab w:val="decimal" w:pos="1134"/>
              </w:tabs>
              <w:cnfStyle w:val="000000000000"/>
            </w:pPr>
            <w:r w:rsidRPr="00EE758C">
              <w:t>32</w:t>
            </w:r>
          </w:p>
        </w:tc>
      </w:tr>
      <w:tr w:rsidR="00EE758C" w:rsidRPr="00EE758C" w:rsidTr="00250DED">
        <w:trPr>
          <w:cnfStyle w:val="000000100000"/>
        </w:trPr>
        <w:tc>
          <w:tcPr>
            <w:cnfStyle w:val="001000000000"/>
            <w:tcW w:w="2268" w:type="dxa"/>
            <w:vMerge/>
            <w:tcBorders>
              <w:top w:val="none" w:sz="0" w:space="0" w:color="auto"/>
              <w:left w:val="none" w:sz="0" w:space="0" w:color="auto"/>
              <w:bottom w:val="none" w:sz="0" w:space="0" w:color="auto"/>
            </w:tcBorders>
            <w:noWrap/>
            <w:hideMark/>
          </w:tcPr>
          <w:p w:rsidR="00EE758C" w:rsidRPr="007E0D8D" w:rsidRDefault="00EE758C" w:rsidP="00250DED">
            <w:pPr>
              <w:pStyle w:val="Tabletext"/>
            </w:pPr>
          </w:p>
        </w:tc>
        <w:tc>
          <w:tcPr>
            <w:tcW w:w="2173" w:type="dxa"/>
            <w:tcBorders>
              <w:top w:val="none" w:sz="0" w:space="0" w:color="auto"/>
              <w:bottom w:val="none" w:sz="0" w:space="0" w:color="auto"/>
            </w:tcBorders>
            <w:noWrap/>
            <w:hideMark/>
          </w:tcPr>
          <w:p w:rsidR="00EE758C" w:rsidRPr="00EE758C" w:rsidRDefault="00EE758C" w:rsidP="00250DED">
            <w:pPr>
              <w:pStyle w:val="Tabletext"/>
              <w:tabs>
                <w:tab w:val="decimal" w:pos="1134"/>
              </w:tabs>
              <w:cnfStyle w:val="000000100000"/>
            </w:pPr>
          </w:p>
        </w:tc>
        <w:tc>
          <w:tcPr>
            <w:tcW w:w="2174" w:type="dxa"/>
            <w:tcBorders>
              <w:top w:val="none" w:sz="0" w:space="0" w:color="auto"/>
              <w:bottom w:val="none" w:sz="0" w:space="0" w:color="auto"/>
            </w:tcBorders>
            <w:noWrap/>
            <w:hideMark/>
          </w:tcPr>
          <w:p w:rsidR="00EE758C" w:rsidRPr="00EE758C" w:rsidRDefault="000F62E8" w:rsidP="00250DED">
            <w:pPr>
              <w:pStyle w:val="Tabletext"/>
              <w:ind w:left="284"/>
              <w:cnfStyle w:val="000000100000"/>
            </w:pPr>
            <w:r>
              <w:t>School s</w:t>
            </w:r>
            <w:r w:rsidR="00EE758C" w:rsidRPr="00EE758C">
              <w:t>ector</w:t>
            </w:r>
          </w:p>
        </w:tc>
        <w:tc>
          <w:tcPr>
            <w:tcW w:w="2174" w:type="dxa"/>
            <w:tcBorders>
              <w:top w:val="none" w:sz="0" w:space="0" w:color="auto"/>
              <w:bottom w:val="none" w:sz="0" w:space="0" w:color="auto"/>
              <w:right w:val="none" w:sz="0" w:space="0" w:color="auto"/>
            </w:tcBorders>
            <w:noWrap/>
            <w:hideMark/>
          </w:tcPr>
          <w:p w:rsidR="00EE758C" w:rsidRPr="00EE758C" w:rsidRDefault="00EE758C" w:rsidP="00250DED">
            <w:pPr>
              <w:pStyle w:val="Tabletext"/>
              <w:tabs>
                <w:tab w:val="decimal" w:pos="1134"/>
              </w:tabs>
              <w:cnfStyle w:val="000000100000"/>
            </w:pPr>
            <w:r w:rsidRPr="00EE758C">
              <w:t>9</w:t>
            </w:r>
          </w:p>
        </w:tc>
      </w:tr>
      <w:tr w:rsidR="00EE758C" w:rsidRPr="00EE758C" w:rsidTr="00250DED">
        <w:tc>
          <w:tcPr>
            <w:cnfStyle w:val="001000000000"/>
            <w:tcW w:w="2268" w:type="dxa"/>
            <w:vMerge/>
            <w:noWrap/>
            <w:hideMark/>
          </w:tcPr>
          <w:p w:rsidR="00EE758C" w:rsidRPr="007E0D8D" w:rsidRDefault="00EE758C" w:rsidP="00250DED">
            <w:pPr>
              <w:pStyle w:val="Tabletext"/>
            </w:pPr>
          </w:p>
        </w:tc>
        <w:tc>
          <w:tcPr>
            <w:tcW w:w="2173" w:type="dxa"/>
            <w:noWrap/>
            <w:hideMark/>
          </w:tcPr>
          <w:p w:rsidR="00EE758C" w:rsidRPr="00EE758C" w:rsidRDefault="00EE758C" w:rsidP="00250DED">
            <w:pPr>
              <w:pStyle w:val="Tabletext"/>
              <w:tabs>
                <w:tab w:val="decimal" w:pos="1134"/>
              </w:tabs>
              <w:cnfStyle w:val="000000000000"/>
            </w:pPr>
            <w:r w:rsidRPr="00EE758C">
              <w:t> </w:t>
            </w:r>
          </w:p>
        </w:tc>
        <w:tc>
          <w:tcPr>
            <w:tcW w:w="2174" w:type="dxa"/>
            <w:noWrap/>
            <w:hideMark/>
          </w:tcPr>
          <w:p w:rsidR="00EE758C" w:rsidRPr="00EE758C" w:rsidRDefault="00EE758C" w:rsidP="00250DED">
            <w:pPr>
              <w:pStyle w:val="Tabletext"/>
              <w:ind w:left="284"/>
              <w:cnfStyle w:val="000000000000"/>
            </w:pPr>
            <w:r w:rsidRPr="00EE758C">
              <w:t>University</w:t>
            </w:r>
          </w:p>
        </w:tc>
        <w:tc>
          <w:tcPr>
            <w:tcW w:w="2174" w:type="dxa"/>
            <w:noWrap/>
            <w:hideMark/>
          </w:tcPr>
          <w:p w:rsidR="00EE758C" w:rsidRPr="00EE758C" w:rsidRDefault="00EE758C" w:rsidP="00250DED">
            <w:pPr>
              <w:pStyle w:val="Tabletext"/>
              <w:tabs>
                <w:tab w:val="decimal" w:pos="1134"/>
              </w:tabs>
              <w:cnfStyle w:val="000000000000"/>
            </w:pPr>
            <w:r w:rsidRPr="00EE758C">
              <w:t>55</w:t>
            </w:r>
          </w:p>
        </w:tc>
      </w:tr>
      <w:tr w:rsidR="00EE758C" w:rsidRPr="00EE758C" w:rsidTr="00250DED">
        <w:trPr>
          <w:cnfStyle w:val="000000100000"/>
        </w:trPr>
        <w:tc>
          <w:tcPr>
            <w:cnfStyle w:val="001000000000"/>
            <w:tcW w:w="2268" w:type="dxa"/>
            <w:vMerge w:val="restart"/>
            <w:tcBorders>
              <w:top w:val="none" w:sz="0" w:space="0" w:color="auto"/>
              <w:left w:val="none" w:sz="0" w:space="0" w:color="auto"/>
              <w:bottom w:val="none" w:sz="0" w:space="0" w:color="auto"/>
            </w:tcBorders>
            <w:noWrap/>
            <w:hideMark/>
          </w:tcPr>
          <w:p w:rsidR="00EE758C" w:rsidRPr="007E0D8D" w:rsidRDefault="000F62E8" w:rsidP="00250DED">
            <w:pPr>
              <w:pStyle w:val="Tabletext"/>
            </w:pPr>
            <w:r>
              <w:t>Not-for-</w:t>
            </w:r>
            <w:r w:rsidR="00EE758C" w:rsidRPr="007E0D8D">
              <w:t>profit organisation</w:t>
            </w:r>
          </w:p>
        </w:tc>
        <w:tc>
          <w:tcPr>
            <w:tcW w:w="2173" w:type="dxa"/>
            <w:tcBorders>
              <w:top w:val="none" w:sz="0" w:space="0" w:color="auto"/>
              <w:bottom w:val="none" w:sz="0" w:space="0" w:color="auto"/>
            </w:tcBorders>
            <w:noWrap/>
            <w:hideMark/>
          </w:tcPr>
          <w:p w:rsidR="00EE758C" w:rsidRPr="00EE758C" w:rsidRDefault="00EE758C" w:rsidP="00250DED">
            <w:pPr>
              <w:pStyle w:val="Tabletext"/>
              <w:tabs>
                <w:tab w:val="decimal" w:pos="1134"/>
              </w:tabs>
              <w:cnfStyle w:val="000000100000"/>
            </w:pPr>
            <w:r w:rsidRPr="00EE758C">
              <w:t>42</w:t>
            </w:r>
          </w:p>
        </w:tc>
        <w:tc>
          <w:tcPr>
            <w:tcW w:w="2174" w:type="dxa"/>
            <w:tcBorders>
              <w:top w:val="none" w:sz="0" w:space="0" w:color="auto"/>
              <w:bottom w:val="none" w:sz="0" w:space="0" w:color="auto"/>
            </w:tcBorders>
            <w:noWrap/>
            <w:hideMark/>
          </w:tcPr>
          <w:p w:rsidR="00EE758C" w:rsidRPr="00EE758C" w:rsidRDefault="00EE758C" w:rsidP="00250DED">
            <w:pPr>
              <w:pStyle w:val="Tabletext"/>
              <w:ind w:left="284"/>
              <w:cnfStyle w:val="000000100000"/>
            </w:pPr>
            <w:r w:rsidRPr="00EE758C">
              <w:t>With RTO status</w:t>
            </w:r>
          </w:p>
        </w:tc>
        <w:tc>
          <w:tcPr>
            <w:tcW w:w="2174" w:type="dxa"/>
            <w:tcBorders>
              <w:top w:val="none" w:sz="0" w:space="0" w:color="auto"/>
              <w:bottom w:val="none" w:sz="0" w:space="0" w:color="auto"/>
              <w:right w:val="none" w:sz="0" w:space="0" w:color="auto"/>
            </w:tcBorders>
            <w:noWrap/>
            <w:hideMark/>
          </w:tcPr>
          <w:p w:rsidR="00EE758C" w:rsidRPr="00EE758C" w:rsidRDefault="00EE758C" w:rsidP="00250DED">
            <w:pPr>
              <w:pStyle w:val="Tabletext"/>
              <w:tabs>
                <w:tab w:val="decimal" w:pos="1134"/>
              </w:tabs>
              <w:cnfStyle w:val="000000100000"/>
            </w:pPr>
            <w:r w:rsidRPr="00EE758C">
              <w:t>37</w:t>
            </w:r>
          </w:p>
        </w:tc>
      </w:tr>
      <w:tr w:rsidR="00EE758C" w:rsidRPr="00EE758C" w:rsidTr="00250DED">
        <w:tc>
          <w:tcPr>
            <w:cnfStyle w:val="001000000000"/>
            <w:tcW w:w="2268" w:type="dxa"/>
            <w:vMerge/>
            <w:noWrap/>
            <w:hideMark/>
          </w:tcPr>
          <w:p w:rsidR="00EE758C" w:rsidRPr="007E0D8D" w:rsidRDefault="00EE758C" w:rsidP="00250DED">
            <w:pPr>
              <w:pStyle w:val="Tabletext"/>
            </w:pPr>
          </w:p>
        </w:tc>
        <w:tc>
          <w:tcPr>
            <w:tcW w:w="2173" w:type="dxa"/>
            <w:noWrap/>
            <w:hideMark/>
          </w:tcPr>
          <w:p w:rsidR="00EE758C" w:rsidRPr="00EE758C" w:rsidRDefault="00EE758C" w:rsidP="00250DED">
            <w:pPr>
              <w:pStyle w:val="Tabletext"/>
              <w:tabs>
                <w:tab w:val="decimal" w:pos="1134"/>
              </w:tabs>
              <w:cnfStyle w:val="000000000000"/>
            </w:pPr>
            <w:r w:rsidRPr="00EE758C">
              <w:t> </w:t>
            </w:r>
          </w:p>
        </w:tc>
        <w:tc>
          <w:tcPr>
            <w:tcW w:w="2174" w:type="dxa"/>
            <w:noWrap/>
            <w:hideMark/>
          </w:tcPr>
          <w:p w:rsidR="00EE758C" w:rsidRPr="00EE758C" w:rsidRDefault="00EE758C" w:rsidP="00250DED">
            <w:pPr>
              <w:pStyle w:val="Tabletext"/>
              <w:ind w:left="284"/>
              <w:cnfStyle w:val="000000000000"/>
            </w:pPr>
            <w:r w:rsidRPr="00EE758C">
              <w:t>Without RTO status</w:t>
            </w:r>
          </w:p>
        </w:tc>
        <w:tc>
          <w:tcPr>
            <w:tcW w:w="2174" w:type="dxa"/>
            <w:noWrap/>
            <w:hideMark/>
          </w:tcPr>
          <w:p w:rsidR="00EE758C" w:rsidRPr="00EE758C" w:rsidRDefault="00EE758C" w:rsidP="00250DED">
            <w:pPr>
              <w:pStyle w:val="Tabletext"/>
              <w:tabs>
                <w:tab w:val="decimal" w:pos="1134"/>
              </w:tabs>
              <w:cnfStyle w:val="000000000000"/>
            </w:pPr>
            <w:r w:rsidRPr="00EE758C">
              <w:t>5</w:t>
            </w:r>
          </w:p>
        </w:tc>
      </w:tr>
      <w:tr w:rsidR="00EE758C" w:rsidRPr="00EE758C" w:rsidTr="00250DED">
        <w:trPr>
          <w:cnfStyle w:val="000000100000"/>
        </w:trPr>
        <w:tc>
          <w:tcPr>
            <w:cnfStyle w:val="001000000000"/>
            <w:tcW w:w="2268" w:type="dxa"/>
            <w:vMerge w:val="restart"/>
            <w:tcBorders>
              <w:top w:val="none" w:sz="0" w:space="0" w:color="auto"/>
              <w:left w:val="none" w:sz="0" w:space="0" w:color="auto"/>
              <w:bottom w:val="none" w:sz="0" w:space="0" w:color="auto"/>
            </w:tcBorders>
            <w:noWrap/>
            <w:hideMark/>
          </w:tcPr>
          <w:p w:rsidR="00EE758C" w:rsidRPr="007E0D8D" w:rsidRDefault="00EE758C" w:rsidP="00250DED">
            <w:pPr>
              <w:pStyle w:val="Tabletext"/>
            </w:pPr>
            <w:r w:rsidRPr="007E0D8D">
              <w:t>Private enterprise</w:t>
            </w:r>
          </w:p>
        </w:tc>
        <w:tc>
          <w:tcPr>
            <w:tcW w:w="2173" w:type="dxa"/>
            <w:tcBorders>
              <w:top w:val="none" w:sz="0" w:space="0" w:color="auto"/>
              <w:bottom w:val="none" w:sz="0" w:space="0" w:color="auto"/>
            </w:tcBorders>
            <w:noWrap/>
            <w:hideMark/>
          </w:tcPr>
          <w:p w:rsidR="00EE758C" w:rsidRPr="00EE758C" w:rsidRDefault="00EE758C" w:rsidP="00250DED">
            <w:pPr>
              <w:pStyle w:val="Tabletext"/>
              <w:tabs>
                <w:tab w:val="decimal" w:pos="1134"/>
              </w:tabs>
              <w:cnfStyle w:val="000000100000"/>
            </w:pPr>
            <w:r w:rsidRPr="00EE758C">
              <w:t>13</w:t>
            </w:r>
          </w:p>
        </w:tc>
        <w:tc>
          <w:tcPr>
            <w:tcW w:w="2174" w:type="dxa"/>
            <w:tcBorders>
              <w:top w:val="none" w:sz="0" w:space="0" w:color="auto"/>
              <w:bottom w:val="none" w:sz="0" w:space="0" w:color="auto"/>
            </w:tcBorders>
            <w:noWrap/>
            <w:hideMark/>
          </w:tcPr>
          <w:p w:rsidR="00EE758C" w:rsidRPr="00EE758C" w:rsidRDefault="00EE758C" w:rsidP="00250DED">
            <w:pPr>
              <w:pStyle w:val="Tabletext"/>
              <w:ind w:left="284"/>
              <w:cnfStyle w:val="000000100000"/>
            </w:pPr>
            <w:r w:rsidRPr="00EE758C">
              <w:t>With RTO status</w:t>
            </w:r>
          </w:p>
        </w:tc>
        <w:tc>
          <w:tcPr>
            <w:tcW w:w="2174" w:type="dxa"/>
            <w:tcBorders>
              <w:top w:val="none" w:sz="0" w:space="0" w:color="auto"/>
              <w:bottom w:val="none" w:sz="0" w:space="0" w:color="auto"/>
              <w:right w:val="none" w:sz="0" w:space="0" w:color="auto"/>
            </w:tcBorders>
            <w:noWrap/>
            <w:hideMark/>
          </w:tcPr>
          <w:p w:rsidR="00EE758C" w:rsidRPr="00EE758C" w:rsidRDefault="00EE758C" w:rsidP="00250DED">
            <w:pPr>
              <w:pStyle w:val="Tabletext"/>
              <w:tabs>
                <w:tab w:val="decimal" w:pos="1134"/>
              </w:tabs>
              <w:cnfStyle w:val="000000100000"/>
            </w:pPr>
            <w:r w:rsidRPr="00EE758C">
              <w:t>10</w:t>
            </w:r>
          </w:p>
        </w:tc>
      </w:tr>
      <w:tr w:rsidR="00EE758C" w:rsidRPr="00EE758C" w:rsidTr="00250DED">
        <w:tc>
          <w:tcPr>
            <w:cnfStyle w:val="001000000000"/>
            <w:tcW w:w="2268" w:type="dxa"/>
            <w:vMerge/>
            <w:noWrap/>
            <w:hideMark/>
          </w:tcPr>
          <w:p w:rsidR="00EE758C" w:rsidRPr="007E0D8D" w:rsidRDefault="00EE758C" w:rsidP="00250DED">
            <w:pPr>
              <w:pStyle w:val="Tabletext"/>
            </w:pPr>
          </w:p>
        </w:tc>
        <w:tc>
          <w:tcPr>
            <w:tcW w:w="2173" w:type="dxa"/>
            <w:noWrap/>
            <w:hideMark/>
          </w:tcPr>
          <w:p w:rsidR="00EE758C" w:rsidRPr="00EE758C" w:rsidRDefault="00EE758C" w:rsidP="00250DED">
            <w:pPr>
              <w:pStyle w:val="Tabletext"/>
              <w:tabs>
                <w:tab w:val="decimal" w:pos="1134"/>
              </w:tabs>
              <w:cnfStyle w:val="000000000000"/>
            </w:pPr>
            <w:r w:rsidRPr="00EE758C">
              <w:t> </w:t>
            </w:r>
          </w:p>
        </w:tc>
        <w:tc>
          <w:tcPr>
            <w:tcW w:w="2174" w:type="dxa"/>
            <w:noWrap/>
            <w:hideMark/>
          </w:tcPr>
          <w:p w:rsidR="00EE758C" w:rsidRPr="00EE758C" w:rsidRDefault="00EE758C" w:rsidP="00250DED">
            <w:pPr>
              <w:pStyle w:val="Tabletext"/>
              <w:ind w:left="284"/>
              <w:cnfStyle w:val="000000000000"/>
            </w:pPr>
            <w:r w:rsidRPr="00EE758C">
              <w:t>Without RTO status</w:t>
            </w:r>
          </w:p>
        </w:tc>
        <w:tc>
          <w:tcPr>
            <w:tcW w:w="2174" w:type="dxa"/>
            <w:noWrap/>
            <w:hideMark/>
          </w:tcPr>
          <w:p w:rsidR="00EE758C" w:rsidRPr="00EE758C" w:rsidRDefault="00EE758C" w:rsidP="00250DED">
            <w:pPr>
              <w:pStyle w:val="Tabletext"/>
              <w:tabs>
                <w:tab w:val="decimal" w:pos="1134"/>
              </w:tabs>
              <w:cnfStyle w:val="000000000000"/>
            </w:pPr>
            <w:r w:rsidRPr="00EE758C">
              <w:t>3</w:t>
            </w:r>
          </w:p>
        </w:tc>
      </w:tr>
      <w:tr w:rsidR="00EE758C" w:rsidRPr="00EE758C" w:rsidTr="00250DED">
        <w:trPr>
          <w:cnfStyle w:val="000000100000"/>
        </w:trPr>
        <w:tc>
          <w:tcPr>
            <w:cnfStyle w:val="001000000000"/>
            <w:tcW w:w="2268" w:type="dxa"/>
            <w:vMerge w:val="restart"/>
            <w:tcBorders>
              <w:top w:val="none" w:sz="0" w:space="0" w:color="auto"/>
              <w:left w:val="none" w:sz="0" w:space="0" w:color="auto"/>
              <w:bottom w:val="none" w:sz="0" w:space="0" w:color="auto"/>
            </w:tcBorders>
            <w:noWrap/>
            <w:hideMark/>
          </w:tcPr>
          <w:p w:rsidR="00EE758C" w:rsidRPr="007E0D8D" w:rsidRDefault="000F62E8" w:rsidP="00250DED">
            <w:pPr>
              <w:pStyle w:val="Tabletext"/>
            </w:pPr>
            <w:r>
              <w:t>Public s</w:t>
            </w:r>
            <w:r w:rsidR="00EE758C" w:rsidRPr="007E0D8D">
              <w:t>ervice</w:t>
            </w:r>
          </w:p>
        </w:tc>
        <w:tc>
          <w:tcPr>
            <w:tcW w:w="2173" w:type="dxa"/>
            <w:tcBorders>
              <w:top w:val="none" w:sz="0" w:space="0" w:color="auto"/>
              <w:bottom w:val="none" w:sz="0" w:space="0" w:color="auto"/>
            </w:tcBorders>
            <w:noWrap/>
            <w:hideMark/>
          </w:tcPr>
          <w:p w:rsidR="00EE758C" w:rsidRPr="00EE758C" w:rsidRDefault="00EE758C" w:rsidP="00250DED">
            <w:pPr>
              <w:pStyle w:val="Tabletext"/>
              <w:tabs>
                <w:tab w:val="decimal" w:pos="1134"/>
              </w:tabs>
              <w:cnfStyle w:val="000000100000"/>
            </w:pPr>
            <w:r w:rsidRPr="00EE758C">
              <w:t>11</w:t>
            </w:r>
          </w:p>
        </w:tc>
        <w:tc>
          <w:tcPr>
            <w:tcW w:w="2174" w:type="dxa"/>
            <w:tcBorders>
              <w:top w:val="none" w:sz="0" w:space="0" w:color="auto"/>
              <w:bottom w:val="none" w:sz="0" w:space="0" w:color="auto"/>
            </w:tcBorders>
            <w:noWrap/>
            <w:hideMark/>
          </w:tcPr>
          <w:p w:rsidR="00EE758C" w:rsidRPr="00EE758C" w:rsidRDefault="00EE758C" w:rsidP="00250DED">
            <w:pPr>
              <w:pStyle w:val="Tabletext"/>
              <w:ind w:left="284"/>
              <w:cnfStyle w:val="000000100000"/>
            </w:pPr>
            <w:r w:rsidRPr="00EE758C">
              <w:t>Federal</w:t>
            </w:r>
          </w:p>
        </w:tc>
        <w:tc>
          <w:tcPr>
            <w:tcW w:w="2174" w:type="dxa"/>
            <w:tcBorders>
              <w:top w:val="none" w:sz="0" w:space="0" w:color="auto"/>
              <w:bottom w:val="none" w:sz="0" w:space="0" w:color="auto"/>
              <w:right w:val="none" w:sz="0" w:space="0" w:color="auto"/>
            </w:tcBorders>
            <w:noWrap/>
            <w:hideMark/>
          </w:tcPr>
          <w:p w:rsidR="00EE758C" w:rsidRPr="00EE758C" w:rsidRDefault="00EE758C" w:rsidP="00250DED">
            <w:pPr>
              <w:pStyle w:val="Tabletext"/>
              <w:tabs>
                <w:tab w:val="decimal" w:pos="1134"/>
              </w:tabs>
              <w:cnfStyle w:val="000000100000"/>
            </w:pPr>
            <w:r w:rsidRPr="00EE758C">
              <w:t>1</w:t>
            </w:r>
          </w:p>
        </w:tc>
      </w:tr>
      <w:tr w:rsidR="00EE758C" w:rsidRPr="00EE758C" w:rsidTr="00250DED">
        <w:tc>
          <w:tcPr>
            <w:cnfStyle w:val="001000000000"/>
            <w:tcW w:w="2268" w:type="dxa"/>
            <w:vMerge/>
            <w:noWrap/>
            <w:hideMark/>
          </w:tcPr>
          <w:p w:rsidR="00EE758C" w:rsidRPr="00EE758C" w:rsidRDefault="00EE758C" w:rsidP="00250DED">
            <w:pPr>
              <w:pStyle w:val="Tabletext"/>
            </w:pPr>
          </w:p>
        </w:tc>
        <w:tc>
          <w:tcPr>
            <w:tcW w:w="2173" w:type="dxa"/>
            <w:noWrap/>
            <w:hideMark/>
          </w:tcPr>
          <w:p w:rsidR="00EE758C" w:rsidRPr="00EE758C" w:rsidRDefault="00EE758C" w:rsidP="00250DED">
            <w:pPr>
              <w:pStyle w:val="Tabletext"/>
              <w:tabs>
                <w:tab w:val="decimal" w:pos="1134"/>
              </w:tabs>
              <w:cnfStyle w:val="000000000000"/>
            </w:pPr>
          </w:p>
        </w:tc>
        <w:tc>
          <w:tcPr>
            <w:tcW w:w="2174" w:type="dxa"/>
            <w:noWrap/>
            <w:hideMark/>
          </w:tcPr>
          <w:p w:rsidR="00EE758C" w:rsidRPr="00EE758C" w:rsidRDefault="00EE758C" w:rsidP="00250DED">
            <w:pPr>
              <w:pStyle w:val="Tabletext"/>
              <w:ind w:left="284"/>
              <w:cnfStyle w:val="000000000000"/>
            </w:pPr>
            <w:r w:rsidRPr="00EE758C">
              <w:t>State</w:t>
            </w:r>
          </w:p>
        </w:tc>
        <w:tc>
          <w:tcPr>
            <w:tcW w:w="2174" w:type="dxa"/>
            <w:noWrap/>
            <w:hideMark/>
          </w:tcPr>
          <w:p w:rsidR="00EE758C" w:rsidRPr="00EE758C" w:rsidRDefault="00EE758C" w:rsidP="00250DED">
            <w:pPr>
              <w:pStyle w:val="Tabletext"/>
              <w:tabs>
                <w:tab w:val="decimal" w:pos="1134"/>
              </w:tabs>
              <w:cnfStyle w:val="000000000000"/>
            </w:pPr>
            <w:r w:rsidRPr="00EE758C">
              <w:t>10</w:t>
            </w:r>
          </w:p>
        </w:tc>
      </w:tr>
    </w:tbl>
    <w:p w:rsidR="00E629FD" w:rsidRDefault="00E629FD" w:rsidP="005E6381">
      <w:pPr>
        <w:pStyle w:val="tabletitle"/>
      </w:pPr>
    </w:p>
    <w:p w:rsidR="00E629FD" w:rsidRDefault="00E629FD" w:rsidP="00E629FD">
      <w:pPr>
        <w:pStyle w:val="Text"/>
        <w:rPr>
          <w:rFonts w:ascii="Tahoma" w:hAnsi="Tahoma"/>
          <w:sz w:val="17"/>
        </w:rPr>
      </w:pPr>
      <w:r>
        <w:br w:type="page"/>
      </w:r>
    </w:p>
    <w:p w:rsidR="005E6381" w:rsidRDefault="005E6381" w:rsidP="005D59ED">
      <w:pPr>
        <w:pStyle w:val="Figuretitle"/>
      </w:pPr>
      <w:bookmarkStart w:id="66" w:name="_Toc340826547"/>
      <w:r>
        <w:t>Figure A3</w:t>
      </w:r>
      <w:r>
        <w:tab/>
        <w:t>Years of experience delivering adult language, literacy or numeracy training</w:t>
      </w:r>
      <w:bookmarkEnd w:id="66"/>
    </w:p>
    <w:p w:rsidR="005E6381" w:rsidRDefault="005E6381">
      <w:pPr>
        <w:spacing w:before="0" w:line="240" w:lineRule="auto"/>
      </w:pPr>
      <w:r w:rsidRPr="005E6381">
        <w:rPr>
          <w:noProof/>
          <w:lang w:eastAsia="en-AU"/>
        </w:rPr>
        <w:drawing>
          <wp:inline distT="0" distB="0" distL="0" distR="0">
            <wp:extent cx="4572000" cy="1381125"/>
            <wp:effectExtent l="0" t="0" r="0"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F6A23" w:rsidRPr="00EE758C" w:rsidRDefault="007F6A23" w:rsidP="007F6A23">
      <w:pPr>
        <w:pStyle w:val="tabletitle"/>
      </w:pPr>
      <w:bookmarkStart w:id="67" w:name="_Toc340826539"/>
      <w:r>
        <w:t>Table A2</w:t>
      </w:r>
      <w:r>
        <w:tab/>
        <w:t>Complexity of estimate outliers</w:t>
      </w:r>
      <w:bookmarkEnd w:id="67"/>
    </w:p>
    <w:tbl>
      <w:tblPr>
        <w:tblW w:w="8789" w:type="dxa"/>
        <w:tblInd w:w="108" w:type="dxa"/>
        <w:tblLayout w:type="fixed"/>
        <w:tblLook w:val="04A0"/>
      </w:tblPr>
      <w:tblGrid>
        <w:gridCol w:w="1276"/>
        <w:gridCol w:w="1417"/>
        <w:gridCol w:w="1418"/>
        <w:gridCol w:w="4678"/>
      </w:tblGrid>
      <w:tr w:rsidR="007F6A23" w:rsidRPr="00141D34" w:rsidTr="00807DB7">
        <w:tc>
          <w:tcPr>
            <w:tcW w:w="1276" w:type="dxa"/>
            <w:tcBorders>
              <w:top w:val="single" w:sz="4" w:space="0" w:color="auto"/>
              <w:bottom w:val="single" w:sz="4" w:space="0" w:color="auto"/>
            </w:tcBorders>
          </w:tcPr>
          <w:p w:rsidR="007F6A23" w:rsidRPr="007F6A23" w:rsidRDefault="009D5C38" w:rsidP="00250DED">
            <w:pPr>
              <w:pStyle w:val="Tablehead1"/>
            </w:pPr>
            <w:r>
              <w:t>Construct</w:t>
            </w:r>
          </w:p>
        </w:tc>
        <w:tc>
          <w:tcPr>
            <w:tcW w:w="1417" w:type="dxa"/>
            <w:tcBorders>
              <w:top w:val="single" w:sz="4" w:space="0" w:color="auto"/>
              <w:bottom w:val="single" w:sz="4" w:space="0" w:color="auto"/>
            </w:tcBorders>
          </w:tcPr>
          <w:p w:rsidR="007F6A23" w:rsidRPr="007F6A23" w:rsidRDefault="007F6A23" w:rsidP="00807DB7">
            <w:pPr>
              <w:pStyle w:val="Tablehead1"/>
              <w:jc w:val="center"/>
            </w:pPr>
            <w:r w:rsidRPr="007F6A23">
              <w:t>Framework</w:t>
            </w:r>
          </w:p>
        </w:tc>
        <w:tc>
          <w:tcPr>
            <w:tcW w:w="1418" w:type="dxa"/>
            <w:tcBorders>
              <w:top w:val="single" w:sz="4" w:space="0" w:color="auto"/>
              <w:bottom w:val="single" w:sz="4" w:space="0" w:color="auto"/>
            </w:tcBorders>
          </w:tcPr>
          <w:p w:rsidR="007F6A23" w:rsidRPr="007F6A23" w:rsidRDefault="007F6A23" w:rsidP="00807DB7">
            <w:pPr>
              <w:pStyle w:val="Tablehead1"/>
              <w:jc w:val="center"/>
            </w:pPr>
            <w:r w:rsidRPr="007F6A23">
              <w:t>Level</w:t>
            </w:r>
          </w:p>
        </w:tc>
        <w:tc>
          <w:tcPr>
            <w:tcW w:w="4678" w:type="dxa"/>
            <w:tcBorders>
              <w:top w:val="single" w:sz="4" w:space="0" w:color="auto"/>
              <w:bottom w:val="single" w:sz="4" w:space="0" w:color="auto"/>
            </w:tcBorders>
          </w:tcPr>
          <w:p w:rsidR="007F6A23" w:rsidRPr="007F6A23" w:rsidRDefault="007F6A23" w:rsidP="00250DED">
            <w:pPr>
              <w:pStyle w:val="Tablehead1"/>
            </w:pPr>
            <w:r w:rsidRPr="007F6A23">
              <w:t>Unexpected complexity estimate</w:t>
            </w:r>
          </w:p>
        </w:tc>
      </w:tr>
      <w:tr w:rsidR="007F6A23" w:rsidRPr="00250DED" w:rsidTr="00807DB7">
        <w:tc>
          <w:tcPr>
            <w:tcW w:w="1276" w:type="dxa"/>
            <w:vMerge w:val="restart"/>
            <w:tcBorders>
              <w:top w:val="single" w:sz="4" w:space="0" w:color="auto"/>
            </w:tcBorders>
          </w:tcPr>
          <w:p w:rsidR="007F6A23" w:rsidRPr="00250DED" w:rsidRDefault="007F6A23" w:rsidP="00807DB7">
            <w:pPr>
              <w:pStyle w:val="Tabletext"/>
              <w:rPr>
                <w:szCs w:val="16"/>
              </w:rPr>
            </w:pPr>
            <w:r w:rsidRPr="00250DED">
              <w:rPr>
                <w:szCs w:val="16"/>
              </w:rPr>
              <w:t>Reading</w:t>
            </w:r>
          </w:p>
        </w:tc>
        <w:tc>
          <w:tcPr>
            <w:tcW w:w="1417" w:type="dxa"/>
            <w:tcBorders>
              <w:top w:val="single" w:sz="4" w:space="0" w:color="auto"/>
            </w:tcBorders>
          </w:tcPr>
          <w:p w:rsidR="007F6A23" w:rsidRPr="00250DED" w:rsidRDefault="007F6A23" w:rsidP="00807DB7">
            <w:pPr>
              <w:pStyle w:val="Tabletext"/>
              <w:jc w:val="center"/>
              <w:rPr>
                <w:szCs w:val="16"/>
              </w:rPr>
            </w:pPr>
            <w:r w:rsidRPr="00250DED">
              <w:rPr>
                <w:szCs w:val="16"/>
              </w:rPr>
              <w:t>ALLS</w:t>
            </w:r>
          </w:p>
        </w:tc>
        <w:tc>
          <w:tcPr>
            <w:tcW w:w="1418" w:type="dxa"/>
            <w:tcBorders>
              <w:top w:val="single" w:sz="4" w:space="0" w:color="auto"/>
            </w:tcBorders>
          </w:tcPr>
          <w:p w:rsidR="007F6A23" w:rsidRPr="00250DED" w:rsidRDefault="007F6A23" w:rsidP="00807DB7">
            <w:pPr>
              <w:pStyle w:val="Tabletext"/>
              <w:jc w:val="center"/>
              <w:rPr>
                <w:szCs w:val="16"/>
              </w:rPr>
            </w:pPr>
            <w:r w:rsidRPr="00250DED">
              <w:rPr>
                <w:szCs w:val="16"/>
              </w:rPr>
              <w:t>3</w:t>
            </w:r>
          </w:p>
        </w:tc>
        <w:tc>
          <w:tcPr>
            <w:tcW w:w="4678" w:type="dxa"/>
            <w:tcBorders>
              <w:top w:val="single" w:sz="4" w:space="0" w:color="auto"/>
            </w:tcBorders>
          </w:tcPr>
          <w:p w:rsidR="007F6A23" w:rsidRPr="00250DED" w:rsidRDefault="007F6A23" w:rsidP="00250DED">
            <w:pPr>
              <w:pStyle w:val="Tabletext"/>
              <w:rPr>
                <w:szCs w:val="16"/>
              </w:rPr>
            </w:pPr>
            <w:r w:rsidRPr="00250DED">
              <w:rPr>
                <w:szCs w:val="16"/>
              </w:rPr>
              <w:t>Easier than expected</w:t>
            </w:r>
          </w:p>
          <w:p w:rsidR="00995FD4" w:rsidRPr="00807DB7" w:rsidRDefault="00494D9E" w:rsidP="00807DB7">
            <w:pPr>
              <w:pStyle w:val="Tabletext"/>
            </w:pPr>
            <w:r w:rsidRPr="00807DB7">
              <w:t>‘</w:t>
            </w:r>
            <w:r w:rsidR="00995FD4" w:rsidRPr="00807DB7">
              <w:t>Locates relevant information in a text where the information is literal or requires only low level inference.</w:t>
            </w:r>
            <w:r w:rsidRPr="00807DB7">
              <w:t>’</w:t>
            </w:r>
          </w:p>
        </w:tc>
      </w:tr>
      <w:tr w:rsidR="007F6A23" w:rsidRPr="00250DED" w:rsidTr="00807DB7">
        <w:tc>
          <w:tcPr>
            <w:tcW w:w="1276" w:type="dxa"/>
            <w:vMerge/>
          </w:tcPr>
          <w:p w:rsidR="007F6A23" w:rsidRPr="00250DED" w:rsidRDefault="007F6A23" w:rsidP="00250DED">
            <w:pPr>
              <w:pStyle w:val="Tabletext"/>
              <w:rPr>
                <w:szCs w:val="16"/>
              </w:rPr>
            </w:pPr>
          </w:p>
        </w:tc>
        <w:tc>
          <w:tcPr>
            <w:tcW w:w="1417" w:type="dxa"/>
          </w:tcPr>
          <w:p w:rsidR="007F6A23" w:rsidRPr="00250DED" w:rsidRDefault="007F6A23" w:rsidP="00807DB7">
            <w:pPr>
              <w:pStyle w:val="Tabletext"/>
              <w:jc w:val="center"/>
              <w:rPr>
                <w:szCs w:val="16"/>
              </w:rPr>
            </w:pPr>
            <w:r w:rsidRPr="00250DED">
              <w:rPr>
                <w:szCs w:val="16"/>
              </w:rPr>
              <w:t>ALLS</w:t>
            </w:r>
          </w:p>
        </w:tc>
        <w:tc>
          <w:tcPr>
            <w:tcW w:w="1418" w:type="dxa"/>
          </w:tcPr>
          <w:p w:rsidR="007F6A23" w:rsidRPr="00250DED" w:rsidRDefault="007F6A23" w:rsidP="00807DB7">
            <w:pPr>
              <w:pStyle w:val="Tabletext"/>
              <w:jc w:val="center"/>
              <w:rPr>
                <w:szCs w:val="16"/>
              </w:rPr>
            </w:pPr>
            <w:r w:rsidRPr="00250DED">
              <w:rPr>
                <w:szCs w:val="16"/>
              </w:rPr>
              <w:t>4</w:t>
            </w:r>
          </w:p>
        </w:tc>
        <w:tc>
          <w:tcPr>
            <w:tcW w:w="4678" w:type="dxa"/>
          </w:tcPr>
          <w:p w:rsidR="007F6A23" w:rsidRPr="00250DED" w:rsidRDefault="007F6A23" w:rsidP="00250DED">
            <w:pPr>
              <w:pStyle w:val="Tabletext"/>
              <w:rPr>
                <w:szCs w:val="16"/>
              </w:rPr>
            </w:pPr>
            <w:r w:rsidRPr="00250DED">
              <w:rPr>
                <w:szCs w:val="16"/>
              </w:rPr>
              <w:t>Easier than expected</w:t>
            </w:r>
          </w:p>
          <w:p w:rsidR="00995FD4" w:rsidRPr="00807DB7" w:rsidRDefault="00494D9E" w:rsidP="00807DB7">
            <w:pPr>
              <w:pStyle w:val="Tabletext"/>
            </w:pPr>
            <w:r w:rsidRPr="00807DB7">
              <w:t>‘</w:t>
            </w:r>
            <w:r w:rsidR="00EC726E" w:rsidRPr="00807DB7">
              <w:t>Write in your own words one difference between the panel and the group interview.</w:t>
            </w:r>
            <w:r w:rsidRPr="00807DB7">
              <w:t>’</w:t>
            </w:r>
          </w:p>
        </w:tc>
      </w:tr>
      <w:tr w:rsidR="007F6A23" w:rsidRPr="00250DED" w:rsidTr="00807DB7">
        <w:tc>
          <w:tcPr>
            <w:tcW w:w="1276" w:type="dxa"/>
            <w:vMerge/>
          </w:tcPr>
          <w:p w:rsidR="007F6A23" w:rsidRPr="00250DED" w:rsidRDefault="007F6A23" w:rsidP="00250DED">
            <w:pPr>
              <w:pStyle w:val="Tabletext"/>
              <w:rPr>
                <w:szCs w:val="16"/>
              </w:rPr>
            </w:pPr>
          </w:p>
        </w:tc>
        <w:tc>
          <w:tcPr>
            <w:tcW w:w="1417" w:type="dxa"/>
          </w:tcPr>
          <w:p w:rsidR="007F6A23" w:rsidRPr="00250DED" w:rsidRDefault="007F6A23" w:rsidP="00807DB7">
            <w:pPr>
              <w:pStyle w:val="Tabletext"/>
              <w:jc w:val="center"/>
              <w:rPr>
                <w:szCs w:val="16"/>
              </w:rPr>
            </w:pPr>
            <w:r w:rsidRPr="00250DED">
              <w:rPr>
                <w:szCs w:val="16"/>
              </w:rPr>
              <w:t>ALLS</w:t>
            </w:r>
          </w:p>
        </w:tc>
        <w:tc>
          <w:tcPr>
            <w:tcW w:w="1418" w:type="dxa"/>
          </w:tcPr>
          <w:p w:rsidR="007F6A23" w:rsidRPr="00250DED" w:rsidRDefault="007F6A23" w:rsidP="00807DB7">
            <w:pPr>
              <w:pStyle w:val="Tabletext"/>
              <w:jc w:val="center"/>
              <w:rPr>
                <w:szCs w:val="16"/>
              </w:rPr>
            </w:pPr>
            <w:r w:rsidRPr="00250DED">
              <w:rPr>
                <w:szCs w:val="16"/>
              </w:rPr>
              <w:t>5</w:t>
            </w:r>
          </w:p>
        </w:tc>
        <w:tc>
          <w:tcPr>
            <w:tcW w:w="4678" w:type="dxa"/>
          </w:tcPr>
          <w:p w:rsidR="007F6A23" w:rsidRPr="00250DED" w:rsidRDefault="007F6A23" w:rsidP="00250DED">
            <w:pPr>
              <w:pStyle w:val="Tabletext"/>
              <w:rPr>
                <w:szCs w:val="16"/>
              </w:rPr>
            </w:pPr>
            <w:r w:rsidRPr="00250DED">
              <w:rPr>
                <w:szCs w:val="16"/>
              </w:rPr>
              <w:t>Easier than expected</w:t>
            </w:r>
          </w:p>
          <w:p w:rsidR="00EC726E" w:rsidRPr="00807DB7" w:rsidRDefault="00494D9E" w:rsidP="00807DB7">
            <w:pPr>
              <w:pStyle w:val="Tabletext"/>
            </w:pPr>
            <w:r w:rsidRPr="00807DB7">
              <w:t>‘</w:t>
            </w:r>
            <w:r w:rsidR="00EC726E" w:rsidRPr="00807DB7">
              <w:t>List two ways in which CIEM (an employee support initiative within a company) helps people who lose their jobs because of departmental reorganization.</w:t>
            </w:r>
            <w:r w:rsidRPr="00807DB7">
              <w:t>’</w:t>
            </w:r>
          </w:p>
        </w:tc>
      </w:tr>
      <w:tr w:rsidR="007F6A23" w:rsidRPr="00250DED" w:rsidTr="00807DB7">
        <w:tc>
          <w:tcPr>
            <w:tcW w:w="1276" w:type="dxa"/>
            <w:vMerge/>
            <w:tcBorders>
              <w:bottom w:val="single" w:sz="4" w:space="0" w:color="auto"/>
            </w:tcBorders>
          </w:tcPr>
          <w:p w:rsidR="007F6A23" w:rsidRPr="00250DED" w:rsidRDefault="007F6A23" w:rsidP="00250DED">
            <w:pPr>
              <w:pStyle w:val="Tabletext"/>
              <w:rPr>
                <w:szCs w:val="16"/>
              </w:rPr>
            </w:pPr>
          </w:p>
        </w:tc>
        <w:tc>
          <w:tcPr>
            <w:tcW w:w="1417" w:type="dxa"/>
            <w:tcBorders>
              <w:bottom w:val="single" w:sz="4" w:space="0" w:color="auto"/>
            </w:tcBorders>
          </w:tcPr>
          <w:p w:rsidR="007F6A23" w:rsidRPr="00250DED" w:rsidRDefault="007F6A23" w:rsidP="00807DB7">
            <w:pPr>
              <w:pStyle w:val="Tabletext"/>
              <w:jc w:val="center"/>
              <w:rPr>
                <w:szCs w:val="16"/>
              </w:rPr>
            </w:pPr>
            <w:r w:rsidRPr="00250DED">
              <w:rPr>
                <w:szCs w:val="16"/>
              </w:rPr>
              <w:t>ACSF</w:t>
            </w:r>
          </w:p>
        </w:tc>
        <w:tc>
          <w:tcPr>
            <w:tcW w:w="1418" w:type="dxa"/>
            <w:tcBorders>
              <w:bottom w:val="single" w:sz="4" w:space="0" w:color="auto"/>
            </w:tcBorders>
          </w:tcPr>
          <w:p w:rsidR="007F6A23" w:rsidRPr="00250DED" w:rsidRDefault="007F6A23" w:rsidP="00807DB7">
            <w:pPr>
              <w:pStyle w:val="Tabletext"/>
              <w:jc w:val="center"/>
              <w:rPr>
                <w:szCs w:val="16"/>
              </w:rPr>
            </w:pPr>
            <w:r w:rsidRPr="00250DED">
              <w:rPr>
                <w:szCs w:val="16"/>
              </w:rPr>
              <w:t>4</w:t>
            </w:r>
          </w:p>
        </w:tc>
        <w:tc>
          <w:tcPr>
            <w:tcW w:w="4678" w:type="dxa"/>
            <w:tcBorders>
              <w:bottom w:val="single" w:sz="4" w:space="0" w:color="auto"/>
            </w:tcBorders>
          </w:tcPr>
          <w:p w:rsidR="007F6A23" w:rsidRPr="00250DED" w:rsidRDefault="007F6A23" w:rsidP="00250DED">
            <w:pPr>
              <w:pStyle w:val="Tabletext"/>
              <w:rPr>
                <w:szCs w:val="16"/>
              </w:rPr>
            </w:pPr>
            <w:r w:rsidRPr="00250DED">
              <w:rPr>
                <w:szCs w:val="16"/>
              </w:rPr>
              <w:t>Easier than expected</w:t>
            </w:r>
          </w:p>
          <w:p w:rsidR="00995FD4" w:rsidRPr="00807DB7" w:rsidRDefault="00494D9E" w:rsidP="00807DB7">
            <w:pPr>
              <w:pStyle w:val="Tabletext"/>
            </w:pPr>
            <w:r w:rsidRPr="00807DB7">
              <w:t>‘</w:t>
            </w:r>
            <w:r w:rsidR="00995FD4" w:rsidRPr="00807DB7">
              <w:t>Actively identifies an explicit purpose for reading, e.g. to gather background information, identify specific facts or understand a concept</w:t>
            </w:r>
            <w:r w:rsidRPr="00807DB7">
              <w:t>.’</w:t>
            </w:r>
          </w:p>
        </w:tc>
      </w:tr>
      <w:tr w:rsidR="007F6A23" w:rsidRPr="00250DED" w:rsidTr="00807DB7">
        <w:tc>
          <w:tcPr>
            <w:tcW w:w="1276" w:type="dxa"/>
            <w:vMerge w:val="restart"/>
            <w:tcBorders>
              <w:top w:val="single" w:sz="4" w:space="0" w:color="auto"/>
            </w:tcBorders>
          </w:tcPr>
          <w:p w:rsidR="007F6A23" w:rsidRPr="00250DED" w:rsidRDefault="007F6A23" w:rsidP="00807DB7">
            <w:pPr>
              <w:pStyle w:val="Tabletext"/>
              <w:rPr>
                <w:color w:val="000000"/>
                <w:szCs w:val="16"/>
              </w:rPr>
            </w:pPr>
            <w:r w:rsidRPr="00250DED">
              <w:rPr>
                <w:color w:val="000000"/>
                <w:szCs w:val="16"/>
              </w:rPr>
              <w:t>Numeracy</w:t>
            </w:r>
          </w:p>
        </w:tc>
        <w:tc>
          <w:tcPr>
            <w:tcW w:w="1417" w:type="dxa"/>
            <w:tcBorders>
              <w:top w:val="single" w:sz="4" w:space="0" w:color="auto"/>
            </w:tcBorders>
          </w:tcPr>
          <w:p w:rsidR="007F6A23" w:rsidRPr="00250DED" w:rsidRDefault="007F6A23" w:rsidP="00807DB7">
            <w:pPr>
              <w:pStyle w:val="Tabletext"/>
              <w:jc w:val="center"/>
              <w:rPr>
                <w:color w:val="000000"/>
                <w:szCs w:val="16"/>
              </w:rPr>
            </w:pPr>
            <w:r w:rsidRPr="00250DED">
              <w:rPr>
                <w:color w:val="000000"/>
                <w:szCs w:val="16"/>
              </w:rPr>
              <w:t>ALLS</w:t>
            </w:r>
          </w:p>
        </w:tc>
        <w:tc>
          <w:tcPr>
            <w:tcW w:w="1418" w:type="dxa"/>
            <w:tcBorders>
              <w:top w:val="single" w:sz="4" w:space="0" w:color="auto"/>
            </w:tcBorders>
          </w:tcPr>
          <w:p w:rsidR="007F6A23" w:rsidRPr="00250DED" w:rsidRDefault="007F6A23" w:rsidP="00807DB7">
            <w:pPr>
              <w:pStyle w:val="Tabletext"/>
              <w:jc w:val="center"/>
              <w:rPr>
                <w:color w:val="000000"/>
                <w:szCs w:val="16"/>
              </w:rPr>
            </w:pPr>
            <w:r w:rsidRPr="00250DED">
              <w:rPr>
                <w:color w:val="000000"/>
                <w:szCs w:val="16"/>
              </w:rPr>
              <w:t>2</w:t>
            </w:r>
          </w:p>
        </w:tc>
        <w:tc>
          <w:tcPr>
            <w:tcW w:w="4678" w:type="dxa"/>
            <w:tcBorders>
              <w:top w:val="single" w:sz="4" w:space="0" w:color="auto"/>
            </w:tcBorders>
          </w:tcPr>
          <w:p w:rsidR="007F6A23" w:rsidRPr="00250DED" w:rsidRDefault="007F6A23" w:rsidP="00250DED">
            <w:pPr>
              <w:pStyle w:val="Tabletext"/>
              <w:rPr>
                <w:szCs w:val="16"/>
              </w:rPr>
            </w:pPr>
            <w:r w:rsidRPr="00250DED">
              <w:rPr>
                <w:szCs w:val="16"/>
              </w:rPr>
              <w:t>Easier than expected</w:t>
            </w:r>
          </w:p>
          <w:p w:rsidR="00995FD4" w:rsidRPr="00807DB7" w:rsidRDefault="00494D9E" w:rsidP="00807DB7">
            <w:pPr>
              <w:pStyle w:val="Tabletext"/>
            </w:pPr>
            <w:r w:rsidRPr="00807DB7">
              <w:t>‘</w:t>
            </w:r>
            <w:r w:rsidR="00995FD4" w:rsidRPr="00807DB7">
              <w:t>Identifies and understands basic mathematical concepts in a range of familiar contexts where the mathematics content is quite explicit and visual with little distracting information.</w:t>
            </w:r>
            <w:r w:rsidRPr="00807DB7">
              <w:t>’</w:t>
            </w:r>
          </w:p>
        </w:tc>
      </w:tr>
      <w:tr w:rsidR="007F6A23" w:rsidRPr="00250DED" w:rsidTr="00807DB7">
        <w:tc>
          <w:tcPr>
            <w:tcW w:w="1276" w:type="dxa"/>
            <w:vMerge/>
          </w:tcPr>
          <w:p w:rsidR="007F6A23" w:rsidRPr="00250DED" w:rsidRDefault="007F6A23" w:rsidP="00250DED">
            <w:pPr>
              <w:pStyle w:val="Tabletext"/>
              <w:rPr>
                <w:color w:val="000000"/>
                <w:szCs w:val="16"/>
              </w:rPr>
            </w:pPr>
          </w:p>
        </w:tc>
        <w:tc>
          <w:tcPr>
            <w:tcW w:w="1417" w:type="dxa"/>
          </w:tcPr>
          <w:p w:rsidR="007F6A23" w:rsidRPr="00250DED" w:rsidRDefault="007F6A23" w:rsidP="00807DB7">
            <w:pPr>
              <w:pStyle w:val="Tabletext"/>
              <w:jc w:val="center"/>
              <w:rPr>
                <w:color w:val="000000"/>
                <w:szCs w:val="16"/>
              </w:rPr>
            </w:pPr>
            <w:r w:rsidRPr="00250DED">
              <w:rPr>
                <w:color w:val="000000"/>
                <w:szCs w:val="16"/>
              </w:rPr>
              <w:t>ACSF</w:t>
            </w:r>
          </w:p>
        </w:tc>
        <w:tc>
          <w:tcPr>
            <w:tcW w:w="1418" w:type="dxa"/>
          </w:tcPr>
          <w:p w:rsidR="007F6A23" w:rsidRPr="00250DED" w:rsidRDefault="007F6A23" w:rsidP="00807DB7">
            <w:pPr>
              <w:pStyle w:val="Tabletext"/>
              <w:jc w:val="center"/>
              <w:rPr>
                <w:color w:val="000000"/>
                <w:szCs w:val="16"/>
              </w:rPr>
            </w:pPr>
            <w:r w:rsidRPr="00250DED">
              <w:rPr>
                <w:color w:val="000000"/>
                <w:szCs w:val="16"/>
              </w:rPr>
              <w:t>1</w:t>
            </w:r>
          </w:p>
        </w:tc>
        <w:tc>
          <w:tcPr>
            <w:tcW w:w="4678" w:type="dxa"/>
          </w:tcPr>
          <w:p w:rsidR="007F6A23" w:rsidRPr="00250DED" w:rsidRDefault="007F6A23" w:rsidP="00250DED">
            <w:pPr>
              <w:pStyle w:val="Tabletext"/>
              <w:rPr>
                <w:szCs w:val="16"/>
              </w:rPr>
            </w:pPr>
            <w:r w:rsidRPr="00250DED">
              <w:rPr>
                <w:szCs w:val="16"/>
              </w:rPr>
              <w:t>Harder than expected</w:t>
            </w:r>
          </w:p>
          <w:p w:rsidR="00995FD4" w:rsidRPr="00807DB7" w:rsidRDefault="00494D9E" w:rsidP="00807DB7">
            <w:pPr>
              <w:pStyle w:val="Tabletext"/>
            </w:pPr>
            <w:r w:rsidRPr="00807DB7">
              <w:t>‘</w:t>
            </w:r>
            <w:r w:rsidR="00995FD4" w:rsidRPr="00807DB7">
              <w:t>Recognises and compares familiar basic metric measurements and quantities such as length, mass, capacity/volume, time, temperature, e.g. personal height and weight, a litre of milk or vehicle height clearances</w:t>
            </w:r>
            <w:r w:rsidR="00EC726E" w:rsidRPr="00807DB7">
              <w:t>.</w:t>
            </w:r>
            <w:r w:rsidRPr="00807DB7">
              <w:t>’</w:t>
            </w:r>
          </w:p>
        </w:tc>
      </w:tr>
      <w:tr w:rsidR="007F6A23" w:rsidRPr="00250DED" w:rsidTr="00807DB7">
        <w:tc>
          <w:tcPr>
            <w:tcW w:w="1276" w:type="dxa"/>
            <w:vMerge/>
            <w:tcBorders>
              <w:bottom w:val="single" w:sz="4" w:space="0" w:color="auto"/>
            </w:tcBorders>
          </w:tcPr>
          <w:p w:rsidR="007F6A23" w:rsidRPr="00250DED" w:rsidRDefault="007F6A23" w:rsidP="00250DED">
            <w:pPr>
              <w:pStyle w:val="Tabletext"/>
              <w:rPr>
                <w:color w:val="000000"/>
                <w:szCs w:val="16"/>
              </w:rPr>
            </w:pPr>
          </w:p>
        </w:tc>
        <w:tc>
          <w:tcPr>
            <w:tcW w:w="1417" w:type="dxa"/>
            <w:tcBorders>
              <w:bottom w:val="single" w:sz="4" w:space="0" w:color="auto"/>
            </w:tcBorders>
          </w:tcPr>
          <w:p w:rsidR="007F6A23" w:rsidRPr="00250DED" w:rsidRDefault="007F6A23" w:rsidP="00807DB7">
            <w:pPr>
              <w:pStyle w:val="Tabletext"/>
              <w:jc w:val="center"/>
              <w:rPr>
                <w:color w:val="000000"/>
                <w:szCs w:val="16"/>
              </w:rPr>
            </w:pPr>
            <w:r w:rsidRPr="00250DED">
              <w:rPr>
                <w:color w:val="000000"/>
                <w:szCs w:val="16"/>
              </w:rPr>
              <w:t>ACSF</w:t>
            </w:r>
          </w:p>
        </w:tc>
        <w:tc>
          <w:tcPr>
            <w:tcW w:w="1418" w:type="dxa"/>
            <w:tcBorders>
              <w:bottom w:val="single" w:sz="4" w:space="0" w:color="auto"/>
            </w:tcBorders>
          </w:tcPr>
          <w:p w:rsidR="007F6A23" w:rsidRPr="00250DED" w:rsidRDefault="007F6A23" w:rsidP="00807DB7">
            <w:pPr>
              <w:pStyle w:val="Tabletext"/>
              <w:jc w:val="center"/>
              <w:rPr>
                <w:color w:val="000000"/>
                <w:szCs w:val="16"/>
              </w:rPr>
            </w:pPr>
            <w:r w:rsidRPr="00250DED">
              <w:rPr>
                <w:color w:val="000000"/>
                <w:szCs w:val="16"/>
              </w:rPr>
              <w:t>1</w:t>
            </w:r>
          </w:p>
        </w:tc>
        <w:tc>
          <w:tcPr>
            <w:tcW w:w="4678" w:type="dxa"/>
            <w:tcBorders>
              <w:bottom w:val="single" w:sz="4" w:space="0" w:color="auto"/>
            </w:tcBorders>
          </w:tcPr>
          <w:p w:rsidR="007F6A23" w:rsidRPr="00250DED" w:rsidRDefault="007F6A23" w:rsidP="00250DED">
            <w:pPr>
              <w:pStyle w:val="Tabletext"/>
              <w:rPr>
                <w:szCs w:val="16"/>
              </w:rPr>
            </w:pPr>
            <w:r w:rsidRPr="00250DED">
              <w:rPr>
                <w:szCs w:val="16"/>
              </w:rPr>
              <w:t>Harder than expected</w:t>
            </w:r>
          </w:p>
          <w:p w:rsidR="00995FD4" w:rsidRPr="00807DB7" w:rsidRDefault="00494D9E" w:rsidP="00807DB7">
            <w:pPr>
              <w:pStyle w:val="Tabletext"/>
            </w:pPr>
            <w:r w:rsidRPr="00807DB7">
              <w:t>‘</w:t>
            </w:r>
            <w:r w:rsidR="00995FD4" w:rsidRPr="00807DB7">
              <w:t>Compares information and data within highly familiar simple texts, lists, charts, diagrams and tables</w:t>
            </w:r>
            <w:r w:rsidR="00EC726E" w:rsidRPr="00807DB7">
              <w:t>.</w:t>
            </w:r>
            <w:r w:rsidRPr="00807DB7">
              <w:t>’</w:t>
            </w:r>
          </w:p>
        </w:tc>
      </w:tr>
    </w:tbl>
    <w:p w:rsidR="005E6381" w:rsidRDefault="005E6381">
      <w:pPr>
        <w:spacing w:before="0" w:line="240" w:lineRule="auto"/>
      </w:pPr>
    </w:p>
    <w:p w:rsidR="009B3B7D" w:rsidRDefault="009B3B7D">
      <w:pPr>
        <w:spacing w:before="0" w:line="240" w:lineRule="auto"/>
        <w:rPr>
          <w:rFonts w:ascii="Tahoma" w:hAnsi="Tahoma" w:cs="Tahoma"/>
          <w:color w:val="000000"/>
          <w:kern w:val="28"/>
          <w:sz w:val="56"/>
          <w:szCs w:val="56"/>
        </w:rPr>
      </w:pPr>
      <w:r>
        <w:br w:type="page"/>
      </w:r>
    </w:p>
    <w:p w:rsidR="00B15D1A" w:rsidRDefault="00B15D1A" w:rsidP="00B15D1A">
      <w:pPr>
        <w:pStyle w:val="Heading1"/>
      </w:pPr>
      <w:bookmarkStart w:id="68" w:name="_Toc316371589"/>
      <w:bookmarkStart w:id="69" w:name="_Toc340826521"/>
      <w:bookmarkEnd w:id="62"/>
      <w:r>
        <w:t>Support document details</w:t>
      </w:r>
      <w:bookmarkEnd w:id="68"/>
      <w:bookmarkEnd w:id="69"/>
    </w:p>
    <w:p w:rsidR="007B70D2" w:rsidRDefault="00605E2B" w:rsidP="00605E2B">
      <w:pPr>
        <w:pStyle w:val="Text"/>
      </w:pPr>
      <w:r>
        <w:t xml:space="preserve">Additional information relating to this research is available in </w:t>
      </w:r>
      <w:proofErr w:type="gramStart"/>
      <w:r>
        <w:rPr>
          <w:i/>
        </w:rPr>
        <w:t>Mapping</w:t>
      </w:r>
      <w:proofErr w:type="gramEnd"/>
      <w:r>
        <w:rPr>
          <w:i/>
        </w:rPr>
        <w:t xml:space="preserve"> adult literacy performance: </w:t>
      </w:r>
      <w:r w:rsidR="00B23F25">
        <w:rPr>
          <w:i/>
        </w:rPr>
        <w:t>support document</w:t>
      </w:r>
      <w:r>
        <w:t>. It can be accessed from NCVER’s website &lt;http://www.ncver.edu.au/publications/</w:t>
      </w:r>
      <w:r w:rsidR="00B23F25">
        <w:t>2581</w:t>
      </w:r>
      <w:r>
        <w:t>.html&gt;.</w:t>
      </w:r>
      <w:r w:rsidR="00B23F25">
        <w:t xml:space="preserve"> Details include:</w:t>
      </w:r>
    </w:p>
    <w:p w:rsidR="00B23F25" w:rsidRDefault="00B23F25" w:rsidP="003B5D23">
      <w:pPr>
        <w:pStyle w:val="Dotpoint1"/>
      </w:pPr>
      <w:r>
        <w:t>Overview</w:t>
      </w:r>
    </w:p>
    <w:p w:rsidR="00B23F25" w:rsidRDefault="00B23F25" w:rsidP="003B5D23">
      <w:pPr>
        <w:pStyle w:val="Dotpoint1"/>
      </w:pPr>
      <w:r>
        <w:t>Introduction</w:t>
      </w:r>
    </w:p>
    <w:p w:rsidR="00B23F25" w:rsidRDefault="00B23F25" w:rsidP="003B5D23">
      <w:pPr>
        <w:pStyle w:val="Dotpoint1"/>
      </w:pPr>
      <w:r>
        <w:t>Methodology</w:t>
      </w:r>
    </w:p>
    <w:p w:rsidR="00B23F25" w:rsidRDefault="00B23F25" w:rsidP="003B5D23">
      <w:pPr>
        <w:pStyle w:val="Dotpoint1"/>
      </w:pPr>
      <w:r>
        <w:t>Survey design</w:t>
      </w:r>
    </w:p>
    <w:p w:rsidR="00B23F25" w:rsidRDefault="00B23F25" w:rsidP="003B5D23">
      <w:pPr>
        <w:pStyle w:val="Dotpoint1"/>
      </w:pPr>
      <w:r>
        <w:t>Results</w:t>
      </w:r>
    </w:p>
    <w:p w:rsidR="00B23F25" w:rsidRPr="00FF41C9" w:rsidRDefault="00B23F25" w:rsidP="003B5D23">
      <w:pPr>
        <w:pStyle w:val="Dotpoint1"/>
      </w:pPr>
      <w:r>
        <w:t>Conclusion.</w:t>
      </w:r>
    </w:p>
    <w:sectPr w:rsidR="00B23F25" w:rsidRPr="00FF41C9" w:rsidSect="007B70D2">
      <w:footerReference w:type="even" r:id="rId19"/>
      <w:footerReference w:type="default" r:id="rId20"/>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7CE" w:rsidRDefault="00E607CE">
      <w:r>
        <w:separator/>
      </w:r>
    </w:p>
  </w:endnote>
  <w:endnote w:type="continuationSeparator" w:id="0">
    <w:p w:rsidR="00E607CE" w:rsidRDefault="00E607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rebuchetMS-Bold">
    <w:altName w:val="Trebuchet MS"/>
    <w:panose1 w:val="00000000000000000000"/>
    <w:charset w:val="4D"/>
    <w:family w:val="auto"/>
    <w:notTrueType/>
    <w:pitch w:val="default"/>
    <w:sig w:usb0="00000003" w:usb1="00000000" w:usb2="00000000" w:usb3="00000000" w:csb0="00000001" w:csb1="00000000"/>
  </w:font>
  <w:font w:name="TrebuchetMS">
    <w:altName w:val="Trebuchet MS"/>
    <w:panose1 w:val="00000000000000000000"/>
    <w:charset w:val="4D"/>
    <w:family w:val="auto"/>
    <w:notTrueType/>
    <w:pitch w:val="default"/>
    <w:sig w:usb0="00000003" w:usb1="00000000" w:usb2="00000000" w:usb3="00000000" w:csb0="00000001" w:csb1="00000000"/>
  </w:font>
  <w:font w:name="TrebuchetMS-Italic">
    <w:altName w:val="Trebuchet MS"/>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E" w:rsidRPr="008C0A74" w:rsidRDefault="00E607CE" w:rsidP="00FF5931">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E" w:rsidRPr="009775C7" w:rsidRDefault="00E607CE"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E" w:rsidRPr="008C0A74" w:rsidRDefault="005B496F" w:rsidP="00FF5931">
    <w:pPr>
      <w:pStyle w:val="Footer"/>
      <w:tabs>
        <w:tab w:val="clear" w:pos="8505"/>
        <w:tab w:val="right" w:pos="8789"/>
      </w:tabs>
      <w:rPr>
        <w:b/>
      </w:rPr>
    </w:pPr>
    <w:r w:rsidRPr="005B496F">
      <w:rPr>
        <w:b/>
        <w:noProof/>
        <w:color w:val="FFFFFF" w:themeColor="background1"/>
        <w:lang w:eastAsia="en-AU"/>
      </w:rPr>
      <w:pict>
        <v:rect id="Rectangle 3" o:spid="_x0000_s4099" style="position:absolute;margin-left:-85.05pt;margin-top:-2.45pt;width:99pt;height:18.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nO3PxZgCAABoBQAADgAAAAAAAAAAAAAAAAAuAgAAZHJzL2Uy&#10;b0RvYy54bWxQSwECLQAUAAYACAAAACEA/ZB0tuEAAAAJAQAADwAAAAAAAAAAAAAAAADyBAAAZHJz&#10;L2Rvd25yZXYueG1sUEsFBgAAAAAEAAQA8wAAAAAGAAAAAA==&#10;" fillcolor="black [3213]" stroked="f" strokecolor="#bfbfbf [2412]"/>
      </w:pict>
    </w:r>
    <w:r w:rsidRPr="008C0A74">
      <w:rPr>
        <w:b/>
        <w:color w:val="FFFFFF" w:themeColor="background1"/>
      </w:rPr>
      <w:fldChar w:fldCharType="begin"/>
    </w:r>
    <w:r w:rsidR="00E607CE" w:rsidRPr="008C0A74">
      <w:rPr>
        <w:b/>
        <w:color w:val="FFFFFF" w:themeColor="background1"/>
      </w:rPr>
      <w:instrText xml:space="preserve"> PAGE </w:instrText>
    </w:r>
    <w:r w:rsidRPr="008C0A74">
      <w:rPr>
        <w:b/>
        <w:color w:val="FFFFFF" w:themeColor="background1"/>
      </w:rPr>
      <w:fldChar w:fldCharType="separate"/>
    </w:r>
    <w:r w:rsidR="00C97128">
      <w:rPr>
        <w:b/>
        <w:noProof/>
        <w:color w:val="FFFFFF" w:themeColor="background1"/>
      </w:rPr>
      <w:t>20</w:t>
    </w:r>
    <w:r w:rsidRPr="008C0A74">
      <w:rPr>
        <w:b/>
        <w:color w:val="FFFFFF" w:themeColor="background1"/>
      </w:rPr>
      <w:fldChar w:fldCharType="end"/>
    </w:r>
    <w:r w:rsidR="00E607CE" w:rsidRPr="008C0A74">
      <w:rPr>
        <w:b/>
        <w:color w:val="FFFFFF" w:themeColor="background1"/>
      </w:rPr>
      <w:tab/>
    </w:r>
    <w:r w:rsidR="00E607CE">
      <w:rPr>
        <w:b/>
      </w:rPr>
      <w:t>Does 1 = 1? Mapping measures of adult literacy and numeracy</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E" w:rsidRPr="009775C7" w:rsidRDefault="005B496F" w:rsidP="008C0A74">
    <w:pPr>
      <w:pStyle w:val="Footer"/>
      <w:tabs>
        <w:tab w:val="clear" w:pos="8505"/>
        <w:tab w:val="right" w:pos="8789"/>
      </w:tabs>
      <w:rPr>
        <w:color w:val="FFFFFF" w:themeColor="background1"/>
      </w:rPr>
    </w:pPr>
    <w:r w:rsidRPr="005B496F">
      <w:rPr>
        <w:b/>
        <w:noProof/>
        <w:lang w:eastAsia="en-AU"/>
      </w:rPr>
      <w:pict>
        <v:rect id="Rectangle 4" o:spid="_x0000_s4100" style="position:absolute;margin-left:425.6pt;margin-top:-2.45pt;width:99pt;height:18.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Polw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ezjT6JcCAABoBQAADgAAAAAAAAAAAAAAAAAuAgAAZHJzL2Uy&#10;b0RvYy54bWxQSwECLQAUAAYACAAAACEAwReIFeIAAAAKAQAADwAAAAAAAAAAAAAAAADxBAAAZHJz&#10;L2Rvd25yZXYueG1sUEsFBgAAAAAEAAQA8wAAAAAGAAAAAA==&#10;" fillcolor="black [3213]" stroked="f" strokecolor="#bfbfbf [2412]"/>
      </w:pict>
    </w:r>
    <w:r w:rsidR="00E607CE" w:rsidRPr="009775C7">
      <w:rPr>
        <w:b/>
      </w:rPr>
      <w:t>NCVER</w:t>
    </w:r>
    <w:r w:rsidR="00E607CE" w:rsidRPr="009775C7">
      <w:tab/>
    </w:r>
    <w:r w:rsidRPr="009775C7">
      <w:rPr>
        <w:rStyle w:val="PageNumber"/>
        <w:rFonts w:cs="Tahoma"/>
        <w:b/>
        <w:color w:val="FFFFFF" w:themeColor="background1"/>
        <w:sz w:val="17"/>
      </w:rPr>
      <w:fldChar w:fldCharType="begin"/>
    </w:r>
    <w:r w:rsidR="00E607CE"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C97128">
      <w:rPr>
        <w:rStyle w:val="PageNumber"/>
        <w:rFonts w:cs="Tahoma"/>
        <w:b/>
        <w:noProof/>
        <w:color w:val="FFFFFF" w:themeColor="background1"/>
        <w:sz w:val="17"/>
      </w:rPr>
      <w:t>21</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7CE" w:rsidRDefault="00E607CE">
      <w:r>
        <w:separator/>
      </w:r>
    </w:p>
  </w:footnote>
  <w:footnote w:type="continuationSeparator" w:id="0">
    <w:p w:rsidR="00E607CE" w:rsidRDefault="00E607CE">
      <w:r>
        <w:continuationSeparator/>
      </w:r>
    </w:p>
  </w:footnote>
  <w:footnote w:id="1">
    <w:p w:rsidR="00E607CE" w:rsidRDefault="00E607CE">
      <w:pPr>
        <w:pStyle w:val="FootnoteText"/>
      </w:pPr>
      <w:r>
        <w:rPr>
          <w:rStyle w:val="FootnoteReference"/>
        </w:rPr>
        <w:footnoteRef/>
      </w:r>
      <w:r>
        <w:tab/>
        <w:t>See &lt;</w:t>
      </w:r>
      <w:hyperlink r:id="rId1" w:history="1">
        <w:r w:rsidRPr="00890799">
          <w:rPr>
            <w:rStyle w:val="Hyperlink"/>
            <w:sz w:val="16"/>
          </w:rPr>
          <w:t>http://www.scotese.natese.gov.au/__data/assets/pdf_file/0007/71755/National_Foundation_Skills_ Strategy_for_Adults.pdf</w:t>
        </w:r>
      </w:hyperlink>
      <w:r>
        <w:t xml:space="preserve"> &gt;.</w:t>
      </w:r>
    </w:p>
  </w:footnote>
  <w:footnote w:id="2">
    <w:p w:rsidR="00E607CE" w:rsidRPr="00110456" w:rsidRDefault="00E607CE">
      <w:pPr>
        <w:pStyle w:val="FootnoteText"/>
        <w:rPr>
          <w:lang w:val="en-US"/>
        </w:rPr>
      </w:pPr>
      <w:r>
        <w:rPr>
          <w:rStyle w:val="FootnoteReference"/>
        </w:rPr>
        <w:footnoteRef/>
      </w:r>
      <w:r>
        <w:tab/>
      </w:r>
      <w:r w:rsidRPr="00110456">
        <w:rPr>
          <w:lang w:val="en-US"/>
        </w:rPr>
        <w:t xml:space="preserve">A mapping exercise of the </w:t>
      </w:r>
      <w:r>
        <w:rPr>
          <w:lang w:val="en-US"/>
        </w:rPr>
        <w:t xml:space="preserve">National Reporting System </w:t>
      </w:r>
      <w:r w:rsidRPr="00110456">
        <w:rPr>
          <w:lang w:val="en-US"/>
        </w:rPr>
        <w:t>and the IALS was undertaken in 2002</w:t>
      </w:r>
      <w:r>
        <w:rPr>
          <w:lang w:val="en-US"/>
        </w:rPr>
        <w:t>,</w:t>
      </w:r>
      <w:r w:rsidRPr="00110456">
        <w:rPr>
          <w:lang w:val="en-US"/>
        </w:rPr>
        <w:t xml:space="preserve"> as it seemed, on the surface at least,</w:t>
      </w:r>
      <w:r>
        <w:rPr>
          <w:lang w:val="en-US"/>
        </w:rPr>
        <w:t xml:space="preserve"> that </w:t>
      </w:r>
      <w:r w:rsidRPr="00110456">
        <w:rPr>
          <w:lang w:val="en-US"/>
        </w:rPr>
        <w:t>the two measures were directly comparable</w:t>
      </w:r>
      <w:r>
        <w:rPr>
          <w:lang w:val="en-US"/>
        </w:rPr>
        <w:t>,</w:t>
      </w:r>
      <w:r w:rsidRPr="00110456">
        <w:rPr>
          <w:lang w:val="en-US"/>
        </w:rPr>
        <w:t xml:space="preserve"> as both had five levels of competence. A general alignment was found but not a direct one-to-one relationship between the five levels of each scale. Indeed, there were no IALS tasks at NRS level 1 (</w:t>
      </w:r>
      <w:proofErr w:type="spellStart"/>
      <w:r w:rsidRPr="00110456">
        <w:rPr>
          <w:lang w:val="en-US"/>
        </w:rPr>
        <w:t>Hagston</w:t>
      </w:r>
      <w:proofErr w:type="spellEnd"/>
      <w:r w:rsidRPr="00110456">
        <w:rPr>
          <w:lang w:val="en-US"/>
        </w:rPr>
        <w:t xml:space="preserve"> 2002).</w:t>
      </w:r>
    </w:p>
  </w:footnote>
  <w:footnote w:id="3">
    <w:p w:rsidR="00E607CE" w:rsidRPr="00110456" w:rsidRDefault="00E607CE" w:rsidP="002F7F5D">
      <w:pPr>
        <w:pStyle w:val="Text"/>
        <w:spacing w:before="0" w:line="220" w:lineRule="exact"/>
        <w:ind w:left="170" w:right="0" w:hanging="170"/>
        <w:rPr>
          <w:sz w:val="16"/>
          <w:lang w:val="en-US"/>
        </w:rPr>
      </w:pPr>
      <w:r w:rsidRPr="002850A5">
        <w:rPr>
          <w:rStyle w:val="FootnoteReference"/>
          <w:sz w:val="16"/>
        </w:rPr>
        <w:footnoteRef/>
      </w:r>
      <w:r>
        <w:tab/>
      </w:r>
      <w:r w:rsidRPr="00110456">
        <w:rPr>
          <w:sz w:val="16"/>
          <w:lang w:val="en-US"/>
        </w:rPr>
        <w:t>It is important to note th</w:t>
      </w:r>
      <w:r>
        <w:rPr>
          <w:sz w:val="16"/>
          <w:lang w:val="en-US"/>
        </w:rPr>
        <w:t>at the purpose of this project wa</w:t>
      </w:r>
      <w:r w:rsidRPr="00110456">
        <w:rPr>
          <w:sz w:val="16"/>
          <w:lang w:val="en-US"/>
        </w:rPr>
        <w:t>s not to evaluate the utility of either the ACSF or ALLS but rather to evaluate their possible commensurability.</w:t>
      </w:r>
    </w:p>
  </w:footnote>
  <w:footnote w:id="4">
    <w:p w:rsidR="00E607CE" w:rsidRDefault="00E607CE">
      <w:pPr>
        <w:pStyle w:val="FootnoteText"/>
      </w:pPr>
      <w:r>
        <w:rPr>
          <w:rStyle w:val="FootnoteReference"/>
        </w:rPr>
        <w:footnoteRef/>
      </w:r>
      <w:r>
        <w:tab/>
        <w:t>See &lt;</w:t>
      </w:r>
      <w:hyperlink r:id="rId2" w:history="1">
        <w:r w:rsidRPr="00AA3807">
          <w:rPr>
            <w:rStyle w:val="Hyperlink"/>
            <w:sz w:val="16"/>
          </w:rPr>
          <w:t>http://www.innovation.gov.au/Skills/LiteracyAndNumeracy/AustralianCoreSkillsFramework/Pages/default.aspx</w:t>
        </w:r>
      </w:hyperlink>
      <w:r>
        <w:t xml:space="preserve">&gt;. </w:t>
      </w:r>
    </w:p>
  </w:footnote>
  <w:footnote w:id="5">
    <w:p w:rsidR="00E607CE" w:rsidRDefault="00E607CE">
      <w:pPr>
        <w:pStyle w:val="FootnoteText"/>
      </w:pPr>
      <w:r>
        <w:rPr>
          <w:rStyle w:val="FootnoteReference"/>
        </w:rPr>
        <w:footnoteRef/>
      </w:r>
      <w:r>
        <w:tab/>
        <w:t>While this project used the revised version of the ACSF (published 2012) to undertake the alignment exercise, the alignment of the Pre-Level 1 Supplement to the ALLS was outside the scope of the project.</w:t>
      </w:r>
    </w:p>
  </w:footnote>
  <w:footnote w:id="6">
    <w:p w:rsidR="00E607CE" w:rsidRPr="00183585" w:rsidRDefault="00E607CE" w:rsidP="007F4DAA">
      <w:pPr>
        <w:pStyle w:val="FootnoteText"/>
        <w:ind w:right="0"/>
      </w:pPr>
      <w:r w:rsidRPr="00183585">
        <w:rPr>
          <w:rStyle w:val="FootnoteReference"/>
        </w:rPr>
        <w:footnoteRef/>
      </w:r>
      <w:r>
        <w:tab/>
      </w:r>
      <w:r w:rsidRPr="00183585">
        <w:t>For the feasibility phase a version of the Delphi method (</w:t>
      </w:r>
      <w:proofErr w:type="spellStart"/>
      <w:r w:rsidRPr="00183585">
        <w:t>Linstone</w:t>
      </w:r>
      <w:proofErr w:type="spellEnd"/>
      <w:r w:rsidRPr="00183585">
        <w:t xml:space="preserve"> &amp; </w:t>
      </w:r>
      <w:proofErr w:type="spellStart"/>
      <w:r w:rsidRPr="00183585">
        <w:t>Turoff</w:t>
      </w:r>
      <w:proofErr w:type="spellEnd"/>
      <w:r w:rsidRPr="00183585">
        <w:t xml:space="preserve"> 2002) was used. Further information about the</w:t>
      </w:r>
      <w:r>
        <w:t xml:space="preserve"> Delphi method is provided </w:t>
      </w:r>
      <w:r w:rsidRPr="008E42B2">
        <w:t xml:space="preserve">in </w:t>
      </w:r>
      <w:r>
        <w:t>Circelli, Curtis and Perkins (2011),</w:t>
      </w:r>
      <w:r w:rsidRPr="00183585">
        <w:t xml:space="preserve"> together with qualitative descriptions of performance at the various levels of the two frameworks and a brief description of the ALLS items used in this study.</w:t>
      </w:r>
    </w:p>
  </w:footnote>
  <w:footnote w:id="7">
    <w:p w:rsidR="00E607CE" w:rsidRPr="00183585" w:rsidRDefault="00E607CE" w:rsidP="007F4DAA">
      <w:pPr>
        <w:pStyle w:val="FootnoteText"/>
        <w:ind w:right="0"/>
      </w:pPr>
      <w:r w:rsidRPr="00183585">
        <w:rPr>
          <w:rStyle w:val="FootnoteReference"/>
        </w:rPr>
        <w:footnoteRef/>
      </w:r>
      <w:r>
        <w:tab/>
      </w:r>
      <w:r w:rsidRPr="00183585">
        <w:t xml:space="preserve">In </w:t>
      </w:r>
      <w:r>
        <w:t>the first phase of the research the focus wa</w:t>
      </w:r>
      <w:r w:rsidRPr="00183585">
        <w:t>s on establishing whether qualitative mapping is feasible before possibly committing to the complexity and cost of a quantitative mapping activity.</w:t>
      </w:r>
    </w:p>
  </w:footnote>
  <w:footnote w:id="8">
    <w:p w:rsidR="00E607CE" w:rsidRPr="00183585" w:rsidRDefault="00E607CE" w:rsidP="00A126BF">
      <w:pPr>
        <w:pStyle w:val="Text"/>
        <w:spacing w:before="0" w:line="220" w:lineRule="exact"/>
        <w:ind w:left="170" w:right="141" w:hanging="170"/>
        <w:rPr>
          <w:sz w:val="16"/>
        </w:rPr>
      </w:pPr>
      <w:r w:rsidRPr="00183585">
        <w:rPr>
          <w:rStyle w:val="FootnoteReference"/>
          <w:sz w:val="16"/>
        </w:rPr>
        <w:footnoteRef/>
      </w:r>
      <w:r>
        <w:rPr>
          <w:sz w:val="16"/>
        </w:rPr>
        <w:tab/>
      </w:r>
      <w:r w:rsidRPr="00183585">
        <w:rPr>
          <w:sz w:val="16"/>
        </w:rPr>
        <w:t>The items used were developed by Statistics Canada and the Educational Testing Service (ETS). Items used in IALS, ALLS and PIAAC are confidential as it is important to be able to use common items across assessment occasions in order to monitor progress in literacy achievement over time. Statistics Canada and the ETS allowed NCVER to use the items, subject to confidentiality undertakings being entered into by all project participants. The items used in this study were selected by Statistics Canada and the Educational Testing Service and are not required for the PIAAC. NCVER is grateful to Statistics Canada and the ETS for permission to use their items and for their assistance in selecting items for th</w:t>
      </w:r>
      <w:r>
        <w:rPr>
          <w:sz w:val="16"/>
        </w:rPr>
        <w:t>is project</w:t>
      </w:r>
      <w:r w:rsidRPr="00183585">
        <w:rPr>
          <w:sz w:val="16"/>
        </w:rPr>
        <w:t>.</w:t>
      </w:r>
    </w:p>
  </w:footnote>
  <w:footnote w:id="9">
    <w:p w:rsidR="00E607CE" w:rsidRPr="00183585" w:rsidRDefault="00E607CE" w:rsidP="00A126BF">
      <w:pPr>
        <w:pStyle w:val="Text"/>
        <w:spacing w:before="0" w:line="220" w:lineRule="exact"/>
        <w:ind w:left="170" w:right="141" w:hanging="170"/>
        <w:rPr>
          <w:sz w:val="16"/>
        </w:rPr>
      </w:pPr>
      <w:r w:rsidRPr="00183585">
        <w:rPr>
          <w:rStyle w:val="FootnoteReference"/>
          <w:sz w:val="16"/>
        </w:rPr>
        <w:footnoteRef/>
      </w:r>
      <w:r>
        <w:rPr>
          <w:sz w:val="16"/>
        </w:rPr>
        <w:tab/>
      </w:r>
      <w:r w:rsidRPr="00183585">
        <w:rPr>
          <w:sz w:val="16"/>
        </w:rPr>
        <w:t>Item Response Theory (IRT) encompasses the design</w:t>
      </w:r>
      <w:r>
        <w:rPr>
          <w:sz w:val="16"/>
        </w:rPr>
        <w:t>,</w:t>
      </w:r>
      <w:r w:rsidRPr="00183585">
        <w:rPr>
          <w:sz w:val="16"/>
        </w:rPr>
        <w:t xml:space="preserve"> analysis and scoring of tests, questionnaires and similar instruments for measuring abilities, attitudes, or scales that describe a particular concept, in this case, adult literacy and numeracy. It is based on the application of related mathematical models to testing data. IRT underpinned the development </w:t>
      </w:r>
      <w:r>
        <w:rPr>
          <w:sz w:val="16"/>
        </w:rPr>
        <w:t xml:space="preserve">of the ALLS scale and is also </w:t>
      </w:r>
      <w:r w:rsidRPr="00183585">
        <w:rPr>
          <w:sz w:val="16"/>
        </w:rPr>
        <w:t>the preferred method for the development of tests such as t</w:t>
      </w:r>
      <w:r>
        <w:rPr>
          <w:sz w:val="16"/>
        </w:rPr>
        <w:t>he National Assessment Project —</w:t>
      </w:r>
      <w:r w:rsidRPr="00183585">
        <w:rPr>
          <w:sz w:val="16"/>
        </w:rPr>
        <w:t xml:space="preserve"> Literacy and Numeracy (NAPLAN) and the OECD Programme for International Student Assessment (PISA).</w:t>
      </w:r>
      <w:r>
        <w:rPr>
          <w:sz w:val="16"/>
        </w:rPr>
        <w:t xml:space="preserve"> IRT was considered to be the most direct method for determining and comparing the complexity of the two frameworks.</w:t>
      </w:r>
    </w:p>
  </w:footnote>
  <w:footnote w:id="10">
    <w:p w:rsidR="00E607CE" w:rsidRDefault="00E607CE" w:rsidP="00A126BF">
      <w:pPr>
        <w:pStyle w:val="FootnoteText"/>
        <w:ind w:right="141"/>
      </w:pPr>
      <w:r>
        <w:rPr>
          <w:rStyle w:val="FootnoteReference"/>
        </w:rPr>
        <w:footnoteRef/>
      </w:r>
      <w:r>
        <w:tab/>
        <w:t xml:space="preserve">The Level Descriptors comprised publicly available statements that defined each level for reading and numeracy. The level descriptors included both the original statements published by Statistics Canada along with statements modified by the expert panel of this current project. Refer to ‘Panelling the item content’ in the Survey Design section of the </w:t>
      </w:r>
      <w:r w:rsidRPr="006062B3">
        <w:rPr>
          <w:i/>
        </w:rPr>
        <w:t>Mapping adult literacy performance</w:t>
      </w:r>
      <w:r>
        <w:rPr>
          <w:i/>
        </w:rPr>
        <w:t>:</w:t>
      </w:r>
      <w:r w:rsidRPr="006062B3">
        <w:rPr>
          <w:i/>
        </w:rPr>
        <w:t xml:space="preserve"> </w:t>
      </w:r>
      <w:r>
        <w:rPr>
          <w:i/>
        </w:rPr>
        <w:t>support document</w:t>
      </w:r>
      <w:r>
        <w:t>.</w:t>
      </w:r>
    </w:p>
  </w:footnote>
  <w:footnote w:id="11">
    <w:p w:rsidR="00E607CE" w:rsidRDefault="00E607CE">
      <w:pPr>
        <w:pStyle w:val="FootnoteText"/>
      </w:pPr>
      <w:r>
        <w:rPr>
          <w:rStyle w:val="FootnoteReference"/>
        </w:rPr>
        <w:footnoteRef/>
      </w:r>
      <w:r>
        <w:tab/>
        <w:t>Numeracy Complexity Statements underpin the design and development of numeracy items in the ALLS survey and express the complexity of the mathematical information/data needed to be manipulated as well as the mathematical action required.</w:t>
      </w:r>
    </w:p>
  </w:footnote>
  <w:footnote w:id="12">
    <w:p w:rsidR="00E607CE" w:rsidRDefault="00E607CE">
      <w:pPr>
        <w:pStyle w:val="FootnoteText"/>
      </w:pPr>
      <w:r>
        <w:rPr>
          <w:rStyle w:val="FootnoteReference"/>
        </w:rPr>
        <w:footnoteRef/>
      </w:r>
      <w:r>
        <w:tab/>
        <w:t>ACSF ‘Indicators’ refer to statements that provide an overview of performance at each level of each core skill. ACSF ‘Performance Features’ refer to statements that provide detailed descriptors of what a person operating at a particular level is able to do.</w:t>
      </w:r>
    </w:p>
  </w:footnote>
  <w:footnote w:id="13">
    <w:p w:rsidR="00E607CE" w:rsidRDefault="00E607CE">
      <w:pPr>
        <w:pStyle w:val="FootnoteText"/>
      </w:pPr>
      <w:r>
        <w:rPr>
          <w:rStyle w:val="FootnoteReference"/>
        </w:rPr>
        <w:footnoteRef/>
      </w:r>
      <w:r>
        <w:tab/>
        <w:t>The Item Positioning effect refers to the tendency for items positioned toward the end of a survey to have more missing data or guessed responses due to respondent fatigue and/or boredom.</w:t>
      </w:r>
    </w:p>
  </w:footnote>
  <w:footnote w:id="14">
    <w:p w:rsidR="00E607CE" w:rsidRPr="00E607CE" w:rsidRDefault="00E607CE">
      <w:pPr>
        <w:pStyle w:val="FootnoteText"/>
      </w:pPr>
      <w:r>
        <w:rPr>
          <w:rStyle w:val="FootnoteReference"/>
        </w:rPr>
        <w:footnoteRef/>
      </w:r>
      <w:r>
        <w:tab/>
        <w:t xml:space="preserve">See ‘Empirically validating the measures used for each framework’ in the Results section of the support document, </w:t>
      </w:r>
      <w:proofErr w:type="gramStart"/>
      <w:r w:rsidRPr="006062B3">
        <w:rPr>
          <w:i/>
        </w:rPr>
        <w:t>Mapping</w:t>
      </w:r>
      <w:proofErr w:type="gramEnd"/>
      <w:r w:rsidRPr="006062B3">
        <w:rPr>
          <w:i/>
        </w:rPr>
        <w:t xml:space="preserve"> adult literacy performance</w:t>
      </w:r>
      <w:r>
        <w:rPr>
          <w:i/>
        </w:rPr>
        <w:t>:</w:t>
      </w:r>
      <w:r w:rsidRPr="006062B3">
        <w:rPr>
          <w:i/>
        </w:rPr>
        <w:t xml:space="preserve"> </w:t>
      </w:r>
      <w:r>
        <w:rPr>
          <w:i/>
        </w:rPr>
        <w:t>support document</w:t>
      </w:r>
      <w:r>
        <w:t>.</w:t>
      </w:r>
    </w:p>
  </w:footnote>
  <w:footnote w:id="15">
    <w:p w:rsidR="00E607CE" w:rsidRDefault="00E607CE">
      <w:pPr>
        <w:pStyle w:val="FootnoteText"/>
      </w:pPr>
      <w:r>
        <w:rPr>
          <w:rStyle w:val="FootnoteReference"/>
        </w:rPr>
        <w:footnoteRef/>
      </w:r>
      <w:r>
        <w:tab/>
        <w:t>Due to the limited number of respondents rating items at Level 4 and, in particular, Level 5, extra caution is needed when making observations at these levels.</w:t>
      </w:r>
    </w:p>
  </w:footnote>
  <w:footnote w:id="16">
    <w:p w:rsidR="00E607CE" w:rsidRDefault="00E607CE">
      <w:pPr>
        <w:pStyle w:val="FootnoteText"/>
      </w:pPr>
      <w:r>
        <w:rPr>
          <w:rStyle w:val="FootnoteReference"/>
        </w:rPr>
        <w:footnoteRef/>
      </w:r>
      <w:r>
        <w:tab/>
        <w:t xml:space="preserve">Only seven of the 165 items had </w:t>
      </w:r>
      <w:r w:rsidRPr="004D5E70">
        <w:t>complexity estimates that were not consistent with their des</w:t>
      </w:r>
      <w:r>
        <w:t xml:space="preserve">ignated levels in the frameworks: four in the reading construct (three from the ALLS; one ACSF item), and three in the numeracy construct (one ALLS item; two from the ACSF). These items </w:t>
      </w:r>
      <w:r w:rsidRPr="00376451">
        <w:t xml:space="preserve">were subsequently excluded from </w:t>
      </w:r>
      <w:r>
        <w:t xml:space="preserve">further </w:t>
      </w:r>
      <w:r w:rsidRPr="00376451">
        <w:t xml:space="preserve">analysis </w:t>
      </w:r>
      <w:r>
        <w:t xml:space="preserve">where </w:t>
      </w:r>
      <w:r w:rsidRPr="00376451">
        <w:t>the complexity levels across frameworks</w:t>
      </w:r>
      <w:r>
        <w:t xml:space="preserve"> were compared. See table A2 for further detail, or refer to ‘Empirically validating the measures used for each framework’ in the Results section of the support document, </w:t>
      </w:r>
      <w:proofErr w:type="gramStart"/>
      <w:r w:rsidRPr="006062B3">
        <w:rPr>
          <w:i/>
        </w:rPr>
        <w:t>Mapping</w:t>
      </w:r>
      <w:proofErr w:type="gramEnd"/>
      <w:r w:rsidRPr="006062B3">
        <w:rPr>
          <w:i/>
        </w:rPr>
        <w:t xml:space="preserve"> adult literacy performance</w:t>
      </w:r>
      <w:r>
        <w:rPr>
          <w:i/>
        </w:rPr>
        <w:t>:</w:t>
      </w:r>
      <w:r w:rsidRPr="006062B3">
        <w:rPr>
          <w:i/>
        </w:rPr>
        <w:t xml:space="preserve"> </w:t>
      </w:r>
      <w:r>
        <w:rPr>
          <w:i/>
        </w:rPr>
        <w:t>support document</w:t>
      </w:r>
      <w:r w:rsidRPr="00E22EBA">
        <w:t>.</w:t>
      </w:r>
    </w:p>
  </w:footnote>
  <w:footnote w:id="17">
    <w:p w:rsidR="00E607CE" w:rsidRDefault="00E607CE" w:rsidP="00BA4E95">
      <w:pPr>
        <w:pStyle w:val="FootnoteText"/>
        <w:ind w:right="141"/>
      </w:pPr>
      <w:r>
        <w:rPr>
          <w:rStyle w:val="FootnoteReference"/>
        </w:rPr>
        <w:footnoteRef/>
      </w:r>
      <w:r>
        <w:tab/>
      </w:r>
      <w:r w:rsidRPr="00FE0372">
        <w:t xml:space="preserve">The </w:t>
      </w:r>
      <w:proofErr w:type="spellStart"/>
      <w:r w:rsidRPr="00FE0372">
        <w:t>aspirational</w:t>
      </w:r>
      <w:proofErr w:type="spellEnd"/>
      <w:r w:rsidRPr="00FE0372">
        <w:t xml:space="preserve"> target for the National Foundation Skills Strategy for Adults is that by 2022, two-thirds of working-age Australians will have literacy and numeracy skills at</w:t>
      </w:r>
      <w:r>
        <w:t xml:space="preserve"> Level 3 or above,</w:t>
      </w:r>
      <w:r w:rsidRPr="00FE0372">
        <w:t xml:space="preserve"> where Level 3 refers to the ALLS/PIAAC skill levels.</w:t>
      </w:r>
    </w:p>
  </w:footnote>
  <w:footnote w:id="18">
    <w:p w:rsidR="00E607CE" w:rsidRDefault="00E607CE" w:rsidP="00333676">
      <w:pPr>
        <w:pStyle w:val="FootnoteText"/>
        <w:rPr>
          <w:rFonts w:ascii="Arial" w:hAnsi="Arial" w:cs="Arial"/>
        </w:rPr>
      </w:pPr>
      <w:r>
        <w:rPr>
          <w:rStyle w:val="FootnoteReference"/>
          <w:rFonts w:ascii="Arial" w:hAnsi="Arial" w:cs="Arial"/>
        </w:rPr>
        <w:footnoteRef/>
      </w:r>
      <w:r>
        <w:rPr>
          <w:rFonts w:ascii="Arial" w:hAnsi="Arial" w:cs="Arial"/>
        </w:rPr>
        <w:tab/>
      </w:r>
      <w:r w:rsidRPr="00490EDE">
        <w:rPr>
          <w:rFonts w:cs="Arial"/>
          <w:szCs w:val="16"/>
        </w:rPr>
        <w:t xml:space="preserve">See </w:t>
      </w:r>
      <w:r>
        <w:rPr>
          <w:rFonts w:cs="Arial"/>
          <w:szCs w:val="16"/>
        </w:rPr>
        <w:t>&lt;</w:t>
      </w:r>
      <w:r w:rsidRPr="007013A5">
        <w:rPr>
          <w:rFonts w:cs="Arial"/>
          <w:szCs w:val="16"/>
        </w:rPr>
        <w:t>http://www.eduweb.vic.gov.au/edulibrary/public/teachlearn/leader/developmental_learning_</w:t>
      </w:r>
      <w:r>
        <w:rPr>
          <w:rFonts w:cs="Arial"/>
          <w:szCs w:val="16"/>
        </w:rPr>
        <w:t xml:space="preserve"> </w:t>
      </w:r>
      <w:r w:rsidRPr="007013A5">
        <w:rPr>
          <w:rFonts w:cs="Arial"/>
          <w:szCs w:val="16"/>
        </w:rPr>
        <w:t>framework_20070418.pdf</w:t>
      </w:r>
      <w:r>
        <w:rPr>
          <w:rFonts w:cs="Arial"/>
          <w:szCs w:val="16"/>
        </w:rPr>
        <w:t xml:space="preserve"> &gt;.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2">
    <w:nsid w:val="209357BF"/>
    <w:multiLevelType w:val="hybridMultilevel"/>
    <w:tmpl w:val="1EC6000C"/>
    <w:lvl w:ilvl="0" w:tplc="0D2ED81C">
      <w:start w:val="1"/>
      <w:numFmt w:val="bullet"/>
      <w:lvlText w:val=""/>
      <w:lvlJc w:val="left"/>
      <w:pPr>
        <w:ind w:left="720" w:hanging="360"/>
      </w:pPr>
      <w:rPr>
        <w:rFonts w:ascii="Symbol" w:hAnsi="Symbol" w:hint="default"/>
      </w:rPr>
    </w:lvl>
    <w:lvl w:ilvl="1" w:tplc="621AF40C" w:tentative="1">
      <w:start w:val="1"/>
      <w:numFmt w:val="bullet"/>
      <w:lvlText w:val="o"/>
      <w:lvlJc w:val="left"/>
      <w:pPr>
        <w:ind w:left="1440" w:hanging="360"/>
      </w:pPr>
      <w:rPr>
        <w:rFonts w:ascii="Courier New" w:hAnsi="Courier New" w:cs="Courier New" w:hint="default"/>
      </w:rPr>
    </w:lvl>
    <w:lvl w:ilvl="2" w:tplc="0658CD18" w:tentative="1">
      <w:start w:val="1"/>
      <w:numFmt w:val="bullet"/>
      <w:lvlText w:val=""/>
      <w:lvlJc w:val="left"/>
      <w:pPr>
        <w:ind w:left="2160" w:hanging="360"/>
      </w:pPr>
      <w:rPr>
        <w:rFonts w:ascii="Wingdings" w:hAnsi="Wingdings" w:hint="default"/>
      </w:rPr>
    </w:lvl>
    <w:lvl w:ilvl="3" w:tplc="997C989A" w:tentative="1">
      <w:start w:val="1"/>
      <w:numFmt w:val="bullet"/>
      <w:lvlText w:val=""/>
      <w:lvlJc w:val="left"/>
      <w:pPr>
        <w:ind w:left="2880" w:hanging="360"/>
      </w:pPr>
      <w:rPr>
        <w:rFonts w:ascii="Symbol" w:hAnsi="Symbol" w:hint="default"/>
      </w:rPr>
    </w:lvl>
    <w:lvl w:ilvl="4" w:tplc="E04C85C0" w:tentative="1">
      <w:start w:val="1"/>
      <w:numFmt w:val="bullet"/>
      <w:lvlText w:val="o"/>
      <w:lvlJc w:val="left"/>
      <w:pPr>
        <w:ind w:left="3600" w:hanging="360"/>
      </w:pPr>
      <w:rPr>
        <w:rFonts w:ascii="Courier New" w:hAnsi="Courier New" w:cs="Courier New" w:hint="default"/>
      </w:rPr>
    </w:lvl>
    <w:lvl w:ilvl="5" w:tplc="776E51E8" w:tentative="1">
      <w:start w:val="1"/>
      <w:numFmt w:val="bullet"/>
      <w:lvlText w:val=""/>
      <w:lvlJc w:val="left"/>
      <w:pPr>
        <w:ind w:left="4320" w:hanging="360"/>
      </w:pPr>
      <w:rPr>
        <w:rFonts w:ascii="Wingdings" w:hAnsi="Wingdings" w:hint="default"/>
      </w:rPr>
    </w:lvl>
    <w:lvl w:ilvl="6" w:tplc="9AC4CEFC" w:tentative="1">
      <w:start w:val="1"/>
      <w:numFmt w:val="bullet"/>
      <w:lvlText w:val=""/>
      <w:lvlJc w:val="left"/>
      <w:pPr>
        <w:ind w:left="5040" w:hanging="360"/>
      </w:pPr>
      <w:rPr>
        <w:rFonts w:ascii="Symbol" w:hAnsi="Symbol" w:hint="default"/>
      </w:rPr>
    </w:lvl>
    <w:lvl w:ilvl="7" w:tplc="1318D960" w:tentative="1">
      <w:start w:val="1"/>
      <w:numFmt w:val="bullet"/>
      <w:lvlText w:val="o"/>
      <w:lvlJc w:val="left"/>
      <w:pPr>
        <w:ind w:left="5760" w:hanging="360"/>
      </w:pPr>
      <w:rPr>
        <w:rFonts w:ascii="Courier New" w:hAnsi="Courier New" w:cs="Courier New" w:hint="default"/>
      </w:rPr>
    </w:lvl>
    <w:lvl w:ilvl="8" w:tplc="F7B467EA" w:tentative="1">
      <w:start w:val="1"/>
      <w:numFmt w:val="bullet"/>
      <w:lvlText w:val=""/>
      <w:lvlJc w:val="left"/>
      <w:pPr>
        <w:ind w:left="6480" w:hanging="360"/>
      </w:pPr>
      <w:rPr>
        <w:rFonts w:ascii="Wingdings" w:hAnsi="Wingdings" w:hint="default"/>
      </w:rPr>
    </w:lvl>
  </w:abstractNum>
  <w:abstractNum w:abstractNumId="3">
    <w:nsid w:val="214B6120"/>
    <w:multiLevelType w:val="hybridMultilevel"/>
    <w:tmpl w:val="C7407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610A02C5"/>
    <w:multiLevelType w:val="hybridMultilevel"/>
    <w:tmpl w:val="B84CC4F0"/>
    <w:lvl w:ilvl="0" w:tplc="3D0A3DB4">
      <w:start w:val="1"/>
      <w:numFmt w:val="bullet"/>
      <w:pStyle w:val="Dotpoint2"/>
      <w:lvlText w:val="-"/>
      <w:lvlJc w:val="left"/>
      <w:pPr>
        <w:ind w:left="1800" w:hanging="360"/>
      </w:pPr>
      <w:rPr>
        <w:rFonts w:ascii="Courier New" w:hAnsi="Courier New" w:hint="default"/>
      </w:rPr>
    </w:lvl>
    <w:lvl w:ilvl="1" w:tplc="86B8CD28" w:tentative="1">
      <w:start w:val="1"/>
      <w:numFmt w:val="bullet"/>
      <w:lvlText w:val="o"/>
      <w:lvlJc w:val="left"/>
      <w:pPr>
        <w:ind w:left="2520" w:hanging="360"/>
      </w:pPr>
      <w:rPr>
        <w:rFonts w:ascii="Courier New" w:hAnsi="Courier New" w:cs="Courier New" w:hint="default"/>
      </w:rPr>
    </w:lvl>
    <w:lvl w:ilvl="2" w:tplc="13FC0354" w:tentative="1">
      <w:start w:val="1"/>
      <w:numFmt w:val="bullet"/>
      <w:lvlText w:val=""/>
      <w:lvlJc w:val="left"/>
      <w:pPr>
        <w:ind w:left="3240" w:hanging="360"/>
      </w:pPr>
      <w:rPr>
        <w:rFonts w:ascii="Wingdings" w:hAnsi="Wingdings" w:hint="default"/>
      </w:rPr>
    </w:lvl>
    <w:lvl w:ilvl="3" w:tplc="18C83174" w:tentative="1">
      <w:start w:val="1"/>
      <w:numFmt w:val="bullet"/>
      <w:lvlText w:val=""/>
      <w:lvlJc w:val="left"/>
      <w:pPr>
        <w:ind w:left="3960" w:hanging="360"/>
      </w:pPr>
      <w:rPr>
        <w:rFonts w:ascii="Symbol" w:hAnsi="Symbol" w:hint="default"/>
      </w:rPr>
    </w:lvl>
    <w:lvl w:ilvl="4" w:tplc="84A64452" w:tentative="1">
      <w:start w:val="1"/>
      <w:numFmt w:val="bullet"/>
      <w:lvlText w:val="o"/>
      <w:lvlJc w:val="left"/>
      <w:pPr>
        <w:ind w:left="4680" w:hanging="360"/>
      </w:pPr>
      <w:rPr>
        <w:rFonts w:ascii="Courier New" w:hAnsi="Courier New" w:cs="Courier New" w:hint="default"/>
      </w:rPr>
    </w:lvl>
    <w:lvl w:ilvl="5" w:tplc="698EC284" w:tentative="1">
      <w:start w:val="1"/>
      <w:numFmt w:val="bullet"/>
      <w:lvlText w:val=""/>
      <w:lvlJc w:val="left"/>
      <w:pPr>
        <w:ind w:left="5400" w:hanging="360"/>
      </w:pPr>
      <w:rPr>
        <w:rFonts w:ascii="Wingdings" w:hAnsi="Wingdings" w:hint="default"/>
      </w:rPr>
    </w:lvl>
    <w:lvl w:ilvl="6" w:tplc="F7647702" w:tentative="1">
      <w:start w:val="1"/>
      <w:numFmt w:val="bullet"/>
      <w:lvlText w:val=""/>
      <w:lvlJc w:val="left"/>
      <w:pPr>
        <w:ind w:left="6120" w:hanging="360"/>
      </w:pPr>
      <w:rPr>
        <w:rFonts w:ascii="Symbol" w:hAnsi="Symbol" w:hint="default"/>
      </w:rPr>
    </w:lvl>
    <w:lvl w:ilvl="7" w:tplc="0282A7FA" w:tentative="1">
      <w:start w:val="1"/>
      <w:numFmt w:val="bullet"/>
      <w:lvlText w:val="o"/>
      <w:lvlJc w:val="left"/>
      <w:pPr>
        <w:ind w:left="6840" w:hanging="360"/>
      </w:pPr>
      <w:rPr>
        <w:rFonts w:ascii="Courier New" w:hAnsi="Courier New" w:cs="Courier New" w:hint="default"/>
      </w:rPr>
    </w:lvl>
    <w:lvl w:ilvl="8" w:tplc="A67211F0" w:tentative="1">
      <w:start w:val="1"/>
      <w:numFmt w:val="bullet"/>
      <w:lvlText w:val=""/>
      <w:lvlJc w:val="left"/>
      <w:pPr>
        <w:ind w:left="7560" w:hanging="360"/>
      </w:pPr>
      <w:rPr>
        <w:rFonts w:ascii="Wingdings" w:hAnsi="Wingdings" w:hint="default"/>
      </w:rPr>
    </w:lvl>
  </w:abstractNum>
  <w:abstractNum w:abstractNumId="5">
    <w:nsid w:val="6E6568BB"/>
    <w:multiLevelType w:val="hybridMultilevel"/>
    <w:tmpl w:val="7D744170"/>
    <w:lvl w:ilvl="0" w:tplc="0C090001">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725D5C"/>
    <w:rsid w:val="00006249"/>
    <w:rsid w:val="000108B2"/>
    <w:rsid w:val="00012B64"/>
    <w:rsid w:val="00013265"/>
    <w:rsid w:val="00013AF5"/>
    <w:rsid w:val="00015D1A"/>
    <w:rsid w:val="00015E43"/>
    <w:rsid w:val="00022290"/>
    <w:rsid w:val="000315D7"/>
    <w:rsid w:val="00036E76"/>
    <w:rsid w:val="000409E0"/>
    <w:rsid w:val="00052B49"/>
    <w:rsid w:val="0005357A"/>
    <w:rsid w:val="000554F8"/>
    <w:rsid w:val="0006125F"/>
    <w:rsid w:val="00063EAF"/>
    <w:rsid w:val="00065E56"/>
    <w:rsid w:val="00074BD4"/>
    <w:rsid w:val="00074C5F"/>
    <w:rsid w:val="000804D2"/>
    <w:rsid w:val="00084738"/>
    <w:rsid w:val="000940A7"/>
    <w:rsid w:val="000A0508"/>
    <w:rsid w:val="000A0745"/>
    <w:rsid w:val="000B28B1"/>
    <w:rsid w:val="000C4960"/>
    <w:rsid w:val="000C6264"/>
    <w:rsid w:val="000D11D7"/>
    <w:rsid w:val="000D762D"/>
    <w:rsid w:val="000F62E8"/>
    <w:rsid w:val="000F641C"/>
    <w:rsid w:val="000F657B"/>
    <w:rsid w:val="00100141"/>
    <w:rsid w:val="0010761A"/>
    <w:rsid w:val="00110456"/>
    <w:rsid w:val="00111DB6"/>
    <w:rsid w:val="0011213A"/>
    <w:rsid w:val="0011373C"/>
    <w:rsid w:val="00115B61"/>
    <w:rsid w:val="00123B5C"/>
    <w:rsid w:val="00126EC6"/>
    <w:rsid w:val="00135131"/>
    <w:rsid w:val="00135C75"/>
    <w:rsid w:val="001376C2"/>
    <w:rsid w:val="00137DE0"/>
    <w:rsid w:val="00147244"/>
    <w:rsid w:val="00150874"/>
    <w:rsid w:val="00150973"/>
    <w:rsid w:val="001509F3"/>
    <w:rsid w:val="00155839"/>
    <w:rsid w:val="0016133C"/>
    <w:rsid w:val="00166EF6"/>
    <w:rsid w:val="00170452"/>
    <w:rsid w:val="00172E58"/>
    <w:rsid w:val="00173370"/>
    <w:rsid w:val="00177827"/>
    <w:rsid w:val="00184504"/>
    <w:rsid w:val="0018697E"/>
    <w:rsid w:val="00186F6E"/>
    <w:rsid w:val="001874B3"/>
    <w:rsid w:val="001B43CF"/>
    <w:rsid w:val="001C18D2"/>
    <w:rsid w:val="001C2148"/>
    <w:rsid w:val="001C5750"/>
    <w:rsid w:val="001C74F1"/>
    <w:rsid w:val="001D5D32"/>
    <w:rsid w:val="001F6D21"/>
    <w:rsid w:val="001F7D84"/>
    <w:rsid w:val="002277A9"/>
    <w:rsid w:val="0023175F"/>
    <w:rsid w:val="00233BFA"/>
    <w:rsid w:val="00237424"/>
    <w:rsid w:val="002434E9"/>
    <w:rsid w:val="00250DED"/>
    <w:rsid w:val="00262627"/>
    <w:rsid w:val="00264EFF"/>
    <w:rsid w:val="0026760A"/>
    <w:rsid w:val="00271ED0"/>
    <w:rsid w:val="00276EF6"/>
    <w:rsid w:val="00284FCB"/>
    <w:rsid w:val="00294DBC"/>
    <w:rsid w:val="002A22C5"/>
    <w:rsid w:val="002A4123"/>
    <w:rsid w:val="002A450A"/>
    <w:rsid w:val="002C2E45"/>
    <w:rsid w:val="002C6D6B"/>
    <w:rsid w:val="002C7CCA"/>
    <w:rsid w:val="002D029A"/>
    <w:rsid w:val="002D04C1"/>
    <w:rsid w:val="002E196B"/>
    <w:rsid w:val="002E7654"/>
    <w:rsid w:val="002F336E"/>
    <w:rsid w:val="002F6859"/>
    <w:rsid w:val="002F7F5D"/>
    <w:rsid w:val="00302094"/>
    <w:rsid w:val="00302196"/>
    <w:rsid w:val="003030ED"/>
    <w:rsid w:val="00311C70"/>
    <w:rsid w:val="00315754"/>
    <w:rsid w:val="00316005"/>
    <w:rsid w:val="00316727"/>
    <w:rsid w:val="00317E01"/>
    <w:rsid w:val="00322769"/>
    <w:rsid w:val="003229CC"/>
    <w:rsid w:val="00322B70"/>
    <w:rsid w:val="00324A6B"/>
    <w:rsid w:val="00333676"/>
    <w:rsid w:val="00334CE3"/>
    <w:rsid w:val="00340B4D"/>
    <w:rsid w:val="00340B68"/>
    <w:rsid w:val="003424DC"/>
    <w:rsid w:val="00342A9F"/>
    <w:rsid w:val="003445BC"/>
    <w:rsid w:val="00350A5B"/>
    <w:rsid w:val="00352999"/>
    <w:rsid w:val="003561CC"/>
    <w:rsid w:val="0035716F"/>
    <w:rsid w:val="003630D7"/>
    <w:rsid w:val="00385B59"/>
    <w:rsid w:val="00385E2A"/>
    <w:rsid w:val="00386E7F"/>
    <w:rsid w:val="00393333"/>
    <w:rsid w:val="00397C94"/>
    <w:rsid w:val="003A1095"/>
    <w:rsid w:val="003A6D1F"/>
    <w:rsid w:val="003B0311"/>
    <w:rsid w:val="003B16DA"/>
    <w:rsid w:val="003B483E"/>
    <w:rsid w:val="003B5D23"/>
    <w:rsid w:val="003C49B0"/>
    <w:rsid w:val="003C50A4"/>
    <w:rsid w:val="003D232F"/>
    <w:rsid w:val="003D5EB0"/>
    <w:rsid w:val="003D6251"/>
    <w:rsid w:val="003E67CB"/>
    <w:rsid w:val="003F0DDE"/>
    <w:rsid w:val="004152A2"/>
    <w:rsid w:val="00430FD7"/>
    <w:rsid w:val="0044031F"/>
    <w:rsid w:val="00443EC0"/>
    <w:rsid w:val="00444C99"/>
    <w:rsid w:val="00445DBA"/>
    <w:rsid w:val="00461409"/>
    <w:rsid w:val="004660C3"/>
    <w:rsid w:val="00474E23"/>
    <w:rsid w:val="0047735E"/>
    <w:rsid w:val="004803EA"/>
    <w:rsid w:val="0048643A"/>
    <w:rsid w:val="0048663C"/>
    <w:rsid w:val="00490EDE"/>
    <w:rsid w:val="00491FA9"/>
    <w:rsid w:val="004939A2"/>
    <w:rsid w:val="0049453B"/>
    <w:rsid w:val="00494D9E"/>
    <w:rsid w:val="00494E7C"/>
    <w:rsid w:val="004A2E88"/>
    <w:rsid w:val="004A78C3"/>
    <w:rsid w:val="004B0B11"/>
    <w:rsid w:val="004B7957"/>
    <w:rsid w:val="004B79B0"/>
    <w:rsid w:val="004C4063"/>
    <w:rsid w:val="004D1D70"/>
    <w:rsid w:val="004D3AB2"/>
    <w:rsid w:val="004D4802"/>
    <w:rsid w:val="004E36A9"/>
    <w:rsid w:val="004E5824"/>
    <w:rsid w:val="004E5C08"/>
    <w:rsid w:val="004E6D59"/>
    <w:rsid w:val="004E7227"/>
    <w:rsid w:val="004F1727"/>
    <w:rsid w:val="004F27D8"/>
    <w:rsid w:val="005147E5"/>
    <w:rsid w:val="00520315"/>
    <w:rsid w:val="005215FC"/>
    <w:rsid w:val="0052276C"/>
    <w:rsid w:val="005259AC"/>
    <w:rsid w:val="005268BF"/>
    <w:rsid w:val="00541B94"/>
    <w:rsid w:val="00545A06"/>
    <w:rsid w:val="00552DD5"/>
    <w:rsid w:val="00561769"/>
    <w:rsid w:val="00566F05"/>
    <w:rsid w:val="00570758"/>
    <w:rsid w:val="00570DC0"/>
    <w:rsid w:val="00580A81"/>
    <w:rsid w:val="00584F9F"/>
    <w:rsid w:val="0059196A"/>
    <w:rsid w:val="005974B2"/>
    <w:rsid w:val="005A3639"/>
    <w:rsid w:val="005B10C2"/>
    <w:rsid w:val="005B496F"/>
    <w:rsid w:val="005C277E"/>
    <w:rsid w:val="005C406E"/>
    <w:rsid w:val="005C61F8"/>
    <w:rsid w:val="005D2491"/>
    <w:rsid w:val="005D3A3D"/>
    <w:rsid w:val="005D4256"/>
    <w:rsid w:val="005D59ED"/>
    <w:rsid w:val="005E4764"/>
    <w:rsid w:val="005E6381"/>
    <w:rsid w:val="005F1084"/>
    <w:rsid w:val="005F16CF"/>
    <w:rsid w:val="005F5E7A"/>
    <w:rsid w:val="00600137"/>
    <w:rsid w:val="00600B2D"/>
    <w:rsid w:val="00603529"/>
    <w:rsid w:val="006057E5"/>
    <w:rsid w:val="00605E2B"/>
    <w:rsid w:val="006062B3"/>
    <w:rsid w:val="00611547"/>
    <w:rsid w:val="00614605"/>
    <w:rsid w:val="006176BC"/>
    <w:rsid w:val="00617738"/>
    <w:rsid w:val="006317BB"/>
    <w:rsid w:val="00631C44"/>
    <w:rsid w:val="00631CF2"/>
    <w:rsid w:val="00635EC6"/>
    <w:rsid w:val="00635F20"/>
    <w:rsid w:val="0063642E"/>
    <w:rsid w:val="00652973"/>
    <w:rsid w:val="00653FD6"/>
    <w:rsid w:val="00654F87"/>
    <w:rsid w:val="00656679"/>
    <w:rsid w:val="00666C76"/>
    <w:rsid w:val="00670203"/>
    <w:rsid w:val="00675E6E"/>
    <w:rsid w:val="0067712D"/>
    <w:rsid w:val="00680227"/>
    <w:rsid w:val="00682A97"/>
    <w:rsid w:val="00683721"/>
    <w:rsid w:val="00687312"/>
    <w:rsid w:val="00696A48"/>
    <w:rsid w:val="006A1CE4"/>
    <w:rsid w:val="006B3330"/>
    <w:rsid w:val="006B4C58"/>
    <w:rsid w:val="006C16D0"/>
    <w:rsid w:val="006C2337"/>
    <w:rsid w:val="006C5DA9"/>
    <w:rsid w:val="006C6AD1"/>
    <w:rsid w:val="006C7C18"/>
    <w:rsid w:val="006E5C85"/>
    <w:rsid w:val="007013A5"/>
    <w:rsid w:val="007037A4"/>
    <w:rsid w:val="0070385E"/>
    <w:rsid w:val="00704398"/>
    <w:rsid w:val="007073BE"/>
    <w:rsid w:val="00710315"/>
    <w:rsid w:val="0071272E"/>
    <w:rsid w:val="007147E7"/>
    <w:rsid w:val="0071484B"/>
    <w:rsid w:val="007206E7"/>
    <w:rsid w:val="007215C8"/>
    <w:rsid w:val="00725D5C"/>
    <w:rsid w:val="00730DEA"/>
    <w:rsid w:val="00731EC8"/>
    <w:rsid w:val="00736B23"/>
    <w:rsid w:val="00736FCA"/>
    <w:rsid w:val="007378B0"/>
    <w:rsid w:val="00751407"/>
    <w:rsid w:val="00754CAA"/>
    <w:rsid w:val="00764319"/>
    <w:rsid w:val="007666ED"/>
    <w:rsid w:val="00783D10"/>
    <w:rsid w:val="00783F44"/>
    <w:rsid w:val="00784F4E"/>
    <w:rsid w:val="00787494"/>
    <w:rsid w:val="0079158C"/>
    <w:rsid w:val="007926BC"/>
    <w:rsid w:val="007A2079"/>
    <w:rsid w:val="007A4F80"/>
    <w:rsid w:val="007A6020"/>
    <w:rsid w:val="007A70DB"/>
    <w:rsid w:val="007A7FF1"/>
    <w:rsid w:val="007B1816"/>
    <w:rsid w:val="007B6C4A"/>
    <w:rsid w:val="007B70D2"/>
    <w:rsid w:val="007B73D2"/>
    <w:rsid w:val="007C0C1F"/>
    <w:rsid w:val="007C3281"/>
    <w:rsid w:val="007C50A7"/>
    <w:rsid w:val="007C75D3"/>
    <w:rsid w:val="007C7E0E"/>
    <w:rsid w:val="007E0D8D"/>
    <w:rsid w:val="007E2D8C"/>
    <w:rsid w:val="007E446E"/>
    <w:rsid w:val="007F42A6"/>
    <w:rsid w:val="007F4DAA"/>
    <w:rsid w:val="007F5084"/>
    <w:rsid w:val="007F6A23"/>
    <w:rsid w:val="00800A2B"/>
    <w:rsid w:val="008056ED"/>
    <w:rsid w:val="00806C1C"/>
    <w:rsid w:val="00807DB7"/>
    <w:rsid w:val="00810FD2"/>
    <w:rsid w:val="00815756"/>
    <w:rsid w:val="00816ADF"/>
    <w:rsid w:val="00820A2D"/>
    <w:rsid w:val="00826757"/>
    <w:rsid w:val="00835FF2"/>
    <w:rsid w:val="00836BBA"/>
    <w:rsid w:val="00842044"/>
    <w:rsid w:val="00844B9B"/>
    <w:rsid w:val="00852661"/>
    <w:rsid w:val="00861CE5"/>
    <w:rsid w:val="008671F6"/>
    <w:rsid w:val="00874DA5"/>
    <w:rsid w:val="00882618"/>
    <w:rsid w:val="008923B6"/>
    <w:rsid w:val="00894271"/>
    <w:rsid w:val="008971B2"/>
    <w:rsid w:val="008A17FA"/>
    <w:rsid w:val="008B1E8F"/>
    <w:rsid w:val="008B22E2"/>
    <w:rsid w:val="008B44A3"/>
    <w:rsid w:val="008B4B8A"/>
    <w:rsid w:val="008C0A74"/>
    <w:rsid w:val="008C2283"/>
    <w:rsid w:val="008C362A"/>
    <w:rsid w:val="008E07DD"/>
    <w:rsid w:val="008E42B2"/>
    <w:rsid w:val="008E7832"/>
    <w:rsid w:val="008F20BA"/>
    <w:rsid w:val="00902933"/>
    <w:rsid w:val="009032D1"/>
    <w:rsid w:val="009058B5"/>
    <w:rsid w:val="00906DF0"/>
    <w:rsid w:val="00912696"/>
    <w:rsid w:val="009150D1"/>
    <w:rsid w:val="00917597"/>
    <w:rsid w:val="0092121A"/>
    <w:rsid w:val="0092312A"/>
    <w:rsid w:val="00926D3E"/>
    <w:rsid w:val="00933317"/>
    <w:rsid w:val="00936E80"/>
    <w:rsid w:val="009461ED"/>
    <w:rsid w:val="009538E6"/>
    <w:rsid w:val="00965C3F"/>
    <w:rsid w:val="009704E4"/>
    <w:rsid w:val="009775C7"/>
    <w:rsid w:val="0098018C"/>
    <w:rsid w:val="00981BEF"/>
    <w:rsid w:val="00995FD4"/>
    <w:rsid w:val="009B0B13"/>
    <w:rsid w:val="009B3B7D"/>
    <w:rsid w:val="009C22BE"/>
    <w:rsid w:val="009D1298"/>
    <w:rsid w:val="009D1DB0"/>
    <w:rsid w:val="009D584B"/>
    <w:rsid w:val="009D5C38"/>
    <w:rsid w:val="009E231A"/>
    <w:rsid w:val="009E2F64"/>
    <w:rsid w:val="009E37EB"/>
    <w:rsid w:val="009E46E1"/>
    <w:rsid w:val="009F552B"/>
    <w:rsid w:val="00A006A0"/>
    <w:rsid w:val="00A061BA"/>
    <w:rsid w:val="00A07D1A"/>
    <w:rsid w:val="00A10A6B"/>
    <w:rsid w:val="00A10E2B"/>
    <w:rsid w:val="00A126BF"/>
    <w:rsid w:val="00A14CBC"/>
    <w:rsid w:val="00A2714D"/>
    <w:rsid w:val="00A30084"/>
    <w:rsid w:val="00A33CD3"/>
    <w:rsid w:val="00A37A6C"/>
    <w:rsid w:val="00A40F2A"/>
    <w:rsid w:val="00A41AEB"/>
    <w:rsid w:val="00A44447"/>
    <w:rsid w:val="00A44F2B"/>
    <w:rsid w:val="00A50895"/>
    <w:rsid w:val="00A551D7"/>
    <w:rsid w:val="00A567A3"/>
    <w:rsid w:val="00A56A4A"/>
    <w:rsid w:val="00A62F93"/>
    <w:rsid w:val="00A73318"/>
    <w:rsid w:val="00A81E70"/>
    <w:rsid w:val="00A93867"/>
    <w:rsid w:val="00A94E7E"/>
    <w:rsid w:val="00A96B71"/>
    <w:rsid w:val="00AA2E74"/>
    <w:rsid w:val="00AA44D4"/>
    <w:rsid w:val="00AA76F4"/>
    <w:rsid w:val="00AA785C"/>
    <w:rsid w:val="00AB6E8D"/>
    <w:rsid w:val="00AB7C9D"/>
    <w:rsid w:val="00AC22DD"/>
    <w:rsid w:val="00AC688A"/>
    <w:rsid w:val="00AD2359"/>
    <w:rsid w:val="00AD434E"/>
    <w:rsid w:val="00AF1005"/>
    <w:rsid w:val="00AF2A17"/>
    <w:rsid w:val="00B0006A"/>
    <w:rsid w:val="00B05F5C"/>
    <w:rsid w:val="00B07BDB"/>
    <w:rsid w:val="00B124AB"/>
    <w:rsid w:val="00B15D1A"/>
    <w:rsid w:val="00B23F25"/>
    <w:rsid w:val="00B251A0"/>
    <w:rsid w:val="00B25B1D"/>
    <w:rsid w:val="00B3163E"/>
    <w:rsid w:val="00B41272"/>
    <w:rsid w:val="00B426FE"/>
    <w:rsid w:val="00B522C0"/>
    <w:rsid w:val="00B52D11"/>
    <w:rsid w:val="00B65B19"/>
    <w:rsid w:val="00B7106B"/>
    <w:rsid w:val="00B7147F"/>
    <w:rsid w:val="00B730DD"/>
    <w:rsid w:val="00B7372F"/>
    <w:rsid w:val="00B77043"/>
    <w:rsid w:val="00B7785E"/>
    <w:rsid w:val="00B82142"/>
    <w:rsid w:val="00B8471B"/>
    <w:rsid w:val="00B86D06"/>
    <w:rsid w:val="00BA4E95"/>
    <w:rsid w:val="00BA797A"/>
    <w:rsid w:val="00BB113D"/>
    <w:rsid w:val="00BC363D"/>
    <w:rsid w:val="00BC770A"/>
    <w:rsid w:val="00BC7C47"/>
    <w:rsid w:val="00BD2B4D"/>
    <w:rsid w:val="00BD7C63"/>
    <w:rsid w:val="00BE080E"/>
    <w:rsid w:val="00BE4D92"/>
    <w:rsid w:val="00BE6448"/>
    <w:rsid w:val="00BF690E"/>
    <w:rsid w:val="00BF7280"/>
    <w:rsid w:val="00C03978"/>
    <w:rsid w:val="00C04A6B"/>
    <w:rsid w:val="00C053D5"/>
    <w:rsid w:val="00C074DC"/>
    <w:rsid w:val="00C16947"/>
    <w:rsid w:val="00C274AA"/>
    <w:rsid w:val="00C30BBD"/>
    <w:rsid w:val="00C312B5"/>
    <w:rsid w:val="00C32167"/>
    <w:rsid w:val="00C37003"/>
    <w:rsid w:val="00C40E9D"/>
    <w:rsid w:val="00C51C5A"/>
    <w:rsid w:val="00C54125"/>
    <w:rsid w:val="00C54475"/>
    <w:rsid w:val="00C63294"/>
    <w:rsid w:val="00C66BA1"/>
    <w:rsid w:val="00C7229E"/>
    <w:rsid w:val="00C77DC6"/>
    <w:rsid w:val="00C801DA"/>
    <w:rsid w:val="00C82EF4"/>
    <w:rsid w:val="00C837AF"/>
    <w:rsid w:val="00C90DC5"/>
    <w:rsid w:val="00C926F0"/>
    <w:rsid w:val="00C9656D"/>
    <w:rsid w:val="00C97128"/>
    <w:rsid w:val="00CA0CE1"/>
    <w:rsid w:val="00CA166D"/>
    <w:rsid w:val="00CA4AFC"/>
    <w:rsid w:val="00CA7DD5"/>
    <w:rsid w:val="00CC4B20"/>
    <w:rsid w:val="00CD535C"/>
    <w:rsid w:val="00CD5F32"/>
    <w:rsid w:val="00CF3CED"/>
    <w:rsid w:val="00CF403F"/>
    <w:rsid w:val="00D06532"/>
    <w:rsid w:val="00D06E86"/>
    <w:rsid w:val="00D174C6"/>
    <w:rsid w:val="00D279E5"/>
    <w:rsid w:val="00D40AA1"/>
    <w:rsid w:val="00D42D41"/>
    <w:rsid w:val="00D43B5F"/>
    <w:rsid w:val="00D473E4"/>
    <w:rsid w:val="00D61A23"/>
    <w:rsid w:val="00D63BCA"/>
    <w:rsid w:val="00D6773F"/>
    <w:rsid w:val="00D67D59"/>
    <w:rsid w:val="00D80180"/>
    <w:rsid w:val="00D806B0"/>
    <w:rsid w:val="00D81E14"/>
    <w:rsid w:val="00D90A8F"/>
    <w:rsid w:val="00D93AC5"/>
    <w:rsid w:val="00DA5110"/>
    <w:rsid w:val="00DB06BE"/>
    <w:rsid w:val="00DB599C"/>
    <w:rsid w:val="00DC452F"/>
    <w:rsid w:val="00DC5F5C"/>
    <w:rsid w:val="00DD357F"/>
    <w:rsid w:val="00DE2B12"/>
    <w:rsid w:val="00DE2C71"/>
    <w:rsid w:val="00DF2D5A"/>
    <w:rsid w:val="00E018CF"/>
    <w:rsid w:val="00E04984"/>
    <w:rsid w:val="00E06B95"/>
    <w:rsid w:val="00E10379"/>
    <w:rsid w:val="00E123CB"/>
    <w:rsid w:val="00E133F7"/>
    <w:rsid w:val="00E14FA9"/>
    <w:rsid w:val="00E22EBA"/>
    <w:rsid w:val="00E236D0"/>
    <w:rsid w:val="00E365F8"/>
    <w:rsid w:val="00E4285C"/>
    <w:rsid w:val="00E43165"/>
    <w:rsid w:val="00E4529E"/>
    <w:rsid w:val="00E45A10"/>
    <w:rsid w:val="00E52313"/>
    <w:rsid w:val="00E53BCA"/>
    <w:rsid w:val="00E56EC1"/>
    <w:rsid w:val="00E57478"/>
    <w:rsid w:val="00E607CE"/>
    <w:rsid w:val="00E60C30"/>
    <w:rsid w:val="00E61BE3"/>
    <w:rsid w:val="00E629FD"/>
    <w:rsid w:val="00E669C4"/>
    <w:rsid w:val="00E7228F"/>
    <w:rsid w:val="00E7339A"/>
    <w:rsid w:val="00E81A91"/>
    <w:rsid w:val="00E8553F"/>
    <w:rsid w:val="00E874FD"/>
    <w:rsid w:val="00E91014"/>
    <w:rsid w:val="00E933D8"/>
    <w:rsid w:val="00E95812"/>
    <w:rsid w:val="00E95948"/>
    <w:rsid w:val="00E97359"/>
    <w:rsid w:val="00EA1502"/>
    <w:rsid w:val="00EA2D99"/>
    <w:rsid w:val="00EA5BD5"/>
    <w:rsid w:val="00EB1300"/>
    <w:rsid w:val="00EC0CAE"/>
    <w:rsid w:val="00EC29E3"/>
    <w:rsid w:val="00EC3B91"/>
    <w:rsid w:val="00EC726E"/>
    <w:rsid w:val="00ED24F6"/>
    <w:rsid w:val="00ED43EE"/>
    <w:rsid w:val="00ED498D"/>
    <w:rsid w:val="00ED4D6D"/>
    <w:rsid w:val="00ED5DD0"/>
    <w:rsid w:val="00EE306A"/>
    <w:rsid w:val="00EE42D9"/>
    <w:rsid w:val="00EE67B3"/>
    <w:rsid w:val="00EE758C"/>
    <w:rsid w:val="00EF005B"/>
    <w:rsid w:val="00F05F80"/>
    <w:rsid w:val="00F10FF4"/>
    <w:rsid w:val="00F12356"/>
    <w:rsid w:val="00F2169A"/>
    <w:rsid w:val="00F23260"/>
    <w:rsid w:val="00F2525E"/>
    <w:rsid w:val="00F35395"/>
    <w:rsid w:val="00F36230"/>
    <w:rsid w:val="00F5136C"/>
    <w:rsid w:val="00F57DD7"/>
    <w:rsid w:val="00F60BA5"/>
    <w:rsid w:val="00F60E11"/>
    <w:rsid w:val="00F708C3"/>
    <w:rsid w:val="00F72AB2"/>
    <w:rsid w:val="00F73FEF"/>
    <w:rsid w:val="00F74008"/>
    <w:rsid w:val="00F82819"/>
    <w:rsid w:val="00F82EBC"/>
    <w:rsid w:val="00F86A5D"/>
    <w:rsid w:val="00F8762F"/>
    <w:rsid w:val="00F93048"/>
    <w:rsid w:val="00FA79F7"/>
    <w:rsid w:val="00FB32D7"/>
    <w:rsid w:val="00FB4392"/>
    <w:rsid w:val="00FB522E"/>
    <w:rsid w:val="00FC17D0"/>
    <w:rsid w:val="00FC6968"/>
    <w:rsid w:val="00FD2FA4"/>
    <w:rsid w:val="00FD38AE"/>
    <w:rsid w:val="00FE0372"/>
    <w:rsid w:val="00FE3F74"/>
    <w:rsid w:val="00FE4A2D"/>
    <w:rsid w:val="00FE4B5C"/>
    <w:rsid w:val="00FE7D85"/>
    <w:rsid w:val="00FF25D8"/>
    <w:rsid w:val="00FF41C9"/>
    <w:rsid w:val="00FF4EF1"/>
    <w:rsid w:val="00FF5931"/>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footnote reference" w:uiPriority="0"/>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5D59ED"/>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A126BF"/>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99"/>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styleId="CommentReference">
    <w:name w:val="annotation reference"/>
    <w:basedOn w:val="DefaultParagraphFont"/>
    <w:uiPriority w:val="99"/>
    <w:semiHidden/>
    <w:rsid w:val="00FD38AE"/>
    <w:rPr>
      <w:sz w:val="16"/>
      <w:szCs w:val="16"/>
    </w:rPr>
  </w:style>
  <w:style w:type="paragraph" w:styleId="CommentText">
    <w:name w:val="annotation text"/>
    <w:basedOn w:val="Normal"/>
    <w:link w:val="CommentTextChar"/>
    <w:uiPriority w:val="99"/>
    <w:semiHidden/>
    <w:rsid w:val="00FD38AE"/>
    <w:pPr>
      <w:spacing w:line="240" w:lineRule="auto"/>
    </w:pPr>
    <w:rPr>
      <w:sz w:val="20"/>
    </w:rPr>
  </w:style>
  <w:style w:type="character" w:customStyle="1" w:styleId="CommentTextChar">
    <w:name w:val="Comment Text Char"/>
    <w:basedOn w:val="DefaultParagraphFont"/>
    <w:link w:val="CommentText"/>
    <w:uiPriority w:val="99"/>
    <w:semiHidden/>
    <w:rsid w:val="00FD38AE"/>
    <w:rPr>
      <w:rFonts w:ascii="Trebuchet MS" w:hAnsi="Trebuchet MS"/>
      <w:lang w:val="en-AU"/>
    </w:rPr>
  </w:style>
  <w:style w:type="paragraph" w:styleId="CommentSubject">
    <w:name w:val="annotation subject"/>
    <w:basedOn w:val="CommentText"/>
    <w:next w:val="CommentText"/>
    <w:link w:val="CommentSubjectChar"/>
    <w:uiPriority w:val="99"/>
    <w:semiHidden/>
    <w:rsid w:val="00FD38AE"/>
    <w:rPr>
      <w:b/>
      <w:bCs/>
    </w:rPr>
  </w:style>
  <w:style w:type="character" w:customStyle="1" w:styleId="CommentSubjectChar">
    <w:name w:val="Comment Subject Char"/>
    <w:basedOn w:val="CommentTextChar"/>
    <w:link w:val="CommentSubject"/>
    <w:uiPriority w:val="99"/>
    <w:semiHidden/>
    <w:rsid w:val="00FD38AE"/>
    <w:rPr>
      <w:rFonts w:ascii="Trebuchet MS" w:hAnsi="Trebuchet MS"/>
      <w:b/>
      <w:bCs/>
      <w:lang w:val="en-AU"/>
    </w:rPr>
  </w:style>
  <w:style w:type="character" w:styleId="FootnoteReference">
    <w:name w:val="footnote reference"/>
    <w:basedOn w:val="DefaultParagraphFont"/>
    <w:rsid w:val="002F7F5D"/>
    <w:rPr>
      <w:vertAlign w:val="superscript"/>
    </w:rPr>
  </w:style>
  <w:style w:type="character" w:customStyle="1" w:styleId="FootnoteTextChar">
    <w:name w:val="Footnote Text Char"/>
    <w:basedOn w:val="DefaultParagraphFont"/>
    <w:link w:val="FootnoteText"/>
    <w:rsid w:val="00110456"/>
    <w:rPr>
      <w:rFonts w:ascii="Trebuchet MS" w:hAnsi="Trebuchet MS"/>
      <w:sz w:val="16"/>
      <w:lang w:val="en-AU"/>
    </w:rPr>
  </w:style>
  <w:style w:type="paragraph" w:customStyle="1" w:styleId="EMSparagraph">
    <w:name w:val="EMS paragraph"/>
    <w:basedOn w:val="Normal"/>
    <w:link w:val="EMSparagraphChar"/>
    <w:qFormat/>
    <w:rsid w:val="00110456"/>
    <w:pPr>
      <w:spacing w:before="200" w:after="120" w:line="240" w:lineRule="auto"/>
      <w:jc w:val="both"/>
    </w:pPr>
    <w:rPr>
      <w:rFonts w:ascii="Arial" w:hAnsi="Arial"/>
      <w:sz w:val="20"/>
      <w:lang w:val="en-US" w:bidi="en-US"/>
    </w:rPr>
  </w:style>
  <w:style w:type="character" w:customStyle="1" w:styleId="EMSparagraphChar">
    <w:name w:val="EMS paragraph Char"/>
    <w:basedOn w:val="DefaultParagraphFont"/>
    <w:link w:val="EMSparagraph"/>
    <w:rsid w:val="00110456"/>
    <w:rPr>
      <w:rFonts w:ascii="Arial" w:hAnsi="Arial"/>
      <w:lang w:bidi="en-US"/>
    </w:rPr>
  </w:style>
  <w:style w:type="character" w:customStyle="1" w:styleId="FooterChar">
    <w:name w:val="Footer Char"/>
    <w:link w:val="Footer"/>
    <w:uiPriority w:val="99"/>
    <w:rsid w:val="00600137"/>
    <w:rPr>
      <w:rFonts w:ascii="Tahoma" w:hAnsi="Tahoma"/>
      <w:sz w:val="17"/>
      <w:szCs w:val="17"/>
      <w:lang w:val="en-AU"/>
    </w:rPr>
  </w:style>
  <w:style w:type="paragraph" w:styleId="Caption">
    <w:name w:val="caption"/>
    <w:basedOn w:val="Normal"/>
    <w:next w:val="Normal"/>
    <w:uiPriority w:val="35"/>
    <w:unhideWhenUsed/>
    <w:qFormat/>
    <w:rsid w:val="00600137"/>
    <w:pPr>
      <w:keepNext/>
      <w:spacing w:before="240" w:after="120" w:line="276" w:lineRule="auto"/>
      <w:jc w:val="center"/>
    </w:pPr>
    <w:rPr>
      <w:rFonts w:ascii="Arial" w:hAnsi="Arial"/>
      <w:b/>
      <w:bCs/>
      <w:color w:val="365F91"/>
      <w:sz w:val="18"/>
      <w:szCs w:val="16"/>
      <w:lang w:val="en-US" w:bidi="en-US"/>
    </w:rPr>
  </w:style>
  <w:style w:type="paragraph" w:customStyle="1" w:styleId="sspkr">
    <w:name w:val="sspkr"/>
    <w:basedOn w:val="Normal"/>
    <w:rsid w:val="00C074DC"/>
    <w:pPr>
      <w:spacing w:before="0" w:line="312" w:lineRule="auto"/>
      <w:ind w:left="75" w:right="75"/>
    </w:pPr>
    <w:rPr>
      <w:rFonts w:ascii="Verdana" w:hAnsi="Verdana"/>
      <w:b/>
      <w:bCs/>
      <w:sz w:val="24"/>
      <w:szCs w:val="24"/>
      <w:lang w:eastAsia="en-AU"/>
    </w:rPr>
  </w:style>
  <w:style w:type="paragraph" w:styleId="DocumentMap">
    <w:name w:val="Document Map"/>
    <w:basedOn w:val="Normal"/>
    <w:link w:val="DocumentMapChar"/>
    <w:uiPriority w:val="99"/>
    <w:semiHidden/>
    <w:rsid w:val="00580A81"/>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80A81"/>
    <w:rPr>
      <w:rFonts w:ascii="Tahoma" w:hAnsi="Tahoma" w:cs="Tahoma"/>
      <w:sz w:val="16"/>
      <w:szCs w:val="16"/>
      <w:lang w:val="en-AU"/>
    </w:rPr>
  </w:style>
  <w:style w:type="paragraph" w:styleId="NoSpacing">
    <w:name w:val="No Spacing"/>
    <w:basedOn w:val="Normal"/>
    <w:link w:val="NoSpacingChar"/>
    <w:uiPriority w:val="1"/>
    <w:qFormat/>
    <w:rsid w:val="005E6381"/>
    <w:pPr>
      <w:spacing w:before="0" w:line="240" w:lineRule="auto"/>
    </w:pPr>
    <w:rPr>
      <w:rFonts w:asciiTheme="minorHAnsi" w:hAnsiTheme="minorHAnsi"/>
      <w:sz w:val="20"/>
      <w:lang w:val="en-US" w:bidi="en-US"/>
    </w:rPr>
  </w:style>
  <w:style w:type="character" w:customStyle="1" w:styleId="NoSpacingChar">
    <w:name w:val="No Spacing Char"/>
    <w:link w:val="NoSpacing"/>
    <w:uiPriority w:val="1"/>
    <w:rsid w:val="005E6381"/>
    <w:rPr>
      <w:rFonts w:asciiTheme="minorHAnsi" w:hAnsiTheme="minorHAnsi"/>
      <w:lang w:bidi="en-US"/>
    </w:rPr>
  </w:style>
  <w:style w:type="table" w:customStyle="1" w:styleId="LightList-Accent11">
    <w:name w:val="Light List - Accent 11"/>
    <w:basedOn w:val="TableNormal"/>
    <w:uiPriority w:val="61"/>
    <w:rsid w:val="005E6381"/>
    <w:pPr>
      <w:keepNext/>
    </w:pPr>
    <w:rPr>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0804D2"/>
    <w:rPr>
      <w:b/>
      <w:bCs/>
    </w:rPr>
  </w:style>
  <w:style w:type="paragraph" w:customStyle="1" w:styleId="Textmorebefore">
    <w:name w:val="Text more # before"/>
    <w:basedOn w:val="Text"/>
    <w:uiPriority w:val="1"/>
    <w:qFormat/>
    <w:rsid w:val="00BA4E95"/>
    <w:pPr>
      <w:spacing w:before="36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footnote reference" w:uiPriority="0"/>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5D59ED"/>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character" w:styleId="CommentReference">
    <w:name w:val="annotation reference"/>
    <w:basedOn w:val="DefaultParagraphFont"/>
    <w:uiPriority w:val="99"/>
    <w:semiHidden/>
    <w:rsid w:val="00FD38AE"/>
    <w:rPr>
      <w:sz w:val="16"/>
      <w:szCs w:val="16"/>
    </w:rPr>
  </w:style>
  <w:style w:type="paragraph" w:styleId="CommentText">
    <w:name w:val="annotation text"/>
    <w:basedOn w:val="Normal"/>
    <w:link w:val="CommentTextChar"/>
    <w:uiPriority w:val="99"/>
    <w:semiHidden/>
    <w:rsid w:val="00FD38AE"/>
    <w:pPr>
      <w:spacing w:line="240" w:lineRule="auto"/>
    </w:pPr>
    <w:rPr>
      <w:sz w:val="20"/>
    </w:rPr>
  </w:style>
  <w:style w:type="character" w:customStyle="1" w:styleId="CommentTextChar">
    <w:name w:val="Comment Text Char"/>
    <w:basedOn w:val="DefaultParagraphFont"/>
    <w:link w:val="CommentText"/>
    <w:uiPriority w:val="99"/>
    <w:semiHidden/>
    <w:rsid w:val="00FD38AE"/>
    <w:rPr>
      <w:rFonts w:ascii="Trebuchet MS" w:hAnsi="Trebuchet MS"/>
      <w:lang w:val="en-AU"/>
    </w:rPr>
  </w:style>
  <w:style w:type="paragraph" w:styleId="CommentSubject">
    <w:name w:val="annotation subject"/>
    <w:basedOn w:val="CommentText"/>
    <w:next w:val="CommentText"/>
    <w:link w:val="CommentSubjectChar"/>
    <w:uiPriority w:val="99"/>
    <w:semiHidden/>
    <w:rsid w:val="00FD38AE"/>
    <w:rPr>
      <w:b/>
      <w:bCs/>
    </w:rPr>
  </w:style>
  <w:style w:type="character" w:customStyle="1" w:styleId="CommentSubjectChar">
    <w:name w:val="Comment Subject Char"/>
    <w:basedOn w:val="CommentTextChar"/>
    <w:link w:val="CommentSubject"/>
    <w:uiPriority w:val="99"/>
    <w:semiHidden/>
    <w:rsid w:val="00FD38AE"/>
    <w:rPr>
      <w:rFonts w:ascii="Trebuchet MS" w:hAnsi="Trebuchet MS"/>
      <w:b/>
      <w:bCs/>
      <w:lang w:val="en-AU"/>
    </w:rPr>
  </w:style>
  <w:style w:type="character" w:styleId="FootnoteReference">
    <w:name w:val="footnote reference"/>
    <w:basedOn w:val="DefaultParagraphFont"/>
    <w:rsid w:val="002F7F5D"/>
    <w:rPr>
      <w:vertAlign w:val="superscript"/>
    </w:rPr>
  </w:style>
  <w:style w:type="character" w:customStyle="1" w:styleId="FootnoteTextChar">
    <w:name w:val="Footnote Text Char"/>
    <w:basedOn w:val="DefaultParagraphFont"/>
    <w:link w:val="FootnoteText"/>
    <w:rsid w:val="00110456"/>
    <w:rPr>
      <w:rFonts w:ascii="Trebuchet MS" w:hAnsi="Trebuchet MS"/>
      <w:sz w:val="16"/>
      <w:lang w:val="en-AU"/>
    </w:rPr>
  </w:style>
  <w:style w:type="paragraph" w:customStyle="1" w:styleId="EMSparagraph">
    <w:name w:val="EMS paragraph"/>
    <w:basedOn w:val="Normal"/>
    <w:link w:val="EMSparagraphChar"/>
    <w:qFormat/>
    <w:rsid w:val="00110456"/>
    <w:pPr>
      <w:spacing w:before="200" w:after="120" w:line="240" w:lineRule="auto"/>
      <w:jc w:val="both"/>
    </w:pPr>
    <w:rPr>
      <w:rFonts w:ascii="Arial" w:hAnsi="Arial"/>
      <w:sz w:val="20"/>
      <w:lang w:val="en-US" w:bidi="en-US"/>
    </w:rPr>
  </w:style>
  <w:style w:type="character" w:customStyle="1" w:styleId="EMSparagraphChar">
    <w:name w:val="EMS paragraph Char"/>
    <w:basedOn w:val="DefaultParagraphFont"/>
    <w:link w:val="EMSparagraph"/>
    <w:rsid w:val="00110456"/>
    <w:rPr>
      <w:rFonts w:ascii="Arial" w:hAnsi="Arial"/>
      <w:lang w:bidi="en-US"/>
    </w:rPr>
  </w:style>
  <w:style w:type="character" w:customStyle="1" w:styleId="FooterChar">
    <w:name w:val="Footer Char"/>
    <w:link w:val="Footer"/>
    <w:uiPriority w:val="99"/>
    <w:rsid w:val="00600137"/>
    <w:rPr>
      <w:rFonts w:ascii="Tahoma" w:hAnsi="Tahoma"/>
      <w:sz w:val="17"/>
      <w:szCs w:val="17"/>
      <w:lang w:val="en-AU"/>
    </w:rPr>
  </w:style>
  <w:style w:type="paragraph" w:styleId="Caption">
    <w:name w:val="caption"/>
    <w:basedOn w:val="Normal"/>
    <w:next w:val="Normal"/>
    <w:uiPriority w:val="35"/>
    <w:unhideWhenUsed/>
    <w:qFormat/>
    <w:rsid w:val="00600137"/>
    <w:pPr>
      <w:keepNext/>
      <w:spacing w:before="240" w:after="120" w:line="276" w:lineRule="auto"/>
      <w:jc w:val="center"/>
    </w:pPr>
    <w:rPr>
      <w:rFonts w:ascii="Arial" w:hAnsi="Arial"/>
      <w:b/>
      <w:bCs/>
      <w:color w:val="365F91"/>
      <w:sz w:val="18"/>
      <w:szCs w:val="16"/>
      <w:lang w:val="en-US" w:bidi="en-US"/>
    </w:rPr>
  </w:style>
  <w:style w:type="paragraph" w:customStyle="1" w:styleId="sspkr">
    <w:name w:val="sspkr"/>
    <w:basedOn w:val="Normal"/>
    <w:rsid w:val="00C074DC"/>
    <w:pPr>
      <w:spacing w:before="0" w:line="312" w:lineRule="auto"/>
      <w:ind w:left="75" w:right="75"/>
    </w:pPr>
    <w:rPr>
      <w:rFonts w:ascii="Verdana" w:hAnsi="Verdana"/>
      <w:b/>
      <w:bCs/>
      <w:sz w:val="24"/>
      <w:szCs w:val="24"/>
      <w:lang w:eastAsia="en-AU"/>
    </w:rPr>
  </w:style>
  <w:style w:type="paragraph" w:styleId="DocumentMap">
    <w:name w:val="Document Map"/>
    <w:basedOn w:val="Normal"/>
    <w:link w:val="DocumentMapChar"/>
    <w:uiPriority w:val="99"/>
    <w:semiHidden/>
    <w:rsid w:val="00580A81"/>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80A81"/>
    <w:rPr>
      <w:rFonts w:ascii="Tahoma" w:hAnsi="Tahoma" w:cs="Tahoma"/>
      <w:sz w:val="16"/>
      <w:szCs w:val="16"/>
      <w:lang w:val="en-AU"/>
    </w:rPr>
  </w:style>
  <w:style w:type="paragraph" w:styleId="NoSpacing">
    <w:name w:val="No Spacing"/>
    <w:basedOn w:val="Normal"/>
    <w:link w:val="NoSpacingChar"/>
    <w:uiPriority w:val="1"/>
    <w:qFormat/>
    <w:rsid w:val="005E6381"/>
    <w:pPr>
      <w:spacing w:before="0" w:line="240" w:lineRule="auto"/>
    </w:pPr>
    <w:rPr>
      <w:rFonts w:asciiTheme="minorHAnsi" w:hAnsiTheme="minorHAnsi"/>
      <w:sz w:val="20"/>
      <w:lang w:val="en-US" w:bidi="en-US"/>
    </w:rPr>
  </w:style>
  <w:style w:type="character" w:customStyle="1" w:styleId="NoSpacingChar">
    <w:name w:val="No Spacing Char"/>
    <w:link w:val="NoSpacing"/>
    <w:uiPriority w:val="1"/>
    <w:rsid w:val="005E6381"/>
    <w:rPr>
      <w:rFonts w:asciiTheme="minorHAnsi" w:hAnsiTheme="minorHAnsi"/>
      <w:lang w:bidi="en-US"/>
    </w:rPr>
  </w:style>
  <w:style w:type="table" w:customStyle="1" w:styleId="LightList-Accent11">
    <w:name w:val="Light List - Accent 11"/>
    <w:basedOn w:val="TableNormal"/>
    <w:uiPriority w:val="61"/>
    <w:rsid w:val="005E6381"/>
    <w:pPr>
      <w:keepNext/>
    </w:pPr>
    <w:rPr>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55944062">
      <w:bodyDiv w:val="1"/>
      <w:marLeft w:val="0"/>
      <w:marRight w:val="0"/>
      <w:marTop w:val="0"/>
      <w:marBottom w:val="0"/>
      <w:divBdr>
        <w:top w:val="none" w:sz="0" w:space="0" w:color="auto"/>
        <w:left w:val="none" w:sz="0" w:space="0" w:color="auto"/>
        <w:bottom w:val="none" w:sz="0" w:space="0" w:color="auto"/>
        <w:right w:val="none" w:sz="0" w:space="0" w:color="auto"/>
      </w:divBdr>
    </w:div>
    <w:div w:id="1112632882">
      <w:bodyDiv w:val="1"/>
      <w:marLeft w:val="0"/>
      <w:marRight w:val="0"/>
      <w:marTop w:val="0"/>
      <w:marBottom w:val="0"/>
      <w:divBdr>
        <w:top w:val="none" w:sz="0" w:space="0" w:color="auto"/>
        <w:left w:val="none" w:sz="0" w:space="0" w:color="auto"/>
        <w:bottom w:val="none" w:sz="0" w:space="0" w:color="auto"/>
        <w:right w:val="none" w:sz="0" w:space="0" w:color="auto"/>
      </w:divBdr>
      <w:divsChild>
        <w:div w:id="1531920954">
          <w:marLeft w:val="0"/>
          <w:marRight w:val="0"/>
          <w:marTop w:val="0"/>
          <w:marBottom w:val="0"/>
          <w:divBdr>
            <w:top w:val="none" w:sz="0" w:space="0" w:color="auto"/>
            <w:left w:val="none" w:sz="0" w:space="0" w:color="auto"/>
            <w:bottom w:val="none" w:sz="0" w:space="0" w:color="auto"/>
            <w:right w:val="none" w:sz="0" w:space="0" w:color="auto"/>
          </w:divBdr>
          <w:divsChild>
            <w:div w:id="733940876">
              <w:marLeft w:val="0"/>
              <w:marRight w:val="0"/>
              <w:marTop w:val="0"/>
              <w:marBottom w:val="0"/>
              <w:divBdr>
                <w:top w:val="none" w:sz="0" w:space="0" w:color="auto"/>
                <w:left w:val="none" w:sz="0" w:space="0" w:color="auto"/>
                <w:bottom w:val="none" w:sz="0" w:space="0" w:color="auto"/>
                <w:right w:val="none" w:sz="0" w:space="0" w:color="auto"/>
              </w:divBdr>
              <w:divsChild>
                <w:div w:id="70748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07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nces.ed.gov/pubs98/98053.pdf" TargetMode="External"/><Relationship Id="rId23" Type="http://schemas.microsoft.com/office/2007/relationships/stylesWithEffects" Target="stylesWithEffects.xml"/><Relationship Id="rId10" Type="http://schemas.openxmlformats.org/officeDocument/2006/relationships/hyperlink" Target="http://www.voced.edu.a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innovation.gov.au/Skills/LiteracyAndNumeracy/AustralianCoreSkillsFramework/Pages/default.aspx" TargetMode="External"/><Relationship Id="rId1" Type="http://schemas.openxmlformats.org/officeDocument/2006/relationships/hyperlink" Target="http://www.scotese.natese.gov.au/__data/assets/pdf_file/0007/71755/National_Foundation_Skills_%20Strategy_for_Adults.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9.9224628171480866E-2"/>
          <c:y val="5.0925925925925937E-2"/>
          <c:w val="0.75571762904636919"/>
          <c:h val="0.8981481481481487"/>
        </c:manualLayout>
      </c:layout>
      <c:barChart>
        <c:barDir val="bar"/>
        <c:grouping val="clustered"/>
        <c:ser>
          <c:idx val="1"/>
          <c:order val="1"/>
          <c:tx>
            <c:strRef>
              <c:f>Tables!$E$12</c:f>
              <c:strCache>
                <c:ptCount val="1"/>
                <c:pt idx="0">
                  <c:v>Percent</c:v>
                </c:pt>
              </c:strCache>
            </c:strRef>
          </c:tx>
          <c:spPr>
            <a:solidFill>
              <a:schemeClr val="bg1">
                <a:lumMod val="75000"/>
              </a:schemeClr>
            </a:solidFill>
          </c:spPr>
          <c:dLbls>
            <c:txPr>
              <a:bodyPr/>
              <a:lstStyle/>
              <a:p>
                <a:pPr>
                  <a:defRPr sz="800" baseline="0">
                    <a:latin typeface="Arial" pitchFamily="34" charset="0"/>
                  </a:defRPr>
                </a:pPr>
                <a:endParaRPr lang="en-US"/>
              </a:p>
            </c:txPr>
            <c:showVal val="1"/>
          </c:dLbls>
          <c:cat>
            <c:strRef>
              <c:f>Tables!$C$13:$C$20</c:f>
              <c:strCache>
                <c:ptCount val="8"/>
                <c:pt idx="0">
                  <c:v>ACT</c:v>
                </c:pt>
                <c:pt idx="1">
                  <c:v>NSW</c:v>
                </c:pt>
                <c:pt idx="2">
                  <c:v>NT</c:v>
                </c:pt>
                <c:pt idx="3">
                  <c:v>QLD</c:v>
                </c:pt>
                <c:pt idx="4">
                  <c:v>SA</c:v>
                </c:pt>
                <c:pt idx="5">
                  <c:v>TAS</c:v>
                </c:pt>
                <c:pt idx="6">
                  <c:v>VIC</c:v>
                </c:pt>
                <c:pt idx="7">
                  <c:v>WA</c:v>
                </c:pt>
              </c:strCache>
            </c:strRef>
          </c:cat>
          <c:val>
            <c:numRef>
              <c:f>Tables!$E$13:$E$20</c:f>
              <c:numCache>
                <c:formatCode>0%</c:formatCode>
                <c:ptCount val="8"/>
                <c:pt idx="0">
                  <c:v>1.4598540145985404E-2</c:v>
                </c:pt>
                <c:pt idx="1">
                  <c:v>0.23357664233576642</c:v>
                </c:pt>
                <c:pt idx="2">
                  <c:v>5.3527980535279802E-2</c:v>
                </c:pt>
                <c:pt idx="3">
                  <c:v>5.8394160583941895E-2</c:v>
                </c:pt>
                <c:pt idx="4">
                  <c:v>8.7591240875912538E-2</c:v>
                </c:pt>
                <c:pt idx="5">
                  <c:v>7.5425790754257913E-2</c:v>
                </c:pt>
                <c:pt idx="6">
                  <c:v>0.39659367396594047</c:v>
                </c:pt>
                <c:pt idx="7">
                  <c:v>8.0291970802919693E-2</c:v>
                </c:pt>
              </c:numCache>
            </c:numRef>
          </c:val>
        </c:ser>
        <c:axId val="164884864"/>
        <c:axId val="164886400"/>
      </c:barChart>
      <c:barChart>
        <c:barDir val="bar"/>
        <c:grouping val="clustered"/>
        <c:ser>
          <c:idx val="0"/>
          <c:order val="0"/>
          <c:tx>
            <c:strRef>
              <c:f>Tables!$D$12</c:f>
              <c:strCache>
                <c:ptCount val="1"/>
                <c:pt idx="0">
                  <c:v>Frequency</c:v>
                </c:pt>
              </c:strCache>
            </c:strRef>
          </c:tx>
          <c:spPr>
            <a:noFill/>
          </c:spPr>
          <c:cat>
            <c:strRef>
              <c:f>Tables!$F$13:$F$20</c:f>
              <c:strCache>
                <c:ptCount val="8"/>
                <c:pt idx="0">
                  <c:v>    n=6</c:v>
                </c:pt>
                <c:pt idx="1">
                  <c:v>  n=96</c:v>
                </c:pt>
                <c:pt idx="2">
                  <c:v>  n=22</c:v>
                </c:pt>
                <c:pt idx="3">
                  <c:v>  n=24</c:v>
                </c:pt>
                <c:pt idx="4">
                  <c:v>  n=36</c:v>
                </c:pt>
                <c:pt idx="5">
                  <c:v>  n=31</c:v>
                </c:pt>
                <c:pt idx="6">
                  <c:v>n=163</c:v>
                </c:pt>
                <c:pt idx="7">
                  <c:v>  n=33</c:v>
                </c:pt>
              </c:strCache>
            </c:strRef>
          </c:cat>
          <c:val>
            <c:numRef>
              <c:f>Tables!$D$13:$D$20</c:f>
              <c:numCache>
                <c:formatCode>General</c:formatCode>
                <c:ptCount val="8"/>
                <c:pt idx="0">
                  <c:v>6</c:v>
                </c:pt>
                <c:pt idx="1">
                  <c:v>96</c:v>
                </c:pt>
                <c:pt idx="2">
                  <c:v>22</c:v>
                </c:pt>
                <c:pt idx="3">
                  <c:v>24</c:v>
                </c:pt>
                <c:pt idx="4">
                  <c:v>36</c:v>
                </c:pt>
                <c:pt idx="5">
                  <c:v>31</c:v>
                </c:pt>
                <c:pt idx="6">
                  <c:v>163</c:v>
                </c:pt>
                <c:pt idx="7">
                  <c:v>33</c:v>
                </c:pt>
              </c:numCache>
            </c:numRef>
          </c:val>
        </c:ser>
        <c:axId val="171464960"/>
        <c:axId val="164887936"/>
      </c:barChart>
      <c:catAx>
        <c:axId val="164884864"/>
        <c:scaling>
          <c:orientation val="maxMin"/>
        </c:scaling>
        <c:axPos val="l"/>
        <c:tickLblPos val="nextTo"/>
        <c:txPr>
          <a:bodyPr/>
          <a:lstStyle/>
          <a:p>
            <a:pPr>
              <a:defRPr sz="800" baseline="0">
                <a:latin typeface="Arial" pitchFamily="34" charset="0"/>
              </a:defRPr>
            </a:pPr>
            <a:endParaRPr lang="en-US"/>
          </a:p>
        </c:txPr>
        <c:crossAx val="164886400"/>
        <c:crosses val="autoZero"/>
        <c:auto val="1"/>
        <c:lblAlgn val="ctr"/>
        <c:lblOffset val="100"/>
      </c:catAx>
      <c:valAx>
        <c:axId val="164886400"/>
        <c:scaling>
          <c:orientation val="minMax"/>
        </c:scaling>
        <c:axPos val="t"/>
        <c:numFmt formatCode="0%" sourceLinked="1"/>
        <c:majorTickMark val="none"/>
        <c:tickLblPos val="none"/>
        <c:spPr>
          <a:ln>
            <a:noFill/>
          </a:ln>
        </c:spPr>
        <c:crossAx val="164884864"/>
        <c:crosses val="autoZero"/>
        <c:crossBetween val="between"/>
      </c:valAx>
      <c:valAx>
        <c:axId val="164887936"/>
        <c:scaling>
          <c:orientation val="minMax"/>
        </c:scaling>
        <c:axPos val="b"/>
        <c:numFmt formatCode="General" sourceLinked="1"/>
        <c:majorTickMark val="none"/>
        <c:tickLblPos val="none"/>
        <c:spPr>
          <a:ln>
            <a:noFill/>
          </a:ln>
        </c:spPr>
        <c:crossAx val="171464960"/>
        <c:crosses val="max"/>
        <c:crossBetween val="between"/>
      </c:valAx>
      <c:catAx>
        <c:axId val="171464960"/>
        <c:scaling>
          <c:orientation val="maxMin"/>
        </c:scaling>
        <c:axPos val="r"/>
        <c:majorTickMark val="none"/>
        <c:tickLblPos val="nextTo"/>
        <c:spPr>
          <a:ln>
            <a:noFill/>
          </a:ln>
        </c:spPr>
        <c:txPr>
          <a:bodyPr/>
          <a:lstStyle/>
          <a:p>
            <a:pPr>
              <a:defRPr sz="800" baseline="0">
                <a:latin typeface="Arial" pitchFamily="34" charset="0"/>
              </a:defRPr>
            </a:pPr>
            <a:endParaRPr lang="en-US"/>
          </a:p>
        </c:txPr>
        <c:crossAx val="164887936"/>
        <c:crosses val="max"/>
        <c:auto val="1"/>
        <c:lblAlgn val="ctr"/>
        <c:lblOffset val="100"/>
      </c:catAx>
      <c:spPr>
        <a:ln>
          <a:noFill/>
        </a:ln>
      </c:spPr>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39089129483814788"/>
          <c:y val="5.0925925925925923E-2"/>
          <c:w val="0.464050962379708"/>
          <c:h val="0.89814814814814814"/>
        </c:manualLayout>
      </c:layout>
      <c:barChart>
        <c:barDir val="bar"/>
        <c:grouping val="clustered"/>
        <c:ser>
          <c:idx val="1"/>
          <c:order val="1"/>
          <c:tx>
            <c:strRef>
              <c:f>Tables!$E$28</c:f>
              <c:strCache>
                <c:ptCount val="1"/>
                <c:pt idx="0">
                  <c:v>Percent</c:v>
                </c:pt>
              </c:strCache>
            </c:strRef>
          </c:tx>
          <c:spPr>
            <a:solidFill>
              <a:schemeClr val="bg1">
                <a:lumMod val="75000"/>
              </a:schemeClr>
            </a:solidFill>
          </c:spPr>
          <c:dLbls>
            <c:txPr>
              <a:bodyPr/>
              <a:lstStyle/>
              <a:p>
                <a:pPr>
                  <a:defRPr sz="800" baseline="0">
                    <a:latin typeface="Arial" pitchFamily="34" charset="0"/>
                  </a:defRPr>
                </a:pPr>
                <a:endParaRPr lang="en-US"/>
              </a:p>
            </c:txPr>
            <c:showVal val="1"/>
          </c:dLbls>
          <c:cat>
            <c:strRef>
              <c:f>Tables!$C$29:$C$34</c:f>
              <c:strCache>
                <c:ptCount val="6"/>
                <c:pt idx="0">
                  <c:v>Education &amp;/or Training Institution</c:v>
                </c:pt>
                <c:pt idx="1">
                  <c:v>Not for profit organisation</c:v>
                </c:pt>
                <c:pt idx="2">
                  <c:v>Private enterprise</c:v>
                </c:pt>
                <c:pt idx="3">
                  <c:v>Private consultant</c:v>
                </c:pt>
                <c:pt idx="4">
                  <c:v>Public Service</c:v>
                </c:pt>
                <c:pt idx="5">
                  <c:v>Other</c:v>
                </c:pt>
              </c:strCache>
            </c:strRef>
          </c:cat>
          <c:val>
            <c:numRef>
              <c:f>Tables!$E$29:$E$34</c:f>
              <c:numCache>
                <c:formatCode>0%</c:formatCode>
                <c:ptCount val="6"/>
                <c:pt idx="0">
                  <c:v>0.80291970802919765</c:v>
                </c:pt>
                <c:pt idx="1">
                  <c:v>0.10218978102189782</c:v>
                </c:pt>
                <c:pt idx="2">
                  <c:v>3.1630170316301852E-2</c:v>
                </c:pt>
                <c:pt idx="3">
                  <c:v>2.189781021897845E-2</c:v>
                </c:pt>
                <c:pt idx="4">
                  <c:v>2.6763990267639912E-2</c:v>
                </c:pt>
                <c:pt idx="5">
                  <c:v>1.4598540145985401E-2</c:v>
                </c:pt>
              </c:numCache>
            </c:numRef>
          </c:val>
        </c:ser>
        <c:axId val="201000448"/>
        <c:axId val="201060352"/>
      </c:barChart>
      <c:barChart>
        <c:barDir val="bar"/>
        <c:grouping val="clustered"/>
        <c:ser>
          <c:idx val="0"/>
          <c:order val="0"/>
          <c:tx>
            <c:strRef>
              <c:f>Tables!$D$12</c:f>
              <c:strCache>
                <c:ptCount val="1"/>
                <c:pt idx="0">
                  <c:v>Frequency</c:v>
                </c:pt>
              </c:strCache>
            </c:strRef>
          </c:tx>
          <c:spPr>
            <a:noFill/>
          </c:spPr>
          <c:cat>
            <c:strRef>
              <c:f>Tables!$F$29:$F$34</c:f>
              <c:strCache>
                <c:ptCount val="6"/>
                <c:pt idx="0">
                  <c:v>n=330</c:v>
                </c:pt>
                <c:pt idx="1">
                  <c:v>  n=42</c:v>
                </c:pt>
                <c:pt idx="2">
                  <c:v>  n=13</c:v>
                </c:pt>
                <c:pt idx="3">
                  <c:v>    n=9</c:v>
                </c:pt>
                <c:pt idx="4">
                  <c:v>  n=11</c:v>
                </c:pt>
                <c:pt idx="5">
                  <c:v>    n=6</c:v>
                </c:pt>
              </c:strCache>
            </c:strRef>
          </c:cat>
          <c:val>
            <c:numRef>
              <c:f>Tables!$D$29:$D$34</c:f>
              <c:numCache>
                <c:formatCode>General</c:formatCode>
                <c:ptCount val="6"/>
                <c:pt idx="0">
                  <c:v>330</c:v>
                </c:pt>
                <c:pt idx="1">
                  <c:v>42</c:v>
                </c:pt>
                <c:pt idx="2">
                  <c:v>13</c:v>
                </c:pt>
                <c:pt idx="3">
                  <c:v>9</c:v>
                </c:pt>
                <c:pt idx="4">
                  <c:v>11</c:v>
                </c:pt>
                <c:pt idx="5">
                  <c:v>6</c:v>
                </c:pt>
              </c:numCache>
            </c:numRef>
          </c:val>
        </c:ser>
        <c:axId val="201063808"/>
        <c:axId val="201061888"/>
      </c:barChart>
      <c:catAx>
        <c:axId val="201000448"/>
        <c:scaling>
          <c:orientation val="maxMin"/>
        </c:scaling>
        <c:axPos val="l"/>
        <c:tickLblPos val="nextTo"/>
        <c:txPr>
          <a:bodyPr/>
          <a:lstStyle/>
          <a:p>
            <a:pPr>
              <a:defRPr sz="800" baseline="0">
                <a:latin typeface="Arial" pitchFamily="34" charset="0"/>
              </a:defRPr>
            </a:pPr>
            <a:endParaRPr lang="en-US"/>
          </a:p>
        </c:txPr>
        <c:crossAx val="201060352"/>
        <c:crosses val="autoZero"/>
        <c:auto val="1"/>
        <c:lblAlgn val="ctr"/>
        <c:lblOffset val="100"/>
      </c:catAx>
      <c:valAx>
        <c:axId val="201060352"/>
        <c:scaling>
          <c:orientation val="minMax"/>
        </c:scaling>
        <c:axPos val="t"/>
        <c:numFmt formatCode="0%" sourceLinked="1"/>
        <c:majorTickMark val="none"/>
        <c:tickLblPos val="none"/>
        <c:spPr>
          <a:ln>
            <a:noFill/>
          </a:ln>
        </c:spPr>
        <c:crossAx val="201000448"/>
        <c:crosses val="autoZero"/>
        <c:crossBetween val="between"/>
      </c:valAx>
      <c:valAx>
        <c:axId val="201061888"/>
        <c:scaling>
          <c:orientation val="minMax"/>
        </c:scaling>
        <c:axPos val="b"/>
        <c:numFmt formatCode="General" sourceLinked="1"/>
        <c:majorTickMark val="none"/>
        <c:tickLblPos val="none"/>
        <c:spPr>
          <a:ln>
            <a:noFill/>
          </a:ln>
        </c:spPr>
        <c:crossAx val="201063808"/>
        <c:crosses val="max"/>
        <c:crossBetween val="between"/>
      </c:valAx>
      <c:catAx>
        <c:axId val="201063808"/>
        <c:scaling>
          <c:orientation val="maxMin"/>
        </c:scaling>
        <c:axPos val="r"/>
        <c:majorTickMark val="none"/>
        <c:tickLblPos val="nextTo"/>
        <c:spPr>
          <a:ln>
            <a:noFill/>
          </a:ln>
        </c:spPr>
        <c:txPr>
          <a:bodyPr/>
          <a:lstStyle/>
          <a:p>
            <a:pPr>
              <a:defRPr sz="800" baseline="0">
                <a:latin typeface="Arial" pitchFamily="34" charset="0"/>
              </a:defRPr>
            </a:pPr>
            <a:endParaRPr lang="en-US"/>
          </a:p>
        </c:txPr>
        <c:crossAx val="201061888"/>
        <c:crosses val="max"/>
        <c:auto val="1"/>
        <c:lblAlgn val="ctr"/>
        <c:lblOffset val="100"/>
      </c:catAx>
      <c:spPr>
        <a:ln>
          <a:noFill/>
        </a:ln>
      </c:spPr>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39089129483814788"/>
          <c:y val="5.0925925925925923E-2"/>
          <c:w val="0.46405096237970844"/>
          <c:h val="0.89814814814814814"/>
        </c:manualLayout>
      </c:layout>
      <c:barChart>
        <c:barDir val="bar"/>
        <c:grouping val="clustered"/>
        <c:ser>
          <c:idx val="1"/>
          <c:order val="1"/>
          <c:tx>
            <c:strRef>
              <c:f>Tables!$E$82</c:f>
              <c:strCache>
                <c:ptCount val="1"/>
                <c:pt idx="0">
                  <c:v>Percent</c:v>
                </c:pt>
              </c:strCache>
            </c:strRef>
          </c:tx>
          <c:spPr>
            <a:solidFill>
              <a:schemeClr val="bg1">
                <a:lumMod val="75000"/>
              </a:schemeClr>
            </a:solidFill>
          </c:spPr>
          <c:dLbls>
            <c:showVal val="1"/>
          </c:dLbls>
          <c:cat>
            <c:strRef>
              <c:f>Tables!$C$83:$C$86</c:f>
              <c:strCache>
                <c:ptCount val="4"/>
                <c:pt idx="0">
                  <c:v>Less than 1 year</c:v>
                </c:pt>
                <c:pt idx="1">
                  <c:v>1-5 years</c:v>
                </c:pt>
                <c:pt idx="2">
                  <c:v>6-10 years</c:v>
                </c:pt>
                <c:pt idx="3">
                  <c:v>More than 10 years</c:v>
                </c:pt>
              </c:strCache>
            </c:strRef>
          </c:cat>
          <c:val>
            <c:numRef>
              <c:f>Tables!$E$83:$E$86</c:f>
              <c:numCache>
                <c:formatCode>0%</c:formatCode>
                <c:ptCount val="4"/>
                <c:pt idx="0">
                  <c:v>7.2992700729927723E-2</c:v>
                </c:pt>
                <c:pt idx="1">
                  <c:v>0.27493917274939172</c:v>
                </c:pt>
                <c:pt idx="2">
                  <c:v>0.21167883211678831</c:v>
                </c:pt>
                <c:pt idx="3">
                  <c:v>0.44038929440389296</c:v>
                </c:pt>
              </c:numCache>
            </c:numRef>
          </c:val>
        </c:ser>
        <c:axId val="224733824"/>
        <c:axId val="237092864"/>
      </c:barChart>
      <c:barChart>
        <c:barDir val="bar"/>
        <c:grouping val="clustered"/>
        <c:ser>
          <c:idx val="0"/>
          <c:order val="0"/>
          <c:tx>
            <c:strRef>
              <c:f>Tables!$D$82</c:f>
              <c:strCache>
                <c:ptCount val="1"/>
                <c:pt idx="0">
                  <c:v>Frequency</c:v>
                </c:pt>
              </c:strCache>
            </c:strRef>
          </c:tx>
          <c:spPr>
            <a:noFill/>
          </c:spPr>
          <c:cat>
            <c:strRef>
              <c:f>Tables!$F$83:$F$86</c:f>
              <c:strCache>
                <c:ptCount val="4"/>
                <c:pt idx="0">
                  <c:v>  n=30</c:v>
                </c:pt>
                <c:pt idx="1">
                  <c:v>n=113</c:v>
                </c:pt>
                <c:pt idx="2">
                  <c:v>  n=87</c:v>
                </c:pt>
                <c:pt idx="3">
                  <c:v>n=181</c:v>
                </c:pt>
              </c:strCache>
            </c:strRef>
          </c:cat>
          <c:val>
            <c:numRef>
              <c:f>Tables!$D$83:$D$86</c:f>
              <c:numCache>
                <c:formatCode>General</c:formatCode>
                <c:ptCount val="4"/>
                <c:pt idx="0">
                  <c:v>30</c:v>
                </c:pt>
                <c:pt idx="1">
                  <c:v>113</c:v>
                </c:pt>
                <c:pt idx="2">
                  <c:v>87</c:v>
                </c:pt>
                <c:pt idx="3">
                  <c:v>181</c:v>
                </c:pt>
              </c:numCache>
            </c:numRef>
          </c:val>
        </c:ser>
        <c:axId val="237096320"/>
        <c:axId val="237094784"/>
      </c:barChart>
      <c:catAx>
        <c:axId val="224733824"/>
        <c:scaling>
          <c:orientation val="maxMin"/>
        </c:scaling>
        <c:axPos val="l"/>
        <c:numFmt formatCode="General" sourceLinked="1"/>
        <c:tickLblPos val="nextTo"/>
        <c:crossAx val="237092864"/>
        <c:crosses val="autoZero"/>
        <c:auto val="1"/>
        <c:lblAlgn val="ctr"/>
        <c:lblOffset val="100"/>
      </c:catAx>
      <c:valAx>
        <c:axId val="237092864"/>
        <c:scaling>
          <c:orientation val="minMax"/>
        </c:scaling>
        <c:axPos val="t"/>
        <c:numFmt formatCode="0%" sourceLinked="1"/>
        <c:majorTickMark val="none"/>
        <c:tickLblPos val="none"/>
        <c:spPr>
          <a:ln>
            <a:noFill/>
          </a:ln>
        </c:spPr>
        <c:crossAx val="224733824"/>
        <c:crosses val="autoZero"/>
        <c:crossBetween val="between"/>
      </c:valAx>
      <c:valAx>
        <c:axId val="237094784"/>
        <c:scaling>
          <c:orientation val="minMax"/>
        </c:scaling>
        <c:axPos val="b"/>
        <c:numFmt formatCode="General" sourceLinked="1"/>
        <c:majorTickMark val="none"/>
        <c:tickLblPos val="none"/>
        <c:spPr>
          <a:ln>
            <a:noFill/>
          </a:ln>
        </c:spPr>
        <c:crossAx val="237096320"/>
        <c:crosses val="max"/>
        <c:crossBetween val="between"/>
      </c:valAx>
      <c:catAx>
        <c:axId val="237096320"/>
        <c:scaling>
          <c:orientation val="maxMin"/>
        </c:scaling>
        <c:axPos val="r"/>
        <c:majorTickMark val="none"/>
        <c:tickLblPos val="nextTo"/>
        <c:spPr>
          <a:ln>
            <a:noFill/>
          </a:ln>
        </c:spPr>
        <c:crossAx val="237094784"/>
        <c:crosses val="max"/>
        <c:auto val="1"/>
        <c:lblAlgn val="ctr"/>
        <c:lblOffset val="100"/>
      </c:catAx>
      <c:spPr>
        <a:ln>
          <a:noFill/>
        </a:ln>
      </c:spPr>
    </c:plotArea>
    <c:plotVisOnly val="1"/>
    <c:dispBlanksAs val="gap"/>
  </c:chart>
  <c:spPr>
    <a:ln>
      <a:noFill/>
    </a:ln>
  </c:spPr>
  <c:txPr>
    <a:bodyPr/>
    <a:lstStyle/>
    <a:p>
      <a:pPr>
        <a:defRPr sz="800" baseline="0">
          <a:latin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FC4ED-9DCF-4CBB-8E08-A59E8DB13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21</Pages>
  <Words>6262</Words>
  <Characters>35698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41877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1=1?</dc:title>
  <dc:creator>MichelleCircelli</dc:creator>
  <cp:lastModifiedBy>kayemcadam</cp:lastModifiedBy>
  <cp:revision>11</cp:revision>
  <cp:lastPrinted>2012-11-28T04:21:00Z</cp:lastPrinted>
  <dcterms:created xsi:type="dcterms:W3CDTF">2012-11-15T05:10:00Z</dcterms:created>
  <dcterms:modified xsi:type="dcterms:W3CDTF">2013-01-07T00:22:00Z</dcterms:modified>
</cp:coreProperties>
</file>